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780CE8">
      <w:pPr>
        <w:spacing w:before="165" w:beforeLines="50" w:line="360" w:lineRule="auto"/>
        <w:jc w:val="center"/>
        <w:outlineLvl w:val="0"/>
        <w:rPr>
          <w:rFonts w:ascii="宋体" w:hAnsi="宋体" w:eastAsia="宋体" w:cs="宋体"/>
          <w:b/>
          <w:color w:val="auto"/>
          <w:sz w:val="52"/>
          <w:szCs w:val="52"/>
        </w:rPr>
      </w:pPr>
      <w:bookmarkStart w:id="0" w:name="_Toc26799"/>
      <w:bookmarkStart w:id="97" w:name="_GoBack"/>
      <w:bookmarkEnd w:id="97"/>
      <w:r>
        <w:rPr>
          <w:rFonts w:hint="eastAsia" w:ascii="宋体" w:hAnsi="宋体" w:eastAsia="宋体" w:cs="宋体"/>
          <w:b/>
          <w:color w:val="auto"/>
          <w:sz w:val="52"/>
          <w:szCs w:val="52"/>
        </w:rPr>
        <w:t>广西睿翼工程咨询有限公司</w:t>
      </w:r>
      <w:bookmarkEnd w:id="0"/>
    </w:p>
    <w:p w14:paraId="79491900">
      <w:pPr>
        <w:spacing w:before="165" w:beforeLines="50" w:line="360" w:lineRule="auto"/>
        <w:jc w:val="center"/>
        <w:rPr>
          <w:rFonts w:ascii="宋体" w:hAnsi="宋体" w:eastAsia="宋体" w:cs="宋体"/>
          <w:b/>
          <w:color w:val="auto"/>
          <w:sz w:val="48"/>
          <w:szCs w:val="48"/>
        </w:rPr>
      </w:pPr>
    </w:p>
    <w:p w14:paraId="51A685F6">
      <w:pPr>
        <w:spacing w:before="165" w:beforeLines="50" w:line="360" w:lineRule="auto"/>
        <w:jc w:val="center"/>
        <w:rPr>
          <w:rFonts w:ascii="宋体" w:hAnsi="宋体" w:eastAsia="宋体" w:cs="宋体"/>
          <w:b/>
          <w:color w:val="auto"/>
          <w:sz w:val="48"/>
          <w:szCs w:val="48"/>
        </w:rPr>
      </w:pPr>
    </w:p>
    <w:p w14:paraId="07AE2791">
      <w:pPr>
        <w:snapToGrid w:val="0"/>
        <w:spacing w:before="165" w:beforeLines="50" w:line="360" w:lineRule="auto"/>
        <w:jc w:val="center"/>
        <w:rPr>
          <w:rFonts w:ascii="宋体" w:hAnsi="宋体" w:eastAsia="宋体" w:cs="宋体"/>
          <w:b/>
          <w:color w:val="auto"/>
          <w:sz w:val="72"/>
          <w:szCs w:val="72"/>
        </w:rPr>
      </w:pPr>
      <w:r>
        <w:rPr>
          <w:rFonts w:hint="eastAsia" w:ascii="宋体" w:hAnsi="宋体" w:eastAsia="宋体" w:cs="宋体"/>
          <w:b/>
          <w:color w:val="auto"/>
          <w:sz w:val="72"/>
          <w:szCs w:val="72"/>
        </w:rPr>
        <w:t>招 标 文 件</w:t>
      </w:r>
    </w:p>
    <w:p w14:paraId="346DAA36">
      <w:pPr>
        <w:spacing w:before="165" w:beforeLines="50" w:line="360" w:lineRule="auto"/>
        <w:ind w:left="2871" w:hanging="2862" w:hangingChars="1000"/>
        <w:jc w:val="center"/>
        <w:outlineLvl w:val="0"/>
        <w:rPr>
          <w:rFonts w:ascii="宋体" w:hAnsi="宋体" w:eastAsia="宋体" w:cs="宋体"/>
          <w:b/>
          <w:color w:val="auto"/>
          <w:w w:val="95"/>
          <w:sz w:val="30"/>
          <w:szCs w:val="30"/>
        </w:rPr>
      </w:pPr>
      <w:bookmarkStart w:id="1" w:name="_Toc28180"/>
      <w:r>
        <w:rPr>
          <w:rFonts w:hint="eastAsia" w:ascii="宋体" w:hAnsi="宋体" w:eastAsia="宋体" w:cs="宋体"/>
          <w:b/>
          <w:color w:val="auto"/>
          <w:w w:val="95"/>
          <w:sz w:val="30"/>
          <w:szCs w:val="30"/>
        </w:rPr>
        <w:t>（全流程电子化评标）</w:t>
      </w:r>
      <w:bookmarkEnd w:id="1"/>
    </w:p>
    <w:p w14:paraId="3474CBD6">
      <w:pPr>
        <w:spacing w:before="165" w:beforeLines="50" w:line="360" w:lineRule="auto"/>
        <w:jc w:val="center"/>
        <w:rPr>
          <w:rFonts w:ascii="宋体" w:hAnsi="宋体" w:eastAsia="宋体" w:cs="宋体"/>
          <w:b/>
          <w:color w:val="auto"/>
          <w:sz w:val="52"/>
          <w:szCs w:val="52"/>
        </w:rPr>
      </w:pPr>
    </w:p>
    <w:p w14:paraId="410A436E">
      <w:pPr>
        <w:spacing w:before="165" w:beforeLines="50" w:line="360" w:lineRule="auto"/>
        <w:jc w:val="center"/>
        <w:rPr>
          <w:rFonts w:ascii="宋体" w:hAnsi="宋体" w:eastAsia="宋体" w:cs="宋体"/>
          <w:b/>
          <w:color w:val="auto"/>
          <w:sz w:val="52"/>
          <w:szCs w:val="52"/>
        </w:rPr>
      </w:pPr>
    </w:p>
    <w:p w14:paraId="5C7DCCCB">
      <w:pPr>
        <w:spacing w:before="165" w:beforeLines="50" w:line="360" w:lineRule="auto"/>
        <w:ind w:left="2871" w:hanging="2862" w:hangingChars="1000"/>
        <w:jc w:val="left"/>
        <w:outlineLvl w:val="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rPr>
        <w:t xml:space="preserve">        </w:t>
      </w:r>
      <w:bookmarkStart w:id="2" w:name="_Toc8898"/>
      <w:r>
        <w:rPr>
          <w:rFonts w:hint="eastAsia" w:ascii="宋体" w:hAnsi="宋体" w:eastAsia="宋体" w:cs="宋体"/>
          <w:b/>
          <w:bCs/>
          <w:color w:val="auto"/>
          <w:w w:val="95"/>
          <w:sz w:val="30"/>
          <w:szCs w:val="30"/>
        </w:rPr>
        <w:t>项目名称：</w:t>
      </w:r>
      <w:bookmarkEnd w:id="2"/>
      <w:r>
        <w:rPr>
          <w:rFonts w:hint="eastAsia" w:ascii="宋体" w:hAnsi="宋体" w:eastAsia="宋体" w:cs="宋体"/>
          <w:b/>
          <w:bCs/>
          <w:color w:val="auto"/>
          <w:w w:val="95"/>
          <w:sz w:val="30"/>
          <w:szCs w:val="30"/>
          <w:lang w:eastAsia="zh-CN"/>
        </w:rPr>
        <w:t>2025年第一批义务教育薄弱环节改善与能力提升中央和自治区补助资金设备采购及安装项目</w:t>
      </w:r>
    </w:p>
    <w:p w14:paraId="613A9094">
      <w:pPr>
        <w:pStyle w:val="20"/>
        <w:snapToGrid w:val="0"/>
        <w:spacing w:before="50" w:after="120" w:line="360" w:lineRule="auto"/>
        <w:ind w:firstLine="1125" w:firstLineChars="393"/>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项目编号：</w:t>
      </w:r>
      <w:r>
        <w:rPr>
          <w:rFonts w:hint="eastAsia" w:ascii="宋体" w:hAnsi="宋体" w:eastAsia="宋体" w:cs="宋体"/>
          <w:b/>
          <w:bCs/>
          <w:color w:val="auto"/>
          <w:w w:val="95"/>
          <w:sz w:val="30"/>
          <w:szCs w:val="30"/>
          <w:highlight w:val="none"/>
          <w:lang w:eastAsia="zh-CN"/>
        </w:rPr>
        <w:t>HCZC2025-G1-270050-GXRY</w:t>
      </w:r>
    </w:p>
    <w:p w14:paraId="315AF3F7">
      <w:pPr>
        <w:pStyle w:val="20"/>
        <w:snapToGrid w:val="0"/>
        <w:spacing w:before="50" w:after="120" w:line="360" w:lineRule="auto"/>
        <w:ind w:firstLine="1125" w:firstLineChars="393"/>
        <w:rPr>
          <w:rFonts w:ascii="宋体" w:hAnsi="宋体" w:eastAsia="宋体" w:cs="宋体"/>
          <w:b/>
          <w:bCs/>
          <w:color w:val="auto"/>
          <w:w w:val="95"/>
          <w:sz w:val="30"/>
          <w:szCs w:val="30"/>
        </w:rPr>
      </w:pPr>
    </w:p>
    <w:p w14:paraId="6BB006AD">
      <w:pPr>
        <w:rPr>
          <w:rFonts w:ascii="宋体" w:hAnsi="宋体" w:eastAsia="宋体" w:cs="宋体"/>
          <w:color w:val="auto"/>
        </w:rPr>
      </w:pPr>
    </w:p>
    <w:p w14:paraId="30161454">
      <w:pPr>
        <w:rPr>
          <w:rFonts w:ascii="宋体" w:hAnsi="宋体" w:eastAsia="宋体" w:cs="宋体"/>
          <w:color w:val="auto"/>
        </w:rPr>
      </w:pPr>
    </w:p>
    <w:p w14:paraId="2C7B72F7">
      <w:pPr>
        <w:pStyle w:val="20"/>
        <w:keepNext w:val="0"/>
        <w:keepLines w:val="0"/>
        <w:pageBreakBefore w:val="0"/>
        <w:widowControl w:val="0"/>
        <w:kinsoku/>
        <w:wordWrap/>
        <w:overflowPunct/>
        <w:topLinePunct w:val="0"/>
        <w:autoSpaceDE/>
        <w:autoSpaceDN/>
        <w:bidi w:val="0"/>
        <w:adjustRightInd/>
        <w:snapToGrid w:val="0"/>
        <w:spacing w:before="50" w:after="120" w:line="600" w:lineRule="exact"/>
        <w:ind w:firstLine="1125" w:firstLineChars="393"/>
        <w:textAlignment w:val="auto"/>
        <w:rPr>
          <w:rFonts w:ascii="宋体" w:hAnsi="宋体" w:eastAsia="宋体" w:cs="宋体"/>
          <w:b/>
          <w:bCs/>
          <w:color w:val="auto"/>
          <w:w w:val="95"/>
          <w:sz w:val="30"/>
          <w:szCs w:val="30"/>
        </w:rPr>
      </w:pPr>
      <w:r>
        <w:rPr>
          <w:rFonts w:hint="eastAsia" w:ascii="宋体" w:hAnsi="宋体" w:eastAsia="宋体" w:cs="宋体"/>
          <w:b/>
          <w:bCs/>
          <w:color w:val="auto"/>
          <w:w w:val="95"/>
          <w:sz w:val="30"/>
          <w:szCs w:val="30"/>
        </w:rPr>
        <w:t>采 购 人：巴马瑶族自治县教育局</w:t>
      </w:r>
    </w:p>
    <w:p w14:paraId="213642C8">
      <w:pPr>
        <w:pStyle w:val="20"/>
        <w:keepNext w:val="0"/>
        <w:keepLines w:val="0"/>
        <w:pageBreakBefore w:val="0"/>
        <w:widowControl w:val="0"/>
        <w:kinsoku/>
        <w:wordWrap/>
        <w:overflowPunct/>
        <w:topLinePunct w:val="0"/>
        <w:autoSpaceDE/>
        <w:autoSpaceDN/>
        <w:bidi w:val="0"/>
        <w:adjustRightInd/>
        <w:snapToGrid w:val="0"/>
        <w:spacing w:before="50" w:after="120" w:line="600" w:lineRule="exact"/>
        <w:ind w:firstLine="1125" w:firstLineChars="393"/>
        <w:textAlignment w:val="auto"/>
        <w:outlineLvl w:val="0"/>
        <w:rPr>
          <w:rFonts w:ascii="宋体" w:hAnsi="宋体" w:eastAsia="宋体" w:cs="宋体"/>
          <w:b/>
          <w:bCs/>
          <w:color w:val="auto"/>
          <w:w w:val="95"/>
          <w:sz w:val="30"/>
          <w:szCs w:val="30"/>
        </w:rPr>
      </w:pPr>
      <w:bookmarkStart w:id="3" w:name="_Toc1747"/>
      <w:r>
        <w:rPr>
          <w:rFonts w:hint="eastAsia" w:ascii="宋体" w:hAnsi="宋体" w:eastAsia="宋体" w:cs="宋体"/>
          <w:b/>
          <w:bCs/>
          <w:color w:val="auto"/>
          <w:w w:val="95"/>
          <w:sz w:val="30"/>
          <w:szCs w:val="30"/>
        </w:rPr>
        <w:t>采购代理机构：广西睿翼工程咨询有限公司</w:t>
      </w:r>
      <w:bookmarkEnd w:id="3"/>
    </w:p>
    <w:p w14:paraId="2B8B359C">
      <w:pPr>
        <w:pStyle w:val="20"/>
        <w:snapToGrid w:val="0"/>
        <w:spacing w:before="50" w:after="120" w:line="360" w:lineRule="auto"/>
        <w:ind w:firstLine="841" w:firstLineChars="294"/>
        <w:rPr>
          <w:rFonts w:ascii="宋体" w:hAnsi="宋体" w:eastAsia="宋体" w:cs="宋体"/>
          <w:b/>
          <w:bCs/>
          <w:color w:val="auto"/>
          <w:w w:val="95"/>
          <w:sz w:val="30"/>
          <w:szCs w:val="30"/>
        </w:rPr>
        <w:sectPr>
          <w:headerReference r:id="rId3" w:type="default"/>
          <w:footerReference r:id="rId4" w:type="default"/>
          <w:footerReference r:id="rId5" w:type="even"/>
          <w:pgSz w:w="11906" w:h="16838"/>
          <w:pgMar w:top="1361" w:right="1361" w:bottom="1361" w:left="1361" w:header="720" w:footer="720" w:gutter="0"/>
          <w:pgNumType w:start="1"/>
          <w:cols w:space="720" w:num="1"/>
          <w:docGrid w:type="lines" w:linePitch="331" w:charSpace="0"/>
        </w:sectPr>
      </w:pPr>
      <w:r>
        <w:rPr>
          <w:rFonts w:hint="eastAsia" w:ascii="宋体" w:hAnsi="宋体" w:eastAsia="宋体" w:cs="宋体"/>
          <w:b/>
          <w:bCs/>
          <w:color w:val="auto"/>
          <w:w w:val="95"/>
          <w:sz w:val="30"/>
          <w:szCs w:val="30"/>
        </w:rPr>
        <w:t xml:space="preserve">                202</w:t>
      </w:r>
      <w:r>
        <w:rPr>
          <w:rFonts w:hint="eastAsia" w:ascii="宋体" w:hAnsi="宋体" w:eastAsia="宋体" w:cs="宋体"/>
          <w:b/>
          <w:bCs/>
          <w:color w:val="auto"/>
          <w:w w:val="95"/>
          <w:sz w:val="30"/>
          <w:szCs w:val="30"/>
          <w:lang w:val="en-US" w:eastAsia="zh-CN"/>
        </w:rPr>
        <w:t>5</w:t>
      </w:r>
      <w:r>
        <w:rPr>
          <w:rFonts w:hint="eastAsia" w:ascii="宋体" w:hAnsi="宋体" w:eastAsia="宋体" w:cs="宋体"/>
          <w:b/>
          <w:bCs/>
          <w:color w:val="auto"/>
          <w:w w:val="95"/>
          <w:sz w:val="30"/>
          <w:szCs w:val="30"/>
        </w:rPr>
        <w:t>年</w:t>
      </w:r>
      <w:r>
        <w:rPr>
          <w:rFonts w:hint="eastAsia" w:ascii="宋体" w:hAnsi="宋体" w:eastAsia="宋体" w:cs="宋体"/>
          <w:b/>
          <w:bCs/>
          <w:color w:val="auto"/>
          <w:w w:val="95"/>
          <w:sz w:val="30"/>
          <w:szCs w:val="30"/>
          <w:lang w:val="en-US" w:eastAsia="zh-CN"/>
        </w:rPr>
        <w:t xml:space="preserve">   </w:t>
      </w:r>
      <w:r>
        <w:rPr>
          <w:rFonts w:hint="eastAsia" w:ascii="宋体" w:hAnsi="宋体" w:eastAsia="宋体" w:cs="宋体"/>
          <w:b/>
          <w:bCs/>
          <w:color w:val="auto"/>
          <w:w w:val="95"/>
          <w:sz w:val="30"/>
          <w:szCs w:val="30"/>
        </w:rPr>
        <w:t>月</w:t>
      </w:r>
      <w:r>
        <w:rPr>
          <w:rFonts w:hint="eastAsia" w:ascii="宋体" w:hAnsi="宋体" w:eastAsia="宋体" w:cs="宋体"/>
          <w:b/>
          <w:bCs/>
          <w:color w:val="auto"/>
          <w:w w:val="95"/>
          <w:sz w:val="30"/>
          <w:szCs w:val="30"/>
          <w:lang w:val="en-US" w:eastAsia="zh-CN"/>
        </w:rPr>
        <w:t xml:space="preserve">   </w:t>
      </w:r>
      <w:r>
        <w:rPr>
          <w:rFonts w:hint="eastAsia" w:ascii="宋体" w:hAnsi="宋体" w:eastAsia="宋体" w:cs="宋体"/>
          <w:b/>
          <w:bCs/>
          <w:color w:val="auto"/>
          <w:w w:val="95"/>
          <w:sz w:val="30"/>
          <w:szCs w:val="30"/>
        </w:rPr>
        <w:t>日</w:t>
      </w:r>
    </w:p>
    <w:p w14:paraId="1F03D975">
      <w:pPr>
        <w:jc w:val="center"/>
        <w:rPr>
          <w:rFonts w:hint="eastAsia" w:ascii="宋体" w:hAnsi="宋体" w:eastAsia="宋体" w:cs="宋体"/>
          <w:b/>
          <w:color w:val="auto"/>
          <w:sz w:val="48"/>
          <w:szCs w:val="48"/>
        </w:rPr>
      </w:pPr>
    </w:p>
    <w:p w14:paraId="01B16A1B">
      <w:pPr>
        <w:jc w:val="center"/>
        <w:rPr>
          <w:rFonts w:ascii="宋体" w:hAnsi="宋体" w:eastAsia="宋体" w:cs="宋体"/>
          <w:b/>
          <w:bCs/>
          <w:color w:val="auto"/>
          <w:sz w:val="48"/>
          <w:szCs w:val="48"/>
        </w:rPr>
      </w:pPr>
      <w:r>
        <w:rPr>
          <w:rFonts w:hint="eastAsia" w:ascii="宋体" w:hAnsi="宋体" w:eastAsia="宋体" w:cs="宋体"/>
          <w:b/>
          <w:color w:val="auto"/>
          <w:sz w:val="48"/>
          <w:szCs w:val="48"/>
        </w:rPr>
        <w:t xml:space="preserve"> </w:t>
      </w:r>
      <w:r>
        <w:rPr>
          <w:rFonts w:hint="eastAsia" w:ascii="宋体" w:hAnsi="宋体" w:eastAsia="宋体" w:cs="宋体"/>
          <w:b/>
          <w:bCs/>
          <w:color w:val="auto"/>
          <w:sz w:val="48"/>
          <w:szCs w:val="48"/>
        </w:rPr>
        <w:t>目   录</w:t>
      </w:r>
    </w:p>
    <w:p w14:paraId="543EB40E">
      <w:pPr>
        <w:pStyle w:val="126"/>
        <w:tabs>
          <w:tab w:val="right" w:leader="dot" w:pos="9638"/>
        </w:tabs>
        <w:rPr>
          <w:rFonts w:ascii="宋体" w:hAnsi="宋体" w:eastAsia="宋体" w:cs="宋体"/>
          <w:color w:val="auto"/>
        </w:rPr>
      </w:pPr>
      <w:r>
        <w:rPr>
          <w:rFonts w:hint="eastAsia" w:ascii="宋体" w:hAnsi="宋体" w:eastAsia="宋体" w:cs="宋体"/>
          <w:b/>
          <w:bCs/>
          <w:caps/>
          <w:color w:val="auto"/>
          <w:sz w:val="28"/>
          <w:szCs w:val="28"/>
        </w:rPr>
        <w:fldChar w:fldCharType="begin"/>
      </w:r>
      <w:r>
        <w:rPr>
          <w:rFonts w:hint="eastAsia" w:ascii="宋体" w:hAnsi="宋体" w:eastAsia="宋体" w:cs="宋体"/>
          <w:b/>
          <w:bCs/>
          <w:caps/>
          <w:color w:val="auto"/>
          <w:sz w:val="28"/>
          <w:szCs w:val="28"/>
        </w:rPr>
        <w:instrText xml:space="preserve">TOC \o "1-1" \h \u </w:instrText>
      </w:r>
      <w:r>
        <w:rPr>
          <w:rFonts w:hint="eastAsia" w:ascii="宋体" w:hAnsi="宋体" w:eastAsia="宋体" w:cs="宋体"/>
          <w:b/>
          <w:bCs/>
          <w:caps/>
          <w:color w:val="auto"/>
          <w:sz w:val="28"/>
          <w:szCs w:val="28"/>
        </w:rPr>
        <w:fldChar w:fldCharType="separate"/>
      </w:r>
    </w:p>
    <w:p w14:paraId="2FADB8CF">
      <w:pPr>
        <w:pStyle w:val="126"/>
        <w:tabs>
          <w:tab w:val="right" w:leader="dot" w:pos="9638"/>
        </w:tabs>
        <w:spacing w:line="600" w:lineRule="auto"/>
        <w:rPr>
          <w:rFonts w:ascii="宋体" w:hAnsi="宋体" w:eastAsia="宋体" w:cs="宋体"/>
          <w:color w:val="auto"/>
          <w:sz w:val="32"/>
          <w:szCs w:val="32"/>
        </w:rPr>
      </w:pPr>
      <w:r>
        <w:rPr>
          <w:color w:val="auto"/>
        </w:rPr>
        <w:fldChar w:fldCharType="begin"/>
      </w:r>
      <w:r>
        <w:rPr>
          <w:color w:val="auto"/>
        </w:rPr>
        <w:instrText xml:space="preserve"> HYPERLINK \l "_Toc8768" </w:instrText>
      </w:r>
      <w:r>
        <w:rPr>
          <w:color w:val="auto"/>
        </w:rPr>
        <w:fldChar w:fldCharType="separate"/>
      </w:r>
      <w:r>
        <w:rPr>
          <w:rFonts w:hint="eastAsia" w:ascii="宋体" w:hAnsi="宋体" w:eastAsia="宋体" w:cs="宋体"/>
          <w:color w:val="auto"/>
          <w:sz w:val="32"/>
          <w:szCs w:val="32"/>
        </w:rPr>
        <w:t>第一章  招标公告</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_Toc8768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3</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14:paraId="2F88A041">
      <w:pPr>
        <w:pStyle w:val="126"/>
        <w:tabs>
          <w:tab w:val="right" w:leader="dot" w:pos="9638"/>
        </w:tabs>
        <w:spacing w:line="600" w:lineRule="auto"/>
        <w:rPr>
          <w:rFonts w:ascii="宋体" w:hAnsi="宋体" w:eastAsia="宋体" w:cs="宋体"/>
          <w:color w:val="auto"/>
          <w:sz w:val="32"/>
          <w:szCs w:val="32"/>
        </w:rPr>
      </w:pPr>
      <w:r>
        <w:rPr>
          <w:color w:val="auto"/>
        </w:rPr>
        <w:fldChar w:fldCharType="begin"/>
      </w:r>
      <w:r>
        <w:rPr>
          <w:color w:val="auto"/>
        </w:rPr>
        <w:instrText xml:space="preserve"> HYPERLINK \l "_Toc20298" </w:instrText>
      </w:r>
      <w:r>
        <w:rPr>
          <w:color w:val="auto"/>
        </w:rPr>
        <w:fldChar w:fldCharType="separate"/>
      </w:r>
      <w:r>
        <w:rPr>
          <w:rFonts w:hint="eastAsia" w:ascii="宋体" w:hAnsi="宋体" w:eastAsia="宋体" w:cs="宋体"/>
          <w:color w:val="auto"/>
          <w:sz w:val="32"/>
          <w:szCs w:val="32"/>
        </w:rPr>
        <w:t>第二章  招标需求一览表</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_Toc20298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7</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14:paraId="0E324419">
      <w:pPr>
        <w:pStyle w:val="126"/>
        <w:tabs>
          <w:tab w:val="right" w:leader="dot" w:pos="9638"/>
        </w:tabs>
        <w:spacing w:line="600" w:lineRule="auto"/>
        <w:rPr>
          <w:rFonts w:ascii="宋体" w:hAnsi="宋体" w:eastAsia="宋体" w:cs="宋体"/>
          <w:color w:val="auto"/>
          <w:sz w:val="32"/>
          <w:szCs w:val="32"/>
        </w:rPr>
      </w:pPr>
      <w:r>
        <w:rPr>
          <w:color w:val="auto"/>
        </w:rPr>
        <w:fldChar w:fldCharType="begin"/>
      </w:r>
      <w:r>
        <w:rPr>
          <w:color w:val="auto"/>
        </w:rPr>
        <w:instrText xml:space="preserve"> HYPERLINK \l "_Toc5337" </w:instrText>
      </w:r>
      <w:r>
        <w:rPr>
          <w:color w:val="auto"/>
        </w:rPr>
        <w:fldChar w:fldCharType="separate"/>
      </w:r>
      <w:r>
        <w:rPr>
          <w:rFonts w:hint="eastAsia" w:ascii="宋体" w:hAnsi="宋体" w:eastAsia="宋体" w:cs="宋体"/>
          <w:color w:val="auto"/>
          <w:sz w:val="32"/>
          <w:szCs w:val="32"/>
        </w:rPr>
        <w:t>第三章  投标人须知</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_Toc5337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408</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14:paraId="4A652283">
      <w:pPr>
        <w:pStyle w:val="126"/>
        <w:tabs>
          <w:tab w:val="right" w:leader="dot" w:pos="9638"/>
        </w:tabs>
        <w:spacing w:line="600" w:lineRule="auto"/>
        <w:rPr>
          <w:rFonts w:ascii="宋体" w:hAnsi="宋体" w:eastAsia="宋体" w:cs="宋体"/>
          <w:color w:val="auto"/>
          <w:sz w:val="32"/>
          <w:szCs w:val="32"/>
        </w:rPr>
      </w:pPr>
      <w:r>
        <w:rPr>
          <w:color w:val="auto"/>
        </w:rPr>
        <w:fldChar w:fldCharType="begin"/>
      </w:r>
      <w:r>
        <w:rPr>
          <w:color w:val="auto"/>
        </w:rPr>
        <w:instrText xml:space="preserve"> HYPERLINK \l "_Toc10949" </w:instrText>
      </w:r>
      <w:r>
        <w:rPr>
          <w:color w:val="auto"/>
        </w:rPr>
        <w:fldChar w:fldCharType="separate"/>
      </w:r>
      <w:r>
        <w:rPr>
          <w:rFonts w:hint="eastAsia" w:ascii="宋体" w:hAnsi="宋体" w:eastAsia="宋体" w:cs="宋体"/>
          <w:color w:val="auto"/>
          <w:sz w:val="32"/>
          <w:szCs w:val="32"/>
        </w:rPr>
        <w:t>第四章  评标方法及评分标准</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_Toc10949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436</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14:paraId="1CE341A5">
      <w:pPr>
        <w:pStyle w:val="126"/>
        <w:tabs>
          <w:tab w:val="right" w:leader="dot" w:pos="9638"/>
        </w:tabs>
        <w:spacing w:line="600" w:lineRule="auto"/>
        <w:rPr>
          <w:rFonts w:ascii="宋体" w:hAnsi="宋体" w:eastAsia="宋体" w:cs="宋体"/>
          <w:color w:val="auto"/>
          <w:sz w:val="32"/>
          <w:szCs w:val="32"/>
        </w:rPr>
      </w:pPr>
      <w:r>
        <w:rPr>
          <w:color w:val="auto"/>
        </w:rPr>
        <w:fldChar w:fldCharType="begin"/>
      </w:r>
      <w:r>
        <w:rPr>
          <w:color w:val="auto"/>
        </w:rPr>
        <w:instrText xml:space="preserve"> HYPERLINK \l "_Toc16811" </w:instrText>
      </w:r>
      <w:r>
        <w:rPr>
          <w:color w:val="auto"/>
        </w:rPr>
        <w:fldChar w:fldCharType="separate"/>
      </w:r>
      <w:r>
        <w:rPr>
          <w:rFonts w:hint="eastAsia" w:ascii="宋体" w:hAnsi="宋体" w:eastAsia="宋体" w:cs="宋体"/>
          <w:color w:val="auto"/>
          <w:sz w:val="32"/>
          <w:szCs w:val="32"/>
        </w:rPr>
        <w:t>第五章 拟签订的合同文本</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_Toc16811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447</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14:paraId="7087E219">
      <w:pPr>
        <w:pStyle w:val="126"/>
        <w:tabs>
          <w:tab w:val="right" w:leader="dot" w:pos="9638"/>
        </w:tabs>
        <w:spacing w:line="600" w:lineRule="auto"/>
        <w:rPr>
          <w:rFonts w:ascii="宋体" w:hAnsi="宋体" w:eastAsia="宋体" w:cs="宋体"/>
          <w:color w:val="auto"/>
          <w:sz w:val="32"/>
          <w:szCs w:val="32"/>
        </w:rPr>
      </w:pPr>
      <w:r>
        <w:rPr>
          <w:color w:val="auto"/>
        </w:rPr>
        <w:fldChar w:fldCharType="begin"/>
      </w:r>
      <w:r>
        <w:rPr>
          <w:color w:val="auto"/>
        </w:rPr>
        <w:instrText xml:space="preserve"> HYPERLINK \l "_Toc18341" </w:instrText>
      </w:r>
      <w:r>
        <w:rPr>
          <w:color w:val="auto"/>
        </w:rPr>
        <w:fldChar w:fldCharType="separate"/>
      </w:r>
      <w:r>
        <w:rPr>
          <w:rFonts w:hint="eastAsia" w:ascii="宋体" w:hAnsi="宋体" w:eastAsia="宋体" w:cs="宋体"/>
          <w:color w:val="auto"/>
          <w:sz w:val="32"/>
          <w:szCs w:val="32"/>
        </w:rPr>
        <w:t>第六章 投标文件格式</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_Toc18341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457</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rPr>
        <w:fldChar w:fldCharType="end"/>
      </w:r>
    </w:p>
    <w:p w14:paraId="321CB3C7">
      <w:pPr>
        <w:pStyle w:val="20"/>
        <w:jc w:val="center"/>
        <w:rPr>
          <w:rFonts w:ascii="宋体" w:hAnsi="宋体" w:eastAsia="宋体" w:cs="宋体"/>
          <w:b/>
          <w:bCs/>
          <w:caps/>
          <w:color w:val="auto"/>
          <w:sz w:val="28"/>
          <w:szCs w:val="28"/>
          <w:u w:val="single"/>
        </w:rPr>
      </w:pPr>
      <w:r>
        <w:rPr>
          <w:rFonts w:hint="eastAsia" w:ascii="宋体" w:hAnsi="宋体" w:eastAsia="宋体" w:cs="宋体"/>
          <w:bCs/>
          <w:caps/>
          <w:color w:val="auto"/>
          <w:szCs w:val="28"/>
        </w:rPr>
        <w:fldChar w:fldCharType="end"/>
      </w:r>
    </w:p>
    <w:p w14:paraId="4B281474">
      <w:pPr>
        <w:pStyle w:val="20"/>
        <w:jc w:val="center"/>
        <w:rPr>
          <w:rFonts w:ascii="宋体" w:hAnsi="宋体" w:eastAsia="宋体" w:cs="宋体"/>
          <w:b/>
          <w:bCs/>
          <w:caps/>
          <w:color w:val="auto"/>
          <w:sz w:val="28"/>
          <w:szCs w:val="28"/>
          <w:u w:val="single"/>
        </w:rPr>
      </w:pPr>
    </w:p>
    <w:p w14:paraId="1066D649">
      <w:pPr>
        <w:pStyle w:val="20"/>
        <w:jc w:val="center"/>
        <w:rPr>
          <w:rFonts w:ascii="宋体" w:hAnsi="宋体" w:eastAsia="宋体" w:cs="宋体"/>
          <w:b/>
          <w:bCs/>
          <w:caps/>
          <w:color w:val="auto"/>
          <w:sz w:val="28"/>
          <w:szCs w:val="28"/>
          <w:u w:val="single"/>
        </w:rPr>
      </w:pPr>
    </w:p>
    <w:p w14:paraId="770C4462">
      <w:pPr>
        <w:pStyle w:val="20"/>
        <w:jc w:val="center"/>
        <w:rPr>
          <w:rFonts w:ascii="宋体" w:hAnsi="宋体" w:eastAsia="宋体" w:cs="宋体"/>
          <w:b/>
          <w:bCs/>
          <w:caps/>
          <w:color w:val="auto"/>
          <w:sz w:val="28"/>
          <w:szCs w:val="28"/>
          <w:u w:val="single"/>
        </w:rPr>
      </w:pPr>
    </w:p>
    <w:p w14:paraId="5455D84A">
      <w:pPr>
        <w:pStyle w:val="20"/>
        <w:jc w:val="center"/>
        <w:rPr>
          <w:rFonts w:ascii="宋体" w:hAnsi="宋体" w:eastAsia="宋体" w:cs="宋体"/>
          <w:b/>
          <w:bCs/>
          <w:caps/>
          <w:color w:val="auto"/>
          <w:sz w:val="28"/>
          <w:szCs w:val="28"/>
          <w:u w:val="single"/>
        </w:rPr>
      </w:pPr>
    </w:p>
    <w:p w14:paraId="680F78C9">
      <w:pPr>
        <w:pStyle w:val="20"/>
        <w:jc w:val="center"/>
        <w:rPr>
          <w:rFonts w:ascii="宋体" w:hAnsi="宋体" w:eastAsia="宋体" w:cs="宋体"/>
          <w:b/>
          <w:bCs/>
          <w:caps/>
          <w:color w:val="auto"/>
          <w:sz w:val="28"/>
          <w:szCs w:val="28"/>
          <w:u w:val="single"/>
        </w:rPr>
      </w:pPr>
    </w:p>
    <w:p w14:paraId="6D767A65">
      <w:pPr>
        <w:pStyle w:val="20"/>
        <w:jc w:val="center"/>
        <w:rPr>
          <w:rFonts w:ascii="宋体" w:hAnsi="宋体" w:eastAsia="宋体" w:cs="宋体"/>
          <w:b/>
          <w:bCs/>
          <w:caps/>
          <w:color w:val="auto"/>
          <w:sz w:val="28"/>
          <w:szCs w:val="28"/>
          <w:u w:val="single"/>
        </w:rPr>
      </w:pPr>
    </w:p>
    <w:p w14:paraId="5AEF8EC9">
      <w:pPr>
        <w:pStyle w:val="10"/>
        <w:rPr>
          <w:rFonts w:ascii="宋体" w:hAnsi="宋体" w:eastAsia="宋体" w:cs="宋体"/>
          <w:b/>
          <w:bCs/>
          <w:caps/>
          <w:color w:val="auto"/>
          <w:sz w:val="28"/>
          <w:szCs w:val="28"/>
          <w:u w:val="single"/>
        </w:rPr>
      </w:pPr>
    </w:p>
    <w:p w14:paraId="644ACD93">
      <w:pPr>
        <w:rPr>
          <w:rFonts w:ascii="宋体" w:hAnsi="宋体" w:eastAsia="宋体" w:cs="宋体"/>
          <w:b/>
          <w:bCs/>
          <w:caps/>
          <w:color w:val="auto"/>
          <w:sz w:val="28"/>
          <w:szCs w:val="28"/>
          <w:u w:val="single"/>
        </w:rPr>
      </w:pPr>
    </w:p>
    <w:p w14:paraId="2C4DACAD">
      <w:pPr>
        <w:rPr>
          <w:rFonts w:ascii="宋体" w:hAnsi="宋体" w:eastAsia="宋体" w:cs="宋体"/>
          <w:b/>
          <w:bCs/>
          <w:caps/>
          <w:color w:val="auto"/>
          <w:sz w:val="28"/>
          <w:szCs w:val="28"/>
          <w:u w:val="single"/>
        </w:rPr>
      </w:pPr>
    </w:p>
    <w:p w14:paraId="39246AFA">
      <w:pPr>
        <w:pStyle w:val="20"/>
        <w:jc w:val="center"/>
        <w:rPr>
          <w:rFonts w:ascii="宋体" w:hAnsi="宋体" w:eastAsia="宋体" w:cs="宋体"/>
          <w:b/>
          <w:bCs/>
          <w:caps/>
          <w:color w:val="auto"/>
          <w:sz w:val="28"/>
          <w:szCs w:val="28"/>
          <w:u w:val="single"/>
        </w:rPr>
      </w:pPr>
    </w:p>
    <w:p w14:paraId="620BCC92">
      <w:pPr>
        <w:pStyle w:val="20"/>
        <w:spacing w:line="440" w:lineRule="exact"/>
        <w:jc w:val="center"/>
        <w:outlineLvl w:val="0"/>
        <w:rPr>
          <w:rFonts w:ascii="宋体" w:hAnsi="宋体" w:eastAsia="宋体" w:cs="宋体"/>
          <w:b/>
          <w:color w:val="auto"/>
          <w:sz w:val="36"/>
          <w:szCs w:val="36"/>
        </w:rPr>
      </w:pPr>
      <w:bookmarkStart w:id="4" w:name="_Toc80092990"/>
      <w:bookmarkStart w:id="5" w:name="_Toc532545041"/>
      <w:bookmarkStart w:id="6" w:name="_Toc8768"/>
      <w:r>
        <w:rPr>
          <w:rFonts w:hint="eastAsia" w:ascii="宋体" w:hAnsi="宋体" w:eastAsia="宋体" w:cs="宋体"/>
          <w:b/>
          <w:color w:val="auto"/>
          <w:sz w:val="36"/>
        </w:rPr>
        <w:t>第一章  招标公告</w:t>
      </w:r>
      <w:bookmarkEnd w:id="4"/>
      <w:bookmarkEnd w:id="5"/>
      <w:bookmarkEnd w:id="6"/>
    </w:p>
    <w:p w14:paraId="0059AA68">
      <w:pPr>
        <w:pStyle w:val="20"/>
        <w:spacing w:line="440" w:lineRule="exact"/>
        <w:jc w:val="center"/>
        <w:rPr>
          <w:rFonts w:ascii="宋体" w:hAnsi="宋体" w:eastAsia="宋体" w:cs="宋体"/>
          <w:b/>
          <w:color w:val="auto"/>
          <w:sz w:val="30"/>
          <w:szCs w:val="30"/>
        </w:rPr>
      </w:pPr>
      <w:r>
        <w:rPr>
          <w:rFonts w:hint="eastAsia" w:ascii="宋体" w:hAnsi="宋体" w:eastAsia="宋体" w:cs="宋体"/>
          <w:b/>
          <w:color w:val="auto"/>
          <w:sz w:val="30"/>
          <w:szCs w:val="30"/>
        </w:rPr>
        <w:t>广西睿翼工程咨询有限公司</w:t>
      </w:r>
    </w:p>
    <w:p w14:paraId="5CF6FDCF">
      <w:pPr>
        <w:pStyle w:val="20"/>
        <w:spacing w:line="440" w:lineRule="exact"/>
        <w:jc w:val="center"/>
        <w:rPr>
          <w:rFonts w:ascii="宋体" w:hAnsi="宋体" w:eastAsia="宋体" w:cs="宋体"/>
          <w:b/>
          <w:color w:val="auto"/>
          <w:sz w:val="30"/>
          <w:szCs w:val="30"/>
        </w:rPr>
      </w:pPr>
      <w:r>
        <w:rPr>
          <w:rFonts w:hint="eastAsia" w:ascii="宋体" w:hAnsi="宋体" w:eastAsia="宋体" w:cs="宋体"/>
          <w:b/>
          <w:color w:val="auto"/>
          <w:sz w:val="30"/>
          <w:szCs w:val="30"/>
        </w:rPr>
        <w:t>关于</w:t>
      </w:r>
      <w:r>
        <w:rPr>
          <w:rFonts w:hint="eastAsia" w:ascii="宋体" w:hAnsi="宋体" w:eastAsia="宋体" w:cs="宋体"/>
          <w:b/>
          <w:color w:val="auto"/>
          <w:sz w:val="30"/>
          <w:szCs w:val="30"/>
          <w:lang w:eastAsia="zh-CN"/>
        </w:rPr>
        <w:t>2025年第一批义务教育薄弱环节改善与能力提升中央和自治区补助资金设备采购及安装项目</w:t>
      </w:r>
      <w:r>
        <w:rPr>
          <w:rFonts w:hint="eastAsia" w:ascii="宋体" w:hAnsi="宋体" w:eastAsia="宋体" w:cs="宋体"/>
          <w:b/>
          <w:color w:val="auto"/>
          <w:sz w:val="30"/>
          <w:szCs w:val="30"/>
        </w:rPr>
        <w:t>公开招标公告</w:t>
      </w:r>
    </w:p>
    <w:p w14:paraId="6599D9FB">
      <w:pPr>
        <w:pBdr>
          <w:top w:val="single" w:color="auto" w:sz="4" w:space="1"/>
          <w:left w:val="single" w:color="auto" w:sz="4" w:space="4"/>
          <w:bottom w:val="single" w:color="auto" w:sz="4" w:space="1"/>
          <w:right w:val="single" w:color="auto" w:sz="4" w:space="4"/>
        </w:pBdr>
        <w:spacing w:line="440" w:lineRule="exact"/>
        <w:rPr>
          <w:rFonts w:ascii="宋体" w:hAnsi="宋体" w:eastAsia="宋体" w:cs="宋体"/>
          <w:color w:val="auto"/>
          <w:szCs w:val="21"/>
        </w:rPr>
      </w:pPr>
      <w:r>
        <w:rPr>
          <w:rFonts w:hint="eastAsia" w:ascii="宋体" w:hAnsi="宋体" w:eastAsia="宋体" w:cs="宋体"/>
          <w:color w:val="auto"/>
          <w:szCs w:val="21"/>
        </w:rPr>
        <w:t>项目概况:</w:t>
      </w:r>
    </w:p>
    <w:p w14:paraId="2BEDC323">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eastAsia="宋体" w:cs="宋体"/>
          <w:color w:val="auto"/>
          <w:szCs w:val="21"/>
          <w:u w:val="single"/>
        </w:rPr>
      </w:pPr>
      <w:r>
        <w:rPr>
          <w:rFonts w:hint="eastAsia" w:ascii="宋体" w:hAnsi="宋体" w:eastAsia="宋体" w:cs="宋体"/>
          <w:color w:val="auto"/>
          <w:szCs w:val="21"/>
          <w:u w:val="single"/>
          <w:lang w:eastAsia="zh-CN"/>
        </w:rPr>
        <w:t>2025年第一批义务教育薄弱环节改善与能力提升中央和自治区补助资金设备采购及安装项目</w:t>
      </w:r>
      <w:r>
        <w:rPr>
          <w:rFonts w:hint="eastAsia" w:ascii="宋体" w:hAnsi="宋体" w:eastAsia="宋体" w:cs="宋体"/>
          <w:color w:val="auto"/>
          <w:szCs w:val="21"/>
        </w:rPr>
        <w:t>的潜在投标人应在广西政府采购云平台（https://www.gcy.zfcg.gxzf.gov.cn/）获取（下载）招标文件，并于</w:t>
      </w:r>
      <w:r>
        <w:rPr>
          <w:rFonts w:hint="eastAsia" w:ascii="宋体" w:hAnsi="宋体" w:eastAsia="宋体" w:cs="宋体"/>
          <w:color w:val="auto"/>
          <w:szCs w:val="21"/>
          <w:u w:val="single"/>
        </w:rPr>
        <w:t>202</w:t>
      </w:r>
      <w:r>
        <w:rPr>
          <w:rFonts w:hint="eastAsia" w:ascii="宋体" w:hAnsi="宋体" w:eastAsia="宋体" w:cs="宋体"/>
          <w:color w:val="auto"/>
          <w:szCs w:val="21"/>
          <w:u w:val="single"/>
          <w:lang w:val="en-US" w:eastAsia="zh-CN"/>
        </w:rPr>
        <w:t>5</w:t>
      </w:r>
      <w:r>
        <w:rPr>
          <w:rFonts w:hint="eastAsia" w:ascii="宋体" w:hAnsi="宋体" w:eastAsia="宋体" w:cs="宋体"/>
          <w:color w:val="auto"/>
          <w:szCs w:val="21"/>
          <w:u w:val="single"/>
        </w:rPr>
        <w:t>年</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single"/>
        </w:rPr>
        <w:t>月</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single"/>
        </w:rPr>
        <w:t>日</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single"/>
        </w:rPr>
        <w:t>时</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single"/>
        </w:rPr>
        <w:t xml:space="preserve">分 </w:t>
      </w:r>
      <w:r>
        <w:rPr>
          <w:rFonts w:hint="eastAsia" w:ascii="宋体" w:hAnsi="宋体" w:eastAsia="宋体" w:cs="宋体"/>
          <w:bCs/>
          <w:color w:val="auto"/>
          <w:szCs w:val="21"/>
        </w:rPr>
        <w:t>（北京时间）前</w:t>
      </w:r>
      <w:r>
        <w:rPr>
          <w:rFonts w:hint="eastAsia" w:ascii="宋体" w:hAnsi="宋体" w:eastAsia="宋体" w:cs="宋体"/>
          <w:color w:val="auto"/>
          <w:szCs w:val="21"/>
        </w:rPr>
        <w:t>递交（上传）投标文件。</w:t>
      </w:r>
    </w:p>
    <w:p w14:paraId="79B30246">
      <w:pPr>
        <w:spacing w:line="440" w:lineRule="exact"/>
        <w:rPr>
          <w:rFonts w:ascii="宋体" w:hAnsi="宋体" w:eastAsia="宋体" w:cs="宋体"/>
          <w:b/>
          <w:bCs/>
          <w:color w:val="auto"/>
          <w:sz w:val="24"/>
        </w:rPr>
      </w:pPr>
      <w:bookmarkStart w:id="7" w:name="_Toc28359079"/>
      <w:bookmarkStart w:id="8" w:name="_Toc28359002"/>
      <w:bookmarkStart w:id="9" w:name="_Toc35393790"/>
      <w:bookmarkStart w:id="10" w:name="_Toc35393621"/>
      <w:bookmarkStart w:id="11" w:name="_Hlk24379207"/>
      <w:r>
        <w:rPr>
          <w:rFonts w:hint="eastAsia" w:ascii="宋体" w:hAnsi="宋体" w:eastAsia="宋体" w:cs="宋体"/>
          <w:b/>
          <w:bCs/>
          <w:color w:val="auto"/>
          <w:sz w:val="24"/>
        </w:rPr>
        <w:t>一、项目基本情况</w:t>
      </w:r>
      <w:bookmarkEnd w:id="7"/>
      <w:bookmarkEnd w:id="8"/>
      <w:bookmarkEnd w:id="9"/>
      <w:bookmarkEnd w:id="10"/>
    </w:p>
    <w:p w14:paraId="07129039">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w:t>
      </w:r>
      <w:r>
        <w:rPr>
          <w:rFonts w:hint="eastAsia" w:ascii="宋体" w:hAnsi="宋体" w:eastAsia="宋体" w:cs="宋体"/>
          <w:color w:val="auto"/>
          <w:szCs w:val="21"/>
          <w:highlight w:val="none"/>
          <w:lang w:eastAsia="zh-CN"/>
        </w:rPr>
        <w:t>编号：HCZC2025-G1-270050-GXRY</w:t>
      </w:r>
    </w:p>
    <w:p w14:paraId="0A677182">
      <w:pPr>
        <w:spacing w:line="44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项目名称：2025年第一批义务教育薄弱环节改善与能力提升中央和自治区补助资金设备采购及安装项目</w:t>
      </w:r>
    </w:p>
    <w:bookmarkEnd w:id="11"/>
    <w:p w14:paraId="68F4787D">
      <w:pPr>
        <w:spacing w:line="440" w:lineRule="exact"/>
        <w:ind w:firstLine="420" w:firstLineChars="200"/>
        <w:rPr>
          <w:rFonts w:ascii="宋体" w:hAnsi="宋体" w:eastAsia="宋体" w:cs="宋体"/>
          <w:b/>
          <w:bCs/>
          <w:color w:val="auto"/>
          <w:szCs w:val="21"/>
          <w:highlight w:val="none"/>
        </w:rPr>
      </w:pPr>
      <w:r>
        <w:rPr>
          <w:rFonts w:hint="eastAsia" w:ascii="宋体" w:hAnsi="宋体" w:eastAsia="宋体" w:cs="宋体"/>
          <w:color w:val="auto"/>
          <w:szCs w:val="21"/>
          <w:highlight w:val="none"/>
        </w:rPr>
        <w:t>预算金额：</w:t>
      </w:r>
      <w:r>
        <w:rPr>
          <w:rFonts w:hint="eastAsia" w:ascii="宋体" w:hAnsi="宋体" w:eastAsia="宋体" w:cs="宋体"/>
          <w:b/>
          <w:bCs/>
          <w:color w:val="auto"/>
          <w:szCs w:val="21"/>
          <w:highlight w:val="none"/>
          <w:lang w:val="en-US" w:eastAsia="zh-CN"/>
        </w:rPr>
        <w:t>A标段：人民币壹佰贰拾贰万柒仟伍佰元整 （1227500.00元），B标段：人民币壹佰叁拾肆万陆仟肆佰贰拾柒元整（1346427.00元），C标段：人民币贰佰玖拾壹万陆仟元整（2916000.00元）</w:t>
      </w:r>
    </w:p>
    <w:p w14:paraId="09991A04">
      <w:pPr>
        <w:spacing w:line="44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最高限价（如有）：</w:t>
      </w:r>
      <w:r>
        <w:rPr>
          <w:rFonts w:hint="eastAsia" w:ascii="宋体" w:hAnsi="宋体" w:eastAsia="宋体" w:cs="宋体"/>
          <w:b/>
          <w:bCs/>
          <w:color w:val="auto"/>
          <w:szCs w:val="21"/>
          <w:highlight w:val="none"/>
          <w:lang w:val="en-US" w:eastAsia="zh-CN"/>
        </w:rPr>
        <w:t>A标段：人民币壹佰贰拾贰万柒仟伍佰元整（1227500.00元），B标段：人民币壹佰叁拾肆万陆仟肆佰贰拾柒元整（1346427.00元），C标段：人民币贰佰玖拾壹万陆仟元整（2916000.00元）</w:t>
      </w:r>
    </w:p>
    <w:p w14:paraId="5533BB57">
      <w:pPr>
        <w:spacing w:line="440" w:lineRule="exact"/>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采购需求：</w:t>
      </w:r>
      <w:r>
        <w:rPr>
          <w:rFonts w:hint="eastAsia" w:ascii="宋体" w:hAnsi="宋体" w:eastAsia="宋体" w:cs="宋体"/>
          <w:color w:val="auto"/>
          <w:szCs w:val="21"/>
          <w:highlight w:val="none"/>
          <w:lang w:val="en-US" w:eastAsia="zh-CN"/>
        </w:rPr>
        <w:t>本项目分3各标段，具体内容如下：</w:t>
      </w:r>
    </w:p>
    <w:p w14:paraId="4775C9B5">
      <w:pPr>
        <w:spacing w:line="44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highlight w:val="none"/>
          <w:lang w:val="en-US" w:eastAsia="zh-CN"/>
        </w:rPr>
        <w:t>A标段：采购理化生设备及教学仪器一批，详见采购货物需求一览表。</w:t>
      </w:r>
    </w:p>
    <w:p w14:paraId="7CC94D28">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B标段：</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rPr>
        <w:t>学生生活设备</w:t>
      </w:r>
      <w:r>
        <w:rPr>
          <w:rFonts w:hint="eastAsia" w:ascii="宋体" w:hAnsi="宋体" w:eastAsia="宋体" w:cs="宋体"/>
          <w:color w:val="auto"/>
          <w:szCs w:val="21"/>
          <w:highlight w:val="none"/>
          <w:lang w:val="en-US" w:eastAsia="zh-CN"/>
        </w:rPr>
        <w:t>一批，详见采购货物需求一览表。</w:t>
      </w:r>
    </w:p>
    <w:p w14:paraId="299C0F4E">
      <w:pPr>
        <w:spacing w:line="440" w:lineRule="exact"/>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rPr>
        <w:t>C标段：</w:t>
      </w:r>
      <w:r>
        <w:rPr>
          <w:rFonts w:hint="eastAsia" w:ascii="宋体" w:hAnsi="宋体" w:eastAsia="宋体" w:cs="宋体"/>
          <w:color w:val="auto"/>
          <w:szCs w:val="21"/>
          <w:lang w:val="en-US" w:eastAsia="zh-CN"/>
        </w:rPr>
        <w:t>采购</w:t>
      </w:r>
      <w:r>
        <w:rPr>
          <w:rFonts w:hint="eastAsia" w:ascii="宋体" w:hAnsi="宋体" w:eastAsia="宋体" w:cs="宋体"/>
          <w:color w:val="auto"/>
          <w:szCs w:val="21"/>
        </w:rPr>
        <w:t>教学一体机及计算机教室</w:t>
      </w:r>
      <w:r>
        <w:rPr>
          <w:rFonts w:hint="eastAsia" w:ascii="宋体" w:hAnsi="宋体" w:eastAsia="宋体" w:cs="宋体"/>
          <w:color w:val="auto"/>
          <w:szCs w:val="21"/>
          <w:lang w:val="en-US" w:eastAsia="zh-CN"/>
        </w:rPr>
        <w:t>设备一批</w:t>
      </w:r>
      <w:r>
        <w:rPr>
          <w:rFonts w:hint="eastAsia" w:ascii="宋体" w:hAnsi="宋体" w:eastAsia="宋体" w:cs="宋体"/>
          <w:color w:val="auto"/>
          <w:szCs w:val="21"/>
          <w:highlight w:val="none"/>
          <w:lang w:val="en-US" w:eastAsia="zh-CN"/>
        </w:rPr>
        <w:t>，详见采购货物需求一览表。</w:t>
      </w:r>
    </w:p>
    <w:p w14:paraId="7285B5E0">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合同履行期限：签订合</w:t>
      </w:r>
      <w:r>
        <w:rPr>
          <w:rFonts w:hint="eastAsia" w:ascii="宋体" w:hAnsi="宋体" w:eastAsia="宋体" w:cs="宋体"/>
          <w:color w:val="auto"/>
          <w:szCs w:val="21"/>
          <w:lang w:eastAsia="zh-CN"/>
        </w:rPr>
        <w:t>同之日起</w:t>
      </w:r>
      <w:r>
        <w:rPr>
          <w:rFonts w:hint="eastAsia" w:ascii="宋体" w:hAnsi="宋体" w:eastAsia="宋体" w:cs="宋体"/>
          <w:color w:val="auto"/>
          <w:szCs w:val="21"/>
          <w:lang w:val="en-US" w:eastAsia="zh-CN"/>
        </w:rPr>
        <w:t>20</w:t>
      </w:r>
      <w:r>
        <w:rPr>
          <w:rFonts w:hint="eastAsia" w:ascii="宋体" w:hAnsi="宋体" w:eastAsia="宋体" w:cs="宋体"/>
          <w:color w:val="auto"/>
          <w:szCs w:val="21"/>
          <w:lang w:eastAsia="zh-CN"/>
        </w:rPr>
        <w:t>日历天内交货</w:t>
      </w:r>
      <w:r>
        <w:rPr>
          <w:rFonts w:hint="eastAsia" w:ascii="宋体" w:hAnsi="宋体" w:eastAsia="宋体" w:cs="宋体"/>
          <w:color w:val="auto"/>
          <w:szCs w:val="21"/>
        </w:rPr>
        <w:t>并安装调试完毕；</w:t>
      </w:r>
    </w:p>
    <w:p w14:paraId="18D360FD">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本标项（否）接受联合体投标。</w:t>
      </w:r>
    </w:p>
    <w:p w14:paraId="407D06FF">
      <w:pPr>
        <w:spacing w:line="440" w:lineRule="exact"/>
        <w:rPr>
          <w:rFonts w:ascii="宋体" w:hAnsi="宋体" w:eastAsia="宋体" w:cs="宋体"/>
          <w:b/>
          <w:bCs/>
          <w:color w:val="auto"/>
          <w:sz w:val="24"/>
        </w:rPr>
      </w:pPr>
      <w:bookmarkStart w:id="12" w:name="_Toc35393791"/>
      <w:bookmarkStart w:id="13" w:name="_Toc35393622"/>
      <w:bookmarkStart w:id="14" w:name="_Toc28359080"/>
      <w:bookmarkStart w:id="15" w:name="_Toc28359003"/>
      <w:r>
        <w:rPr>
          <w:rFonts w:hint="eastAsia" w:ascii="宋体" w:hAnsi="宋体" w:eastAsia="宋体" w:cs="宋体"/>
          <w:b/>
          <w:bCs/>
          <w:color w:val="auto"/>
          <w:sz w:val="24"/>
        </w:rPr>
        <w:t>二、申请人的资格要求：</w:t>
      </w:r>
      <w:bookmarkEnd w:id="12"/>
      <w:bookmarkEnd w:id="13"/>
      <w:bookmarkEnd w:id="14"/>
      <w:bookmarkEnd w:id="15"/>
    </w:p>
    <w:p w14:paraId="2C2EEB44">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1.满足《中华人民共和国政府采购法》第二十二条规定；</w:t>
      </w:r>
    </w:p>
    <w:p w14:paraId="15C4334C">
      <w:pPr>
        <w:spacing w:line="440" w:lineRule="exact"/>
        <w:ind w:firstLine="420" w:firstLineChars="200"/>
        <w:rPr>
          <w:rFonts w:hint="eastAsia" w:ascii="宋体" w:hAnsi="宋体" w:eastAsia="宋体" w:cs="宋体"/>
          <w:color w:val="auto"/>
          <w:szCs w:val="21"/>
          <w:highlight w:val="none"/>
          <w:lang w:eastAsia="zh-CN"/>
        </w:rPr>
      </w:pPr>
      <w:bookmarkStart w:id="16" w:name="_Toc28359081"/>
      <w:bookmarkStart w:id="17" w:name="_Toc28359004"/>
      <w:r>
        <w:rPr>
          <w:rFonts w:hint="eastAsia" w:ascii="宋体" w:hAnsi="宋体" w:eastAsia="宋体" w:cs="宋体"/>
          <w:color w:val="auto"/>
          <w:szCs w:val="21"/>
        </w:rPr>
        <w:t>2.落实政府采购政策需满足的资格</w:t>
      </w:r>
      <w:r>
        <w:rPr>
          <w:rFonts w:hint="eastAsia" w:ascii="宋体" w:hAnsi="宋体" w:eastAsia="宋体" w:cs="宋体"/>
          <w:color w:val="auto"/>
          <w:szCs w:val="21"/>
          <w:highlight w:val="none"/>
        </w:rPr>
        <w:t>要求：</w:t>
      </w:r>
      <w:r>
        <w:rPr>
          <w:rFonts w:hint="eastAsia" w:ascii="宋体" w:hAnsi="宋体" w:eastAsia="宋体" w:cs="宋体"/>
          <w:color w:val="auto"/>
          <w:szCs w:val="21"/>
          <w:highlight w:val="none"/>
          <w:lang w:val="en-US" w:eastAsia="zh-CN"/>
        </w:rPr>
        <w:t>本项目</w:t>
      </w:r>
      <w:r>
        <w:rPr>
          <w:rFonts w:hint="eastAsia" w:ascii="宋体" w:hAnsi="宋体" w:eastAsia="宋体" w:cs="宋体"/>
          <w:color w:val="auto"/>
          <w:szCs w:val="21"/>
          <w:highlight w:val="none"/>
        </w:rPr>
        <w:t>非专门面向中小企业采购的项目</w:t>
      </w:r>
      <w:r>
        <w:rPr>
          <w:rFonts w:hint="eastAsia" w:ascii="宋体" w:hAnsi="宋体" w:eastAsia="宋体" w:cs="宋体"/>
          <w:color w:val="auto"/>
          <w:szCs w:val="21"/>
          <w:highlight w:val="none"/>
          <w:lang w:eastAsia="zh-CN"/>
        </w:rPr>
        <w:t>；</w:t>
      </w:r>
    </w:p>
    <w:p w14:paraId="49F054B4">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3.本项目的特定资格要求：无；</w:t>
      </w:r>
    </w:p>
    <w:p w14:paraId="2D5EDCD3">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不得参与政府采购活动。</w:t>
      </w:r>
    </w:p>
    <w:p w14:paraId="7665DFDB">
      <w:pPr>
        <w:spacing w:line="440" w:lineRule="exact"/>
        <w:rPr>
          <w:rFonts w:ascii="宋体" w:hAnsi="宋体" w:eastAsia="宋体" w:cs="宋体"/>
          <w:b/>
          <w:bCs/>
          <w:color w:val="auto"/>
          <w:sz w:val="24"/>
        </w:rPr>
      </w:pPr>
      <w:bookmarkStart w:id="18" w:name="_Toc35393623"/>
      <w:bookmarkStart w:id="19" w:name="_Toc35393792"/>
      <w:r>
        <w:rPr>
          <w:rFonts w:hint="eastAsia" w:ascii="宋体" w:hAnsi="宋体" w:eastAsia="宋体" w:cs="宋体"/>
          <w:b/>
          <w:bCs/>
          <w:color w:val="auto"/>
          <w:sz w:val="24"/>
        </w:rPr>
        <w:t>三、获取招标文件</w:t>
      </w:r>
      <w:bookmarkEnd w:id="16"/>
      <w:bookmarkEnd w:id="17"/>
      <w:bookmarkEnd w:id="18"/>
      <w:bookmarkEnd w:id="19"/>
    </w:p>
    <w:p w14:paraId="50126F64">
      <w:pPr>
        <w:spacing w:line="440" w:lineRule="exact"/>
        <w:ind w:firstLine="420" w:firstLineChars="200"/>
        <w:rPr>
          <w:rFonts w:ascii="宋体" w:hAnsi="宋体" w:eastAsia="宋体" w:cs="宋体"/>
          <w:color w:val="auto"/>
          <w:szCs w:val="21"/>
        </w:rPr>
      </w:pPr>
      <w:bookmarkStart w:id="20" w:name="_Toc28359082"/>
      <w:bookmarkStart w:id="21" w:name="_Toc28359005"/>
      <w:bookmarkStart w:id="22" w:name="_Toc35393793"/>
      <w:bookmarkStart w:id="23" w:name="_Toc35393624"/>
      <w:r>
        <w:rPr>
          <w:rFonts w:hint="eastAsia" w:ascii="宋体" w:hAnsi="宋体" w:eastAsia="宋体" w:cs="宋体"/>
          <w:color w:val="auto"/>
          <w:szCs w:val="21"/>
        </w:rPr>
        <w:t>时间：202</w:t>
      </w:r>
      <w:r>
        <w:rPr>
          <w:rFonts w:hint="eastAsia" w:ascii="宋体" w:hAnsi="宋体" w:eastAsia="宋体" w:cs="宋体"/>
          <w:color w:val="auto"/>
          <w:szCs w:val="21"/>
          <w:lang w:val="en-US" w:eastAsia="zh-CN"/>
        </w:rPr>
        <w:t>5</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日至202</w:t>
      </w:r>
      <w:r>
        <w:rPr>
          <w:rFonts w:hint="eastAsia" w:ascii="宋体" w:hAnsi="宋体" w:eastAsia="宋体" w:cs="宋体"/>
          <w:color w:val="auto"/>
          <w:szCs w:val="21"/>
          <w:lang w:val="en-US" w:eastAsia="zh-CN"/>
        </w:rPr>
        <w:t>5</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日，每天上午00:00至12:00 ，下午12:00至23:59（北京时间，法定节假日除外）。</w:t>
      </w:r>
    </w:p>
    <w:p w14:paraId="311381E0">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地点：广西政府采购云平台（https://www.gcy.zfcg.gxzf.gov.cn/）</w:t>
      </w:r>
    </w:p>
    <w:p w14:paraId="73B5F3A6">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方式：供应商应自行在广西政府采购云平台（https://www.gcy.zfcg.gxzf.gov.cn/）下载招标文件（操作路径：登录广西政府采购云平台-项目采购-获取采购文件-找到本项目-点击“申请获取采购文件”），电子投标文件制作需要基于广西政府采购云平台获取的招标文件编制。</w:t>
      </w:r>
    </w:p>
    <w:p w14:paraId="05F5ED27">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售价：0元。</w:t>
      </w:r>
    </w:p>
    <w:p w14:paraId="42EA576D">
      <w:pPr>
        <w:spacing w:line="440" w:lineRule="exact"/>
        <w:rPr>
          <w:rFonts w:ascii="宋体" w:hAnsi="宋体" w:eastAsia="宋体" w:cs="宋体"/>
          <w:b/>
          <w:bCs/>
          <w:color w:val="auto"/>
          <w:sz w:val="24"/>
        </w:rPr>
      </w:pPr>
      <w:r>
        <w:rPr>
          <w:rFonts w:hint="eastAsia" w:ascii="宋体" w:hAnsi="宋体" w:eastAsia="宋体" w:cs="宋体"/>
          <w:b/>
          <w:bCs/>
          <w:color w:val="auto"/>
          <w:sz w:val="24"/>
        </w:rPr>
        <w:t>四、提交投标文件</w:t>
      </w:r>
      <w:bookmarkEnd w:id="20"/>
      <w:bookmarkEnd w:id="21"/>
      <w:r>
        <w:rPr>
          <w:rFonts w:hint="eastAsia" w:ascii="宋体" w:hAnsi="宋体" w:eastAsia="宋体" w:cs="宋体"/>
          <w:b/>
          <w:bCs/>
          <w:color w:val="auto"/>
          <w:sz w:val="24"/>
        </w:rPr>
        <w:t>截止时间、开标时间和地点</w:t>
      </w:r>
      <w:bookmarkEnd w:id="22"/>
      <w:bookmarkEnd w:id="23"/>
    </w:p>
    <w:p w14:paraId="05E27A37">
      <w:pPr>
        <w:spacing w:line="440" w:lineRule="exact"/>
        <w:ind w:firstLine="420" w:firstLineChars="200"/>
        <w:rPr>
          <w:rFonts w:ascii="宋体" w:hAnsi="宋体" w:eastAsia="宋体" w:cs="宋体"/>
          <w:color w:val="auto"/>
          <w:szCs w:val="21"/>
        </w:rPr>
      </w:pPr>
      <w:bookmarkStart w:id="24" w:name="_Toc28359084"/>
      <w:bookmarkStart w:id="25" w:name="_Toc35393794"/>
      <w:bookmarkStart w:id="26" w:name="_Toc35393625"/>
      <w:bookmarkStart w:id="27" w:name="_Toc28359007"/>
      <w:r>
        <w:rPr>
          <w:rFonts w:hint="eastAsia" w:ascii="宋体" w:hAnsi="宋体" w:eastAsia="宋体" w:cs="宋体"/>
          <w:color w:val="auto"/>
          <w:szCs w:val="21"/>
        </w:rPr>
        <w:t>1.投标截止时间（开标时间）：202</w:t>
      </w:r>
      <w:r>
        <w:rPr>
          <w:rFonts w:hint="eastAsia" w:ascii="宋体" w:hAnsi="宋体" w:eastAsia="宋体" w:cs="宋体"/>
          <w:color w:val="auto"/>
          <w:szCs w:val="21"/>
          <w:lang w:val="en-US" w:eastAsia="zh-CN"/>
        </w:rPr>
        <w:t>5</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日</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时</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分（北京时间）</w:t>
      </w:r>
    </w:p>
    <w:p w14:paraId="767F89D9">
      <w:pPr>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rPr>
        <w:t>2.地点：广西政府采购云平台（https://www.gcy.zfcg.gxzf.gov.cn/）电子开标大厅解密、开标 。</w:t>
      </w:r>
    </w:p>
    <w:p w14:paraId="127AFFD2">
      <w:pPr>
        <w:spacing w:line="440" w:lineRule="exact"/>
        <w:rPr>
          <w:rFonts w:ascii="宋体" w:hAnsi="宋体" w:eastAsia="宋体" w:cs="宋体"/>
          <w:b/>
          <w:bCs/>
          <w:color w:val="auto"/>
          <w:sz w:val="24"/>
        </w:rPr>
      </w:pPr>
      <w:r>
        <w:rPr>
          <w:rFonts w:hint="eastAsia" w:ascii="宋体" w:hAnsi="宋体" w:eastAsia="宋体" w:cs="宋体"/>
          <w:b/>
          <w:bCs/>
          <w:color w:val="auto"/>
          <w:sz w:val="24"/>
        </w:rPr>
        <w:t>五、公告期限</w:t>
      </w:r>
      <w:bookmarkEnd w:id="24"/>
      <w:bookmarkEnd w:id="25"/>
      <w:bookmarkEnd w:id="26"/>
      <w:bookmarkEnd w:id="27"/>
    </w:p>
    <w:p w14:paraId="265724CC">
      <w:pPr>
        <w:spacing w:line="44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自本公告发布之日起5个工作日。</w:t>
      </w:r>
    </w:p>
    <w:p w14:paraId="329AB209">
      <w:pPr>
        <w:spacing w:line="440" w:lineRule="exact"/>
        <w:rPr>
          <w:rFonts w:ascii="宋体" w:hAnsi="宋体" w:eastAsia="宋体" w:cs="宋体"/>
          <w:b/>
          <w:bCs/>
          <w:color w:val="auto"/>
          <w:sz w:val="24"/>
        </w:rPr>
      </w:pPr>
      <w:bookmarkStart w:id="28" w:name="_Toc35393626"/>
      <w:bookmarkStart w:id="29" w:name="_Toc35393795"/>
      <w:r>
        <w:rPr>
          <w:rFonts w:hint="eastAsia" w:ascii="宋体" w:hAnsi="宋体" w:eastAsia="宋体" w:cs="宋体"/>
          <w:b/>
          <w:bCs/>
          <w:color w:val="auto"/>
          <w:sz w:val="24"/>
        </w:rPr>
        <w:t>六、其他补充事宜</w:t>
      </w:r>
      <w:bookmarkEnd w:id="28"/>
      <w:bookmarkEnd w:id="29"/>
    </w:p>
    <w:p w14:paraId="352FBEA4">
      <w:pPr>
        <w:spacing w:line="440" w:lineRule="exact"/>
        <w:ind w:firstLine="315" w:firstLineChars="150"/>
        <w:rPr>
          <w:rFonts w:ascii="宋体" w:hAnsi="宋体" w:eastAsia="宋体" w:cs="宋体"/>
          <w:color w:val="auto"/>
          <w:kern w:val="0"/>
          <w:szCs w:val="21"/>
        </w:rPr>
      </w:pPr>
      <w:r>
        <w:rPr>
          <w:rFonts w:hint="eastAsia" w:ascii="宋体" w:hAnsi="宋体" w:eastAsia="宋体" w:cs="宋体"/>
          <w:color w:val="auto"/>
          <w:kern w:val="0"/>
          <w:szCs w:val="21"/>
        </w:rPr>
        <w:t>1.投标保证金：本项目不收取投标保证金</w:t>
      </w:r>
    </w:p>
    <w:p w14:paraId="7D0539FB">
      <w:pPr>
        <w:spacing w:line="440" w:lineRule="exact"/>
        <w:ind w:firstLine="315" w:firstLineChars="150"/>
        <w:rPr>
          <w:rFonts w:ascii="宋体" w:hAnsi="宋体" w:eastAsia="宋体" w:cs="宋体"/>
          <w:color w:val="auto"/>
          <w:kern w:val="0"/>
          <w:szCs w:val="21"/>
        </w:rPr>
      </w:pPr>
      <w:bookmarkStart w:id="30" w:name="_Toc35393627"/>
      <w:bookmarkStart w:id="31" w:name="_Toc35393796"/>
      <w:bookmarkStart w:id="32" w:name="_Toc28359085"/>
      <w:bookmarkStart w:id="33" w:name="_Toc28359008"/>
      <w:r>
        <w:rPr>
          <w:rFonts w:hint="eastAsia" w:ascii="宋体" w:hAnsi="宋体" w:eastAsia="宋体" w:cs="宋体"/>
          <w:color w:val="auto"/>
          <w:kern w:val="0"/>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7C86C18">
      <w:pPr>
        <w:spacing w:line="440" w:lineRule="exact"/>
        <w:ind w:firstLine="315" w:firstLineChars="150"/>
        <w:rPr>
          <w:rFonts w:ascii="宋体" w:hAnsi="宋体" w:eastAsia="宋体" w:cs="宋体"/>
          <w:color w:val="auto"/>
          <w:kern w:val="0"/>
          <w:szCs w:val="21"/>
        </w:rPr>
      </w:pPr>
      <w:r>
        <w:rPr>
          <w:rFonts w:hint="eastAsia" w:ascii="宋体" w:hAnsi="宋体" w:eastAsia="宋体" w:cs="宋体"/>
          <w:color w:val="auto"/>
          <w:kern w:val="0"/>
          <w:szCs w:val="21"/>
        </w:rPr>
        <w:t>3.根据财政部《关于在政府采购活动中查询及使用信用记录有关问题的通知》（财库〔2016〕125号）的规定，对在“信用中国”网站(www.creditchina.gov.cn)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FF5DA94">
      <w:pPr>
        <w:spacing w:line="440" w:lineRule="exact"/>
        <w:ind w:firstLine="315" w:firstLineChars="150"/>
        <w:jc w:val="left"/>
        <w:rPr>
          <w:rFonts w:ascii="宋体" w:hAnsi="宋体" w:eastAsia="宋体" w:cs="宋体"/>
          <w:color w:val="auto"/>
          <w:kern w:val="0"/>
          <w:szCs w:val="21"/>
        </w:rPr>
      </w:pPr>
      <w:r>
        <w:rPr>
          <w:rFonts w:hint="eastAsia" w:ascii="宋体" w:hAnsi="宋体" w:eastAsia="宋体" w:cs="宋体"/>
          <w:color w:val="auto"/>
          <w:kern w:val="0"/>
          <w:szCs w:val="21"/>
        </w:rPr>
        <w:t>4.网上查询地址：http://www.ccgp.gov.cn 中国政府采购网、http://zfcg.gxzf.gov.cn 广西壮族自治区政府采购网、http://ggzy.jgswj.gxzf.gov.cn/hcggzy/全国公共资源交易平台（广西.河池）。</w:t>
      </w:r>
    </w:p>
    <w:p w14:paraId="0385D161">
      <w:pPr>
        <w:spacing w:line="440" w:lineRule="exact"/>
        <w:ind w:firstLine="315" w:firstLineChars="150"/>
        <w:rPr>
          <w:rFonts w:ascii="宋体" w:hAnsi="宋体" w:eastAsia="宋体" w:cs="宋体"/>
          <w:color w:val="auto"/>
          <w:kern w:val="0"/>
          <w:szCs w:val="21"/>
        </w:rPr>
      </w:pPr>
      <w:r>
        <w:rPr>
          <w:rFonts w:hint="eastAsia" w:ascii="宋体" w:hAnsi="宋体" w:eastAsia="宋体" w:cs="宋体"/>
          <w:color w:val="auto"/>
          <w:kern w:val="0"/>
          <w:szCs w:val="21"/>
        </w:rPr>
        <w:t>5.本项目需要落实的政府采购政策：</w:t>
      </w:r>
    </w:p>
    <w:p w14:paraId="4A96B8BB">
      <w:pPr>
        <w:spacing w:line="440" w:lineRule="exact"/>
        <w:ind w:firstLine="315" w:firstLineChars="150"/>
        <w:rPr>
          <w:rFonts w:ascii="宋体" w:hAnsi="宋体" w:eastAsia="宋体" w:cs="宋体"/>
          <w:color w:val="auto"/>
          <w:kern w:val="0"/>
          <w:szCs w:val="21"/>
        </w:rPr>
      </w:pPr>
      <w:r>
        <w:rPr>
          <w:rFonts w:hint="eastAsia" w:ascii="宋体" w:hAnsi="宋体" w:eastAsia="宋体" w:cs="宋体"/>
          <w:color w:val="auto"/>
          <w:kern w:val="0"/>
          <w:szCs w:val="21"/>
        </w:rPr>
        <w:t>（1）政府采购促进中小企业发展。</w:t>
      </w:r>
    </w:p>
    <w:p w14:paraId="0F42D8CA">
      <w:pPr>
        <w:spacing w:line="440" w:lineRule="exact"/>
        <w:ind w:firstLine="315" w:firstLineChars="150"/>
        <w:rPr>
          <w:rFonts w:ascii="宋体" w:hAnsi="宋体" w:eastAsia="宋体" w:cs="宋体"/>
          <w:color w:val="auto"/>
          <w:kern w:val="0"/>
          <w:szCs w:val="21"/>
        </w:rPr>
      </w:pPr>
      <w:r>
        <w:rPr>
          <w:rFonts w:hint="eastAsia" w:ascii="宋体" w:hAnsi="宋体" w:eastAsia="宋体" w:cs="宋体"/>
          <w:color w:val="auto"/>
          <w:kern w:val="0"/>
          <w:szCs w:val="21"/>
        </w:rPr>
        <w:t>（2）强制采购节能产品；优先采购节能产品、环境标志产品。</w:t>
      </w:r>
    </w:p>
    <w:p w14:paraId="29696DC3">
      <w:pPr>
        <w:spacing w:line="440" w:lineRule="exact"/>
        <w:ind w:firstLine="315" w:firstLineChars="150"/>
        <w:rPr>
          <w:rFonts w:ascii="宋体" w:hAnsi="宋体" w:eastAsia="宋体" w:cs="宋体"/>
          <w:color w:val="auto"/>
          <w:kern w:val="0"/>
          <w:szCs w:val="21"/>
        </w:rPr>
      </w:pPr>
      <w:r>
        <w:rPr>
          <w:rFonts w:hint="eastAsia" w:ascii="宋体" w:hAnsi="宋体" w:eastAsia="宋体" w:cs="宋体"/>
          <w:color w:val="auto"/>
          <w:kern w:val="0"/>
          <w:szCs w:val="21"/>
        </w:rPr>
        <w:t>（3）政府采购促进残疾人就业政策。</w:t>
      </w:r>
    </w:p>
    <w:p w14:paraId="04AA7D96">
      <w:pPr>
        <w:spacing w:line="44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（4）政府采购支持监狱企业发展。</w:t>
      </w:r>
    </w:p>
    <w:p w14:paraId="2D61DA4D">
      <w:pPr>
        <w:widowControl/>
        <w:spacing w:line="440" w:lineRule="exact"/>
        <w:ind w:firstLine="420" w:firstLineChars="200"/>
        <w:rPr>
          <w:rFonts w:ascii="宋体" w:hAnsi="宋体" w:eastAsia="宋体" w:cs="宋体"/>
          <w:color w:val="auto"/>
          <w:szCs w:val="21"/>
          <w:lang w:bidi="ar"/>
        </w:rPr>
      </w:pPr>
      <w:r>
        <w:rPr>
          <w:rFonts w:hint="eastAsia" w:ascii="宋体" w:hAnsi="宋体" w:eastAsia="宋体" w:cs="宋体"/>
          <w:color w:val="auto"/>
          <w:szCs w:val="21"/>
          <w:lang w:bidi="ar"/>
        </w:rPr>
        <w:t>6.投标注意事项：</w:t>
      </w:r>
    </w:p>
    <w:p w14:paraId="2352EE2A">
      <w:pPr>
        <w:widowControl/>
        <w:spacing w:line="440" w:lineRule="exact"/>
        <w:ind w:firstLine="420" w:firstLineChars="200"/>
        <w:rPr>
          <w:rFonts w:ascii="宋体" w:hAnsi="宋体" w:eastAsia="宋体" w:cs="宋体"/>
          <w:bCs/>
          <w:color w:val="auto"/>
          <w:szCs w:val="21"/>
        </w:rPr>
      </w:pPr>
      <w:r>
        <w:rPr>
          <w:rFonts w:hint="eastAsia" w:ascii="宋体" w:hAnsi="宋体" w:eastAsia="宋体" w:cs="宋体"/>
          <w:color w:val="auto"/>
          <w:szCs w:val="21"/>
          <w:lang w:bidi="ar"/>
        </w:rPr>
        <w:t>（1）投标文件提交方式：本项目为全流程电子化政府采购项目，通过广西政府采购云平台（https://www.gcy.zfcg.gxzf.gov.cn/）实行在线电子投标，供应商应先安装“政采云电子交易客户端”（请自行前往广西政府采购云平台进行下载），并按照本项目招标文件和广西政府采购云平台的要求编制、加密后在投标截止时间前通过网络上传至广西政府采购云平台，</w:t>
      </w:r>
      <w:r>
        <w:rPr>
          <w:rFonts w:hint="eastAsia" w:ascii="宋体" w:hAnsi="宋体" w:eastAsia="宋体" w:cs="宋体"/>
          <w:b/>
          <w:color w:val="auto"/>
          <w:szCs w:val="21"/>
          <w:lang w:bidi="ar"/>
        </w:rPr>
        <w:t>供应商在广西政府采购云平台提交电子版投标文件时，请填写参加远程开标活动经办人联系方式。</w:t>
      </w:r>
    </w:p>
    <w:p w14:paraId="0702C362">
      <w:pPr>
        <w:widowControl/>
        <w:spacing w:line="440" w:lineRule="exact"/>
        <w:ind w:firstLine="420" w:firstLineChars="200"/>
        <w:jc w:val="left"/>
        <w:rPr>
          <w:rFonts w:ascii="宋体" w:hAnsi="宋体" w:eastAsia="宋体" w:cs="宋体"/>
          <w:color w:val="auto"/>
          <w:szCs w:val="21"/>
          <w:lang w:bidi="ar"/>
        </w:rPr>
      </w:pPr>
      <w:r>
        <w:rPr>
          <w:rFonts w:hint="eastAsia" w:ascii="宋体" w:hAnsi="宋体" w:eastAsia="宋体" w:cs="宋体"/>
          <w:color w:val="auto"/>
          <w:szCs w:val="21"/>
          <w:lang w:bidi="ar"/>
        </w:rPr>
        <w:t>（2）供应商应及时熟悉掌握电子标系统操作指南（见政采云电子卖场首页右上角—服务中心—帮助文档—项目采购）：</w:t>
      </w:r>
      <w:r>
        <w:rPr>
          <w:color w:val="auto"/>
        </w:rPr>
        <w:fldChar w:fldCharType="begin"/>
      </w:r>
      <w:r>
        <w:rPr>
          <w:color w:val="auto"/>
        </w:rPr>
        <w:instrText xml:space="preserve"> HYPERLINK "https://service.zcygov.cn/#/knowledges/tree?tag=AG1DtGwBFdiHxlNdhY0r" </w:instrText>
      </w:r>
      <w:r>
        <w:rPr>
          <w:color w:val="auto"/>
        </w:rPr>
        <w:fldChar w:fldCharType="separate"/>
      </w:r>
      <w:r>
        <w:rPr>
          <w:rFonts w:hint="eastAsia" w:ascii="宋体" w:hAnsi="宋体" w:eastAsia="宋体" w:cs="宋体"/>
          <w:color w:val="auto"/>
          <w:lang w:bidi="ar"/>
        </w:rPr>
        <w:t>https://service.zcygov.cn/#/knowledges/tree?tag=AG1DtGwBFdiHxlNdhY0r</w:t>
      </w:r>
      <w:r>
        <w:rPr>
          <w:rFonts w:hint="eastAsia" w:ascii="宋体" w:hAnsi="宋体" w:eastAsia="宋体" w:cs="宋体"/>
          <w:color w:val="auto"/>
          <w:lang w:bidi="ar"/>
        </w:rPr>
        <w:fldChar w:fldCharType="end"/>
      </w:r>
      <w:r>
        <w:rPr>
          <w:rFonts w:hint="eastAsia" w:ascii="宋体" w:hAnsi="宋体" w:eastAsia="宋体" w:cs="宋体"/>
          <w:color w:val="auto"/>
          <w:szCs w:val="21"/>
          <w:lang w:bidi="ar"/>
        </w:rPr>
        <w:t>；及时完成CA申领和绑定（见广西壮族自治区政府采购网—办事服务—下载专区-政采云CA证书办理操作指南）。</w:t>
      </w:r>
    </w:p>
    <w:p w14:paraId="6D8F7E5A">
      <w:pPr>
        <w:widowControl/>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lang w:bidi="ar"/>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1BEEC949">
      <w:pPr>
        <w:widowControl/>
        <w:spacing w:line="440" w:lineRule="exact"/>
        <w:ind w:firstLine="420" w:firstLineChars="200"/>
        <w:rPr>
          <w:rFonts w:ascii="宋体" w:hAnsi="宋体" w:eastAsia="宋体" w:cs="宋体"/>
          <w:color w:val="auto"/>
          <w:szCs w:val="21"/>
        </w:rPr>
      </w:pPr>
      <w:r>
        <w:rPr>
          <w:rFonts w:hint="eastAsia" w:ascii="宋体" w:hAnsi="宋体" w:eastAsia="宋体" w:cs="宋体"/>
          <w:color w:val="auto"/>
          <w:szCs w:val="21"/>
          <w:lang w:bidi="ar"/>
        </w:rPr>
        <w:t>（4）为确保网上操作合法、有效和安全，请投标人确保在电子投标过程中能够对相关数据电文进行加密和使用电子签章，妥善保管CA数字证书并使用有效的CA数字证书参与整个采购活动。</w:t>
      </w:r>
    </w:p>
    <w:p w14:paraId="41548E35">
      <w:pPr>
        <w:spacing w:line="440" w:lineRule="exact"/>
        <w:ind w:firstLine="422" w:firstLineChars="200"/>
        <w:rPr>
          <w:rFonts w:ascii="宋体" w:hAnsi="宋体" w:eastAsia="宋体" w:cs="宋体"/>
          <w:b/>
          <w:bCs/>
          <w:color w:val="auto"/>
          <w:szCs w:val="21"/>
        </w:rPr>
      </w:pPr>
      <w:r>
        <w:rPr>
          <w:rFonts w:hint="eastAsia" w:ascii="宋体" w:hAnsi="宋体" w:eastAsia="宋体" w:cs="宋体"/>
          <w:b/>
          <w:bCs/>
          <w:color w:val="auto"/>
          <w:szCs w:val="21"/>
          <w:lang w:bidi="ar"/>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AB8B35A">
      <w:pPr>
        <w:snapToGrid w:val="0"/>
        <w:spacing w:line="44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lang w:bidi="ar"/>
        </w:rPr>
        <w:t>7.CA证书在线解密：供应商投标时，需携带制作投标文件时用来加密的有效数字证书（CA认证）登录广西政府采购云平台电子开标大厅现场按规定时间对加密的投标文件进行解密，否则后果自负。</w:t>
      </w:r>
    </w:p>
    <w:p w14:paraId="4F4871F8">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rPr>
        <w:t>8.若对项目采购电子交易系统操作有疑问，可登录广西政府采购云平台（https://www.gcy.zfcg.gxzf.gov.cn/），点击右侧咨询小采，获取采小蜜智能服务管家帮助，或拨打政采云服务热线400-881-7190获取热线服务帮</w:t>
      </w:r>
      <w:r>
        <w:rPr>
          <w:rFonts w:hint="eastAsia" w:ascii="宋体" w:hAnsi="宋体" w:eastAsia="宋体" w:cs="宋体"/>
          <w:color w:val="auto"/>
          <w:kern w:val="0"/>
          <w:szCs w:val="21"/>
          <w:lang w:bidi="ar"/>
        </w:rPr>
        <w:t>助。</w:t>
      </w:r>
    </w:p>
    <w:p w14:paraId="1381B385">
      <w:pPr>
        <w:snapToGrid w:val="0"/>
        <w:spacing w:line="440" w:lineRule="exact"/>
        <w:ind w:firstLine="422" w:firstLineChars="200"/>
        <w:rPr>
          <w:rFonts w:ascii="宋体" w:hAnsi="宋体" w:eastAsia="宋体" w:cs="宋体"/>
          <w:b/>
          <w:bCs/>
          <w:color w:val="auto"/>
          <w:kern w:val="0"/>
          <w:szCs w:val="21"/>
          <w:lang w:bidi="ar"/>
        </w:rPr>
      </w:pPr>
      <w:r>
        <w:rPr>
          <w:rFonts w:hint="eastAsia" w:ascii="宋体" w:hAnsi="宋体" w:eastAsia="宋体" w:cs="宋体"/>
          <w:b/>
          <w:bCs/>
          <w:color w:val="auto"/>
          <w:kern w:val="0"/>
          <w:szCs w:val="21"/>
          <w:lang w:bidi="ar"/>
        </w:rPr>
        <w:t>9.评标说明：本项目为远程异地全流程电子评标。</w:t>
      </w:r>
    </w:p>
    <w:p w14:paraId="78A91138">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 xml:space="preserve">10.监督部门：巴马瑶族自治县财政局  联系电话：0778-6221733 </w:t>
      </w:r>
    </w:p>
    <w:p w14:paraId="51F9319F">
      <w:pPr>
        <w:snapToGrid w:val="0"/>
        <w:spacing w:line="440" w:lineRule="exact"/>
        <w:ind w:firstLine="420" w:firstLineChars="200"/>
        <w:rPr>
          <w:rFonts w:hint="eastAsia" w:ascii="宋体" w:hAnsi="宋体" w:eastAsia="宋体" w:cs="宋体"/>
          <w:color w:val="auto"/>
          <w:kern w:val="0"/>
          <w:szCs w:val="21"/>
          <w:lang w:eastAsia="zh-CN" w:bidi="ar"/>
        </w:rPr>
      </w:pPr>
      <w:r>
        <w:rPr>
          <w:rFonts w:hint="eastAsia" w:ascii="宋体" w:hAnsi="宋体" w:eastAsia="宋体" w:cs="宋体"/>
          <w:color w:val="auto"/>
          <w:kern w:val="0"/>
          <w:szCs w:val="21"/>
          <w:lang w:bidi="ar"/>
        </w:rPr>
        <w:t>11.交易服务单位：</w:t>
      </w:r>
      <w:r>
        <w:rPr>
          <w:rFonts w:hint="eastAsia" w:ascii="宋体" w:hAnsi="宋体" w:eastAsia="宋体" w:cs="宋体"/>
          <w:color w:val="auto"/>
          <w:kern w:val="0"/>
          <w:szCs w:val="21"/>
          <w:lang w:eastAsia="zh-CN" w:bidi="ar"/>
        </w:rPr>
        <w:t>巴马瑶族自治县公共资源交易中心</w:t>
      </w:r>
    </w:p>
    <w:p w14:paraId="31470393">
      <w:pPr>
        <w:spacing w:line="440" w:lineRule="exact"/>
        <w:rPr>
          <w:rFonts w:ascii="宋体" w:hAnsi="宋体" w:eastAsia="宋体" w:cs="宋体"/>
          <w:b/>
          <w:bCs/>
          <w:color w:val="auto"/>
          <w:sz w:val="24"/>
        </w:rPr>
      </w:pPr>
      <w:r>
        <w:rPr>
          <w:rFonts w:hint="eastAsia" w:ascii="宋体" w:hAnsi="宋体" w:eastAsia="宋体" w:cs="宋体"/>
          <w:b/>
          <w:bCs/>
          <w:color w:val="auto"/>
          <w:sz w:val="24"/>
        </w:rPr>
        <w:t>七、对本次招标提出询问，请按以下方式联系</w:t>
      </w:r>
      <w:bookmarkEnd w:id="30"/>
      <w:bookmarkEnd w:id="31"/>
      <w:bookmarkEnd w:id="32"/>
      <w:bookmarkEnd w:id="33"/>
    </w:p>
    <w:p w14:paraId="69FDA098">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1.采购人信息</w:t>
      </w:r>
    </w:p>
    <w:p w14:paraId="13F498D7">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名 称：巴马瑶族自治县教育局</w:t>
      </w:r>
    </w:p>
    <w:p w14:paraId="1B52A587">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地址：巴马瑶族自治县城北二小旁边</w:t>
      </w:r>
    </w:p>
    <w:p w14:paraId="44EF1929">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项目联系人：韦股长</w:t>
      </w:r>
    </w:p>
    <w:p w14:paraId="69AF3142">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 xml:space="preserve">联系方式：0778-6219304     </w:t>
      </w:r>
    </w:p>
    <w:p w14:paraId="3C378357">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2.采购代理机构信息</w:t>
      </w:r>
    </w:p>
    <w:p w14:paraId="022363E5">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名 称：广西睿翼工程咨询有限公司</w:t>
      </w:r>
    </w:p>
    <w:p w14:paraId="351BC31A">
      <w:pPr>
        <w:snapToGrid w:val="0"/>
        <w:spacing w:line="440" w:lineRule="exact"/>
        <w:ind w:firstLine="420" w:firstLineChars="200"/>
        <w:rPr>
          <w:rFonts w:ascii="宋体" w:hAnsi="宋体" w:eastAsia="宋体" w:cs="宋体"/>
          <w:color w:val="auto"/>
          <w:kern w:val="0"/>
          <w:szCs w:val="21"/>
          <w:lang w:bidi="ar"/>
        </w:rPr>
      </w:pPr>
      <w:bookmarkStart w:id="34" w:name="PO_3000001867_PM031_2"/>
      <w:r>
        <w:rPr>
          <w:rFonts w:hint="eastAsia" w:ascii="宋体" w:hAnsi="宋体" w:eastAsia="宋体" w:cs="宋体"/>
          <w:color w:val="auto"/>
          <w:kern w:val="0"/>
          <w:szCs w:val="21"/>
          <w:lang w:bidi="ar"/>
        </w:rPr>
        <w:t>地　址：河池市金城江区金城中路2-4号铜鼓园写字楼3楼</w:t>
      </w:r>
    </w:p>
    <w:p w14:paraId="44A71C5C">
      <w:pPr>
        <w:snapToGrid w:val="0"/>
        <w:spacing w:line="440" w:lineRule="exact"/>
        <w:ind w:firstLine="420" w:firstLineChars="200"/>
        <w:rPr>
          <w:rFonts w:ascii="宋体" w:hAnsi="宋体" w:eastAsia="宋体" w:cs="宋体"/>
          <w:color w:val="auto"/>
          <w:kern w:val="0"/>
          <w:szCs w:val="21"/>
          <w:lang w:bidi="ar"/>
        </w:rPr>
      </w:pPr>
      <w:r>
        <w:rPr>
          <w:rFonts w:hint="eastAsia" w:ascii="宋体" w:hAnsi="宋体" w:eastAsia="宋体" w:cs="宋体"/>
          <w:color w:val="auto"/>
          <w:kern w:val="0"/>
          <w:szCs w:val="21"/>
          <w:lang w:bidi="ar"/>
        </w:rPr>
        <w:t>联系方式：0778-2211981  　</w:t>
      </w:r>
    </w:p>
    <w:p w14:paraId="6DF835C9">
      <w:pPr>
        <w:snapToGrid w:val="0"/>
        <w:spacing w:line="440" w:lineRule="exact"/>
        <w:ind w:firstLine="420" w:firstLineChars="200"/>
        <w:rPr>
          <w:rFonts w:ascii="宋体" w:hAnsi="宋体" w:eastAsia="宋体" w:cs="宋体"/>
          <w:color w:val="auto"/>
          <w:kern w:val="0"/>
          <w:szCs w:val="21"/>
          <w:lang w:bidi="ar"/>
        </w:rPr>
      </w:pPr>
      <w:bookmarkStart w:id="35" w:name="_Toc28359087"/>
      <w:bookmarkStart w:id="36" w:name="_Toc28359010"/>
      <w:r>
        <w:rPr>
          <w:rFonts w:hint="eastAsia" w:ascii="宋体" w:hAnsi="宋体" w:eastAsia="宋体" w:cs="宋体"/>
          <w:color w:val="auto"/>
          <w:kern w:val="0"/>
          <w:szCs w:val="21"/>
          <w:lang w:bidi="ar"/>
        </w:rPr>
        <w:t>3.项目联系方式</w:t>
      </w:r>
      <w:bookmarkEnd w:id="35"/>
      <w:bookmarkEnd w:id="36"/>
    </w:p>
    <w:p w14:paraId="689426B4">
      <w:pPr>
        <w:snapToGrid w:val="0"/>
        <w:spacing w:line="440" w:lineRule="exact"/>
        <w:ind w:firstLine="420" w:firstLineChars="200"/>
        <w:rPr>
          <w:rFonts w:ascii="宋体" w:hAnsi="宋体" w:eastAsia="宋体" w:cs="宋体"/>
          <w:color w:val="auto"/>
          <w:szCs w:val="21"/>
          <w:u w:val="single"/>
        </w:rPr>
      </w:pPr>
      <w:r>
        <w:rPr>
          <w:rFonts w:hint="eastAsia" w:ascii="宋体" w:hAnsi="宋体" w:eastAsia="宋体" w:cs="宋体"/>
          <w:color w:val="auto"/>
          <w:kern w:val="0"/>
          <w:szCs w:val="21"/>
          <w:lang w:bidi="ar"/>
        </w:rPr>
        <w:t>项目联系人：罗荣菊</w:t>
      </w:r>
    </w:p>
    <w:bookmarkEnd w:id="34"/>
    <w:p w14:paraId="1999DD70">
      <w:pPr>
        <w:spacing w:line="360" w:lineRule="auto"/>
        <w:ind w:firstLine="210" w:firstLineChars="100"/>
        <w:rPr>
          <w:rFonts w:ascii="宋体" w:hAnsi="宋体" w:eastAsia="宋体" w:cs="宋体"/>
          <w:color w:val="auto"/>
        </w:rPr>
      </w:pPr>
      <w:r>
        <w:rPr>
          <w:rFonts w:hint="eastAsia" w:ascii="宋体" w:hAnsi="宋体" w:eastAsia="宋体" w:cs="宋体"/>
          <w:color w:val="auto"/>
          <w:szCs w:val="21"/>
        </w:rPr>
        <w:t xml:space="preserve">  日期：202</w:t>
      </w:r>
      <w:r>
        <w:rPr>
          <w:rFonts w:hint="eastAsia" w:ascii="宋体" w:hAnsi="宋体" w:eastAsia="宋体" w:cs="宋体"/>
          <w:color w:val="auto"/>
          <w:szCs w:val="21"/>
          <w:lang w:val="en-US" w:eastAsia="zh-CN"/>
        </w:rPr>
        <w:t>5</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日                                         </w:t>
      </w:r>
    </w:p>
    <w:p w14:paraId="6B8ED89D">
      <w:pPr>
        <w:snapToGrid w:val="0"/>
        <w:spacing w:line="360" w:lineRule="auto"/>
        <w:ind w:firstLine="420"/>
        <w:rPr>
          <w:rFonts w:ascii="宋体" w:hAnsi="宋体" w:eastAsia="宋体" w:cs="宋体"/>
          <w:color w:val="auto"/>
          <w:sz w:val="24"/>
          <w:lang w:val="zh-CN"/>
        </w:rPr>
        <w:sectPr>
          <w:pgSz w:w="11906" w:h="16838"/>
          <w:pgMar w:top="1361" w:right="1361" w:bottom="1361" w:left="1361" w:header="720" w:footer="720" w:gutter="0"/>
          <w:cols w:space="720" w:num="1"/>
          <w:docGrid w:type="lines" w:linePitch="331" w:charSpace="0"/>
        </w:sectPr>
      </w:pPr>
    </w:p>
    <w:p w14:paraId="44850638">
      <w:pPr>
        <w:spacing w:line="520" w:lineRule="exact"/>
        <w:jc w:val="center"/>
        <w:outlineLvl w:val="0"/>
        <w:rPr>
          <w:rFonts w:ascii="宋体" w:hAnsi="宋体" w:eastAsia="宋体" w:cs="宋体"/>
          <w:b/>
          <w:color w:val="auto"/>
          <w:sz w:val="44"/>
          <w:szCs w:val="44"/>
        </w:rPr>
      </w:pPr>
      <w:bookmarkStart w:id="37" w:name="_Toc20298"/>
      <w:bookmarkStart w:id="38" w:name="_Toc12371"/>
      <w:r>
        <w:rPr>
          <w:rFonts w:hint="eastAsia" w:ascii="宋体" w:hAnsi="宋体" w:eastAsia="宋体" w:cs="宋体"/>
          <w:b/>
          <w:color w:val="auto"/>
          <w:sz w:val="44"/>
          <w:szCs w:val="44"/>
        </w:rPr>
        <w:t>第二章  招标需求一览表</w:t>
      </w:r>
      <w:bookmarkEnd w:id="37"/>
      <w:bookmarkEnd w:id="38"/>
    </w:p>
    <w:p w14:paraId="5BB90D7A">
      <w:pPr>
        <w:widowControl/>
        <w:spacing w:line="380" w:lineRule="exact"/>
        <w:jc w:val="left"/>
        <w:rPr>
          <w:rFonts w:ascii="宋体" w:hAnsi="宋体" w:eastAsia="宋体" w:cs="宋体"/>
          <w:b/>
          <w:bCs/>
          <w:color w:val="auto"/>
          <w:kern w:val="0"/>
          <w:szCs w:val="21"/>
        </w:rPr>
      </w:pPr>
    </w:p>
    <w:p w14:paraId="1F518843">
      <w:pPr>
        <w:widowControl/>
        <w:spacing w:line="380" w:lineRule="exact"/>
        <w:jc w:val="left"/>
        <w:rPr>
          <w:rFonts w:ascii="宋体" w:hAnsi="宋体" w:eastAsia="宋体" w:cs="宋体"/>
          <w:b/>
          <w:bCs/>
          <w:color w:val="auto"/>
          <w:kern w:val="0"/>
          <w:szCs w:val="21"/>
        </w:rPr>
      </w:pPr>
      <w:r>
        <w:rPr>
          <w:rFonts w:hint="eastAsia" w:ascii="宋体" w:hAnsi="宋体" w:eastAsia="宋体" w:cs="宋体"/>
          <w:b/>
          <w:bCs/>
          <w:color w:val="auto"/>
          <w:kern w:val="0"/>
          <w:szCs w:val="21"/>
        </w:rPr>
        <w:t>说明：</w:t>
      </w:r>
    </w:p>
    <w:p w14:paraId="2F1BD3D9">
      <w:pPr>
        <w:spacing w:line="360" w:lineRule="auto"/>
        <w:ind w:firstLine="420" w:firstLineChars="200"/>
        <w:jc w:val="left"/>
        <w:rPr>
          <w:rFonts w:ascii="宋体" w:hAnsi="宋体" w:eastAsia="宋体" w:cs="宋体"/>
          <w:color w:val="auto"/>
        </w:rPr>
      </w:pPr>
      <w:r>
        <w:rPr>
          <w:rFonts w:hint="eastAsia" w:ascii="宋体" w:hAnsi="宋体" w:eastAsia="宋体" w:cs="宋体"/>
          <w:color w:val="auto"/>
        </w:rPr>
        <w:t>1. 为落实政府采购政策需满足的要求：</w:t>
      </w:r>
    </w:p>
    <w:p w14:paraId="336B7C5E">
      <w:pPr>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 xml:space="preserve">（1）根据《政府采购促进中小企业发展管理办法》（财库[2020]46 号）、《关于进一步加大政府采 购支持中小企业力度的通知》（财库〔2022〕19 号），供应商认定所提供的产品为小型、微型企业产品 的，该产品报价给予 </w:t>
      </w:r>
      <w:r>
        <w:rPr>
          <w:rFonts w:hint="eastAsia" w:ascii="宋体" w:hAnsi="宋体" w:eastAsia="宋体" w:cs="宋体"/>
          <w:color w:val="auto"/>
          <w:szCs w:val="21"/>
          <w:lang w:val="en-US" w:eastAsia="zh-CN"/>
        </w:rPr>
        <w:t>1</w:t>
      </w:r>
      <w:r>
        <w:rPr>
          <w:rFonts w:hint="eastAsia" w:ascii="宋体" w:hAnsi="宋体" w:eastAsia="宋体" w:cs="宋体"/>
          <w:color w:val="auto"/>
          <w:szCs w:val="21"/>
          <w:lang w:eastAsia="zh-CN"/>
        </w:rPr>
        <w:t>0%</w:t>
      </w:r>
      <w:r>
        <w:rPr>
          <w:rFonts w:hint="eastAsia" w:ascii="宋体" w:hAnsi="宋体" w:eastAsia="宋体" w:cs="宋体"/>
          <w:color w:val="auto"/>
          <w:szCs w:val="21"/>
        </w:rPr>
        <w:t>的扣除。</w:t>
      </w:r>
    </w:p>
    <w:p w14:paraId="7292BC7B">
      <w:pPr>
        <w:spacing w:line="360" w:lineRule="auto"/>
        <w:ind w:firstLine="424" w:firstLineChars="202"/>
        <w:jc w:val="left"/>
        <w:rPr>
          <w:rFonts w:ascii="宋体" w:hAnsi="宋体" w:eastAsia="宋体" w:cs="宋体"/>
          <w:color w:val="auto"/>
          <w:szCs w:val="21"/>
        </w:rPr>
      </w:pPr>
      <w:r>
        <w:rPr>
          <w:rFonts w:hint="eastAsia" w:ascii="宋体" w:hAnsi="宋体" w:eastAsia="宋体" w:cs="宋体"/>
          <w:color w:val="auto"/>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公章），否则投标文件作无效处理。如本项目包含的货物属于品目清单内非标注“★”的产品时，应优先采购，具体详见“第四章 评标方法和评标标准”。</w:t>
      </w:r>
    </w:p>
    <w:p w14:paraId="6ACF7CD9">
      <w:pPr>
        <w:spacing w:line="360" w:lineRule="auto"/>
        <w:ind w:firstLine="424" w:firstLineChars="202"/>
        <w:jc w:val="left"/>
        <w:rPr>
          <w:rFonts w:ascii="宋体" w:hAnsi="宋体" w:eastAsia="宋体" w:cs="宋体"/>
          <w:color w:val="auto"/>
          <w:szCs w:val="21"/>
        </w:rPr>
      </w:pPr>
      <w:r>
        <w:rPr>
          <w:rFonts w:hint="eastAsia" w:ascii="宋体" w:hAnsi="宋体" w:eastAsia="宋体" w:cs="宋体"/>
          <w:color w:val="auto"/>
          <w:szCs w:val="21"/>
        </w:rPr>
        <w:t>（3）根据财政部、司法部关于政府采购支持监狱企业发展有关问题的通知（财库[2014]68 号），监狱企业视同小型、微型企业，享受预留份额、评审中价格扣除等政府采购政策。</w:t>
      </w:r>
    </w:p>
    <w:p w14:paraId="790154B4">
      <w:pPr>
        <w:spacing w:line="360" w:lineRule="auto"/>
        <w:ind w:firstLine="210" w:firstLineChars="100"/>
        <w:jc w:val="left"/>
        <w:rPr>
          <w:rFonts w:ascii="宋体" w:hAnsi="宋体" w:eastAsia="宋体" w:cs="宋体"/>
          <w:color w:val="auto"/>
          <w:szCs w:val="21"/>
        </w:rPr>
      </w:pPr>
      <w:r>
        <w:rPr>
          <w:rFonts w:hint="eastAsia" w:ascii="宋体" w:hAnsi="宋体" w:eastAsia="宋体" w:cs="宋体"/>
          <w:color w:val="auto"/>
          <w:szCs w:val="21"/>
        </w:rPr>
        <w:t>（4）按照《关于促进残疾人就业政府采购政策的通知》（财库〔2017〕141 号）的规定，残疾人福利性单位视同小型、微型企业，享受预留份额、评审中价格扣除等促进中小企业发展的政府采购政策。残疾人福利性单位属于小型、微型企业的，不重复享受政策。</w:t>
      </w:r>
    </w:p>
    <w:p w14:paraId="74C67D3F">
      <w:pPr>
        <w:spacing w:line="360" w:lineRule="auto"/>
        <w:ind w:firstLine="426" w:firstLineChars="202"/>
        <w:jc w:val="left"/>
        <w:rPr>
          <w:rFonts w:ascii="宋体" w:hAnsi="宋体" w:eastAsia="宋体" w:cs="宋体"/>
          <w:b/>
          <w:bCs/>
          <w:color w:val="auto"/>
          <w:szCs w:val="21"/>
        </w:rPr>
      </w:pPr>
      <w:r>
        <w:rPr>
          <w:rFonts w:hint="eastAsia" w:ascii="宋体" w:hAnsi="宋体" w:eastAsia="宋体" w:cs="宋体"/>
          <w:b/>
          <w:bCs/>
          <w:color w:val="auto"/>
          <w:szCs w:val="21"/>
        </w:rPr>
        <w:t>2.“实质性要求”是指招标文件中已经指明不满足则投标无效的条款，或者不能负偏离的条款，或者采购需求中带“▲”的条款。</w:t>
      </w:r>
    </w:p>
    <w:p w14:paraId="7DA63FE6">
      <w:pPr>
        <w:spacing w:line="360" w:lineRule="auto"/>
        <w:ind w:firstLine="424" w:firstLineChars="202"/>
        <w:rPr>
          <w:rFonts w:ascii="宋体" w:hAnsi="宋体" w:eastAsia="宋体" w:cs="宋体"/>
          <w:color w:val="auto"/>
          <w:szCs w:val="21"/>
        </w:rPr>
      </w:pPr>
      <w:r>
        <w:rPr>
          <w:rFonts w:hint="eastAsia" w:ascii="宋体" w:hAnsi="宋体" w:eastAsia="宋体" w:cs="宋体"/>
          <w:color w:val="auto"/>
          <w:szCs w:val="21"/>
        </w:rPr>
        <w:t>3.如投标人投标产品存在侵犯他人的知识产权或者专利成果行为的，应承担相应法律责任。</w:t>
      </w:r>
    </w:p>
    <w:p w14:paraId="7A02CDE2">
      <w:pPr>
        <w:adjustRightInd w:val="0"/>
        <w:spacing w:line="360" w:lineRule="auto"/>
        <w:ind w:left="6" w:firstLine="431"/>
        <w:rPr>
          <w:rFonts w:ascii="宋体" w:hAnsi="宋体" w:eastAsia="宋体" w:cs="宋体"/>
          <w:color w:val="auto"/>
          <w:szCs w:val="21"/>
        </w:rPr>
      </w:pPr>
      <w:r>
        <w:rPr>
          <w:rFonts w:hint="eastAsia" w:ascii="宋体" w:hAnsi="宋体" w:eastAsia="宋体" w:cs="宋体"/>
          <w:color w:val="auto"/>
          <w:szCs w:val="21"/>
        </w:rPr>
        <w:t>4.本货物需求一览表中所列的品牌、型号</w:t>
      </w:r>
      <w:r>
        <w:rPr>
          <w:rFonts w:hint="eastAsia" w:ascii="宋体" w:hAnsi="宋体" w:eastAsia="宋体" w:cs="宋体"/>
          <w:b/>
          <w:color w:val="auto"/>
          <w:szCs w:val="21"/>
        </w:rPr>
        <w:t>仅起参考作</w:t>
      </w:r>
      <w:r>
        <w:rPr>
          <w:rFonts w:hint="eastAsia" w:ascii="宋体" w:hAnsi="宋体" w:eastAsia="宋体" w:cs="宋体"/>
          <w:color w:val="auto"/>
          <w:szCs w:val="21"/>
        </w:rPr>
        <w:t>用，投标人可选用其他品牌、型号替代，但替代的品牌、型号在实质性要求和条件上要</w:t>
      </w:r>
      <w:r>
        <w:rPr>
          <w:rFonts w:hint="eastAsia" w:ascii="宋体" w:hAnsi="宋体" w:eastAsia="宋体" w:cs="宋体"/>
          <w:b/>
          <w:color w:val="auto"/>
          <w:szCs w:val="21"/>
        </w:rPr>
        <w:t>相当于或优于</w:t>
      </w:r>
      <w:r>
        <w:rPr>
          <w:rFonts w:hint="eastAsia" w:ascii="宋体" w:hAnsi="宋体" w:eastAsia="宋体" w:cs="宋体"/>
          <w:color w:val="auto"/>
          <w:szCs w:val="21"/>
        </w:rPr>
        <w:t>参考品牌、型号。</w:t>
      </w:r>
    </w:p>
    <w:p w14:paraId="3F9C9E84">
      <w:pPr>
        <w:spacing w:line="360" w:lineRule="auto"/>
        <w:ind w:firstLine="426" w:firstLineChars="202"/>
        <w:jc w:val="left"/>
        <w:rPr>
          <w:rFonts w:ascii="宋体" w:hAnsi="宋体" w:eastAsia="宋体" w:cs="宋体"/>
          <w:b/>
          <w:bCs/>
          <w:color w:val="auto"/>
          <w:szCs w:val="21"/>
        </w:rPr>
      </w:pPr>
      <w:r>
        <w:rPr>
          <w:rFonts w:hint="eastAsia" w:ascii="宋体" w:hAnsi="宋体" w:eastAsia="宋体" w:cs="宋体"/>
          <w:b/>
          <w:bCs/>
          <w:color w:val="auto"/>
          <w:szCs w:val="21"/>
        </w:rPr>
        <w:t>5.本表中参考品牌、规格型号、采购需求（技术参数、性能、配置等要求）不明确或有误的，或供应商选用其他品牌、规格型号替代的，请以详细、正确的品牌、规格型号、技术参数、性能、配置填写投 标报价表。</w:t>
      </w:r>
    </w:p>
    <w:p w14:paraId="7A53737A">
      <w:pPr>
        <w:pStyle w:val="22"/>
        <w:ind w:left="0" w:leftChars="0" w:firstLine="422" w:firstLineChars="200"/>
        <w:rPr>
          <w:rFonts w:ascii="宋体" w:hAnsi="宋体" w:eastAsia="宋体" w:cs="宋体"/>
          <w:color w:val="auto"/>
          <w:u w:val="single"/>
        </w:rPr>
        <w:sectPr>
          <w:footerReference r:id="rId6" w:type="default"/>
          <w:pgSz w:w="11906" w:h="16838"/>
          <w:pgMar w:top="1361" w:right="1361" w:bottom="1361" w:left="1361" w:header="720" w:footer="720" w:gutter="0"/>
          <w:cols w:space="720" w:num="1"/>
          <w:docGrid w:type="lines" w:linePitch="331" w:charSpace="0"/>
        </w:sectPr>
      </w:pPr>
      <w:r>
        <w:rPr>
          <w:rFonts w:hint="eastAsia" w:ascii="宋体" w:hAnsi="宋体" w:eastAsia="宋体" w:cs="宋体"/>
          <w:b/>
          <w:bCs/>
          <w:color w:val="auto"/>
        </w:rPr>
        <w:t>6、</w:t>
      </w:r>
      <w:r>
        <w:rPr>
          <w:rFonts w:hint="eastAsia" w:ascii="宋体" w:hAnsi="宋体" w:eastAsia="宋体" w:cs="宋体"/>
          <w:b/>
          <w:bCs/>
          <w:color w:val="auto"/>
          <w:szCs w:val="21"/>
        </w:rPr>
        <w:t>中小企业划分标准所属行业：</w:t>
      </w:r>
      <w:r>
        <w:rPr>
          <w:rFonts w:hint="eastAsia" w:ascii="宋体" w:hAnsi="宋体" w:eastAsia="宋体" w:cs="宋体"/>
          <w:b/>
          <w:bCs/>
          <w:color w:val="auto"/>
          <w:szCs w:val="21"/>
          <w:u w:val="single"/>
        </w:rPr>
        <w:t xml:space="preserve"> 制造业 </w:t>
      </w:r>
      <w:r>
        <w:rPr>
          <w:rFonts w:hint="eastAsia" w:ascii="宋体" w:hAnsi="宋体" w:eastAsia="宋体" w:cs="宋体"/>
          <w:b/>
          <w:bCs/>
          <w:color w:val="auto"/>
          <w:szCs w:val="21"/>
        </w:rPr>
        <w:t xml:space="preserve"> </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690"/>
        <w:gridCol w:w="5928"/>
        <w:gridCol w:w="736"/>
        <w:gridCol w:w="834"/>
        <w:gridCol w:w="11"/>
        <w:gridCol w:w="3385"/>
        <w:gridCol w:w="3"/>
        <w:gridCol w:w="707"/>
      </w:tblGrid>
      <w:tr w14:paraId="7471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4189" w:type="dxa"/>
            <w:gridSpan w:val="9"/>
            <w:noWrap w:val="0"/>
            <w:vAlign w:val="top"/>
          </w:tcPr>
          <w:p w14:paraId="24565D2B">
            <w:pPr>
              <w:jc w:val="center"/>
              <w:rPr>
                <w:rFonts w:hint="default" w:eastAsia="宋体"/>
                <w:b/>
                <w:bCs/>
                <w:sz w:val="44"/>
                <w:szCs w:val="44"/>
                <w:highlight w:val="none"/>
                <w:lang w:val="en-US" w:eastAsia="zh-CN"/>
              </w:rPr>
            </w:pPr>
            <w:r>
              <w:rPr>
                <w:rFonts w:hint="eastAsia"/>
                <w:b/>
                <w:bCs/>
                <w:sz w:val="44"/>
                <w:szCs w:val="44"/>
                <w:highlight w:val="none"/>
                <w:lang w:val="en-US" w:eastAsia="zh-CN"/>
              </w:rPr>
              <w:t>A标段</w:t>
            </w:r>
          </w:p>
          <w:p w14:paraId="074CAB3F">
            <w:pPr>
              <w:jc w:val="center"/>
              <w:rPr>
                <w:highlight w:val="none"/>
                <w:vertAlign w:val="baseline"/>
              </w:rPr>
            </w:pPr>
          </w:p>
        </w:tc>
      </w:tr>
      <w:tr w14:paraId="0A08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4189" w:type="dxa"/>
            <w:gridSpan w:val="9"/>
            <w:noWrap w:val="0"/>
            <w:vAlign w:val="top"/>
          </w:tcPr>
          <w:p w14:paraId="73AEB268">
            <w:pPr>
              <w:jc w:val="center"/>
              <w:rPr>
                <w:rFonts w:hint="eastAsia"/>
                <w:b/>
                <w:bCs/>
                <w:sz w:val="44"/>
                <w:szCs w:val="44"/>
                <w:highlight w:val="none"/>
                <w:vertAlign w:val="baseline"/>
              </w:rPr>
            </w:pPr>
            <w:r>
              <w:rPr>
                <w:rFonts w:hint="eastAsia"/>
                <w:b/>
                <w:bCs/>
                <w:sz w:val="44"/>
                <w:szCs w:val="44"/>
                <w:highlight w:val="none"/>
                <w:vertAlign w:val="baseline"/>
              </w:rPr>
              <w:t>理化生教学实验设备部分</w:t>
            </w:r>
          </w:p>
        </w:tc>
      </w:tr>
      <w:tr w14:paraId="7532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4189" w:type="dxa"/>
            <w:gridSpan w:val="9"/>
            <w:noWrap w:val="0"/>
            <w:vAlign w:val="top"/>
          </w:tcPr>
          <w:p w14:paraId="7F24AB3C">
            <w:pPr>
              <w:jc w:val="center"/>
              <w:rPr>
                <w:highlight w:val="none"/>
                <w:vertAlign w:val="baseline"/>
              </w:rPr>
            </w:pPr>
            <w:r>
              <w:rPr>
                <w:rFonts w:hint="eastAsia"/>
                <w:b/>
                <w:bCs/>
                <w:sz w:val="44"/>
                <w:szCs w:val="44"/>
                <w:highlight w:val="none"/>
                <w:vertAlign w:val="baseline"/>
              </w:rPr>
              <w:t>物理电学实验室</w:t>
            </w:r>
          </w:p>
        </w:tc>
      </w:tr>
      <w:tr w14:paraId="519C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D3F7C6">
            <w:pPr>
              <w:keepNext w:val="0"/>
              <w:keepLines w:val="0"/>
              <w:widowControl/>
              <w:suppressLineNumbers w:val="0"/>
              <w:jc w:val="center"/>
              <w:textAlignment w:val="center"/>
              <w:rPr>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073B7D64">
            <w:pPr>
              <w:keepNext w:val="0"/>
              <w:keepLines w:val="0"/>
              <w:widowControl/>
              <w:suppressLineNumbers w:val="0"/>
              <w:jc w:val="center"/>
              <w:textAlignment w:val="center"/>
              <w:rPr>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238B5B7E">
            <w:pPr>
              <w:keepNext w:val="0"/>
              <w:keepLines w:val="0"/>
              <w:widowControl/>
              <w:suppressLineNumbers w:val="0"/>
              <w:jc w:val="center"/>
              <w:textAlignment w:val="center"/>
              <w:rPr>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1A0A9D52">
            <w:pPr>
              <w:keepNext w:val="0"/>
              <w:keepLines w:val="0"/>
              <w:widowControl/>
              <w:suppressLineNumbers w:val="0"/>
              <w:jc w:val="center"/>
              <w:textAlignment w:val="center"/>
              <w:rPr>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29BCEFD8">
            <w:pPr>
              <w:keepNext w:val="0"/>
              <w:keepLines w:val="0"/>
              <w:widowControl/>
              <w:suppressLineNumbers w:val="0"/>
              <w:jc w:val="center"/>
              <w:textAlignment w:val="center"/>
              <w:rPr>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2E7E93E4">
            <w:pPr>
              <w:keepNext w:val="0"/>
              <w:keepLines w:val="0"/>
              <w:widowControl/>
              <w:suppressLineNumbers w:val="0"/>
              <w:jc w:val="center"/>
              <w:textAlignment w:val="center"/>
              <w:rPr>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70BA1295">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1F53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189" w:type="dxa"/>
            <w:gridSpan w:val="9"/>
            <w:noWrap w:val="0"/>
            <w:vAlign w:val="center"/>
          </w:tcPr>
          <w:p w14:paraId="5F253E94">
            <w:pPr>
              <w:keepNext w:val="0"/>
              <w:keepLines w:val="0"/>
              <w:widowControl/>
              <w:suppressLineNumbers w:val="0"/>
              <w:jc w:val="left"/>
              <w:textAlignment w:val="center"/>
              <w:rPr>
                <w:rFonts w:hint="eastAsia" w:eastAsia="宋体"/>
                <w:highlight w:val="none"/>
                <w:vertAlign w:val="baseline"/>
                <w:lang w:val="en-US" w:eastAsia="zh-CN"/>
              </w:rPr>
            </w:pPr>
            <w:r>
              <w:rPr>
                <w:rFonts w:hint="eastAsia" w:eastAsia="宋体"/>
                <w:b/>
                <w:bCs/>
                <w:sz w:val="30"/>
                <w:szCs w:val="30"/>
                <w:highlight w:val="none"/>
                <w:vertAlign w:val="baseline"/>
                <w:lang w:val="en-US" w:eastAsia="zh-CN"/>
              </w:rPr>
              <w:t>一、教师控制演示区</w:t>
            </w:r>
          </w:p>
        </w:tc>
      </w:tr>
      <w:tr w14:paraId="4326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F002F7">
            <w:pPr>
              <w:ind w:firstLine="210" w:firstLineChars="100"/>
              <w:jc w:val="both"/>
              <w:rPr>
                <w:rFonts w:hint="eastAsia" w:eastAsia="宋体"/>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39104A9D">
            <w:pPr>
              <w:jc w:val="both"/>
              <w:rPr>
                <w:rFonts w:hint="default" w:eastAsia="等线"/>
                <w:highlight w:val="none"/>
                <w:vertAlign w:val="baseline"/>
                <w:lang w:val="en-US" w:eastAsia="zh-CN"/>
              </w:rPr>
            </w:pPr>
            <w:r>
              <w:rPr>
                <w:rFonts w:hint="eastAsia"/>
                <w:highlight w:val="none"/>
                <w:vertAlign w:val="baseline"/>
              </w:rPr>
              <w:t>86英寸</w:t>
            </w:r>
            <w:r>
              <w:rPr>
                <w:rFonts w:hint="eastAsia"/>
                <w:highlight w:val="none"/>
                <w:vertAlign w:val="baseline"/>
                <w:lang w:val="en-US" w:eastAsia="zh-CN"/>
              </w:rPr>
              <w:t>教学交互智能互联平板</w:t>
            </w:r>
          </w:p>
        </w:tc>
        <w:tc>
          <w:tcPr>
            <w:tcW w:w="5928" w:type="dxa"/>
            <w:noWrap w:val="0"/>
            <w:vAlign w:val="top"/>
          </w:tcPr>
          <w:p w14:paraId="1E490098">
            <w:pPr>
              <w:rPr>
                <w:rFonts w:hint="eastAsia"/>
                <w:highlight w:val="none"/>
              </w:rPr>
            </w:pPr>
            <w:r>
              <w:rPr>
                <w:rFonts w:hint="eastAsia"/>
                <w:highlight w:val="none"/>
              </w:rPr>
              <w:t>一、教师教研集体备课</w:t>
            </w:r>
          </w:p>
          <w:p w14:paraId="04696FEC">
            <w:pPr>
              <w:rPr>
                <w:rFonts w:hint="eastAsia"/>
                <w:highlight w:val="none"/>
              </w:rPr>
            </w:pPr>
            <w:r>
              <w:rPr>
                <w:rFonts w:hint="eastAsia"/>
                <w:highlight w:val="none"/>
              </w:rPr>
              <w:t>▲1、校本资源库：支持实现校本资源共建共享。</w:t>
            </w:r>
          </w:p>
          <w:p w14:paraId="3CAB83AE">
            <w:pPr>
              <w:rPr>
                <w:rFonts w:hint="eastAsia"/>
                <w:highlight w:val="none"/>
              </w:rPr>
            </w:pPr>
            <w:r>
              <w:rPr>
                <w:rFonts w:hint="eastAsia"/>
                <w:highlight w:val="none"/>
              </w:rPr>
              <w:t>①资源上传：支持上传课件、教案、胶囊及多媒体文件，其中多媒体资源类型与格式包括：文档：doc、docx、pdf、ppt、pptx、xlsx、xls；图片：bmp、jpg、png、jpeg、gif；视频：mp4、webm；音频：wav、mp3、ogg；</w:t>
            </w:r>
          </w:p>
          <w:p w14:paraId="4C416CBF">
            <w:pPr>
              <w:rPr>
                <w:rFonts w:hint="eastAsia"/>
                <w:highlight w:val="none"/>
              </w:rPr>
            </w:pPr>
            <w:r>
              <w:rPr>
                <w:rFonts w:hint="eastAsia"/>
                <w:highlight w:val="none"/>
              </w:rPr>
              <w:t>②批量上传：支持课件、教案、胶囊以文件夹的形式批量上传。</w:t>
            </w:r>
          </w:p>
          <w:p w14:paraId="13B126C9">
            <w:pPr>
              <w:rPr>
                <w:rFonts w:hint="eastAsia"/>
                <w:highlight w:val="none"/>
              </w:rPr>
            </w:pPr>
            <w:r>
              <w:rPr>
                <w:rFonts w:hint="eastAsia"/>
                <w:highlight w:val="none"/>
              </w:rPr>
              <w:t>③资源搜索：支持树形结构目录，可进行资源分类及查找，支持全局资源搜索，按年级、学科筛选资源，支持查找资源后定位到当前资源文件夹。</w:t>
            </w:r>
          </w:p>
          <w:p w14:paraId="64CEDDE5">
            <w:pPr>
              <w:rPr>
                <w:rFonts w:hint="eastAsia"/>
                <w:highlight w:val="none"/>
              </w:rPr>
            </w:pPr>
            <w:r>
              <w:rPr>
                <w:rFonts w:hint="eastAsia"/>
                <w:highlight w:val="none"/>
              </w:rPr>
              <w:t>④查看及预览：支持查看资源文件夹的创建者，资源的上传作者，更新时间数据。校本资源支持在线预览。支持切换列表模式/宫格模式查看资源。</w:t>
            </w:r>
          </w:p>
          <w:p w14:paraId="034EDEC8">
            <w:pPr>
              <w:rPr>
                <w:rFonts w:hint="eastAsia"/>
                <w:highlight w:val="none"/>
              </w:rPr>
            </w:pPr>
            <w:r>
              <w:rPr>
                <w:rFonts w:hint="eastAsia"/>
                <w:highlight w:val="none"/>
              </w:rPr>
              <w:t>⑤资源管理：支持教师对本人上传的校本资源进行分类移动，删除或重命名。</w:t>
            </w:r>
          </w:p>
          <w:p w14:paraId="47106733">
            <w:pPr>
              <w:rPr>
                <w:rFonts w:hint="eastAsia"/>
                <w:highlight w:val="none"/>
              </w:rPr>
            </w:pPr>
            <w:r>
              <w:rPr>
                <w:rFonts w:hint="eastAsia"/>
                <w:highlight w:val="none"/>
              </w:rPr>
              <w:t>⑥备课应用：在交互式备授课软件中，支持获取校本多媒体资源到本地查看，也可选择插入校本资源库中的多媒体资源，实现校内资源的共建共享。</w:t>
            </w:r>
          </w:p>
          <w:p w14:paraId="7EF24493">
            <w:pPr>
              <w:rPr>
                <w:rFonts w:hint="eastAsia"/>
                <w:highlight w:val="none"/>
              </w:rPr>
            </w:pPr>
            <w:r>
              <w:rPr>
                <w:rFonts w:hint="eastAsia"/>
                <w:highlight w:val="none"/>
              </w:rPr>
              <w:t>▲2、集体备课：支持实现信息化集体备课。</w:t>
            </w:r>
          </w:p>
          <w:p w14:paraId="696C6339">
            <w:pPr>
              <w:rPr>
                <w:rFonts w:hint="eastAsia"/>
                <w:highlight w:val="none"/>
              </w:rPr>
            </w:pPr>
            <w:r>
              <w:rPr>
                <w:rFonts w:hint="eastAsia"/>
                <w:highlight w:val="none"/>
              </w:rPr>
              <w:t>①发起集备：支持选择教案、课件、胶囊资源上传发起集备研讨，支持设置多重访问权限，通过手机号搜索即可邀请外校老师，可用于跨校教研场景。</w:t>
            </w:r>
          </w:p>
          <w:p w14:paraId="325D5700">
            <w:pPr>
              <w:rPr>
                <w:rFonts w:hint="eastAsia"/>
                <w:highlight w:val="none"/>
              </w:rPr>
            </w:pPr>
            <w:r>
              <w:rPr>
                <w:rFonts w:hint="eastAsia"/>
                <w:highlight w:val="none"/>
              </w:rPr>
              <w:t>②进入集备：支持搜索集备名称/老师昵称、或按照学科/学段/年级/教材章节、我参与的/我发起的几个维度进行筛选查看，支持电脑端进入集备页面。</w:t>
            </w:r>
          </w:p>
          <w:p w14:paraId="0140282E">
            <w:pPr>
              <w:rPr>
                <w:rFonts w:hint="eastAsia"/>
                <w:highlight w:val="none"/>
              </w:rPr>
            </w:pPr>
            <w:r>
              <w:rPr>
                <w:rFonts w:hint="eastAsia"/>
                <w:highlight w:val="none"/>
              </w:rPr>
              <w:t>③集备研讨：参备人可通过评论区发表观点，可对他人评论的观点进行点赞，评论消息支持实时提醒，支持图片的上传。</w:t>
            </w:r>
          </w:p>
          <w:p w14:paraId="547076E0">
            <w:pPr>
              <w:rPr>
                <w:rFonts w:hint="eastAsia"/>
                <w:highlight w:val="none"/>
              </w:rPr>
            </w:pPr>
            <w:r>
              <w:rPr>
                <w:rFonts w:hint="eastAsia"/>
                <w:highlight w:val="none"/>
              </w:rPr>
              <w:t>④在线批注：参备人在可在线对教案进行随文式批注，追加批注，回复以及查看实时批注消息。支持对课件进行打点式批注，可通过批注定位研讨内容，完成协同备课。</w:t>
            </w:r>
          </w:p>
          <w:p w14:paraId="7EC03E61">
            <w:pPr>
              <w:rPr>
                <w:rFonts w:hint="eastAsia"/>
                <w:highlight w:val="none"/>
              </w:rPr>
            </w:pPr>
            <w:r>
              <w:rPr>
                <w:rFonts w:hint="eastAsia"/>
                <w:highlight w:val="none"/>
              </w:rPr>
              <w:t>⑤稿件编辑：完成本次研讨后，主备人可直接进入编辑页面编辑课件/教案，发布新稿件后，备课组进入下一轮研讨，更新稿件后会给参备老师同步教研动态。</w:t>
            </w:r>
          </w:p>
          <w:p w14:paraId="50FFAC24">
            <w:pPr>
              <w:rPr>
                <w:rFonts w:hint="eastAsia"/>
                <w:highlight w:val="none"/>
              </w:rPr>
            </w:pPr>
            <w:r>
              <w:rPr>
                <w:rFonts w:hint="eastAsia"/>
                <w:highlight w:val="none"/>
              </w:rPr>
              <w:t>⑥稿件对比：可对集备中多稿的课件/教案/胶囊进行内容的横向对比，支持批注研讨过程数据对比回溯；</w:t>
            </w:r>
          </w:p>
          <w:p w14:paraId="4C362ED7">
            <w:pPr>
              <w:rPr>
                <w:rFonts w:hint="eastAsia"/>
                <w:highlight w:val="none"/>
              </w:rPr>
            </w:pPr>
            <w:r>
              <w:rPr>
                <w:rFonts w:hint="eastAsia"/>
                <w:highlight w:val="none"/>
              </w:rPr>
              <w:t>⑦获取稿件：参备成员可以随时获取和下载每一稿中的集备稿件到云课件，进行编辑或引用。</w:t>
            </w:r>
          </w:p>
          <w:p w14:paraId="03FAA8B7">
            <w:pPr>
              <w:rPr>
                <w:rFonts w:hint="eastAsia"/>
                <w:highlight w:val="none"/>
              </w:rPr>
            </w:pPr>
            <w:r>
              <w:rPr>
                <w:rFonts w:hint="eastAsia"/>
                <w:highlight w:val="none"/>
              </w:rPr>
              <w:t>⑧完成集备：完成研讨后，可生成集体备课报告。集备终稿会自动上传到校本资源库，主备人可自定义上传目录，参备人可前往校本资源库获取集备终稿。</w:t>
            </w:r>
          </w:p>
          <w:p w14:paraId="1462BE86">
            <w:pPr>
              <w:rPr>
                <w:rFonts w:hint="eastAsia"/>
                <w:highlight w:val="none"/>
              </w:rPr>
            </w:pPr>
            <w:r>
              <w:rPr>
                <w:rFonts w:hint="eastAsia"/>
                <w:highlight w:val="none"/>
              </w:rPr>
              <w:t>⑨生成集备报告：支持生成集备报告，报告生成后，参备人可查看具体报告内容和下载集备报告。报告内包含集备信息、数据统计、研讨记录的具体内容。</w:t>
            </w:r>
          </w:p>
          <w:p w14:paraId="66BC7106">
            <w:pPr>
              <w:rPr>
                <w:rFonts w:hint="eastAsia"/>
                <w:highlight w:val="none"/>
              </w:rPr>
            </w:pPr>
            <w:r>
              <w:rPr>
                <w:rFonts w:hint="eastAsia"/>
                <w:highlight w:val="none"/>
              </w:rPr>
              <w:t>⑩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p w14:paraId="3879B18F">
            <w:pPr>
              <w:rPr>
                <w:rFonts w:hint="eastAsia"/>
                <w:highlight w:val="none"/>
              </w:rPr>
            </w:pPr>
            <w:r>
              <w:rPr>
                <w:rFonts w:hint="eastAsia"/>
                <w:highlight w:val="none"/>
              </w:rPr>
              <w:t>⑪集备妙记：支持语音及视频会议记录，为音视频回放自动生成字幕，对音视频研讨过程中的关键词和对话进行智能提炼，支持倍速播放，回溯研讨内容。</w:t>
            </w:r>
          </w:p>
          <w:p w14:paraId="2ADAEAC9">
            <w:pPr>
              <w:rPr>
                <w:rFonts w:hint="eastAsia"/>
                <w:highlight w:val="none"/>
              </w:rPr>
            </w:pPr>
            <w:r>
              <w:rPr>
                <w:rFonts w:hint="eastAsia"/>
                <w:highlight w:val="none"/>
              </w:rPr>
              <w:t>▲3、集体备课混合教研模式：支持在授课模式下，使用交互式智能平板快速发起集体备课，开展即时的线下交流研讨，支持在线完成活动签到、资源共享，对整个线下研讨的过程进行记录。</w:t>
            </w:r>
          </w:p>
          <w:p w14:paraId="1097CE6C">
            <w:pPr>
              <w:rPr>
                <w:rFonts w:hint="eastAsia"/>
                <w:highlight w:val="none"/>
              </w:rPr>
            </w:pPr>
            <w:r>
              <w:rPr>
                <w:rFonts w:hint="eastAsia"/>
                <w:highlight w:val="none"/>
              </w:rPr>
              <w:t>①大屏模式：通过集体备课列表，在已发起的集备项目中支持大屏模式，开启线下研讨。</w:t>
            </w:r>
          </w:p>
          <w:p w14:paraId="16BB5B18">
            <w:pPr>
              <w:rPr>
                <w:rFonts w:hint="eastAsia"/>
                <w:highlight w:val="none"/>
              </w:rPr>
            </w:pPr>
            <w:r>
              <w:rPr>
                <w:rFonts w:hint="eastAsia"/>
                <w:highlight w:val="none"/>
              </w:rPr>
              <w:t>②共享资源：主备老师支持现场上传文件（包括课件、教案、胶囊和多媒体资源）用于研讨，参备老师也可通过扫码上传需要的资源文件，即时与教师们开展研讨。</w:t>
            </w:r>
          </w:p>
          <w:p w14:paraId="6F464CAB">
            <w:pPr>
              <w:rPr>
                <w:rFonts w:hint="eastAsia"/>
                <w:highlight w:val="none"/>
              </w:rPr>
            </w:pPr>
            <w:r>
              <w:rPr>
                <w:rFonts w:hint="eastAsia"/>
                <w:highlight w:val="none"/>
              </w:rPr>
              <w:t>③设置签到：在集体备课研讨前主备老师可以设置签到环节，选择签到时长，现场的老师扫码即可完成签到。</w:t>
            </w:r>
          </w:p>
          <w:p w14:paraId="0118E288">
            <w:pPr>
              <w:rPr>
                <w:rFonts w:hint="eastAsia"/>
                <w:highlight w:val="none"/>
              </w:rPr>
            </w:pPr>
            <w:r>
              <w:rPr>
                <w:rFonts w:hint="eastAsia"/>
                <w:highlight w:val="none"/>
              </w:rPr>
              <w:t>④调取黑板：支持调用黑板应用，老师现场完成板书/讨论。</w:t>
            </w:r>
          </w:p>
          <w:p w14:paraId="072D525F">
            <w:pPr>
              <w:rPr>
                <w:rFonts w:hint="eastAsia"/>
                <w:highlight w:val="none"/>
              </w:rPr>
            </w:pPr>
            <w:r>
              <w:rPr>
                <w:rFonts w:hint="eastAsia"/>
                <w:highlight w:val="none"/>
              </w:rPr>
              <w:t>⑤分享集备：支持分享二维码，现场或线上的老师可进入集备查看资源并参与研讨批注。</w:t>
            </w:r>
          </w:p>
          <w:p w14:paraId="46572328">
            <w:pPr>
              <w:rPr>
                <w:rFonts w:hint="eastAsia"/>
                <w:highlight w:val="none"/>
              </w:rPr>
            </w:pPr>
            <w:r>
              <w:rPr>
                <w:rFonts w:hint="eastAsia"/>
                <w:highlight w:val="none"/>
              </w:rPr>
              <w:t>▲4、听评课：支持实现电子化听评课。</w:t>
            </w:r>
          </w:p>
          <w:p w14:paraId="1301F8AB">
            <w:pPr>
              <w:rPr>
                <w:rFonts w:hint="eastAsia"/>
                <w:highlight w:val="none"/>
              </w:rPr>
            </w:pPr>
            <w:r>
              <w:rPr>
                <w:rFonts w:hint="eastAsia"/>
                <w:highlight w:val="none"/>
              </w:rPr>
              <w:t>①邀请评课：支持在授课模式中发起授课评价，根据课程和评课表生成二维码，可选择是否分享课件，若选择分享课件，评课人通过扫码即可参与评课并获取课件。</w:t>
            </w:r>
          </w:p>
          <w:p w14:paraId="5EF11009">
            <w:pPr>
              <w:rPr>
                <w:rFonts w:hint="eastAsia"/>
                <w:highlight w:val="none"/>
              </w:rPr>
            </w:pPr>
            <w:r>
              <w:rPr>
                <w:rFonts w:hint="eastAsia"/>
                <w:highlight w:val="none"/>
              </w:rPr>
              <w:t>②查看评课记录：支持在我的学校中查看我评的课、我讲的课的历史评价记录。</w:t>
            </w:r>
          </w:p>
          <w:p w14:paraId="67A0A95F">
            <w:pPr>
              <w:rPr>
                <w:rFonts w:hint="eastAsia"/>
                <w:highlight w:val="none"/>
              </w:rPr>
            </w:pPr>
            <w:r>
              <w:rPr>
                <w:rFonts w:hint="eastAsia"/>
                <w:highlight w:val="none"/>
              </w:rPr>
              <w:t>③导出评课报告和听课记录：支持导出我讲的课的评课报告为PDF文档，支持导出我评的课的评课表为WORD文档。</w:t>
            </w:r>
          </w:p>
          <w:p w14:paraId="46B3367C">
            <w:pPr>
              <w:rPr>
                <w:rFonts w:hint="eastAsia"/>
                <w:highlight w:val="none"/>
              </w:rPr>
            </w:pPr>
            <w:r>
              <w:rPr>
                <w:rFonts w:hint="eastAsia"/>
                <w:highlight w:val="none"/>
              </w:rPr>
              <w:t>④直播回放：直播评课全过程支持回放并自动生成字幕，支持回放视频形成回放链接分享，可直接下载导出，用于老师回顾课堂内容，分析老师的课堂表现和教学情况。</w:t>
            </w:r>
          </w:p>
          <w:p w14:paraId="6115A048">
            <w:pPr>
              <w:rPr>
                <w:rFonts w:hint="eastAsia"/>
                <w:highlight w:val="none"/>
              </w:rPr>
            </w:pPr>
            <w:r>
              <w:rPr>
                <w:rFonts w:hint="eastAsia"/>
                <w:highlight w:val="none"/>
              </w:rPr>
              <w:t>⑤AI课堂数据分析：一览课堂重要数据，智能分析授课内容生成高频词云，提炼师生互动生成课堂问答，老师可掌握课堂的重点与方向。</w:t>
            </w:r>
          </w:p>
          <w:p w14:paraId="3529E3E5">
            <w:pPr>
              <w:rPr>
                <w:rFonts w:hint="eastAsia"/>
                <w:highlight w:val="none"/>
              </w:rPr>
            </w:pPr>
            <w:r>
              <w:rPr>
                <w:rFonts w:hint="eastAsia"/>
                <w:highlight w:val="none"/>
              </w:rPr>
              <w:t>听评课-教师评课授课记录</w:t>
            </w:r>
          </w:p>
          <w:p w14:paraId="7B9E2EF8">
            <w:pPr>
              <w:rPr>
                <w:rFonts w:hint="eastAsia"/>
                <w:highlight w:val="none"/>
              </w:rPr>
            </w:pPr>
            <w:r>
              <w:rPr>
                <w:rFonts w:hint="eastAsia"/>
                <w:highlight w:val="none"/>
              </w:rPr>
              <w:t>1、评课列表：在评课列表中可查看[我评的课]的所有记录，评课记录云端存储，不怕丢失。</w:t>
            </w:r>
          </w:p>
          <w:p w14:paraId="2D41566D">
            <w:pPr>
              <w:rPr>
                <w:rFonts w:hint="eastAsia"/>
                <w:highlight w:val="none"/>
              </w:rPr>
            </w:pPr>
            <w:r>
              <w:rPr>
                <w:rFonts w:hint="eastAsia"/>
                <w:highlight w:val="none"/>
              </w:rPr>
              <w:t>2、评课表导出：支持评课表导出，便于存档和检查。</w:t>
            </w:r>
          </w:p>
          <w:p w14:paraId="2AE79CA2">
            <w:pPr>
              <w:rPr>
                <w:rFonts w:hint="eastAsia"/>
                <w:highlight w:val="none"/>
              </w:rPr>
            </w:pPr>
            <w:r>
              <w:rPr>
                <w:rFonts w:hint="eastAsia"/>
                <w:highlight w:val="none"/>
              </w:rPr>
              <w:t>3、授课列表：在授课列表中可查看[我讲的课]的所有记录，讲课记录云端存储，方便查阅，</w:t>
            </w:r>
          </w:p>
          <w:p w14:paraId="755D4BA6">
            <w:pPr>
              <w:rPr>
                <w:rFonts w:hint="eastAsia"/>
                <w:highlight w:val="none"/>
              </w:rPr>
            </w:pPr>
            <w:r>
              <w:rPr>
                <w:rFonts w:hint="eastAsia"/>
                <w:highlight w:val="none"/>
              </w:rPr>
              <w:t>4、导出评课报告：系统自动生成评课报告，并支持一键导出PDF。</w:t>
            </w:r>
          </w:p>
          <w:p w14:paraId="63D206BA">
            <w:pPr>
              <w:rPr>
                <w:rFonts w:hint="eastAsia"/>
                <w:highlight w:val="none"/>
              </w:rPr>
            </w:pPr>
            <w:r>
              <w:rPr>
                <w:rFonts w:hint="eastAsia"/>
                <w:highlight w:val="none"/>
              </w:rPr>
              <w:t>听评课-直播听评课</w:t>
            </w:r>
          </w:p>
          <w:p w14:paraId="76F2E626">
            <w:pPr>
              <w:rPr>
                <w:rFonts w:hint="eastAsia"/>
                <w:highlight w:val="none"/>
              </w:rPr>
            </w:pPr>
            <w:r>
              <w:rPr>
                <w:rFonts w:hint="eastAsia"/>
                <w:highlight w:val="none"/>
              </w:rPr>
              <w:t>支持通过实时音视频将课堂教学现场进行实况直播，实现异地听课、评课，直播听评课结束后生成直播回放，使课堂教学研究与课堂教学同步进行，参与听课、评课教师。</w:t>
            </w:r>
          </w:p>
          <w:p w14:paraId="7CDE3C20">
            <w:pPr>
              <w:rPr>
                <w:rFonts w:hint="eastAsia"/>
                <w:highlight w:val="none"/>
              </w:rPr>
            </w:pPr>
            <w:r>
              <w:rPr>
                <w:rFonts w:hint="eastAsia"/>
                <w:highlight w:val="none"/>
              </w:rPr>
              <w:t>①直播听评课：支持授课老师发起直播听评课，使用手机进行录影，听课老师可查看课堂直播。</w:t>
            </w:r>
          </w:p>
          <w:p w14:paraId="112A9B3E">
            <w:pPr>
              <w:rPr>
                <w:rFonts w:hint="eastAsia"/>
                <w:highlight w:val="none"/>
              </w:rPr>
            </w:pPr>
            <w:r>
              <w:rPr>
                <w:rFonts w:hint="eastAsia"/>
                <w:highlight w:val="none"/>
              </w:rPr>
              <w:t>②听课提醒：支持查看评课邀请信息和直播开启预告，及时进入直播课堂，进行听课评价。</w:t>
            </w:r>
          </w:p>
          <w:p w14:paraId="6CAE0536">
            <w:pPr>
              <w:rPr>
                <w:rFonts w:hint="eastAsia"/>
                <w:highlight w:val="none"/>
              </w:rPr>
            </w:pPr>
            <w:r>
              <w:rPr>
                <w:rFonts w:hint="eastAsia"/>
                <w:highlight w:val="none"/>
              </w:rPr>
              <w:t>③听课交流：支持主动发布“开启了直播”、“关闭直播”课堂状态，及时同步课堂进度。支持远程观看课堂直播时同步在听课交流区发表文字、快捷表情和照片内容，记录与分享听课想法。</w:t>
            </w:r>
          </w:p>
          <w:p w14:paraId="23372FE6">
            <w:pPr>
              <w:rPr>
                <w:rFonts w:hint="eastAsia"/>
                <w:highlight w:val="none"/>
              </w:rPr>
            </w:pPr>
            <w:r>
              <w:rPr>
                <w:rFonts w:hint="eastAsia"/>
                <w:highlight w:val="none"/>
              </w:rPr>
              <w:t>④直播回放：支持查看课堂录影回放，回顾课堂内容，分析老师的课堂表现和教学情况。</w:t>
            </w:r>
          </w:p>
          <w:p w14:paraId="600A0868">
            <w:pPr>
              <w:rPr>
                <w:rFonts w:hint="eastAsia"/>
                <w:highlight w:val="none"/>
              </w:rPr>
            </w:pPr>
            <w:r>
              <w:rPr>
                <w:rFonts w:hint="eastAsia"/>
                <w:highlight w:val="none"/>
              </w:rPr>
              <w:t>⑤提供推流地址，支持网络推流输出，可实时推流给资源平台，实现平台直播。</w:t>
            </w:r>
          </w:p>
          <w:p w14:paraId="5A2F34C6">
            <w:pPr>
              <w:rPr>
                <w:rFonts w:hint="eastAsia"/>
                <w:highlight w:val="none"/>
              </w:rPr>
            </w:pPr>
            <w:r>
              <w:rPr>
                <w:rFonts w:hint="eastAsia"/>
                <w:highlight w:val="none"/>
              </w:rPr>
              <w:t>⑥支持绑定互动录播电脑主机发起直播。</w:t>
            </w:r>
          </w:p>
          <w:p w14:paraId="54D81228">
            <w:pPr>
              <w:rPr>
                <w:rFonts w:hint="eastAsia"/>
                <w:highlight w:val="none"/>
              </w:rPr>
            </w:pPr>
            <w:r>
              <w:rPr>
                <w:rFonts w:hint="eastAsia"/>
                <w:highlight w:val="none"/>
              </w:rPr>
              <w:t>5、创建教研组：在电脑端进入备课组空间实现组内备课资源共享，集体备课共研。</w:t>
            </w:r>
          </w:p>
          <w:p w14:paraId="5EF006E8">
            <w:pPr>
              <w:rPr>
                <w:rFonts w:hint="eastAsia"/>
                <w:highlight w:val="none"/>
              </w:rPr>
            </w:pPr>
            <w:r>
              <w:rPr>
                <w:rFonts w:hint="eastAsia"/>
                <w:highlight w:val="none"/>
              </w:rPr>
              <w:t>①共享备课资源：支持选择教材和对应的章节目录，添加课件/教案/胶囊/多媒体文件/集体备课项目到组内一起研讨，支持同步到校本资源库。</w:t>
            </w:r>
          </w:p>
          <w:p w14:paraId="42CE0E83">
            <w:pPr>
              <w:rPr>
                <w:rFonts w:hint="eastAsia"/>
                <w:highlight w:val="none"/>
              </w:rPr>
            </w:pPr>
            <w:r>
              <w:rPr>
                <w:rFonts w:hint="eastAsia"/>
                <w:highlight w:val="none"/>
              </w:rPr>
              <w:t>②搜索备课资源：支持点击选择教材，通过教材章节目录找到对应的课程教学资料和集备项目，支持筛选老师查看其添加的备课资源。</w:t>
            </w:r>
          </w:p>
          <w:p w14:paraId="34BCB618">
            <w:pPr>
              <w:rPr>
                <w:rFonts w:hint="eastAsia"/>
                <w:highlight w:val="none"/>
              </w:rPr>
            </w:pPr>
            <w:r>
              <w:rPr>
                <w:rFonts w:hint="eastAsia"/>
                <w:highlight w:val="none"/>
              </w:rPr>
              <w:t>③获取备课资源：点击可预览资源内容，并获取到云课件中应用。</w:t>
            </w:r>
          </w:p>
          <w:p w14:paraId="62B562AC">
            <w:pPr>
              <w:rPr>
                <w:rFonts w:hint="eastAsia"/>
                <w:highlight w:val="none"/>
              </w:rPr>
            </w:pPr>
            <w:r>
              <w:rPr>
                <w:rFonts w:hint="eastAsia"/>
                <w:highlight w:val="none"/>
              </w:rPr>
              <w:t>④进入集备项目：点击章节下的集体备课项目可进入集体备课页面，参与研讨或回顾研讨内容。</w:t>
            </w:r>
          </w:p>
          <w:p w14:paraId="5492C3C2">
            <w:pPr>
              <w:rPr>
                <w:rFonts w:hint="eastAsia"/>
                <w:highlight w:val="none"/>
              </w:rPr>
            </w:pPr>
            <w:r>
              <w:rPr>
                <w:rFonts w:hint="eastAsia"/>
                <w:highlight w:val="none"/>
              </w:rPr>
              <w:t>⑤查看数据统计：支持查看不同时间/教材下的小组成员的备课资源和集备数据，支持对数据进行排序查看。</w:t>
            </w:r>
          </w:p>
          <w:p w14:paraId="0835BE0B">
            <w:pPr>
              <w:rPr>
                <w:rFonts w:hint="eastAsia"/>
                <w:highlight w:val="none"/>
              </w:rPr>
            </w:pPr>
            <w:r>
              <w:rPr>
                <w:rFonts w:hint="eastAsia"/>
                <w:highlight w:val="none"/>
              </w:rPr>
              <w:t>⑥添加成员：支持搜索名称或手机号添加老师进入备课组。</w:t>
            </w:r>
          </w:p>
          <w:p w14:paraId="138B8A15">
            <w:pPr>
              <w:rPr>
                <w:rFonts w:hint="eastAsia"/>
                <w:highlight w:val="none"/>
              </w:rPr>
            </w:pPr>
          </w:p>
          <w:p w14:paraId="37703A15">
            <w:pPr>
              <w:rPr>
                <w:rFonts w:hint="eastAsia"/>
                <w:highlight w:val="none"/>
              </w:rPr>
            </w:pPr>
            <w:r>
              <w:rPr>
                <w:rFonts w:hint="eastAsia"/>
                <w:highlight w:val="none"/>
              </w:rPr>
              <w:t>二、电子云教案</w:t>
            </w:r>
          </w:p>
          <w:p w14:paraId="5B7BF517">
            <w:pPr>
              <w:rPr>
                <w:rFonts w:hint="eastAsia"/>
                <w:highlight w:val="none"/>
              </w:rPr>
            </w:pPr>
            <w:r>
              <w:rPr>
                <w:rFonts w:hint="eastAsia"/>
                <w:highlight w:val="none"/>
              </w:rPr>
              <w:t>▲1、云教案内容可自动同步至云空间。支持以链接方式进行定向式分享和开放式分享。接收者可直接在桌面浏览器、微信内打开预览，可将云教案转存至个人云空间。云教案支持导出为PDF格式。（响应文件中须出具检验结果符合或者优于本项参数的国家认可的第三方认证（检测）机构出具的带有CMA或CNAS标志的检测报告）</w:t>
            </w:r>
          </w:p>
          <w:p w14:paraId="1D744A01">
            <w:pPr>
              <w:rPr>
                <w:rFonts w:hint="eastAsia"/>
                <w:highlight w:val="none"/>
              </w:rPr>
            </w:pPr>
            <w:r>
              <w:rPr>
                <w:rFonts w:hint="eastAsia"/>
                <w:highlight w:val="none"/>
              </w:rPr>
              <w:t>▲2、支持将Word文档转换为云教案，支持解析文本、表格通用元素。（响应文件中须出具检验结果符合或者优于本项参数的国家认可的第三方认证（检测）机构出具的带有CMA或CNAS标志的检测报告）</w:t>
            </w:r>
          </w:p>
          <w:p w14:paraId="477523BB">
            <w:pPr>
              <w:rPr>
                <w:rFonts w:hint="eastAsia"/>
                <w:highlight w:val="none"/>
              </w:rPr>
            </w:pPr>
            <w:r>
              <w:rPr>
                <w:rFonts w:hint="eastAsia"/>
                <w:highlight w:val="none"/>
              </w:rPr>
              <w:t>▲3、云教案支持插入表格、图片、音视频、文档附件。支持的音视频格式：mp3、mp4、ogg、wav、webm；支持的文档格式：pdf、doc、docx、xls、xlsx。</w:t>
            </w:r>
          </w:p>
          <w:p w14:paraId="3E466ED2">
            <w:pPr>
              <w:rPr>
                <w:rFonts w:hint="eastAsia"/>
                <w:highlight w:val="none"/>
              </w:rPr>
            </w:pPr>
            <w:r>
              <w:rPr>
                <w:rFonts w:hint="eastAsia"/>
                <w:highlight w:val="none"/>
              </w:rPr>
              <w:t>▲4、提供教案模板以供老师撰写教案，预置模板包含表格式、提纲式、集备式、多课时式、单元设计式不少于7个。支持校本模板，管理员在教研管理后台设置校本模板后，老师可在云教案模板调用。（响应文件中须出具检验结果符合或者优于本项参数的国家认可的第三方认证（检测）机构出具的带有CMA或CNAS标志的检测报告）</w:t>
            </w:r>
          </w:p>
          <w:p w14:paraId="1FCB5551">
            <w:pPr>
              <w:rPr>
                <w:rFonts w:hint="eastAsia"/>
                <w:highlight w:val="none"/>
              </w:rPr>
            </w:pPr>
            <w:r>
              <w:rPr>
                <w:rFonts w:hint="eastAsia"/>
                <w:highlight w:val="none"/>
              </w:rPr>
              <w:t>▲5、云教案与云课件可一对多关联绑定，产生绑定后，在课件页和教案页均支持在同一面板打开关联的云课件或云教案预览，便于老师备课时相互对照。（响应文件中须出具检验结果符合或者优于本项参数的国家认可的第三方认证（检测）机构出具的带有CMA或CNAS标志的检测报告）</w:t>
            </w:r>
          </w:p>
          <w:p w14:paraId="5ED39C21">
            <w:pPr>
              <w:rPr>
                <w:rFonts w:hint="eastAsia"/>
                <w:highlight w:val="none"/>
              </w:rPr>
            </w:pPr>
            <w:r>
              <w:rPr>
                <w:rFonts w:hint="eastAsia"/>
                <w:highlight w:val="none"/>
              </w:rPr>
              <w:t>▲6、云教案内支持插入课件页，可调用云空间中的课件列表，按单页或整份插入教案。插入后的课件可以窗口形式预览，可直接在窗口内进行翻页、元素移动、课堂活动操作、思维导图展开收起、形状工具、蒙层工具、笔工具的交互。可一键切换至全屏模式，全屏模式下支持批注和手势擦除。（响应文件中须出具检验结果符合或者优于本项参数的国家认可的第三方认证（检测）机构出具的带有CMA或CNAS标志的检测报告）</w:t>
            </w:r>
          </w:p>
          <w:p w14:paraId="66D1ADA3">
            <w:pPr>
              <w:rPr>
                <w:rFonts w:hint="eastAsia"/>
                <w:highlight w:val="none"/>
              </w:rPr>
            </w:pPr>
            <w:r>
              <w:rPr>
                <w:rFonts w:hint="eastAsia"/>
                <w:highlight w:val="none"/>
              </w:rPr>
              <w:t>▲7、云教案提供授课模式，可在云教案预览页面点击授课进入全屏演示模式，也可在授课端直接打开云教案列表进入。授课模式下支持使用笔工具书写批注，且可上下左右漫游。（响应文件中须出具检验结果符合或者优于本项参数的国家认可的第三方认证（检测）机构出具的带有CMA或CNAS标志的检测报告）</w:t>
            </w:r>
          </w:p>
          <w:p w14:paraId="276E5D72">
            <w:pPr>
              <w:rPr>
                <w:rFonts w:hint="eastAsia"/>
                <w:highlight w:val="none"/>
              </w:rPr>
            </w:pPr>
            <w:r>
              <w:rPr>
                <w:rFonts w:hint="eastAsia"/>
                <w:highlight w:val="none"/>
              </w:rPr>
              <w:t>▲8、可一键插入思维导图，支持直接在教案页面的轻量化编辑，进入全屏后可设置更多导图格式。</w:t>
            </w:r>
          </w:p>
          <w:p w14:paraId="4C914E42">
            <w:pPr>
              <w:rPr>
                <w:rFonts w:hint="eastAsia"/>
                <w:highlight w:val="none"/>
              </w:rPr>
            </w:pPr>
            <w:r>
              <w:rPr>
                <w:rFonts w:hint="eastAsia"/>
                <w:highlight w:val="none"/>
              </w:rPr>
              <w:t>▲9、教案授课模式下，课件页、思维导图、插入的PDF、Word等文件均支持全屏预览板书。</w:t>
            </w:r>
          </w:p>
          <w:p w14:paraId="0E6E1384">
            <w:pPr>
              <w:rPr>
                <w:rFonts w:hint="eastAsia"/>
                <w:highlight w:val="none"/>
              </w:rPr>
            </w:pPr>
          </w:p>
          <w:p w14:paraId="5A52BFAE">
            <w:pPr>
              <w:rPr>
                <w:rFonts w:hint="eastAsia"/>
                <w:highlight w:val="none"/>
              </w:rPr>
            </w:pPr>
            <w:r>
              <w:rPr>
                <w:rFonts w:hint="eastAsia"/>
                <w:highlight w:val="none"/>
              </w:rPr>
              <w:t>三、电脑模块配置要求</w:t>
            </w:r>
          </w:p>
          <w:p w14:paraId="1BB7D23D">
            <w:pPr>
              <w:rPr>
                <w:rFonts w:hint="eastAsia"/>
                <w:highlight w:val="none"/>
              </w:rPr>
            </w:pPr>
            <w:r>
              <w:rPr>
                <w:rFonts w:hint="eastAsia"/>
                <w:highlight w:val="none"/>
              </w:rPr>
              <w:t>1.采用抽拉内置式模块化电脑，抽拉内置式，PC模块可插入整机，可实现无单独接线的插拔。无需工具即可快速拆卸电脑模块。</w:t>
            </w:r>
          </w:p>
          <w:p w14:paraId="6A377B49">
            <w:pPr>
              <w:rPr>
                <w:rFonts w:hint="eastAsia"/>
                <w:highlight w:val="none"/>
              </w:rPr>
            </w:pPr>
            <w:r>
              <w:rPr>
                <w:rFonts w:hint="eastAsia"/>
                <w:highlight w:val="none"/>
              </w:rPr>
              <w:t>▲2.搭载Intel 十二代酷睿i5或以上配置CPU，内存：16GB DDR4内存或以上配置。硬盘：512 GB SSD固态硬盘或以上配置。</w:t>
            </w:r>
          </w:p>
          <w:p w14:paraId="05EDF89D">
            <w:pPr>
              <w:rPr>
                <w:rFonts w:hint="eastAsia"/>
                <w:highlight w:val="none"/>
              </w:rPr>
            </w:pPr>
            <w:r>
              <w:rPr>
                <w:rFonts w:hint="eastAsia"/>
                <w:highlight w:val="none"/>
              </w:rPr>
              <w:t>3.采用按压式卡扣，无需工具即可快速拆卸电脑模块。</w:t>
            </w:r>
          </w:p>
          <w:p w14:paraId="38ADE944">
            <w:pPr>
              <w:rPr>
                <w:rFonts w:hint="eastAsia"/>
                <w:highlight w:val="none"/>
              </w:rPr>
            </w:pPr>
            <w:r>
              <w:rPr>
                <w:rFonts w:hint="eastAsia"/>
                <w:highlight w:val="none"/>
              </w:rPr>
              <w:t>4.PC模块可抽拉式插入整机，可实现无单独接线的拔插，和整机的连接采用万兆级接口，传输速率≥10Gbps。</w:t>
            </w:r>
          </w:p>
          <w:p w14:paraId="21EFBD16">
            <w:pPr>
              <w:rPr>
                <w:rFonts w:hint="eastAsia"/>
                <w:highlight w:val="none"/>
              </w:rPr>
            </w:pPr>
            <w:r>
              <w:rPr>
                <w:rFonts w:hint="eastAsia"/>
                <w:highlight w:val="none"/>
              </w:rPr>
              <w:t>▲5.须配备正版操作系统。</w:t>
            </w:r>
          </w:p>
          <w:p w14:paraId="50F37DAD">
            <w:pPr>
              <w:rPr>
                <w:rFonts w:hint="eastAsia"/>
                <w:highlight w:val="none"/>
              </w:rPr>
            </w:pPr>
          </w:p>
          <w:p w14:paraId="22D21CAB">
            <w:pPr>
              <w:rPr>
                <w:rFonts w:hint="eastAsia"/>
                <w:highlight w:val="none"/>
              </w:rPr>
            </w:pPr>
            <w:r>
              <w:rPr>
                <w:rFonts w:hint="eastAsia"/>
                <w:highlight w:val="none"/>
                <w:lang w:val="en-US" w:eastAsia="zh-CN"/>
              </w:rPr>
              <w:t>四</w:t>
            </w:r>
            <w:r>
              <w:rPr>
                <w:rFonts w:hint="eastAsia"/>
                <w:highlight w:val="none"/>
              </w:rPr>
              <w:t>、整体设计</w:t>
            </w:r>
          </w:p>
          <w:p w14:paraId="72301205">
            <w:pPr>
              <w:rPr>
                <w:rFonts w:hint="eastAsia"/>
                <w:highlight w:val="none"/>
              </w:rPr>
            </w:pPr>
            <w:r>
              <w:rPr>
                <w:rFonts w:hint="eastAsia"/>
                <w:highlight w:val="none"/>
              </w:rPr>
              <w:t>1、整机采用一体设计，外部无任何可见内部功能模块连接线。边角采用弧形设计，表面无尖锐边缘或凸起。</w:t>
            </w:r>
          </w:p>
          <w:p w14:paraId="06C32BA3">
            <w:pPr>
              <w:rPr>
                <w:rFonts w:hint="eastAsia"/>
                <w:highlight w:val="none"/>
              </w:rPr>
            </w:pPr>
            <w:r>
              <w:rPr>
                <w:rFonts w:hint="eastAsia"/>
                <w:highlight w:val="none"/>
              </w:rPr>
              <w:t>2、整机采用全金属外壳设计，屏幕边缘采用金属圆角包边防护，整机背板采用金属材质，有效屏蔽内部电路器件辐射；防潮耐盐雾蚀锈，适应多种教学环境。</w:t>
            </w:r>
          </w:p>
          <w:p w14:paraId="65B7C7AB">
            <w:pPr>
              <w:rPr>
                <w:rFonts w:hint="eastAsia"/>
                <w:highlight w:val="none"/>
              </w:rPr>
            </w:pPr>
            <w:r>
              <w:rPr>
                <w:rFonts w:hint="eastAsia"/>
                <w:highlight w:val="none"/>
              </w:rPr>
              <w:t>▲3、整机屏幕采用≥86英寸液晶显示器。整机采用超高清LED液晶显示屏，显示比例16:9，分辨率3840×2160。</w:t>
            </w:r>
          </w:p>
          <w:p w14:paraId="6C62180F">
            <w:pPr>
              <w:rPr>
                <w:rFonts w:hint="eastAsia"/>
                <w:highlight w:val="none"/>
              </w:rPr>
            </w:pPr>
            <w:r>
              <w:rPr>
                <w:rFonts w:hint="eastAsia"/>
                <w:highlight w:val="none"/>
              </w:rPr>
              <w:t>4、侧置输入接口具备≥2路HDMI、≥1路RS232、≥1路USB接口；侧置输出接口具备≥1路音频输出、≥1路触控USB输出；前置输入接口具备≥3路USB接口（包含≥1路Type-C、≥2路USB）。</w:t>
            </w:r>
          </w:p>
          <w:p w14:paraId="75082F0F">
            <w:pPr>
              <w:rPr>
                <w:rFonts w:hint="eastAsia"/>
                <w:highlight w:val="none"/>
              </w:rPr>
            </w:pPr>
            <w:r>
              <w:rPr>
                <w:rFonts w:hint="eastAsia"/>
                <w:highlight w:val="none"/>
              </w:rPr>
              <w:t>5、嵌入式系统版本不低于Android 13，内存≥2GB，存储空间≥7GB。</w:t>
            </w:r>
          </w:p>
          <w:p w14:paraId="3415B6E5">
            <w:pPr>
              <w:rPr>
                <w:rFonts w:hint="eastAsia"/>
                <w:highlight w:val="none"/>
              </w:rPr>
            </w:pPr>
            <w:r>
              <w:rPr>
                <w:rFonts w:hint="eastAsia"/>
                <w:highlight w:val="none"/>
              </w:rPr>
              <w:t>▲6、钢化玻璃表面硬度≥8H。采用红外触控技术，支持Windows系统中进行40点或以上触控，支持在Android系统中进行40点或以上触控。（响应文件中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93EEB3C">
            <w:pPr>
              <w:rPr>
                <w:rFonts w:hint="eastAsia"/>
                <w:highlight w:val="none"/>
              </w:rPr>
            </w:pPr>
            <w:r>
              <w:rPr>
                <w:rFonts w:hint="eastAsia"/>
                <w:highlight w:val="none"/>
              </w:rPr>
              <w:t>7、从内部Android通道切换到内部PC通道后，触摸框在1s内达到可触控状态。从内部PC通道切换到外部通道后，触摸框在3s内达到可触控状态。</w:t>
            </w:r>
          </w:p>
          <w:p w14:paraId="45795C77">
            <w:pPr>
              <w:rPr>
                <w:rFonts w:hint="eastAsia"/>
                <w:highlight w:val="none"/>
              </w:rPr>
            </w:pPr>
            <w:r>
              <w:rPr>
                <w:rFonts w:hint="eastAsia"/>
                <w:highlight w:val="none"/>
              </w:rPr>
              <w:t>8、前置USB接口支持Android系统、Windows系统读取外接移动存储设备。</w:t>
            </w:r>
          </w:p>
          <w:p w14:paraId="6B724896">
            <w:pPr>
              <w:rPr>
                <w:rFonts w:hint="eastAsia"/>
                <w:highlight w:val="none"/>
              </w:rPr>
            </w:pPr>
            <w:r>
              <w:rPr>
                <w:rFonts w:hint="eastAsia"/>
                <w:highlight w:val="none"/>
              </w:rPr>
              <w:t>9、部署单根网线可实现Android、Windows系统双系统有线网络连通。</w:t>
            </w:r>
          </w:p>
          <w:p w14:paraId="65ACCFB4">
            <w:pPr>
              <w:rPr>
                <w:rFonts w:hint="eastAsia"/>
                <w:highlight w:val="none"/>
              </w:rPr>
            </w:pPr>
            <w:r>
              <w:rPr>
                <w:rFonts w:hint="eastAsia"/>
                <w:highlight w:val="none"/>
              </w:rPr>
              <w:t>10、整机能感应并自动调节屏幕亮度来达到在不同光照环境下的不同亮度显示效果，此功能可自行开启或关闭。</w:t>
            </w:r>
          </w:p>
          <w:p w14:paraId="7B7D0449">
            <w:pPr>
              <w:rPr>
                <w:rFonts w:hint="eastAsia"/>
                <w:highlight w:val="none"/>
              </w:rPr>
            </w:pPr>
            <w:r>
              <w:rPr>
                <w:rFonts w:hint="eastAsia"/>
                <w:highlight w:val="none"/>
              </w:rPr>
              <w:t>11、采用全物理钢化玻璃，有效保护屏幕显示画面，整机采用防眩光玻璃，屏幕支持防眩光功能，玻璃表面采用纳米材料镀膜环保工艺，书写更加顺滑，防眩光效果更加优异。</w:t>
            </w:r>
          </w:p>
          <w:p w14:paraId="2924B0FF">
            <w:pPr>
              <w:rPr>
                <w:rFonts w:hint="eastAsia"/>
                <w:highlight w:val="none"/>
              </w:rPr>
            </w:pPr>
          </w:p>
          <w:p w14:paraId="663C233F">
            <w:pPr>
              <w:rPr>
                <w:rFonts w:hint="eastAsia"/>
                <w:highlight w:val="none"/>
              </w:rPr>
            </w:pPr>
            <w:r>
              <w:rPr>
                <w:rFonts w:hint="eastAsia"/>
                <w:highlight w:val="none"/>
                <w:lang w:val="en-US" w:eastAsia="zh-CN"/>
              </w:rPr>
              <w:t>五</w:t>
            </w:r>
            <w:r>
              <w:rPr>
                <w:rFonts w:hint="eastAsia"/>
                <w:highlight w:val="none"/>
              </w:rPr>
              <w:t>、音视频教学功能：</w:t>
            </w:r>
          </w:p>
          <w:p w14:paraId="721FB222">
            <w:pPr>
              <w:rPr>
                <w:rFonts w:hint="eastAsia"/>
                <w:highlight w:val="none"/>
              </w:rPr>
            </w:pPr>
            <w:r>
              <w:rPr>
                <w:rFonts w:hint="eastAsia"/>
                <w:highlight w:val="none"/>
              </w:rPr>
              <w:t>▲1、整机内置2.2声道扬声器，位于设备上边框，顶置朝前发声，前朝向≥10W高音扬声器2个，上朝向≥20W中低音扬声器2个，额定总功率≥60W。整机可选择高级音效设置，支持在左右声道平衡显示范围中进行更改；中低频段显示调节范围125Hz～1KHz，高频段显示调节范围 2KHz～16KHz，分贝显示-12dB～12dB 调节范围。（响应文件中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77A13B1">
            <w:pPr>
              <w:rPr>
                <w:rFonts w:hint="eastAsia"/>
                <w:highlight w:val="none"/>
              </w:rPr>
            </w:pPr>
            <w:r>
              <w:rPr>
                <w:rFonts w:hint="eastAsia"/>
                <w:highlight w:val="none"/>
              </w:rPr>
              <w:t>▲2、整机内置非独立外扩展的8阵列麦克风，拾音角度≥180°，可用于对教室环境音频进行采集，拾音距离≥12m，整机内置扬声器采用缝隙发声技术，喇叭采用槽式开口设计，不大于5.8mm。（响应文件中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706D59CE">
            <w:pPr>
              <w:rPr>
                <w:rFonts w:hint="eastAsia"/>
                <w:highlight w:val="none"/>
              </w:rPr>
            </w:pPr>
            <w:r>
              <w:rPr>
                <w:rFonts w:hint="eastAsia"/>
                <w:highlight w:val="none"/>
              </w:rPr>
              <w:t>▲3、整机扬声器在100%音量下，可做到1米处声压级≥88db，10米处声压级≥79dB；</w:t>
            </w:r>
          </w:p>
          <w:p w14:paraId="4831381B">
            <w:pPr>
              <w:rPr>
                <w:rFonts w:hint="eastAsia"/>
                <w:highlight w:val="none"/>
              </w:rPr>
            </w:pPr>
            <w:r>
              <w:rPr>
                <w:rFonts w:hint="eastAsia"/>
                <w:highlight w:val="none"/>
              </w:rPr>
              <w:t>4、内置摄像头、麦克风无需外接线材连接，无任何可见外接线材及模块化拼接痕迹，未占用整机设备端口。</w:t>
            </w:r>
          </w:p>
          <w:p w14:paraId="012AB1DE">
            <w:pPr>
              <w:rPr>
                <w:rFonts w:hint="eastAsia"/>
                <w:highlight w:val="none"/>
              </w:rPr>
            </w:pPr>
            <w:r>
              <w:rPr>
                <w:rFonts w:hint="eastAsia"/>
                <w:highlight w:val="none"/>
              </w:rPr>
              <w:t>▲5、支持标准、听力、观影和AI空间感知音效模式，AI空间感知音效模式可通过内置麦克风采集教室物理环境声音，自动生成符合当前教室物理环境的频段、音量、音效。（响应文件中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156862F">
            <w:pPr>
              <w:rPr>
                <w:rFonts w:hint="eastAsia"/>
                <w:highlight w:val="none"/>
              </w:rPr>
            </w:pPr>
            <w:r>
              <w:rPr>
                <w:rFonts w:hint="eastAsia"/>
                <w:highlight w:val="none"/>
              </w:rPr>
              <w:t>6、整机色域覆盖率（NTSC）≥72%</w:t>
            </w:r>
          </w:p>
          <w:p w14:paraId="7ACA17BD">
            <w:pPr>
              <w:rPr>
                <w:rFonts w:hint="eastAsia"/>
                <w:highlight w:val="none"/>
              </w:rPr>
            </w:pPr>
            <w:r>
              <w:rPr>
                <w:rFonts w:hint="eastAsia"/>
                <w:highlight w:val="none"/>
              </w:rPr>
              <w:t>7、整机背光系统支持DC调光方式，多级亮度调节，支持白颜色背景下最暗亮度≤100nit，用于提升显示对比度。灰度等级≥256级。</w:t>
            </w:r>
          </w:p>
          <w:p w14:paraId="0A1AE7E4">
            <w:pPr>
              <w:rPr>
                <w:rFonts w:hint="eastAsia"/>
                <w:highlight w:val="none"/>
              </w:rPr>
            </w:pPr>
            <w:r>
              <w:rPr>
                <w:rFonts w:hint="eastAsia"/>
                <w:highlight w:val="none"/>
              </w:rPr>
              <w:t>▲8、整机支持色彩空间可选，包含标准模式和sRGB模式，在sRGB模式下可做到高色准△E≤1。（响应文件中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0DE49086">
            <w:pPr>
              <w:rPr>
                <w:rFonts w:hint="eastAsia"/>
                <w:highlight w:val="none"/>
              </w:rPr>
            </w:pPr>
            <w:r>
              <w:rPr>
                <w:rFonts w:hint="eastAsia"/>
                <w:highlight w:val="none"/>
              </w:rPr>
              <w:t>9、整机采用硬件低蓝光背光技术，在源头减少有害蓝光波段能量，蓝光占比（有害蓝光415～455nm能量综合）/（整体蓝光400～500能量综合）＜50%，低蓝光保护显示不偏色、不泛黄。</w:t>
            </w:r>
          </w:p>
          <w:p w14:paraId="377E76F6">
            <w:pPr>
              <w:rPr>
                <w:rFonts w:hint="eastAsia"/>
                <w:highlight w:val="none"/>
              </w:rPr>
            </w:pPr>
            <w:r>
              <w:rPr>
                <w:rFonts w:hint="eastAsia"/>
                <w:highlight w:val="none"/>
              </w:rPr>
              <w:t>▲10、支持标准、多媒体和节能三种图像模式调节，整机系统支持手势上滑调出人工智能画质调节模式（AI-PQ），在安卓通道下可根据屏幕内容自动调节画质参数，当屏幕出现人物、建筑、夜景等元素时，自动调整对比度、饱和度、锐利度、色调色相值、高光/阴影。（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89E9104">
            <w:pPr>
              <w:rPr>
                <w:rFonts w:hint="eastAsia"/>
                <w:highlight w:val="none"/>
              </w:rPr>
            </w:pPr>
            <w:r>
              <w:rPr>
                <w:rFonts w:hint="eastAsia"/>
                <w:highlight w:val="none"/>
              </w:rPr>
              <w:t>11、支持自定义图像设置，可对对比度、屏幕色温、图像亮度、亮度范围、色彩空间调节设置。</w:t>
            </w:r>
          </w:p>
          <w:p w14:paraId="06BA8BD2">
            <w:pPr>
              <w:rPr>
                <w:rFonts w:hint="eastAsia"/>
                <w:highlight w:val="none"/>
              </w:rPr>
            </w:pPr>
            <w:r>
              <w:rPr>
                <w:rFonts w:hint="eastAsia"/>
                <w:highlight w:val="none"/>
              </w:rPr>
              <w:t>12、整机视网膜蓝光危害（蓝光加权辐射亮度LB）满足IEC TR 62778:2014蓝光危害RG0级别</w:t>
            </w:r>
          </w:p>
          <w:p w14:paraId="476F2F8E">
            <w:pPr>
              <w:rPr>
                <w:rFonts w:hint="eastAsia"/>
                <w:highlight w:val="none"/>
              </w:rPr>
            </w:pPr>
            <w:r>
              <w:rPr>
                <w:rFonts w:hint="eastAsia"/>
                <w:highlight w:val="none"/>
              </w:rPr>
              <w:t>▲13、整机全通道支持纸质护眼模式，可实现画面纹理的实时调整；支持纸质纹理：牛皮纸、素描纸、宣纸、水彩纸；支持透明度调节；支持色温调节，纸质护眼模式下，显示画面各像素点灰度不规则，减少背景干扰。</w:t>
            </w:r>
          </w:p>
          <w:p w14:paraId="40F587C2">
            <w:pPr>
              <w:rPr>
                <w:rFonts w:hint="eastAsia"/>
                <w:highlight w:val="none"/>
              </w:rPr>
            </w:pPr>
            <w:r>
              <w:rPr>
                <w:rFonts w:hint="eastAsia"/>
                <w:highlight w:val="none"/>
              </w:rPr>
              <w:t>14、三合一电源按键，同一电源物理按键完成Android系统和Windows系统的开机、节能熄屏、关机操作；关机状态下按按键开机；开机状态下按按键实现节能熄屏/唤醒，长按按键实现关机。</w:t>
            </w:r>
          </w:p>
          <w:p w14:paraId="12D24523">
            <w:pPr>
              <w:rPr>
                <w:rFonts w:hint="eastAsia"/>
                <w:highlight w:val="none"/>
              </w:rPr>
            </w:pPr>
            <w:r>
              <w:rPr>
                <w:rFonts w:hint="eastAsia"/>
                <w:highlight w:val="none"/>
              </w:rPr>
              <w:t>▲15、整机具备至少6个前置按键，可实现开关机、调出中控菜单、音量+/-、护眼、录屏操作。</w:t>
            </w:r>
          </w:p>
          <w:p w14:paraId="2673DD2E">
            <w:pPr>
              <w:rPr>
                <w:rFonts w:hint="eastAsia"/>
                <w:highlight w:val="none"/>
              </w:rPr>
            </w:pPr>
            <w:r>
              <w:rPr>
                <w:rFonts w:hint="eastAsia"/>
                <w:highlight w:val="none"/>
              </w:rPr>
              <w:t>16、支持经典护眼模式，可通过前置面板物理功能按键一键启用经典护眼模式，设备支持通过前置面板物理按键一键启动录屏功能，可将屏幕中显示的课件、音频内容与人声同时录制。</w:t>
            </w:r>
          </w:p>
          <w:p w14:paraId="5F5B8F6B">
            <w:pPr>
              <w:rPr>
                <w:rFonts w:hint="eastAsia"/>
                <w:highlight w:val="none"/>
              </w:rPr>
            </w:pPr>
            <w:r>
              <w:rPr>
                <w:rFonts w:hint="eastAsia"/>
                <w:highlight w:val="none"/>
              </w:rPr>
              <w:t>17、前置USB接口具备防撞挡板设计，防撞挡板采用转轴式翻转。</w:t>
            </w:r>
          </w:p>
          <w:p w14:paraId="325C71E9">
            <w:pPr>
              <w:rPr>
                <w:rFonts w:hint="eastAsia"/>
                <w:highlight w:val="none"/>
              </w:rPr>
            </w:pPr>
            <w:r>
              <w:rPr>
                <w:rFonts w:hint="eastAsia"/>
                <w:highlight w:val="none"/>
              </w:rPr>
              <w:t>▲18、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0E4D0566">
            <w:pPr>
              <w:rPr>
                <w:rFonts w:hint="eastAsia"/>
                <w:highlight w:val="none"/>
              </w:rPr>
            </w:pPr>
            <w:r>
              <w:rPr>
                <w:rFonts w:hint="eastAsia"/>
                <w:highlight w:val="none"/>
              </w:rPr>
              <w:t>▲19、整机无需外接无线网卡，在Android和Windows系统下可实现Wi-Fi无线上网连接、AP无线热点发射和BT蓝牙连接功能，Wi-Fi和AP热点工作距离≥11m，整机支持蓝牙Bluetooth 5.4标准，固件版本号HCI13.0/LMP13.0。（响应文件中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3356466">
            <w:pPr>
              <w:rPr>
                <w:rFonts w:hint="eastAsia"/>
                <w:highlight w:val="none"/>
              </w:rPr>
            </w:pPr>
            <w:r>
              <w:rPr>
                <w:rFonts w:hint="eastAsia"/>
                <w:highlight w:val="none"/>
              </w:rPr>
              <w:t>20、整机支持发出频率为18kHz-22kHz超声波信号，智能手机通过麦克风接收后，智能手机与整机无需在同一局域网内，可实现配对，一键投屏，用户无需手动输入投屏码或扫码获取投屏码；</w:t>
            </w:r>
          </w:p>
          <w:p w14:paraId="0DB0CC7B">
            <w:pPr>
              <w:rPr>
                <w:rFonts w:hint="eastAsia"/>
                <w:highlight w:val="none"/>
              </w:rPr>
            </w:pPr>
            <w:r>
              <w:rPr>
                <w:rFonts w:hint="eastAsia"/>
                <w:highlight w:val="none"/>
              </w:rPr>
              <w:t>▲21、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019BAE17">
            <w:pPr>
              <w:rPr>
                <w:rFonts w:hint="eastAsia"/>
                <w:highlight w:val="none"/>
              </w:rPr>
            </w:pPr>
            <w:r>
              <w:rPr>
                <w:rFonts w:hint="eastAsia"/>
                <w:highlight w:val="none"/>
              </w:rPr>
              <w:t>▲22、整机PC端支持主动发现蓝牙外设从而连接（无需整机进入发现模式），支持连接外部蓝牙音箱播放音频。</w:t>
            </w:r>
          </w:p>
          <w:p w14:paraId="0D68573A">
            <w:pPr>
              <w:rPr>
                <w:rFonts w:hint="eastAsia"/>
                <w:highlight w:val="none"/>
              </w:rPr>
            </w:pPr>
            <w:r>
              <w:rPr>
                <w:rFonts w:hint="eastAsia"/>
                <w:highlight w:val="none"/>
              </w:rPr>
              <w:t>▲23、整机内置双WiFi6无线网卡（不接受外接），在Android和Windows系统下，可实现Wi-Fi无线上网连接、AP无线热点发射，在Android下支持无线设备同时连接数量≥32个，在Windows系统下支持无线设备同时连接≥8个；（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07373B92">
            <w:pPr>
              <w:rPr>
                <w:rFonts w:hint="eastAsia"/>
                <w:highlight w:val="none"/>
              </w:rPr>
            </w:pPr>
            <w:r>
              <w:rPr>
                <w:rFonts w:hint="eastAsia"/>
                <w:highlight w:val="none"/>
              </w:rPr>
              <w:t>24、整机无需外接无线网卡，在Windows系统下接入无线网络，切换到嵌入式Android系统下可直接实现无线上网功能，不需手动重复设置。</w:t>
            </w:r>
          </w:p>
          <w:p w14:paraId="69B0AF3A">
            <w:pPr>
              <w:rPr>
                <w:rFonts w:hint="eastAsia"/>
                <w:highlight w:val="none"/>
              </w:rPr>
            </w:pPr>
            <w:r>
              <w:rPr>
                <w:rFonts w:hint="eastAsia"/>
                <w:highlight w:val="none"/>
              </w:rPr>
              <w:t>25、Wi-Fi及AP热点支持频段2.4GHz/5GHz ，Wi-Fi制式支持IEEE 802.11 a/b/g/n/ac/ax；支持版本Wi-Fi6。</w:t>
            </w:r>
          </w:p>
          <w:p w14:paraId="3F0ADC84">
            <w:pPr>
              <w:rPr>
                <w:rFonts w:hint="eastAsia"/>
                <w:highlight w:val="none"/>
              </w:rPr>
            </w:pPr>
            <w:r>
              <w:rPr>
                <w:rFonts w:hint="eastAsia"/>
                <w:highlight w:val="none"/>
              </w:rPr>
              <w:t>26、整机内置摄像头（非外扩），PC通道下支持通过视频展台软件调用摄像头进行二维码扫码识别。</w:t>
            </w:r>
          </w:p>
          <w:p w14:paraId="726BDC38">
            <w:pPr>
              <w:rPr>
                <w:rFonts w:hint="eastAsia"/>
                <w:highlight w:val="none"/>
              </w:rPr>
            </w:pPr>
            <w:r>
              <w:rPr>
                <w:rFonts w:hint="eastAsia"/>
                <w:highlight w:val="none"/>
              </w:rPr>
              <w:t>27、具备摄像头工作指示灯，摄像头运行时，有指示灯提示。</w:t>
            </w:r>
          </w:p>
          <w:p w14:paraId="52DDD0DB">
            <w:pPr>
              <w:rPr>
                <w:rFonts w:hint="eastAsia"/>
                <w:highlight w:val="none"/>
              </w:rPr>
            </w:pPr>
            <w:r>
              <w:rPr>
                <w:rFonts w:hint="eastAsia"/>
                <w:highlight w:val="none"/>
              </w:rPr>
              <w:t>▲28、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796976A">
            <w:pPr>
              <w:rPr>
                <w:rFonts w:hint="eastAsia"/>
                <w:highlight w:val="none"/>
              </w:rPr>
            </w:pPr>
            <w:r>
              <w:rPr>
                <w:rFonts w:hint="eastAsia"/>
                <w:highlight w:val="none"/>
              </w:rPr>
              <w:t>▲29、整机上边框内置非独式广角摄像头和智能拼接摄像头， 均支持 3D 降噪算法和数字宽动态范围成像WDR 技术，支持输出 MJPG、 H.264 视频格式。（响应文件中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23458A3">
            <w:pPr>
              <w:rPr>
                <w:rFonts w:hint="eastAsia"/>
                <w:highlight w:val="none"/>
              </w:rPr>
            </w:pPr>
            <w:r>
              <w:rPr>
                <w:rFonts w:hint="eastAsia"/>
                <w:highlight w:val="none"/>
              </w:rPr>
              <w:t>▲30、整机上边框内置非独立的广角高清摄像头，在距离整机1.7米情况下，且拍摄范围可以覆盖摄像头垂直法线左右距离大于等于4米，可以实现人脸识别。（响应文件中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E361235">
            <w:pPr>
              <w:rPr>
                <w:rFonts w:hint="eastAsia"/>
                <w:highlight w:val="none"/>
              </w:rPr>
            </w:pPr>
            <w:r>
              <w:rPr>
                <w:rFonts w:hint="eastAsia"/>
                <w:highlight w:val="none"/>
              </w:rPr>
              <w:t>▲31、整机上边框内置非独立式智能拼接摄像头，支持清晰度TV lines ≥ 1600 lines，视场角≥141度且水平视场角≥139度，可拍摄≥1600万像素的照片，支持输出8192×2048分辨率的照片和视频，支持画面畸变矫正功能 。（响应文件中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7C5470C7">
            <w:pPr>
              <w:rPr>
                <w:rFonts w:hint="eastAsia"/>
                <w:highlight w:val="none"/>
              </w:rPr>
            </w:pPr>
            <w:r>
              <w:rPr>
                <w:rFonts w:hint="eastAsia"/>
                <w:highlight w:val="none"/>
              </w:rPr>
              <w:t>▲32、整机支持距离摄像头位置≥10米距离的AI识别人脸，整机摄像头支持人脸识别、清点人数、随机抽人；识别所有学生，显示标记，然后随机抽选，同时显示标记不少于60人。</w:t>
            </w:r>
          </w:p>
          <w:p w14:paraId="62957D62">
            <w:pPr>
              <w:rPr>
                <w:rFonts w:hint="eastAsia"/>
                <w:highlight w:val="none"/>
              </w:rPr>
            </w:pPr>
            <w:r>
              <w:rPr>
                <w:rFonts w:hint="eastAsia"/>
                <w:highlight w:val="none"/>
              </w:rPr>
              <w:t>▲33、整机支持上边框内置非独立摄像头模组，同时输出至少 3 路视频流，同时支持课堂远程巡课、课堂教学数据采集、本地画面预览（拍照或视频录制）。（响应文件中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C9FC86B">
            <w:pPr>
              <w:rPr>
                <w:rFonts w:hint="eastAsia"/>
                <w:highlight w:val="none"/>
              </w:rPr>
            </w:pPr>
            <w:r>
              <w:rPr>
                <w:rFonts w:hint="eastAsia"/>
                <w:highlight w:val="none"/>
              </w:rPr>
              <w:t>34、整机支持通过人脸识别进行登录账号。整机摄像头支持环境色温判断，根据环境调节合适的显示图像效果。</w:t>
            </w:r>
          </w:p>
          <w:p w14:paraId="287C0BF8">
            <w:pPr>
              <w:rPr>
                <w:rFonts w:hint="eastAsia"/>
                <w:highlight w:val="none"/>
              </w:rPr>
            </w:pPr>
          </w:p>
          <w:p w14:paraId="29F520B1">
            <w:pPr>
              <w:rPr>
                <w:rFonts w:hint="eastAsia"/>
                <w:highlight w:val="none"/>
              </w:rPr>
            </w:pPr>
            <w:r>
              <w:rPr>
                <w:rFonts w:hint="eastAsia"/>
                <w:highlight w:val="none"/>
                <w:lang w:val="en-US" w:eastAsia="zh-CN"/>
              </w:rPr>
              <w:t>六</w:t>
            </w:r>
            <w:r>
              <w:rPr>
                <w:rFonts w:hint="eastAsia"/>
                <w:highlight w:val="none"/>
              </w:rPr>
              <w:t>、整机功能和触摸系统：</w:t>
            </w:r>
          </w:p>
          <w:p w14:paraId="67718F0B">
            <w:pPr>
              <w:rPr>
                <w:rFonts w:hint="eastAsia"/>
                <w:highlight w:val="none"/>
              </w:rPr>
            </w:pPr>
            <w:r>
              <w:rPr>
                <w:rFonts w:hint="eastAsia"/>
                <w:highlight w:val="none"/>
              </w:rPr>
              <w:t>1、 支持Windows 7、Windows 8、Windows 10、Windows 11、Linux、Mac Os、UOS和麒麟系统外置电脑操作系统接入时，无需安装触摸驱动。</w:t>
            </w:r>
          </w:p>
          <w:p w14:paraId="46CAA37D">
            <w:pPr>
              <w:rPr>
                <w:rFonts w:hint="eastAsia"/>
                <w:highlight w:val="none"/>
              </w:rPr>
            </w:pPr>
            <w:r>
              <w:rPr>
                <w:rFonts w:hint="eastAsia"/>
                <w:highlight w:val="none"/>
              </w:rPr>
              <w:t>2、 触摸分辨率32768×32768。</w:t>
            </w:r>
          </w:p>
          <w:p w14:paraId="087F4EB0">
            <w:pPr>
              <w:rPr>
                <w:rFonts w:hint="eastAsia"/>
                <w:highlight w:val="none"/>
              </w:rPr>
            </w:pPr>
            <w:r>
              <w:rPr>
                <w:rFonts w:hint="eastAsia"/>
                <w:highlight w:val="none"/>
              </w:rPr>
              <w:t>3、 整机系统支持书写触控延迟≤25ms，整机触控书写功能集成预测算法，在书写速度≥50cm/s，支持笔迹距离笔的距离小于20mm。</w:t>
            </w:r>
          </w:p>
          <w:p w14:paraId="5C3A4023">
            <w:pPr>
              <w:rPr>
                <w:rFonts w:hint="eastAsia"/>
                <w:highlight w:val="none"/>
              </w:rPr>
            </w:pPr>
            <w:r>
              <w:rPr>
                <w:rFonts w:hint="eastAsia"/>
                <w:highlight w:val="none"/>
              </w:rPr>
              <w:t>4、 触摸响应时间≤4ms，触摸最小识别物≤3mm。整机屏幕触摸有效识别高度不超过1.5mm，即触摸物体距离玻璃外表面高度不超过1.5mm时，触摸屏识别为点击操作。</w:t>
            </w:r>
          </w:p>
          <w:p w14:paraId="2BA2A342">
            <w:pPr>
              <w:rPr>
                <w:rFonts w:hint="eastAsia"/>
                <w:highlight w:val="none"/>
              </w:rPr>
            </w:pPr>
            <w:r>
              <w:rPr>
                <w:rFonts w:hint="eastAsia"/>
                <w:highlight w:val="none"/>
              </w:rPr>
              <w:t>▲5、整机支持提笔书写，在Windows系统下可实现无需点击任意功能入口，当检测到红外笔笔尖接触屏幕时，自动进入书写模式。支持同一支笔，笔头、笔尾书写不同的颜色，且颜色可自定义。（响应文件中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826B386">
            <w:pPr>
              <w:rPr>
                <w:rFonts w:hint="eastAsia"/>
                <w:highlight w:val="none"/>
              </w:rPr>
            </w:pPr>
            <w:r>
              <w:rPr>
                <w:rFonts w:hint="eastAsia"/>
                <w:highlight w:val="none"/>
              </w:rPr>
              <w:t>▲6、整机触摸支持动态压力感应，支持无任何电子功能的普通书写笔在整机上书写或点压时，整机能感应压力变化，书写或点压过程笔迹呈现不同粗细。整机支持手笔分离，通过提笔即写唤醒批注功能后，可进行手笔分离功能，使用笔正常书写，使用手指可以操作应用，进行点击操作。（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BAF6026">
            <w:pPr>
              <w:rPr>
                <w:rFonts w:hint="eastAsia"/>
                <w:highlight w:val="none"/>
              </w:rPr>
            </w:pPr>
            <w:r>
              <w:rPr>
                <w:rFonts w:hint="eastAsia"/>
                <w:highlight w:val="none"/>
              </w:rPr>
              <w:t>7、 支持智能板擦功能，系统可根据触控物体的形状自动识别出实物板擦，可擦除电子白板中的内容，无需依赖外部电子设备。</w:t>
            </w:r>
          </w:p>
          <w:p w14:paraId="4BC2BEB4">
            <w:pPr>
              <w:rPr>
                <w:rFonts w:hint="eastAsia"/>
                <w:highlight w:val="none"/>
              </w:rPr>
            </w:pPr>
            <w:r>
              <w:rPr>
                <w:rFonts w:hint="eastAsia"/>
                <w:highlight w:val="none"/>
              </w:rPr>
              <w:t>8、 触摸屏具有防遮挡功能，触摸接收器在单点或多点遮挡后仍能正常书写。</w:t>
            </w:r>
          </w:p>
          <w:p w14:paraId="5B452100">
            <w:pPr>
              <w:rPr>
                <w:rFonts w:hint="eastAsia"/>
                <w:highlight w:val="none"/>
              </w:rPr>
            </w:pPr>
            <w:r>
              <w:rPr>
                <w:rFonts w:hint="eastAsia"/>
                <w:highlight w:val="none"/>
              </w:rPr>
              <w:t>9、 外接电脑设备连接整机且触摸信号连通时，外接电脑设备可直接读取整机前置USB接口的移动存储设备数据，连接整机前置USB接口的翻页笔和无线键鼠外接设备可直接使用于外接电脑。</w:t>
            </w:r>
          </w:p>
          <w:p w14:paraId="30530575">
            <w:pPr>
              <w:rPr>
                <w:rFonts w:hint="eastAsia"/>
                <w:highlight w:val="none"/>
              </w:rPr>
            </w:pPr>
            <w:r>
              <w:rPr>
                <w:rFonts w:hint="eastAsia"/>
                <w:highlight w:val="none"/>
              </w:rPr>
              <w:t>10、支持智能U盘锁功能，整机可设置触摸及按键锁定，锁定后无法随意自由操作，需要使用时插入USB key可解锁。</w:t>
            </w:r>
          </w:p>
          <w:p w14:paraId="37149BFD">
            <w:pPr>
              <w:rPr>
                <w:rFonts w:hint="eastAsia"/>
                <w:highlight w:val="none"/>
              </w:rPr>
            </w:pPr>
            <w:r>
              <w:rPr>
                <w:rFonts w:hint="eastAsia"/>
                <w:highlight w:val="none"/>
              </w:rPr>
              <w:t>11、整机具备前置Type-C接口，通过Type-C接口实现音视频输入，外接电脑设备经双头Type-C线连接至整机，即可把外接电脑设备画面投到整机上，同时在整机上操作画面，可实现触摸电脑的操作，无需再连接触控USB线。</w:t>
            </w:r>
          </w:p>
          <w:p w14:paraId="77C19B13">
            <w:pPr>
              <w:rPr>
                <w:rFonts w:hint="eastAsia"/>
                <w:highlight w:val="none"/>
              </w:rPr>
            </w:pPr>
            <w:r>
              <w:rPr>
                <w:rFonts w:hint="eastAsia"/>
                <w:highlight w:val="none"/>
              </w:rPr>
              <w:t>12、外接电脑设备经双头Type-C线连接至整机，可调用整机内置的摄像头、麦克风、扬声器，在外接电脑即可控制整机拍摄教室画面。</w:t>
            </w:r>
          </w:p>
          <w:p w14:paraId="138FEBCD">
            <w:pPr>
              <w:rPr>
                <w:rFonts w:hint="eastAsia"/>
                <w:highlight w:val="none"/>
              </w:rPr>
            </w:pPr>
            <w:r>
              <w:rPr>
                <w:rFonts w:hint="eastAsia"/>
                <w:highlight w:val="none"/>
              </w:rPr>
              <w:t>13、前置Type-C接口，支持通过不带转换转置的外部线缆，实现外接电脑HDMI信号的接入显示。</w:t>
            </w:r>
          </w:p>
          <w:p w14:paraId="3C17B489">
            <w:pPr>
              <w:rPr>
                <w:rFonts w:hint="eastAsia"/>
                <w:highlight w:val="none"/>
              </w:rPr>
            </w:pPr>
            <w:r>
              <w:rPr>
                <w:rFonts w:hint="eastAsia"/>
                <w:highlight w:val="none"/>
              </w:rPr>
              <w:t>14、整机关机状态下，通过长按电源键进入设置界面后，可点击屏幕选择恢复Android系统及Windows操作系统到出厂默认状态，无需额外工具辅助。</w:t>
            </w:r>
          </w:p>
          <w:p w14:paraId="2066C8DF">
            <w:pPr>
              <w:rPr>
                <w:rFonts w:hint="eastAsia"/>
                <w:highlight w:val="none"/>
              </w:rPr>
            </w:pPr>
            <w:r>
              <w:rPr>
                <w:rFonts w:hint="eastAsia"/>
                <w:highlight w:val="none"/>
              </w:rPr>
              <w:t>15、整机关机状态下，通过长按电源键进入设置界面后，可点击屏幕选择故障检测、系统还原功能，系统还原可单独还原PC系统，单独还原整机系统。</w:t>
            </w:r>
          </w:p>
          <w:p w14:paraId="0BBE1967">
            <w:pPr>
              <w:rPr>
                <w:rFonts w:hint="eastAsia"/>
                <w:highlight w:val="none"/>
              </w:rPr>
            </w:pPr>
            <w:r>
              <w:rPr>
                <w:rFonts w:hint="eastAsia"/>
                <w:highlight w:val="none"/>
              </w:rPr>
              <w:t>16、在整机全信号源通道下，支持十指长按屏幕5秒和遥控器两种方式实现触摸锁定及解锁，触摸锁定时整机无法被触控操作。</w:t>
            </w:r>
          </w:p>
          <w:p w14:paraId="0B4D24EB">
            <w:pPr>
              <w:rPr>
                <w:rFonts w:hint="eastAsia"/>
                <w:highlight w:val="none"/>
              </w:rPr>
            </w:pPr>
            <w:r>
              <w:rPr>
                <w:rFonts w:hint="eastAsia"/>
                <w:highlight w:val="none"/>
              </w:rPr>
              <w:t>17、支持通道自动跳转功能，如整机处于正常使用状态，HDMI信号接入时，能自动识别并切换到对应的HDMI信号源通道，且断开后能回到上一通道。</w:t>
            </w:r>
          </w:p>
          <w:p w14:paraId="7ACCF11B">
            <w:pPr>
              <w:rPr>
                <w:rFonts w:hint="eastAsia"/>
                <w:highlight w:val="none"/>
              </w:rPr>
            </w:pPr>
            <w:r>
              <w:rPr>
                <w:rFonts w:hint="eastAsia"/>
                <w:highlight w:val="none"/>
              </w:rPr>
              <w:t>18、在HDMI、Android以及Windows信号源模式下，整机屏幕支持手势下移实现半屏显示，半屏显示时可通过点击上方屏幕返回全屏。</w:t>
            </w:r>
          </w:p>
          <w:p w14:paraId="37C1D71C">
            <w:pPr>
              <w:rPr>
                <w:rFonts w:hint="eastAsia"/>
                <w:highlight w:val="none"/>
              </w:rPr>
            </w:pPr>
            <w:r>
              <w:rPr>
                <w:rFonts w:hint="eastAsia"/>
                <w:highlight w:val="none"/>
              </w:rPr>
              <w:t>19、支持半屏模式，将Windows显示画面上半部分下拉到屏幕下半部分显示，此时依然可以正常触控操作Windows系统；点击非Windows显示画面区域（屏幕上半部分），即可退出该模式。</w:t>
            </w:r>
          </w:p>
          <w:p w14:paraId="5BEC9C36">
            <w:pPr>
              <w:rPr>
                <w:rFonts w:hint="eastAsia"/>
                <w:highlight w:val="none"/>
              </w:rPr>
            </w:pPr>
            <w:r>
              <w:rPr>
                <w:rFonts w:hint="eastAsia"/>
                <w:highlight w:val="none"/>
              </w:rPr>
              <w:t>20、支持通道记忆功能，开机默认回到最近一次关机时的显示通道。</w:t>
            </w:r>
          </w:p>
          <w:p w14:paraId="6B9B246D">
            <w:pPr>
              <w:rPr>
                <w:rFonts w:hint="eastAsia"/>
                <w:highlight w:val="none"/>
              </w:rPr>
            </w:pPr>
            <w:r>
              <w:rPr>
                <w:rFonts w:hint="eastAsia"/>
                <w:highlight w:val="none"/>
              </w:rPr>
              <w:t>21、支持外接信号输入时自动唤醒功能，整机处于关机通电状态，外接电脑显示信号通过HDMI传输线连接至整机时，整机可智能识别外接电脑设备信号输入并自动开机。</w:t>
            </w:r>
          </w:p>
          <w:p w14:paraId="2DA823B8">
            <w:pPr>
              <w:rPr>
                <w:rFonts w:hint="eastAsia"/>
                <w:highlight w:val="none"/>
              </w:rPr>
            </w:pPr>
            <w:r>
              <w:rPr>
                <w:rFonts w:hint="eastAsia"/>
                <w:highlight w:val="none"/>
              </w:rPr>
              <w:t>22、整机内置专业硬件自检维护工具（非第三方工具），支持对整机内部的板卡及部件模块进行故障检测、系统还原功能。</w:t>
            </w:r>
          </w:p>
          <w:p w14:paraId="4E1BEFC2">
            <w:pPr>
              <w:rPr>
                <w:rFonts w:hint="eastAsia"/>
                <w:highlight w:val="none"/>
              </w:rPr>
            </w:pPr>
            <w:r>
              <w:rPr>
                <w:rFonts w:hint="eastAsia"/>
                <w:highlight w:val="none"/>
              </w:rPr>
              <w:t>23、当整机处于黑暗环境中并无人操作，一分钟后整机将可以自动进入熄屏模式。</w:t>
            </w:r>
          </w:p>
          <w:p w14:paraId="51DA1932">
            <w:pPr>
              <w:rPr>
                <w:rFonts w:hint="eastAsia"/>
                <w:highlight w:val="none"/>
              </w:rPr>
            </w:pPr>
            <w:r>
              <w:rPr>
                <w:rFonts w:hint="eastAsia"/>
                <w:highlight w:val="none"/>
              </w:rPr>
              <w:t>24、支持将自定义图片、动画设置为开机画面。</w:t>
            </w:r>
          </w:p>
          <w:p w14:paraId="54C2D772">
            <w:pPr>
              <w:rPr>
                <w:rFonts w:hint="eastAsia"/>
                <w:highlight w:val="none"/>
              </w:rPr>
            </w:pPr>
          </w:p>
          <w:p w14:paraId="33A1DFBF">
            <w:pPr>
              <w:rPr>
                <w:rFonts w:hint="eastAsia"/>
                <w:highlight w:val="none"/>
              </w:rPr>
            </w:pPr>
            <w:r>
              <w:rPr>
                <w:rFonts w:hint="eastAsia"/>
                <w:highlight w:val="none"/>
                <w:lang w:val="en-US" w:eastAsia="zh-CN"/>
              </w:rPr>
              <w:t>七</w:t>
            </w:r>
            <w:r>
              <w:rPr>
                <w:rFonts w:hint="eastAsia"/>
                <w:highlight w:val="none"/>
              </w:rPr>
              <w:t>、整机中控系统管理：</w:t>
            </w:r>
          </w:p>
          <w:p w14:paraId="0E110A79">
            <w:pPr>
              <w:rPr>
                <w:rFonts w:hint="eastAsia"/>
                <w:highlight w:val="none"/>
              </w:rPr>
            </w:pPr>
            <w:r>
              <w:rPr>
                <w:rFonts w:hint="eastAsia"/>
                <w:highlight w:val="none"/>
              </w:rPr>
              <w:t>1、 支持通过Type-C接口U盘进行文件传输，兼容Type-C接口手机充电。type-C 支持最大充电功率15W。</w:t>
            </w:r>
          </w:p>
          <w:p w14:paraId="4D1402E4">
            <w:pPr>
              <w:rPr>
                <w:rFonts w:hint="eastAsia"/>
                <w:highlight w:val="none"/>
              </w:rPr>
            </w:pPr>
            <w:r>
              <w:rPr>
                <w:rFonts w:hint="eastAsia"/>
                <w:highlight w:val="none"/>
              </w:rPr>
              <w:t>2、 整机在五分钟内处于无信号接收状态时，能够自动关机。整机具备供电保护模块，能够检测内置电脑是否插好在位，在内置电脑未在位的情况下，内置电脑无法上电工作。</w:t>
            </w:r>
          </w:p>
          <w:p w14:paraId="4773BC30">
            <w:pPr>
              <w:rPr>
                <w:rFonts w:hint="eastAsia"/>
                <w:highlight w:val="none"/>
              </w:rPr>
            </w:pPr>
            <w:r>
              <w:rPr>
                <w:rFonts w:hint="eastAsia"/>
                <w:highlight w:val="none"/>
              </w:rPr>
              <w:t>3、 支持云端在线系统固件升级。触摸屏在照度100k lx（勒克司）环境下仍能正常工作。</w:t>
            </w:r>
          </w:p>
          <w:p w14:paraId="0FA15E8D">
            <w:pPr>
              <w:rPr>
                <w:rFonts w:hint="eastAsia"/>
                <w:highlight w:val="none"/>
              </w:rPr>
            </w:pPr>
            <w:r>
              <w:rPr>
                <w:rFonts w:hint="eastAsia"/>
                <w:highlight w:val="none"/>
              </w:rPr>
              <w:t>嵌入式Android操作系统下，白板支持对已经书写的笔迹和形状的颜色进行更换，在嵌入式系统下使用白板软件时，整机可自行调节屏幕亮度。</w:t>
            </w:r>
          </w:p>
          <w:p w14:paraId="54834AA1">
            <w:pPr>
              <w:rPr>
                <w:rFonts w:hint="eastAsia"/>
                <w:highlight w:val="none"/>
              </w:rPr>
            </w:pPr>
            <w:r>
              <w:rPr>
                <w:rFonts w:hint="eastAsia"/>
                <w:highlight w:val="none"/>
              </w:rPr>
              <w:t>4、嵌入式Android操作系统下，互动白板支持不同背景颜色，同时提供学科背景，如：五线谱、信纸、田字格、英文格、篮球和足球场地平面图。</w:t>
            </w:r>
          </w:p>
          <w:p w14:paraId="70C53E10">
            <w:pPr>
              <w:rPr>
                <w:rFonts w:hint="eastAsia"/>
                <w:highlight w:val="none"/>
              </w:rPr>
            </w:pPr>
            <w:r>
              <w:rPr>
                <w:rFonts w:hint="eastAsia"/>
                <w:highlight w:val="none"/>
              </w:rPr>
              <w:t>5、无PC状态下，嵌入式系统内置互动白板支持十笔书写及手掌擦除（手掌擦除面积根据手掌与屏幕的接触面大小自动调整），白板书写内容可以PDF、IWB和SVG格式导出。支持10种以上平面图形工具。支持7种以上立体图形工具。</w:t>
            </w:r>
          </w:p>
          <w:p w14:paraId="447DE0B8">
            <w:pPr>
              <w:rPr>
                <w:rFonts w:hint="eastAsia"/>
                <w:highlight w:val="none"/>
              </w:rPr>
            </w:pPr>
            <w:r>
              <w:rPr>
                <w:rFonts w:hint="eastAsia"/>
                <w:highlight w:val="none"/>
              </w:rPr>
              <w:t>6、无PC状态下，嵌入式系统内置互动白板支持全局漫游，并能在工具栏中对全局内容进行预览和移动。</w:t>
            </w:r>
          </w:p>
          <w:p w14:paraId="613DDC27">
            <w:pPr>
              <w:rPr>
                <w:rFonts w:hint="eastAsia"/>
                <w:highlight w:val="none"/>
              </w:rPr>
            </w:pPr>
            <w:r>
              <w:rPr>
                <w:rFonts w:hint="eastAsia"/>
                <w:highlight w:val="none"/>
              </w:rPr>
              <w:t>7、无PC状态下，嵌入式Android操作系统下可使用白板书写、WPS软件和网页浏览。</w:t>
            </w:r>
          </w:p>
          <w:p w14:paraId="2A4B5D9D">
            <w:pPr>
              <w:rPr>
                <w:rFonts w:hint="eastAsia"/>
                <w:highlight w:val="none"/>
              </w:rPr>
            </w:pPr>
            <w:r>
              <w:rPr>
                <w:rFonts w:hint="eastAsia"/>
                <w:highlight w:val="none"/>
              </w:rPr>
              <w:t>8、在嵌入式Android操作系统下，能对TV多媒体USB所读取到的文件进行自动归类，可分类查找文档、板书、图片、音视频，检索后可直接在界面中打开。</w:t>
            </w:r>
          </w:p>
          <w:p w14:paraId="271C8D2F">
            <w:pPr>
              <w:rPr>
                <w:rFonts w:hint="eastAsia"/>
                <w:highlight w:val="none"/>
              </w:rPr>
            </w:pPr>
            <w:r>
              <w:rPr>
                <w:rFonts w:hint="eastAsia"/>
                <w:highlight w:val="none"/>
              </w:rPr>
              <w:t>9、整机内置全通道侧边栏快捷菜单，小工具、应用软件、快捷设置、亮度/音量调节、教室物联入口。</w:t>
            </w:r>
          </w:p>
          <w:p w14:paraId="382A3F81">
            <w:pPr>
              <w:rPr>
                <w:rFonts w:hint="eastAsia"/>
                <w:highlight w:val="none"/>
              </w:rPr>
            </w:pPr>
            <w:r>
              <w:rPr>
                <w:rFonts w:hint="eastAsia"/>
                <w:highlight w:val="none"/>
              </w:rPr>
              <w:t>10、整机全通道侧边栏支持展示学校名称、设备班级、场地信息。</w:t>
            </w:r>
          </w:p>
          <w:p w14:paraId="6ECD9696">
            <w:pPr>
              <w:rPr>
                <w:rFonts w:hint="eastAsia"/>
                <w:highlight w:val="none"/>
              </w:rPr>
            </w:pPr>
            <w:r>
              <w:rPr>
                <w:rFonts w:hint="eastAsia"/>
                <w:highlight w:val="none"/>
              </w:rPr>
              <w:t>11、整机全通道侧边栏快捷菜单包含如下小工具：批注、降半屏、截屏、放大镜、倒计时、日历、聚光灯、秒表、冻屏、倒数日、答题、节拍器</w:t>
            </w:r>
          </w:p>
          <w:p w14:paraId="4012BD51">
            <w:pPr>
              <w:rPr>
                <w:rFonts w:hint="eastAsia"/>
                <w:highlight w:val="none"/>
              </w:rPr>
            </w:pPr>
            <w:r>
              <w:rPr>
                <w:rFonts w:hint="eastAsia"/>
                <w:highlight w:val="none"/>
              </w:rPr>
              <w:t>12、整机全通道侧边栏快捷菜单小工具支持自定义，支持设置对应小工具的显示/隐藏。</w:t>
            </w:r>
          </w:p>
          <w:p w14:paraId="2CE7B8C0">
            <w:pPr>
              <w:rPr>
                <w:rFonts w:hint="eastAsia"/>
                <w:highlight w:val="none"/>
              </w:rPr>
            </w:pPr>
            <w:r>
              <w:rPr>
                <w:rFonts w:hint="eastAsia"/>
                <w:highlight w:val="none"/>
              </w:rPr>
              <w:t>13、整机全通道侧边栏支持使用批注小工具进行批注讲解，可切换书写笔颜色、截屏保存批注内容、清屏，可根据手与屏幕的接触面积自动调整板擦工具的大小。</w:t>
            </w:r>
          </w:p>
          <w:p w14:paraId="647CBFF0">
            <w:pPr>
              <w:rPr>
                <w:rFonts w:hint="eastAsia"/>
                <w:highlight w:val="none"/>
              </w:rPr>
            </w:pPr>
            <w:r>
              <w:rPr>
                <w:rFonts w:hint="eastAsia"/>
                <w:highlight w:val="none"/>
              </w:rPr>
              <w:t>14、整机全通道侧边栏支持将设备屏幕降低为半屏幕状态，点击上半屏幕可返回全屏状态。</w:t>
            </w:r>
          </w:p>
          <w:p w14:paraId="63175D93">
            <w:pPr>
              <w:rPr>
                <w:rFonts w:hint="eastAsia"/>
                <w:highlight w:val="none"/>
              </w:rPr>
            </w:pPr>
            <w:r>
              <w:rPr>
                <w:rFonts w:hint="eastAsia"/>
                <w:highlight w:val="none"/>
              </w:rPr>
              <w:t>15、整机全通道侧边栏支持自主选择所需截取的屏幕范围，点击截屏可成功截取屏幕，并自动保存。</w:t>
            </w:r>
          </w:p>
          <w:p w14:paraId="631BFF5C">
            <w:pPr>
              <w:rPr>
                <w:rFonts w:hint="eastAsia"/>
                <w:highlight w:val="none"/>
              </w:rPr>
            </w:pPr>
            <w:r>
              <w:rPr>
                <w:rFonts w:hint="eastAsia"/>
                <w:highlight w:val="none"/>
              </w:rPr>
              <w:t>16、整机全通道侧边栏支持放大选中区域内容；并可支持对未选中区域关灯处理，实现聚光灯效果。</w:t>
            </w:r>
          </w:p>
          <w:p w14:paraId="01D1A0D3">
            <w:pPr>
              <w:rPr>
                <w:rFonts w:hint="eastAsia"/>
                <w:highlight w:val="none"/>
              </w:rPr>
            </w:pPr>
            <w:r>
              <w:rPr>
                <w:rFonts w:hint="eastAsia"/>
                <w:highlight w:val="none"/>
              </w:rPr>
              <w:t>17、整机全通道侧边栏支持倒计时、正计时功能；倒计时，输入某特定时间值，可精确到秒，点击开始进入倒计时；正计时，点击开始计时便自动开始，并实时显示时间。</w:t>
            </w:r>
          </w:p>
          <w:p w14:paraId="49A683C1">
            <w:pPr>
              <w:rPr>
                <w:rFonts w:hint="eastAsia"/>
                <w:highlight w:val="none"/>
              </w:rPr>
            </w:pPr>
            <w:r>
              <w:rPr>
                <w:rFonts w:hint="eastAsia"/>
                <w:highlight w:val="none"/>
              </w:rPr>
              <w:t>18、整机全通道侧边栏支持打开日历，查看日期。</w:t>
            </w:r>
          </w:p>
          <w:p w14:paraId="456159F9">
            <w:pPr>
              <w:rPr>
                <w:rFonts w:hint="eastAsia"/>
                <w:highlight w:val="none"/>
              </w:rPr>
            </w:pPr>
            <w:r>
              <w:rPr>
                <w:rFonts w:hint="eastAsia"/>
                <w:highlight w:val="none"/>
              </w:rPr>
              <w:t>19、整机全通道侧边栏支持聚光灯，支持聚光灯高亮区域大小调节、区域移动。</w:t>
            </w:r>
          </w:p>
          <w:p w14:paraId="13ECC77B">
            <w:pPr>
              <w:rPr>
                <w:rFonts w:hint="eastAsia"/>
                <w:highlight w:val="none"/>
              </w:rPr>
            </w:pPr>
            <w:r>
              <w:rPr>
                <w:rFonts w:hint="eastAsia"/>
                <w:highlight w:val="none"/>
              </w:rPr>
              <w:t>20、整机全通道侧边栏支持冻屏，将屏幕画面进行缩放。</w:t>
            </w:r>
          </w:p>
          <w:p w14:paraId="425FD07D">
            <w:pPr>
              <w:rPr>
                <w:rFonts w:hint="eastAsia"/>
                <w:highlight w:val="none"/>
              </w:rPr>
            </w:pPr>
            <w:r>
              <w:rPr>
                <w:rFonts w:hint="eastAsia"/>
                <w:highlight w:val="none"/>
              </w:rPr>
              <w:t>21、整机安卓和全部外接通道（HDMI、Type-C）下侧边栏支持设置倒数日。</w:t>
            </w:r>
          </w:p>
          <w:p w14:paraId="0E1BE090">
            <w:pPr>
              <w:rPr>
                <w:rFonts w:hint="eastAsia"/>
                <w:highlight w:val="none"/>
              </w:rPr>
            </w:pPr>
            <w:r>
              <w:rPr>
                <w:rFonts w:hint="eastAsia"/>
                <w:highlight w:val="none"/>
              </w:rPr>
              <w:t>▲22、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21E48C7">
            <w:pPr>
              <w:rPr>
                <w:rFonts w:hint="eastAsia"/>
                <w:highlight w:val="none"/>
              </w:rPr>
            </w:pPr>
            <w:r>
              <w:rPr>
                <w:rFonts w:hint="eastAsia"/>
                <w:highlight w:val="none"/>
              </w:rPr>
              <w:t>23、整机安卓和全部外接通道（HDMI、Type-c）下侧边栏支持节拍器，支持设置节拍、轻重、节拍播放速度。全通道下可支持通过自定义按键调出该功能。</w:t>
            </w:r>
          </w:p>
          <w:p w14:paraId="522D3AA2">
            <w:pPr>
              <w:rPr>
                <w:rFonts w:hint="eastAsia"/>
                <w:highlight w:val="none"/>
              </w:rPr>
            </w:pPr>
            <w:r>
              <w:rPr>
                <w:rFonts w:hint="eastAsia"/>
                <w:highlight w:val="none"/>
              </w:rPr>
              <w:t>24、整机支持在设备上通过摄像头获取教室内图像并自动识别图像内所有人员，并随机抽选1人。</w:t>
            </w:r>
          </w:p>
          <w:p w14:paraId="1FC2ED77">
            <w:pPr>
              <w:rPr>
                <w:rFonts w:hint="eastAsia"/>
                <w:highlight w:val="none"/>
              </w:rPr>
            </w:pPr>
            <w:r>
              <w:rPr>
                <w:rFonts w:hint="eastAsia"/>
                <w:highlight w:val="none"/>
              </w:rPr>
              <w:t>25、整机支持在设备上通过摄像头获取教室内图像并自动识别图像内所有人员，并自动进行人数统计。</w:t>
            </w:r>
          </w:p>
          <w:p w14:paraId="0661E910">
            <w:pPr>
              <w:rPr>
                <w:rFonts w:hint="eastAsia"/>
                <w:highlight w:val="none"/>
              </w:rPr>
            </w:pPr>
            <w:r>
              <w:rPr>
                <w:rFonts w:hint="eastAsia"/>
                <w:highlight w:val="none"/>
              </w:rPr>
              <w:t>26、整机支持在设备上，通过侧边栏实现调用windows系统运行、打开文件夹、打开任务管理。</w:t>
            </w:r>
          </w:p>
          <w:p w14:paraId="518B7CA9">
            <w:pPr>
              <w:rPr>
                <w:rFonts w:hint="eastAsia"/>
                <w:highlight w:val="none"/>
              </w:rPr>
            </w:pPr>
            <w:r>
              <w:rPr>
                <w:rFonts w:hint="eastAsia"/>
                <w:highlight w:val="none"/>
              </w:rPr>
              <w:t>27、整机Windows通道支持对当前运行中的应用进行窗口最大化、窗口最小化、应用强制关闭。</w:t>
            </w:r>
          </w:p>
          <w:p w14:paraId="424F1062">
            <w:pPr>
              <w:rPr>
                <w:rFonts w:hint="eastAsia"/>
                <w:highlight w:val="none"/>
              </w:rPr>
            </w:pPr>
            <w:r>
              <w:rPr>
                <w:rFonts w:hint="eastAsia"/>
                <w:highlight w:val="none"/>
              </w:rPr>
              <w:t>28、整机Windows通道支持通过侧边栏调取软键盘。整机处于非内置PC通道下，支持通过侧边栏进入PC通道。整机全通道侧边栏快捷菜单支持快捷调节音量、亮度，支持自动亮度模式，支持点击静音按钮静音。</w:t>
            </w:r>
          </w:p>
          <w:p w14:paraId="484D8300">
            <w:pPr>
              <w:rPr>
                <w:rFonts w:hint="eastAsia"/>
                <w:highlight w:val="none"/>
              </w:rPr>
            </w:pPr>
            <w:r>
              <w:rPr>
                <w:rFonts w:hint="eastAsia"/>
                <w:highlight w:val="none"/>
              </w:rPr>
              <w:t>29、整机全通道侧边栏快捷菜单中应用软件可以进行切换，无需在已经开启的应用软件全屏模式下退出当前应用再选择更换。整机全通道侧边栏支持自定义快捷菜单，支持windows 应用固定，可将应用固定后，在侧边栏进行快捷打开。</w:t>
            </w:r>
          </w:p>
          <w:p w14:paraId="4992C6D9">
            <w:pPr>
              <w:rPr>
                <w:rFonts w:hint="eastAsia"/>
                <w:highlight w:val="none"/>
              </w:rPr>
            </w:pPr>
            <w:r>
              <w:rPr>
                <w:rFonts w:hint="eastAsia"/>
                <w:highlight w:val="none"/>
              </w:rPr>
              <w:t>30、整机全通道侧边栏快捷菜单中可实时查看物联设备的连接情况，点击设备图标即可调出中控菜单进行管控。整机全通道侧边栏快捷菜单支持简洁模式和常规模式切换。</w:t>
            </w:r>
          </w:p>
          <w:p w14:paraId="711E935A">
            <w:pPr>
              <w:rPr>
                <w:rFonts w:hint="eastAsia"/>
                <w:highlight w:val="none"/>
              </w:rPr>
            </w:pPr>
            <w:r>
              <w:rPr>
                <w:rFonts w:hint="eastAsia"/>
                <w:highlight w:val="none"/>
              </w:rPr>
              <w:t>31、整机全通道侧边栏快捷菜单简洁模式，可进行打开批注、降半屏、主页的基础操作。</w:t>
            </w:r>
          </w:p>
          <w:p w14:paraId="5B8C4402">
            <w:pPr>
              <w:rPr>
                <w:rFonts w:hint="eastAsia"/>
                <w:highlight w:val="none"/>
              </w:rPr>
            </w:pPr>
            <w:r>
              <w:rPr>
                <w:rFonts w:hint="eastAsia"/>
                <w:highlight w:val="none"/>
              </w:rPr>
              <w:t>整机内置触摸中控菜单，在整机全信号源通道下通过手势在屏幕上调取该触摸菜单；支持信号源通道切换、护眼、声音调节功能；支持切换智能息屏、经典护眼模式、纸质护眼模式、自动亮度模式；并可支持调节音量、亮度，支持自动亮度模式，支持点击静音按钮静音。</w:t>
            </w:r>
          </w:p>
          <w:p w14:paraId="77623DC1">
            <w:pPr>
              <w:rPr>
                <w:rFonts w:hint="eastAsia"/>
                <w:highlight w:val="none"/>
              </w:rPr>
            </w:pPr>
            <w:r>
              <w:rPr>
                <w:rFonts w:hint="eastAsia"/>
                <w:highlight w:val="none"/>
              </w:rPr>
              <w:t>32、整机内置触摸中控菜单，可查看当前正在运行的应用，支持应用切换，在全屏应用下无需退出全屏应用即可进行切换；支持应用关闭，以及关闭所有应用。</w:t>
            </w:r>
          </w:p>
          <w:p w14:paraId="085E6115">
            <w:pPr>
              <w:rPr>
                <w:rFonts w:hint="eastAsia"/>
                <w:highlight w:val="none"/>
              </w:rPr>
            </w:pPr>
          </w:p>
          <w:p w14:paraId="12B039A4">
            <w:pPr>
              <w:rPr>
                <w:rFonts w:hint="eastAsia"/>
                <w:highlight w:val="none"/>
              </w:rPr>
            </w:pPr>
            <w:r>
              <w:rPr>
                <w:rFonts w:hint="eastAsia"/>
                <w:highlight w:val="none"/>
                <w:lang w:val="en-US" w:eastAsia="zh-CN"/>
              </w:rPr>
              <w:t>八</w:t>
            </w:r>
            <w:r>
              <w:rPr>
                <w:rFonts w:hint="eastAsia"/>
                <w:highlight w:val="none"/>
              </w:rPr>
              <w:t>、教学桌面功能：</w:t>
            </w:r>
          </w:p>
          <w:p w14:paraId="3EEBA073">
            <w:pPr>
              <w:rPr>
                <w:rFonts w:hint="eastAsia"/>
                <w:highlight w:val="none"/>
              </w:rPr>
            </w:pPr>
            <w:r>
              <w:rPr>
                <w:rFonts w:hint="eastAsia"/>
                <w:highlight w:val="none"/>
              </w:rPr>
              <w:t>1、整机设备开机启动后，自动进入教学桌面，支持账号登录、退出，自动获取个人云端教学课件列表，并可进入全部课件列表。</w:t>
            </w:r>
          </w:p>
          <w:p w14:paraId="7D880E67">
            <w:pPr>
              <w:rPr>
                <w:rFonts w:hint="eastAsia"/>
                <w:highlight w:val="none"/>
              </w:rPr>
            </w:pPr>
            <w:r>
              <w:rPr>
                <w:rFonts w:hint="eastAsia"/>
                <w:highlight w:val="none"/>
              </w:rPr>
              <w:t>2、整机设备支持多种身份识别方式，可通过账号登录、手机扫码登录，并支持账号安全登录检测。</w:t>
            </w:r>
          </w:p>
          <w:p w14:paraId="6EB2A019">
            <w:pPr>
              <w:rPr>
                <w:rFonts w:hint="eastAsia"/>
                <w:highlight w:val="none"/>
              </w:rPr>
            </w:pPr>
            <w:r>
              <w:rPr>
                <w:rFonts w:hint="eastAsia"/>
                <w:highlight w:val="none"/>
              </w:rPr>
              <w:t>3、 整机设备支持统一互通的用户身份认证服务，账号登录后，打开教学白板软件教学应用工具时无需再次输入账号密码重复登录。</w:t>
            </w:r>
          </w:p>
          <w:p w14:paraId="6E82A4B1">
            <w:pPr>
              <w:rPr>
                <w:rFonts w:hint="eastAsia"/>
                <w:highlight w:val="none"/>
              </w:rPr>
            </w:pPr>
            <w:r>
              <w:rPr>
                <w:rFonts w:hint="eastAsia"/>
                <w:highlight w:val="none"/>
              </w:rPr>
              <w:t>▲4、整机设备教学桌面支持教学常用的教学白板软件和文件管理软件软件；教学桌面首页支持自定义桌面应用，支持展示8个应用入口。并提供进入本机所有应用的入口。可将应用编辑到教学桌面首页，编辑方式支持从教学桌面首页进入编辑，支持在全部应用列表中进入编辑 2 种方式。教学桌面首页应用支持无需进入应用编辑页面，在首页指定应用上长按进行移除。（响应文件中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4D26F6B">
            <w:pPr>
              <w:rPr>
                <w:rFonts w:hint="eastAsia"/>
                <w:highlight w:val="none"/>
              </w:rPr>
            </w:pPr>
            <w:r>
              <w:rPr>
                <w:rFonts w:hint="eastAsia"/>
                <w:highlight w:val="none"/>
              </w:rPr>
              <w:t>▲5、整机设备教学桌面支持查看设备盘符，支持本地磁盘和外接 U 盘、移动硬盘，点击即可打开该磁盘查看磁盘文件。教学桌面支持显示存储空间状态，当存储空间即将满载时候进行红色标记明显提示。（响应文件中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FA7C596">
            <w:pPr>
              <w:rPr>
                <w:rFonts w:hint="eastAsia"/>
                <w:highlight w:val="none"/>
              </w:rPr>
            </w:pPr>
            <w:r>
              <w:rPr>
                <w:rFonts w:hint="eastAsia"/>
                <w:highlight w:val="none"/>
              </w:rPr>
              <w:t>6、整机设备教学桌面支持推荐应用，推荐应用支持移除，整机设备教学桌面支持进行应用卸载，设备教学桌面的教师登录账号后，可自动获取并在桌面显示最近使用的教学课件，点击课件可直接进入授课模式；并支持查看所有个人教学课件资源。</w:t>
            </w:r>
          </w:p>
          <w:p w14:paraId="64AFAAAF">
            <w:pPr>
              <w:rPr>
                <w:rFonts w:hint="eastAsia"/>
                <w:highlight w:val="none"/>
              </w:rPr>
            </w:pPr>
            <w:r>
              <w:rPr>
                <w:rFonts w:hint="eastAsia"/>
                <w:highlight w:val="none"/>
              </w:rPr>
              <w:t>7、整机设备教学桌面支持进行壁纸编辑，内置10张以上壁纸，并支持自定义壁纸，设备教学桌面支持 U 盘、移动硬盘外接存储设备直接在桌面显示，无需打开文件浏览器即可查看文件列表，并且支持文件打开。支持查看全部文件列表以及按照文档、图片、音视频分类方式查看文件列表。</w:t>
            </w:r>
          </w:p>
          <w:p w14:paraId="0F01719D">
            <w:pPr>
              <w:rPr>
                <w:rFonts w:hint="eastAsia"/>
                <w:highlight w:val="none"/>
              </w:rPr>
            </w:pPr>
            <w:r>
              <w:rPr>
                <w:rFonts w:hint="eastAsia"/>
                <w:highlight w:val="none"/>
              </w:rPr>
              <w:t>8、 整机设备教学桌面U盘文件查看窗口支持使用文件浏览器打开U盘，支持进行通道切换，当设备有其他输入源时，可在桌面点击信号源进行输入源切换。</w:t>
            </w:r>
          </w:p>
          <w:p w14:paraId="60E90496">
            <w:pPr>
              <w:rPr>
                <w:rFonts w:hint="eastAsia"/>
                <w:highlight w:val="none"/>
              </w:rPr>
            </w:pPr>
            <w:r>
              <w:rPr>
                <w:rFonts w:hint="eastAsia"/>
                <w:highlight w:val="none"/>
              </w:rPr>
              <w:t>9、整机设备教学桌面支持进行锁屏操作，整机设备教学桌面支持进行重启、关机操作。</w:t>
            </w:r>
          </w:p>
          <w:p w14:paraId="297D6CCC">
            <w:pPr>
              <w:rPr>
                <w:rFonts w:hint="eastAsia"/>
                <w:highlight w:val="none"/>
              </w:rPr>
            </w:pPr>
            <w:r>
              <w:rPr>
                <w:rFonts w:hint="eastAsia"/>
                <w:highlight w:val="none"/>
              </w:rPr>
              <w:t>▲10、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828DA47">
            <w:pPr>
              <w:rPr>
                <w:rFonts w:hint="eastAsia"/>
                <w:highlight w:val="none"/>
              </w:rPr>
            </w:pPr>
            <w:r>
              <w:rPr>
                <w:rFonts w:hint="eastAsia"/>
                <w:highlight w:val="none"/>
              </w:rPr>
              <w:t>11、整机Windows通道支持文件传输应用，可将手机文件传输到整机上，无需借助第三方网页、第三方应用，传输文件格式支持：pptx、pdf、docx、txt、xlsx、enbx、jpg、png、gif、svg、mp4、rmvb、avi、3gp、wmv、flv、mkv、mp3、wav、wma、ogg、zip。</w:t>
            </w:r>
          </w:p>
          <w:p w14:paraId="4F9E7277">
            <w:pPr>
              <w:rPr>
                <w:rFonts w:hint="eastAsia"/>
                <w:highlight w:val="none"/>
              </w:rPr>
            </w:pPr>
            <w:r>
              <w:rPr>
                <w:rFonts w:hint="eastAsia"/>
                <w:highlight w:val="none"/>
              </w:rPr>
              <w:t>12、整机Windows通道支持文件传输应用，支持通过扫码、wifi直联、超声三种方式与手机进行握手连接，实现文件传输功能，Windows 通道支持文件传输应用，传输方式支持公网传输、局域网传输、WiFi 直连传输，接收的文件支持单份删除；接收的文件支持手动全部清空，为防止误清空，全部清空需要经过二次确认。</w:t>
            </w:r>
          </w:p>
          <w:p w14:paraId="28532F8D">
            <w:pPr>
              <w:rPr>
                <w:rFonts w:hint="eastAsia"/>
                <w:highlight w:val="none"/>
              </w:rPr>
            </w:pPr>
            <w:r>
              <w:rPr>
                <w:rFonts w:hint="eastAsia"/>
                <w:highlight w:val="none"/>
              </w:rPr>
              <w:t>13、整机Windows通道支持文件传输应用，支持打开文件所在文件夹，开启该应用后，可自动打开整机热点，并在文件传输应用中显示热点信息，无需手动在设置中查看热点。</w:t>
            </w:r>
          </w:p>
          <w:p w14:paraId="00ECD431">
            <w:pPr>
              <w:rPr>
                <w:rFonts w:hint="eastAsia"/>
                <w:highlight w:val="none"/>
              </w:rPr>
            </w:pPr>
            <w:r>
              <w:rPr>
                <w:rFonts w:hint="eastAsia"/>
                <w:highlight w:val="none"/>
              </w:rPr>
              <w:t>▲14、整机设备自带地震预警软件。支持在地震预警页面中获取位置，可以手动进行位置校准。支持在地震预警页面中选择提醒阈值。支持在地震预警界面中开启和关闭地震预警服务。（响应文件中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549F98A">
            <w:pPr>
              <w:rPr>
                <w:rFonts w:hint="eastAsia"/>
                <w:highlight w:val="none"/>
              </w:rPr>
            </w:pPr>
          </w:p>
          <w:p w14:paraId="6A6A67DC">
            <w:pPr>
              <w:rPr>
                <w:rFonts w:hint="eastAsia"/>
                <w:highlight w:val="none"/>
              </w:rPr>
            </w:pPr>
            <w:r>
              <w:rPr>
                <w:rFonts w:hint="eastAsia"/>
                <w:highlight w:val="none"/>
              </w:rPr>
              <w:t>九、教学备授课软件要求</w:t>
            </w:r>
          </w:p>
          <w:p w14:paraId="08027B0A">
            <w:pPr>
              <w:rPr>
                <w:rFonts w:hint="eastAsia"/>
                <w:highlight w:val="none"/>
              </w:rPr>
            </w:pPr>
            <w:r>
              <w:rPr>
                <w:rFonts w:hint="eastAsia"/>
                <w:highlight w:val="none"/>
              </w:rPr>
              <w:t>（一）整体设计：</w:t>
            </w:r>
          </w:p>
          <w:p w14:paraId="19876A85">
            <w:pPr>
              <w:rPr>
                <w:rFonts w:hint="eastAsia"/>
                <w:highlight w:val="none"/>
              </w:rPr>
            </w:pPr>
            <w:r>
              <w:rPr>
                <w:rFonts w:hint="eastAsia"/>
                <w:highlight w:val="none"/>
              </w:rPr>
              <w:t>▲1、支持为教师提供可扩展至100TB的云存储空间，教师可在个人云空间上传存储互动课件、云教案和其他教学资源。支持上传的资源格式有：</w:t>
            </w:r>
          </w:p>
          <w:p w14:paraId="47A45247">
            <w:pPr>
              <w:rPr>
                <w:rFonts w:hint="eastAsia"/>
                <w:highlight w:val="none"/>
              </w:rPr>
            </w:pPr>
            <w:r>
              <w:rPr>
                <w:rFonts w:hint="eastAsia"/>
                <w:highlight w:val="none"/>
              </w:rPr>
              <w:t>文档：ppt、pptx、word、pdf、excel；</w:t>
            </w:r>
          </w:p>
          <w:p w14:paraId="5C8C88CB">
            <w:pPr>
              <w:rPr>
                <w:rFonts w:hint="eastAsia"/>
                <w:highlight w:val="none"/>
              </w:rPr>
            </w:pPr>
            <w:r>
              <w:rPr>
                <w:rFonts w:hint="eastAsia"/>
                <w:highlight w:val="none"/>
              </w:rPr>
              <w:t>图片：bmp、png、jpg、jpeg、gif；</w:t>
            </w:r>
          </w:p>
          <w:p w14:paraId="5F4EDEC0">
            <w:pPr>
              <w:rPr>
                <w:rFonts w:hint="eastAsia"/>
                <w:highlight w:val="none"/>
              </w:rPr>
            </w:pPr>
            <w:r>
              <w:rPr>
                <w:rFonts w:hint="eastAsia"/>
                <w:highlight w:val="none"/>
              </w:rPr>
              <w:t>音视频：mp3、wav、wma、ogg、aac、mp4、rmvb、wmv、avi、rm、3gp、mkv、flv、mov、svg、swf。</w:t>
            </w:r>
          </w:p>
          <w:p w14:paraId="0B24CC8F">
            <w:pPr>
              <w:rPr>
                <w:rFonts w:hint="eastAsia"/>
                <w:highlight w:val="none"/>
              </w:rPr>
            </w:pPr>
            <w:r>
              <w:rPr>
                <w:rFonts w:hint="eastAsia"/>
                <w:highlight w:val="none"/>
              </w:rPr>
              <w:t>2、支持移动调整文件及文件夹的层级，支持对文件进行重命名、删除操作。互动课件与其他教学资源的云空间相互独立；教师可新建课件组或素材文件夹对教学资源进行个性化的分类与标记；多媒体素材库内的素材可插入互动课件，互动课件内的多媒体素材可在课件内直接上传至多媒体素材存储空间，支持教师调用、采集教学素材。</w:t>
            </w:r>
          </w:p>
          <w:p w14:paraId="0531C3DA">
            <w:pPr>
              <w:rPr>
                <w:rFonts w:hint="eastAsia"/>
                <w:highlight w:val="none"/>
              </w:rPr>
            </w:pPr>
            <w:r>
              <w:rPr>
                <w:rFonts w:hint="eastAsia"/>
                <w:highlight w:val="none"/>
              </w:rPr>
              <w:t>3、为使用方全体教师配备个人账号，形成一体的信息化教学账号体系；根据教师账号信息将教师云空间匹配至对应学校、学科校本资源库。支持通过数字账号、微信二维码、硬件密钥方式登录教师个人账号。</w:t>
            </w:r>
          </w:p>
          <w:p w14:paraId="7942C865">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1F17B50C">
            <w:pPr>
              <w:rPr>
                <w:rFonts w:hint="eastAsia"/>
                <w:highlight w:val="none"/>
              </w:rPr>
            </w:pPr>
            <w:r>
              <w:rPr>
                <w:rFonts w:hint="eastAsia"/>
                <w:highlight w:val="none"/>
              </w:rPr>
              <w:t>4、互动课件支持定向分享，分享者可将互动课件、课件组推送至指定接收方账号的云空间，接收方可在云空间接收并打开分享课件。（响应文件中须出具检验结果符合或者优于本项参数的国家认可的第三方认证（检测）机构出具的带有CMA或CNAS标志的检测报告）</w:t>
            </w:r>
          </w:p>
          <w:p w14:paraId="5289B528">
            <w:pPr>
              <w:rPr>
                <w:rFonts w:hint="eastAsia"/>
                <w:highlight w:val="none"/>
              </w:rPr>
            </w:pPr>
            <w:r>
              <w:rPr>
                <w:rFonts w:hint="eastAsia"/>
                <w:highlight w:val="none"/>
              </w:rPr>
              <w:t>互动课件支持开放式云分享，分享者可将互动课件、课件组以公开或加密的web链接和二维码形式进行分享，分享链接可设置访问有效期。（响应文件中须出具检验结果符合或者优于本项参数的国家认可的第三方认证（检测）机构出具的带有CMA或CNAS标志的检测报告）</w:t>
            </w:r>
          </w:p>
          <w:p w14:paraId="2516701A">
            <w:pPr>
              <w:rPr>
                <w:rFonts w:hint="eastAsia"/>
                <w:highlight w:val="none"/>
              </w:rPr>
            </w:pPr>
            <w:r>
              <w:rPr>
                <w:rFonts w:hint="eastAsia"/>
                <w:highlight w:val="none"/>
              </w:rPr>
              <w:t>5、提供拼音卡片、古诗词、汉字卡片、中文听写、数学画板、字母卡片、英汉词典、英文听写、化学实验、元素周期、化学方程、物理线图、星球至少20种学科工具，可一键插入课件。学科工具支持教师自主设置在首页显示的功能，且该设置在备课和授课端之间可以同步。（响应文件中须出具检验结果符合或者优于本项参数的国家认可的第三方认证（检测）机构出具的带有CMA或CNAS标志的检测报告）</w:t>
            </w:r>
          </w:p>
          <w:p w14:paraId="734D4E62">
            <w:pPr>
              <w:rPr>
                <w:rFonts w:hint="eastAsia"/>
                <w:highlight w:val="none"/>
              </w:rPr>
            </w:pPr>
            <w:r>
              <w:rPr>
                <w:rFonts w:hint="eastAsia"/>
                <w:highlight w:val="none"/>
              </w:rPr>
              <w:t>▲6、提供互动式教学课件资源，包含学科教育各学段各地区教材版本不少于88个；包含学科教育各学段教材版本全部教学章节、专题教育多个主题教育、特殊教育三大分类不少于160000份的交互动课件。</w:t>
            </w:r>
          </w:p>
          <w:p w14:paraId="0AD3ECFB">
            <w:pPr>
              <w:rPr>
                <w:rFonts w:hint="eastAsia"/>
                <w:highlight w:val="none"/>
              </w:rPr>
            </w:pPr>
            <w:r>
              <w:rPr>
                <w:rFonts w:hint="eastAsia"/>
                <w:highlight w:val="none"/>
              </w:rPr>
              <w:t>7、按照下载量、课件质量、相关性每天动态更新课件列表，提供按章节、主题筛选和关键词搜索，支持模糊搜索。并提供默认排序、最多获取和最新上架三种排序方式。</w:t>
            </w:r>
          </w:p>
          <w:p w14:paraId="592236B8">
            <w:pPr>
              <w:rPr>
                <w:rFonts w:hint="eastAsia"/>
                <w:highlight w:val="none"/>
              </w:rPr>
            </w:pPr>
            <w:r>
              <w:rPr>
                <w:rFonts w:hint="eastAsia"/>
                <w:highlight w:val="none"/>
              </w:rPr>
              <w:t>课件支持直接预览并下载，预览时支持拖动课堂活动、形状、几何、文本元素；下载时课件可同步至教师个人云空间；课件支持教师在线评分。</w:t>
            </w:r>
          </w:p>
          <w:p w14:paraId="1F175A3A">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5472F32F">
            <w:pPr>
              <w:rPr>
                <w:rFonts w:hint="eastAsia"/>
                <w:highlight w:val="none"/>
              </w:rPr>
            </w:pPr>
            <w:r>
              <w:rPr>
                <w:rFonts w:hint="eastAsia"/>
                <w:highlight w:val="none"/>
              </w:rPr>
              <w:t>▲8、AI智能备课助手：</w:t>
            </w:r>
          </w:p>
          <w:p w14:paraId="3EEB1D94">
            <w:pPr>
              <w:rPr>
                <w:rFonts w:hint="eastAsia"/>
                <w:highlight w:val="none"/>
              </w:rPr>
            </w:pPr>
            <w:r>
              <w:rPr>
                <w:rFonts w:hint="eastAsia"/>
                <w:highlight w:val="none"/>
              </w:rPr>
              <w:t>在备课场景中支持搜索课件库课件资源，具有不少于15万份的课件资源，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p>
          <w:p w14:paraId="77A5EFF0">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336A4BAC">
            <w:pPr>
              <w:rPr>
                <w:rFonts w:hint="eastAsia"/>
                <w:highlight w:val="none"/>
              </w:rPr>
            </w:pPr>
            <w:r>
              <w:rPr>
                <w:rFonts w:hint="eastAsia"/>
                <w:highlight w:val="none"/>
              </w:rPr>
              <w:t>9、采用备授课一体化框架设计，教师可根据教学场景自由切换类PPT界面的备课模式与触控交互教学模式，适用于教室、办公室等不同教学环境。</w:t>
            </w:r>
          </w:p>
          <w:p w14:paraId="7771B34E">
            <w:pPr>
              <w:rPr>
                <w:rFonts w:hint="eastAsia"/>
                <w:highlight w:val="none"/>
              </w:rPr>
            </w:pPr>
            <w:r>
              <w:rPr>
                <w:rFonts w:hint="eastAsia"/>
                <w:highlight w:val="none"/>
              </w:rPr>
              <w:t>10、互动课件内容的编辑修改无需人为保存即可自动同步至云空间，可根据教师需要调整云空间自动同步的时间间隔。本地课件则不会自动同步到云空间以保证数据安全。编辑多份互动课件时，教师可一键将所有处于编辑状态的课件同步到互动课件云空间。</w:t>
            </w:r>
          </w:p>
          <w:p w14:paraId="459AF828">
            <w:pPr>
              <w:rPr>
                <w:rFonts w:hint="eastAsia"/>
                <w:highlight w:val="none"/>
              </w:rPr>
            </w:pPr>
            <w:r>
              <w:rPr>
                <w:rFonts w:hint="eastAsia"/>
                <w:highlight w:val="none"/>
              </w:rPr>
              <w:t>▲11、支持PPT的原生解析，教师可将pptx课件转化为互动教学课件，支持单份导入和批量文件夹导入两种导入方式，保留pptx原文件中的文字、图片、表格等对象及动画的可编辑性，并可为课件增加互动教学元素。（响应文件中须出具检验结果符合或者优于本项参数的国家认可的第三方认证（检测）机构出具的带有CMA或CNAS标志的检测报告）</w:t>
            </w:r>
          </w:p>
          <w:p w14:paraId="1F2F42DB">
            <w:pPr>
              <w:rPr>
                <w:rFonts w:hint="eastAsia"/>
                <w:highlight w:val="none"/>
              </w:rPr>
            </w:pPr>
            <w:r>
              <w:rPr>
                <w:rFonts w:hint="eastAsia"/>
                <w:highlight w:val="none"/>
              </w:rPr>
              <w:t>▲12、支持将互动课件导出为pptx、pdf、H5或web链接。导出的课件支持在多终端(包含windows、Macos、iOS、安卓、国产化系统)进行二次编辑。（响应文件中须出具检验结果符合或者优于本项参数的国家认可的第三方认证（检测）机构出具的带有CMA或CNAS标志的检测报告）</w:t>
            </w:r>
          </w:p>
          <w:p w14:paraId="2D6E486A">
            <w:pPr>
              <w:rPr>
                <w:rFonts w:hint="eastAsia"/>
                <w:highlight w:val="none"/>
              </w:rPr>
            </w:pPr>
            <w:r>
              <w:rPr>
                <w:rFonts w:hint="eastAsia"/>
                <w:highlight w:val="none"/>
              </w:rPr>
              <w:t>13、课件回收站功能：按照删除时间存储已删除课件，支持用户在3天内自主或彻底删除单份/多份/全部已删除课件</w:t>
            </w:r>
          </w:p>
          <w:p w14:paraId="32CB3E0D">
            <w:pPr>
              <w:rPr>
                <w:rFonts w:hint="eastAsia"/>
                <w:highlight w:val="none"/>
              </w:rPr>
            </w:pPr>
            <w:r>
              <w:rPr>
                <w:rFonts w:hint="eastAsia"/>
                <w:highlight w:val="none"/>
              </w:rPr>
              <w:t>14、可自由调节课件画面的显示比例，支持16:9、4：3画面显示比，可适配各类显示设备。</w:t>
            </w:r>
          </w:p>
          <w:p w14:paraId="774EE50C">
            <w:pPr>
              <w:rPr>
                <w:rFonts w:hint="eastAsia"/>
                <w:highlight w:val="none"/>
              </w:rPr>
            </w:pPr>
            <w:r>
              <w:rPr>
                <w:rFonts w:hint="eastAsia"/>
                <w:highlight w:val="none"/>
              </w:rPr>
              <w:t>▲15、具备云端静默推送下载功能，无需用户手动下载即可实现应用的在线升级，升级具有信息验证机制。</w:t>
            </w:r>
          </w:p>
          <w:p w14:paraId="62CEDDCB">
            <w:pPr>
              <w:rPr>
                <w:rFonts w:hint="eastAsia"/>
                <w:highlight w:val="none"/>
              </w:rPr>
            </w:pPr>
            <w:r>
              <w:rPr>
                <w:rFonts w:hint="eastAsia"/>
                <w:highlight w:val="none"/>
              </w:rPr>
              <w:t>▲16、全文快速搜索：支持在课件中通过快捷键(Ctrl+F)调用搜索控件，输入文本即可查找课件内文本框、形状、表格中对应的文本匹配项。（响应文件中须出具检验结果符合或者优于本项参数的国家认可的第三方认证（检测）机构出具的带有CMA或CNAS标志的检测报告）</w:t>
            </w:r>
          </w:p>
          <w:p w14:paraId="3F783D0A">
            <w:pPr>
              <w:rPr>
                <w:rFonts w:hint="eastAsia"/>
                <w:highlight w:val="none"/>
              </w:rPr>
            </w:pPr>
            <w:r>
              <w:rPr>
                <w:rFonts w:hint="eastAsia"/>
                <w:highlight w:val="none"/>
              </w:rPr>
              <w:t>17、胶囊式微课功能内置于交互式课件工具中，支持快速录制胶囊式微课，微课可录制保存音频和课件的互动操作。</w:t>
            </w:r>
          </w:p>
          <w:p w14:paraId="7D450247">
            <w:pPr>
              <w:rPr>
                <w:rFonts w:hint="eastAsia"/>
                <w:highlight w:val="none"/>
              </w:rPr>
            </w:pPr>
            <w:r>
              <w:rPr>
                <w:rFonts w:hint="eastAsia"/>
                <w:highlight w:val="none"/>
              </w:rPr>
              <w:t>（二）基础教学工具</w:t>
            </w:r>
          </w:p>
          <w:p w14:paraId="642F5EBA">
            <w:pPr>
              <w:rPr>
                <w:rFonts w:hint="eastAsia"/>
                <w:highlight w:val="none"/>
              </w:rPr>
            </w:pPr>
            <w:r>
              <w:rPr>
                <w:rFonts w:hint="eastAsia"/>
                <w:highlight w:val="none"/>
              </w:rPr>
              <w:t>1、内置课堂教学、简约、插画、科技、古风等不少于70个课件主题模板供教师选用，且教师可自定义课件背景。</w:t>
            </w:r>
          </w:p>
          <w:p w14:paraId="017D1C93">
            <w:pPr>
              <w:rPr>
                <w:rFonts w:hint="eastAsia"/>
                <w:highlight w:val="none"/>
              </w:rPr>
            </w:pPr>
            <w:r>
              <w:rPr>
                <w:rFonts w:hint="eastAsia"/>
                <w:highlight w:val="none"/>
              </w:rPr>
              <w:t>2、排版：支持对多对象的叠放层级、对齐方式进行设置，可批量组合、锁定课件对象。对象移动时自动弹出对齐线及等距线辅助排版。</w:t>
            </w:r>
          </w:p>
          <w:p w14:paraId="7BB30619">
            <w:pPr>
              <w:rPr>
                <w:rFonts w:hint="eastAsia"/>
                <w:highlight w:val="none"/>
              </w:rPr>
            </w:pPr>
            <w:r>
              <w:rPr>
                <w:rFonts w:hint="eastAsia"/>
                <w:highlight w:val="none"/>
              </w:rPr>
              <w:t>3、提供截图工具，可对课件内容、桌面内容快速截图，可自由调整截屏范围，截屏内容直接插入课件。</w:t>
            </w:r>
          </w:p>
          <w:p w14:paraId="00AB7B2F">
            <w:pPr>
              <w:rPr>
                <w:rFonts w:hint="eastAsia"/>
                <w:highlight w:val="none"/>
              </w:rPr>
            </w:pPr>
            <w:r>
              <w:rPr>
                <w:rFonts w:hint="eastAsia"/>
                <w:highlight w:val="none"/>
              </w:rPr>
              <w:t>4、支持课件内所有的元素对象创建超链接，可链接到对象所在课件的相关页面、网页、文档等。</w:t>
            </w:r>
          </w:p>
          <w:p w14:paraId="07757BB6">
            <w:pPr>
              <w:rPr>
                <w:rFonts w:hint="eastAsia"/>
                <w:highlight w:val="none"/>
              </w:rPr>
            </w:pPr>
            <w:r>
              <w:rPr>
                <w:rFonts w:hint="eastAsia"/>
                <w:highlight w:val="none"/>
              </w:rPr>
              <w:t>5、文本工具：可插入文本框输入文本并支持文本样式设置：字体、字号、颜色、加粗、倾斜、下划线、上下角标、项目符号。支持段落样式设置：顶部对齐、垂直居中对齐、底端对齐缩进、行高、文本缩进等进行设置。文本、段落的样式支持格式刷快速复制，提升备课效率。预置不少于15种艺术字效果，便于教师调用美化课件。</w:t>
            </w:r>
          </w:p>
          <w:p w14:paraId="0641B70A">
            <w:pPr>
              <w:rPr>
                <w:rFonts w:hint="eastAsia"/>
                <w:highlight w:val="none"/>
              </w:rPr>
            </w:pPr>
            <w:r>
              <w:rPr>
                <w:rFonts w:hint="eastAsia"/>
                <w:highlight w:val="none"/>
              </w:rPr>
              <w:t>6、图形工具：提供直线、箭头、正方形、圆角四边形、平行四边形、圆形、等腰三角形、直角三角形、菱形、梯形、五边形等基本几何图形以及对话框、五角星、大括号、旗子等特殊图形。</w:t>
            </w:r>
          </w:p>
          <w:p w14:paraId="33D4A551">
            <w:pPr>
              <w:rPr>
                <w:rFonts w:hint="eastAsia"/>
                <w:highlight w:val="none"/>
              </w:rPr>
            </w:pPr>
            <w:r>
              <w:rPr>
                <w:rFonts w:hint="eastAsia"/>
                <w:highlight w:val="none"/>
              </w:rPr>
              <w:t>7、具备图形自由创作工具，教师可自由绘制复杂的任意多边图形及曲边图形；教师自主创作的图形可存储至个人云空间便于后续使用。</w:t>
            </w:r>
          </w:p>
          <w:p w14:paraId="5AF06494">
            <w:pPr>
              <w:rPr>
                <w:rFonts w:hint="eastAsia"/>
                <w:highlight w:val="none"/>
              </w:rPr>
            </w:pPr>
            <w:r>
              <w:rPr>
                <w:rFonts w:hint="eastAsia"/>
                <w:highlight w:val="none"/>
              </w:rPr>
              <w:t>8、图形具备旋转、镜像克隆、多图形等距对齐等功能，便于教师快速完成图形排版。</w:t>
            </w:r>
          </w:p>
          <w:p w14:paraId="0F598175">
            <w:pPr>
              <w:rPr>
                <w:rFonts w:hint="eastAsia"/>
                <w:highlight w:val="none"/>
              </w:rPr>
            </w:pPr>
            <w:r>
              <w:rPr>
                <w:rFonts w:hint="eastAsia"/>
                <w:highlight w:val="none"/>
              </w:rPr>
              <w:t>支持对图形样式设置：图形颜色、阴影、倒影、透明度、边框等样式设置；支持图形旋转中心调整。</w:t>
            </w:r>
          </w:p>
          <w:p w14:paraId="334FD769">
            <w:pPr>
              <w:rPr>
                <w:rFonts w:hint="eastAsia"/>
                <w:highlight w:val="none"/>
              </w:rPr>
            </w:pPr>
            <w:r>
              <w:rPr>
                <w:rFonts w:hint="eastAsia"/>
                <w:highlight w:val="none"/>
              </w:rPr>
              <w:t>9、图片工具：内置图片处理功能，无需借助专业图片处理软件即可对课件内的图片进行快速抠图，图片主体处理后边缘无明显毛边，且处理后的图片可直接上传至教师云空间供后续复用。</w:t>
            </w:r>
          </w:p>
          <w:p w14:paraId="02E6E377">
            <w:pPr>
              <w:rPr>
                <w:rFonts w:hint="eastAsia"/>
                <w:highlight w:val="none"/>
              </w:rPr>
            </w:pPr>
            <w:r>
              <w:rPr>
                <w:rFonts w:hint="eastAsia"/>
                <w:highlight w:val="none"/>
              </w:rPr>
              <w:t>10、内置图片裁切功能，无需调用截图工具即可直接对课件内的图片进行裁切，裁切面积可自由调整。</w:t>
            </w:r>
          </w:p>
          <w:p w14:paraId="10F98054">
            <w:pPr>
              <w:rPr>
                <w:rFonts w:hint="eastAsia"/>
                <w:highlight w:val="none"/>
              </w:rPr>
            </w:pPr>
            <w:r>
              <w:rPr>
                <w:rFonts w:hint="eastAsia"/>
                <w:highlight w:val="none"/>
              </w:rPr>
              <w:t>11、蒙层工具：可一键为课件文本、图片、形状等对象添加蒙层将其隐藏，授课模式下可通过橡皮擦工具、或手势擦除蒙层展现隐藏内容。</w:t>
            </w:r>
          </w:p>
          <w:p w14:paraId="4DC9BC41">
            <w:pPr>
              <w:rPr>
                <w:rFonts w:hint="eastAsia"/>
                <w:highlight w:val="none"/>
              </w:rPr>
            </w:pPr>
            <w:r>
              <w:rPr>
                <w:rFonts w:hint="eastAsia"/>
                <w:highlight w:val="none"/>
              </w:rPr>
              <w:t>12、兼容传统课件制作工具的组合快捷按键，支持如加粗（Ctrl+B）、文字居中（Ctrl+E）等教师熟悉的组合按键，鼠标悬停至功能按键时自动提示组合快捷键，内置组合快捷键数量不少于50个。</w:t>
            </w:r>
          </w:p>
          <w:p w14:paraId="167CA39E">
            <w:pPr>
              <w:rPr>
                <w:rFonts w:hint="eastAsia"/>
                <w:highlight w:val="none"/>
              </w:rPr>
            </w:pPr>
            <w:r>
              <w:rPr>
                <w:rFonts w:hint="eastAsia"/>
                <w:highlight w:val="none"/>
              </w:rPr>
              <w:t>13、提供页面备注功能，可一键展开/隐藏备注。方便教师备课过程中记录教学研究思路用于教学反思。</w:t>
            </w:r>
          </w:p>
          <w:p w14:paraId="0B1F8509">
            <w:pPr>
              <w:rPr>
                <w:rFonts w:hint="eastAsia"/>
                <w:highlight w:val="none"/>
              </w:rPr>
            </w:pPr>
            <w:r>
              <w:rPr>
                <w:rFonts w:hint="eastAsia"/>
                <w:highlight w:val="none"/>
              </w:rPr>
              <w:t>14、备课模式下界面工具菜单支持自定义设置，教师可增减符合自身备课习惯的学科工具，自设工具菜单与教师云空间账号绑定，在任意终端登录教师账号备课自动同步备课工具菜单。</w:t>
            </w:r>
          </w:p>
          <w:p w14:paraId="22665E59">
            <w:pPr>
              <w:rPr>
                <w:rFonts w:hint="eastAsia"/>
                <w:highlight w:val="none"/>
              </w:rPr>
            </w:pPr>
            <w:r>
              <w:rPr>
                <w:rFonts w:hint="eastAsia"/>
                <w:highlight w:val="none"/>
              </w:rPr>
              <w:t>15、动画：提供至少30种应用于文本、形状、图片等课件元素的触发动画，可对动画的设置触发条件、动画声效、动画时长、动画延迟和动画方向进行自定义设置。支持对任意课件元素自定义路径动画，可自由绘制动画移动轨迹使课件元素沿轨迹路径进行移动。一个课件元素支持同时设置多组出现、消失、路径动画。</w:t>
            </w:r>
          </w:p>
          <w:p w14:paraId="7BA215FA">
            <w:pPr>
              <w:rPr>
                <w:rFonts w:hint="eastAsia"/>
                <w:highlight w:val="none"/>
              </w:rPr>
            </w:pPr>
            <w:r>
              <w:rPr>
                <w:rFonts w:hint="eastAsia"/>
                <w:highlight w:val="none"/>
              </w:rPr>
              <w:t>16、音视频播放组件：支持课件内嵌图片、音视频等多媒体文件，兼容以下格式：mp3、wav、ogg、aac、mp4、rmvb、wmv、3gp、mkv、flv、mov、png、bmp、jpg、jpeg、gif、svg。支持对音频、视频文件进行关键帧标记，可在音、视频进度条任意位置自由设置关键帧播放节点，便于快速定位讲解关键教学内容。</w:t>
            </w:r>
          </w:p>
          <w:p w14:paraId="2F843F21">
            <w:pPr>
              <w:rPr>
                <w:rFonts w:hint="eastAsia"/>
                <w:highlight w:val="none"/>
              </w:rPr>
            </w:pPr>
            <w:r>
              <w:rPr>
                <w:rFonts w:hint="eastAsia"/>
                <w:highlight w:val="none"/>
              </w:rPr>
              <w:t>17、提供单次播放、循环播放、跨页面播放和自动播放等播放模式。跨页面播放可设置音频进行部分页面播放和全页面播放。</w:t>
            </w:r>
          </w:p>
          <w:p w14:paraId="4DD70DC0">
            <w:pPr>
              <w:rPr>
                <w:rFonts w:hint="eastAsia"/>
                <w:highlight w:val="none"/>
              </w:rPr>
            </w:pPr>
            <w:r>
              <w:rPr>
                <w:rFonts w:hint="eastAsia"/>
                <w:highlight w:val="none"/>
              </w:rPr>
              <w:t>18、交互表格工具：具备交互表格功能，课件可自由插入表格，预置不少于5种表格样式，支持边框、底纹设置，自由合并单元格；表格支持自由输入文本，且根据文本内容可一键自动调整行列宽高；表格通过表格首行首列交接处的按键可一键精准增加行列；具备遮罩功能，表格中任一单元格可添加遮罩掩盖单元格内容，授课模式点击即可取消遮罩，便于教师交互式教学</w:t>
            </w:r>
          </w:p>
          <w:p w14:paraId="3B8AA265">
            <w:pPr>
              <w:rPr>
                <w:rFonts w:hint="eastAsia"/>
                <w:highlight w:val="none"/>
              </w:rPr>
            </w:pPr>
            <w:r>
              <w:rPr>
                <w:rFonts w:hint="eastAsia"/>
                <w:highlight w:val="none"/>
              </w:rPr>
              <w:t>19、学科思维导图工具：内嵌学科思维导图功能，提供思维导图、鱼骨图及组织结构图等知识结构化工具，提供不少于8种预设模板，可自由增删或拖拽编辑知识节点，并支持在节点上插入图片、音频、视频、网页链接、课件页面等教学知识内容，便于建构知识结构；学科思维导图知识点可逐级、逐个展开，导图工具具备归纳总结功能，可将相邻知识节点一键快速归纳，并添加文本、图片、音频、视频等辅助讲解，进行知识点关联发散。思维导图支持自定义连接线、节点样式。</w:t>
            </w:r>
          </w:p>
          <w:p w14:paraId="5D68F6DC">
            <w:pPr>
              <w:rPr>
                <w:rFonts w:hint="eastAsia"/>
                <w:highlight w:val="none"/>
              </w:rPr>
            </w:pPr>
            <w:r>
              <w:rPr>
                <w:rFonts w:hint="eastAsia"/>
                <w:highlight w:val="none"/>
              </w:rPr>
              <w:t>20、图表工具：提供柱状图、扇形图、折线图等互动图表，每类图表预置不少于5种样式，支持图表文字、背景、透明度设置；柱状图、折线图可一键转置互换坐标轴类别；图表支持三维模式旋转展示。</w:t>
            </w:r>
          </w:p>
          <w:p w14:paraId="2B46E707">
            <w:pPr>
              <w:rPr>
                <w:rFonts w:hint="eastAsia"/>
                <w:highlight w:val="none"/>
              </w:rPr>
            </w:pPr>
            <w:r>
              <w:rPr>
                <w:rFonts w:hint="eastAsia"/>
                <w:highlight w:val="none"/>
              </w:rPr>
              <w:t>（三）教学课堂活动：</w:t>
            </w:r>
          </w:p>
          <w:p w14:paraId="40150E3F">
            <w:pPr>
              <w:rPr>
                <w:rFonts w:hint="eastAsia"/>
                <w:highlight w:val="none"/>
              </w:rPr>
            </w:pPr>
            <w:r>
              <w:rPr>
                <w:rFonts w:hint="eastAsia"/>
                <w:highlight w:val="none"/>
              </w:rPr>
              <w:t>▲1、课堂互动游戏支持云储存，编辑完成的活动可一键存储至教师云空间，便于在不同课件中直接调用，无需反复编辑。（响应文件中须出具检验结果符合或者优于本项参数的国家认可的第三方认证（检测）机构出具的带有CMA或CNAS标志的检测报告）</w:t>
            </w:r>
          </w:p>
          <w:p w14:paraId="61CF2FAB">
            <w:pPr>
              <w:rPr>
                <w:rFonts w:hint="eastAsia"/>
                <w:highlight w:val="none"/>
              </w:rPr>
            </w:pPr>
            <w:r>
              <w:rPr>
                <w:rFonts w:hint="eastAsia"/>
                <w:highlight w:val="none"/>
              </w:rPr>
              <w:t>▲2、AI智能生成课堂活动：具有课堂活动智能填写功能，支持选词填空、判断对错和趣味选择三大课堂活动。</w:t>
            </w:r>
          </w:p>
          <w:p w14:paraId="7E1B7017">
            <w:pPr>
              <w:rPr>
                <w:rFonts w:hint="eastAsia"/>
                <w:highlight w:val="none"/>
              </w:rPr>
            </w:pPr>
            <w:r>
              <w:rPr>
                <w:rFonts w:hint="eastAsia"/>
                <w:highlight w:val="none"/>
              </w:rPr>
              <w:t>3、输入文本后可以一键解析，自动将文本内容结构化填充至题干和正确选项，完成课堂活动的制作。</w:t>
            </w:r>
          </w:p>
          <w:p w14:paraId="47FCCEF8">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7A0CB3B7">
            <w:pPr>
              <w:rPr>
                <w:rFonts w:hint="eastAsia"/>
                <w:highlight w:val="none"/>
              </w:rPr>
            </w:pPr>
            <w:r>
              <w:rPr>
                <w:rFonts w:hint="eastAsia"/>
                <w:highlight w:val="none"/>
              </w:rPr>
              <w:t>4、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14:paraId="70D7FF90">
            <w:pPr>
              <w:rPr>
                <w:rFonts w:hint="eastAsia"/>
                <w:highlight w:val="none"/>
              </w:rPr>
            </w:pPr>
            <w:r>
              <w:rPr>
                <w:rFonts w:hint="eastAsia"/>
                <w:highlight w:val="none"/>
              </w:rPr>
              <w:t>▲5、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14:paraId="66CDBE4F">
            <w:pPr>
              <w:rPr>
                <w:rFonts w:hint="eastAsia"/>
                <w:highlight w:val="none"/>
              </w:rPr>
            </w:pPr>
            <w:r>
              <w:rPr>
                <w:rFonts w:hint="eastAsia"/>
                <w:highlight w:val="none"/>
              </w:rPr>
              <w:t>▲6、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14:paraId="6625F536">
            <w:pPr>
              <w:rPr>
                <w:rFonts w:hint="eastAsia"/>
                <w:highlight w:val="none"/>
              </w:rPr>
            </w:pPr>
            <w:r>
              <w:rPr>
                <w:rFonts w:hint="eastAsia"/>
                <w:highlight w:val="none"/>
              </w:rPr>
              <w:t>7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21DFE828">
            <w:pPr>
              <w:rPr>
                <w:rFonts w:hint="eastAsia"/>
                <w:highlight w:val="none"/>
              </w:rPr>
            </w:pPr>
            <w:r>
              <w:rPr>
                <w:rFonts w:hint="eastAsia"/>
                <w:highlight w:val="none"/>
              </w:rPr>
              <w:t>▲8、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239D32A1">
            <w:pPr>
              <w:rPr>
                <w:rFonts w:hint="eastAsia"/>
                <w:highlight w:val="none"/>
              </w:rPr>
            </w:pPr>
            <w:r>
              <w:rPr>
                <w:rFonts w:hint="eastAsia"/>
                <w:highlight w:val="none"/>
              </w:rPr>
              <w:t>9、趣味选择游戏：支持双人或两组学生展开竞争，对选择题选项抢答。支持单选和多选两种类型，提供不少于3种难度、4种游戏模板选择。支持记录和展示学生作答结果，便于课堂知识点对比讲解。</w:t>
            </w:r>
          </w:p>
          <w:p w14:paraId="1BA0B3C7">
            <w:pPr>
              <w:rPr>
                <w:rFonts w:hint="eastAsia"/>
                <w:highlight w:val="none"/>
              </w:rPr>
            </w:pPr>
            <w:r>
              <w:rPr>
                <w:rFonts w:hint="eastAsia"/>
                <w:highlight w:val="none"/>
              </w:rPr>
              <w:t>（四）学科工具和教学资源</w:t>
            </w:r>
          </w:p>
          <w:p w14:paraId="13BB878F">
            <w:pPr>
              <w:rPr>
                <w:rFonts w:hint="eastAsia"/>
                <w:highlight w:val="none"/>
              </w:rPr>
            </w:pPr>
            <w:r>
              <w:rPr>
                <w:rFonts w:hint="eastAsia"/>
                <w:highlight w:val="none"/>
              </w:rPr>
              <w:t>1、语文工具</w:t>
            </w:r>
          </w:p>
          <w:p w14:paraId="27AD02F1">
            <w:pPr>
              <w:rPr>
                <w:rFonts w:hint="eastAsia"/>
                <w:highlight w:val="none"/>
              </w:rPr>
            </w:pPr>
            <w:r>
              <w:rPr>
                <w:rFonts w:hint="eastAsia"/>
                <w:highlight w:val="none"/>
              </w:rPr>
              <w:t>1）古诗词：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w:t>
            </w:r>
          </w:p>
          <w:p w14:paraId="4BCFCD74">
            <w:pPr>
              <w:rPr>
                <w:rFonts w:hint="eastAsia"/>
                <w:highlight w:val="none"/>
              </w:rPr>
            </w:pPr>
            <w:r>
              <w:rPr>
                <w:rFonts w:hint="eastAsia"/>
                <w:highlight w:val="none"/>
              </w:rPr>
              <w:t>2）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14:paraId="71A198D5">
            <w:pPr>
              <w:rPr>
                <w:rFonts w:hint="eastAsia"/>
                <w:highlight w:val="none"/>
              </w:rPr>
            </w:pPr>
            <w:r>
              <w:rPr>
                <w:rFonts w:hint="eastAsia"/>
                <w:highlight w:val="none"/>
              </w:rPr>
              <w:t>3）汉字：具备汉字生字卡不少于5000个，可展示该汉字的部首、读音、笔画顺序、笔画数量等。直观展示汉字读音、部首、笔画数量，笔画书写支持分步展示和连续展示，教师可一次性生成多个汉字生字卡，同步生成数量不少于5个。</w:t>
            </w:r>
          </w:p>
          <w:p w14:paraId="42C2AD05">
            <w:pPr>
              <w:rPr>
                <w:rFonts w:hint="eastAsia"/>
                <w:highlight w:val="none"/>
              </w:rPr>
            </w:pPr>
            <w:r>
              <w:rPr>
                <w:rFonts w:hint="eastAsia"/>
                <w:highlight w:val="none"/>
              </w:rPr>
              <w:t>4）拼音：支持在四线三格中自由输入拼音，可选择四声并支持一键点读。有单个字母和连续输入两种方式。</w:t>
            </w:r>
          </w:p>
          <w:p w14:paraId="01AFB823">
            <w:pPr>
              <w:rPr>
                <w:rFonts w:hint="eastAsia"/>
                <w:highlight w:val="none"/>
              </w:rPr>
            </w:pPr>
            <w:r>
              <w:rPr>
                <w:rFonts w:hint="eastAsia"/>
                <w:highlight w:val="none"/>
              </w:rPr>
              <w:t>2、数学工具</w:t>
            </w:r>
          </w:p>
          <w:p w14:paraId="7C673424">
            <w:pPr>
              <w:rPr>
                <w:rFonts w:hint="eastAsia"/>
                <w:highlight w:val="none"/>
              </w:rPr>
            </w:pPr>
            <w:r>
              <w:rPr>
                <w:rFonts w:hint="eastAsia"/>
                <w:highlight w:val="none"/>
              </w:rPr>
              <w:t>▲1）数学函数公式：支持中英文、数学公式的编辑输入，可快速输入方程组、脱式运算，提供不少于70个数学符号及模板；预置不少于40个常用数学公式，无需编辑一键插入。</w:t>
            </w:r>
          </w:p>
          <w:p w14:paraId="0EDF7454">
            <w:pPr>
              <w:rPr>
                <w:rFonts w:hint="eastAsia"/>
                <w:highlight w:val="none"/>
              </w:rPr>
            </w:pPr>
            <w:r>
              <w:rPr>
                <w:rFonts w:hint="eastAsia"/>
                <w:highlight w:val="none"/>
              </w:rPr>
              <w:t>2）数学函数图像：可快速生成包含一次函数一次函数、二次函数、幂函数、指数函数、对数函数、三角函数等图像，也可自定义输入函数表达式生成图像；在同一坐标轴上支持同时绘制6个及以上函数表达式。可缩放函数图像与坐标轴，可显示坐标网格，函数图生成后可重新编辑。</w:t>
            </w:r>
          </w:p>
          <w:p w14:paraId="448CD477">
            <w:pPr>
              <w:rPr>
                <w:rFonts w:hint="eastAsia"/>
                <w:highlight w:val="none"/>
              </w:rPr>
            </w:pPr>
            <w:r>
              <w:rPr>
                <w:rFonts w:hint="eastAsia"/>
                <w:highlight w:val="none"/>
              </w:rPr>
              <w:t>3、几何工具</w:t>
            </w:r>
          </w:p>
          <w:p w14:paraId="6D0A19B8">
            <w:pPr>
              <w:rPr>
                <w:rFonts w:hint="eastAsia"/>
                <w:highlight w:val="none"/>
              </w:rPr>
            </w:pPr>
            <w:r>
              <w:rPr>
                <w:rFonts w:hint="eastAsia"/>
                <w:highlight w:val="none"/>
              </w:rPr>
              <w:t>1）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14:paraId="4F0A5352">
            <w:pPr>
              <w:rPr>
                <w:rFonts w:hint="eastAsia"/>
                <w:highlight w:val="none"/>
              </w:rPr>
            </w:pPr>
            <w:r>
              <w:rPr>
                <w:rFonts w:hint="eastAsia"/>
                <w:highlight w:val="none"/>
              </w:rPr>
              <w:t>2）可自由绘制长方体、立方体、圆柱体、圆锥等几何图形。任意调节几何体的大小尺寸，支持几何图形按比例放大缩小和通过单独调整长宽高（半径/高）改变几何体大小。</w:t>
            </w:r>
          </w:p>
          <w:p w14:paraId="18109F67">
            <w:pPr>
              <w:rPr>
                <w:rFonts w:hint="eastAsia"/>
                <w:highlight w:val="none"/>
              </w:rPr>
            </w:pPr>
            <w:r>
              <w:rPr>
                <w:rFonts w:hint="eastAsia"/>
                <w:highlight w:val="none"/>
              </w:rPr>
              <w:t>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14:paraId="65D29442">
            <w:pPr>
              <w:rPr>
                <w:rFonts w:hint="eastAsia"/>
                <w:highlight w:val="none"/>
              </w:rPr>
            </w:pPr>
            <w:r>
              <w:rPr>
                <w:rFonts w:hint="eastAsia"/>
                <w:highlight w:val="none"/>
              </w:rPr>
              <w:t>3）具备几何体智能吸附功能：同类几何体相互靠近时，可智能识别吸附。</w:t>
            </w:r>
          </w:p>
          <w:p w14:paraId="589DD7F5">
            <w:pPr>
              <w:rPr>
                <w:rFonts w:hint="eastAsia"/>
                <w:highlight w:val="none"/>
              </w:rPr>
            </w:pPr>
            <w:r>
              <w:rPr>
                <w:rFonts w:hint="eastAsia"/>
                <w:highlight w:val="none"/>
              </w:rPr>
              <w:t>4）数学画板：</w:t>
            </w:r>
          </w:p>
          <w:p w14:paraId="0F3C6DE0">
            <w:pPr>
              <w:rPr>
                <w:rFonts w:hint="eastAsia"/>
                <w:highlight w:val="none"/>
              </w:rPr>
            </w:pPr>
            <w:r>
              <w:rPr>
                <w:rFonts w:hint="eastAsia"/>
                <w:highlight w:val="none"/>
              </w:rPr>
              <w:t>①支持课件中插入在线数学画板，授课时一键打开使用。</w:t>
            </w:r>
          </w:p>
          <w:p w14:paraId="16E4947E">
            <w:pPr>
              <w:rPr>
                <w:rFonts w:hint="eastAsia"/>
                <w:highlight w:val="none"/>
              </w:rPr>
            </w:pPr>
            <w:r>
              <w:rPr>
                <w:rFonts w:hint="eastAsia"/>
                <w:highlight w:val="none"/>
              </w:rPr>
              <w:t>②提供不少于500个数学画板资源，按照小学、初中、高中学段数学学科主要知识点分类，便于教师查找使用。</w:t>
            </w:r>
          </w:p>
          <w:p w14:paraId="47D5039A">
            <w:pPr>
              <w:rPr>
                <w:rFonts w:hint="eastAsia"/>
                <w:highlight w:val="none"/>
              </w:rPr>
            </w:pPr>
            <w:r>
              <w:rPr>
                <w:rFonts w:hint="eastAsia"/>
                <w:highlight w:val="none"/>
              </w:rPr>
              <w:t>③内置画板课件展示生动直观，可动态展示平面几何的变化：如小学几何四边形，可动态演示四边形的不同形态间的变化；中学函数的平方差公式讲解，可将平方差公式通过图形具象展示其计算原理。</w:t>
            </w:r>
          </w:p>
          <w:p w14:paraId="3494B35E">
            <w:pPr>
              <w:rPr>
                <w:rFonts w:hint="eastAsia"/>
                <w:highlight w:val="none"/>
              </w:rPr>
            </w:pPr>
            <w:r>
              <w:rPr>
                <w:rFonts w:hint="eastAsia"/>
                <w:highlight w:val="none"/>
              </w:rPr>
              <w:t>④提供个人画板供教师自由创作，具备点、线、面等基础元素和线段中点、椭圆焦点、极坐标方程等数十种数学常用工具。创建后可一键将画板无缝嵌入课件。"</w:t>
            </w:r>
          </w:p>
          <w:p w14:paraId="2FFE094D">
            <w:pPr>
              <w:rPr>
                <w:rFonts w:hint="eastAsia"/>
                <w:highlight w:val="none"/>
              </w:rPr>
            </w:pPr>
            <w:r>
              <w:rPr>
                <w:rFonts w:hint="eastAsia"/>
                <w:highlight w:val="none"/>
              </w:rPr>
              <w:t>▲4、英语工具</w:t>
            </w:r>
          </w:p>
          <w:p w14:paraId="26512C09">
            <w:pPr>
              <w:rPr>
                <w:rFonts w:hint="eastAsia"/>
                <w:highlight w:val="none"/>
              </w:rPr>
            </w:pPr>
            <w:r>
              <w:rPr>
                <w:rFonts w:hint="eastAsia"/>
                <w:highlight w:val="none"/>
              </w:rPr>
              <w:t>1）AI智能英语工具：软件内置的AI智能语义分析模块，可对输入的英文文本的拼写、句型、语法进行错误检查，并支持一键纠错。</w:t>
            </w:r>
          </w:p>
          <w:p w14:paraId="26D40803">
            <w:pPr>
              <w:rPr>
                <w:rFonts w:hint="eastAsia"/>
                <w:highlight w:val="none"/>
              </w:rPr>
            </w:pPr>
            <w:r>
              <w:rPr>
                <w:rFonts w:hint="eastAsia"/>
                <w:highlight w:val="none"/>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14:paraId="11370488">
            <w:pPr>
              <w:rPr>
                <w:rFonts w:hint="eastAsia"/>
                <w:highlight w:val="none"/>
              </w:rPr>
            </w:pPr>
            <w:r>
              <w:rPr>
                <w:rFonts w:hint="eastAsia"/>
                <w:highlight w:val="none"/>
              </w:rPr>
              <w:t>▲3）AI音标助手：支持浏览和插入国际音标表，可直接点击发音，支持已整表和单个音标卡片插入。支持智能将字母、单词、句子转写为音标，并可一键插入到备课课件中形成文本。</w:t>
            </w:r>
          </w:p>
          <w:p w14:paraId="76A2F561">
            <w:pPr>
              <w:rPr>
                <w:rFonts w:hint="eastAsia"/>
                <w:highlight w:val="none"/>
              </w:rPr>
            </w:pPr>
            <w:r>
              <w:rPr>
                <w:rFonts w:hint="eastAsia"/>
                <w:highlight w:val="none"/>
              </w:rPr>
              <w:t>4）四线三格：配置英语学科四线三格，可直接键入人教版英语辅助教材配套的手写字体。</w:t>
            </w:r>
          </w:p>
          <w:p w14:paraId="40A59729">
            <w:pPr>
              <w:rPr>
                <w:rFonts w:hint="eastAsia"/>
                <w:highlight w:val="none"/>
              </w:rPr>
            </w:pPr>
            <w:r>
              <w:rPr>
                <w:rFonts w:hint="eastAsia"/>
                <w:highlight w:val="none"/>
              </w:rPr>
              <w:t>听写：配置英语学科听写工具，覆盖小初高不少于8000个英语单词，支持自定义选择单词。自定义听写频率和次数，一键生成听写卡；授课模式支持一键开启听写朗读。"</w:t>
            </w:r>
          </w:p>
          <w:p w14:paraId="59D03BA4">
            <w:pPr>
              <w:rPr>
                <w:rFonts w:hint="eastAsia"/>
                <w:highlight w:val="none"/>
              </w:rPr>
            </w:pPr>
            <w:r>
              <w:rPr>
                <w:rFonts w:hint="eastAsia"/>
                <w:highlight w:val="none"/>
              </w:rPr>
              <w:t>5、化学工具</w:t>
            </w:r>
          </w:p>
          <w:p w14:paraId="3B39EC5D">
            <w:pPr>
              <w:rPr>
                <w:rFonts w:hint="eastAsia"/>
                <w:highlight w:val="none"/>
              </w:rPr>
            </w:pPr>
            <w:r>
              <w:rPr>
                <w:rFonts w:hint="eastAsia"/>
                <w:highlight w:val="none"/>
              </w:rPr>
              <w:t>1）化学方程式编辑器：提供化学方程式快速编辑工具，当输入一个化学元素时，软件界面将自动显示出和该元素相关的多个常用化学反应方程式，可直接选择使用。插入后的化学方程式可重新编辑。</w:t>
            </w:r>
          </w:p>
          <w:p w14:paraId="7606AD7F">
            <w:pPr>
              <w:rPr>
                <w:rFonts w:hint="eastAsia"/>
                <w:highlight w:val="none"/>
              </w:rPr>
            </w:pPr>
            <w:r>
              <w:rPr>
                <w:rFonts w:hint="eastAsia"/>
                <w:highlight w:val="none"/>
              </w:rPr>
              <w:t>6、物理工具</w:t>
            </w:r>
          </w:p>
          <w:p w14:paraId="1B91618F">
            <w:pPr>
              <w:rPr>
                <w:rFonts w:hint="eastAsia"/>
                <w:highlight w:val="none"/>
              </w:rPr>
            </w:pPr>
            <w:r>
              <w:rPr>
                <w:rFonts w:hint="eastAsia"/>
                <w:highlight w:val="none"/>
              </w:rPr>
              <w:t>物理线图：支持自由绘制物理线图，提供元件库和模板库不少于30个组件，支持自动吸附连接线，画布可无限漫游。绘制后的线图可一键插入到备课课件中并支持二次编辑。老师可将常用的线图保存至个人云盘方便二次调用。"</w:t>
            </w:r>
          </w:p>
          <w:p w14:paraId="61DF6B5F">
            <w:pPr>
              <w:rPr>
                <w:rFonts w:hint="eastAsia"/>
                <w:highlight w:val="none"/>
              </w:rPr>
            </w:pPr>
            <w:r>
              <w:rPr>
                <w:rFonts w:hint="eastAsia"/>
                <w:highlight w:val="none"/>
              </w:rPr>
              <w:t>7、地理工具</w:t>
            </w:r>
          </w:p>
          <w:p w14:paraId="53240570">
            <w:pPr>
              <w:rPr>
                <w:rFonts w:hint="eastAsia"/>
                <w:highlight w:val="none"/>
              </w:rPr>
            </w:pPr>
            <w:r>
              <w:rPr>
                <w:rFonts w:hint="eastAsia"/>
                <w:highlight w:val="none"/>
              </w:rPr>
              <w:t>1）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w:t>
            </w:r>
          </w:p>
          <w:p w14:paraId="2DFEA664">
            <w:pPr>
              <w:rPr>
                <w:rFonts w:hint="eastAsia"/>
                <w:highlight w:val="none"/>
              </w:rPr>
            </w:pPr>
            <w:r>
              <w:rPr>
                <w:rFonts w:hint="eastAsia"/>
                <w:highlight w:val="none"/>
              </w:rPr>
              <w:t>2）支持地球模型直接进行平面/立体转换，清晰展现地球表面的六大板块、降水分布、气温分布、气候分布、人口分布、表层洋流、陆地自然带、海平面等压线等内容。"</w:t>
            </w:r>
          </w:p>
          <w:p w14:paraId="7FBB3379">
            <w:pPr>
              <w:rPr>
                <w:rFonts w:hint="eastAsia"/>
                <w:highlight w:val="none"/>
              </w:rPr>
            </w:pPr>
            <w:r>
              <w:rPr>
                <w:rFonts w:hint="eastAsia"/>
                <w:highlight w:val="none"/>
              </w:rPr>
              <w:t>8、美术工具：</w:t>
            </w:r>
          </w:p>
          <w:p w14:paraId="11FEE220">
            <w:pPr>
              <w:rPr>
                <w:rFonts w:hint="eastAsia"/>
                <w:highlight w:val="none"/>
              </w:rPr>
            </w:pPr>
            <w:r>
              <w:rPr>
                <w:rFonts w:hint="eastAsia"/>
                <w:highlight w:val="none"/>
              </w:rPr>
              <w:t>1）内置专用美术画板工具，提供铅笔、毛笔、油画笔等笔触，具备符合绘画调色教学需求的模拟调色盘，可选择不同颜色混合调色，便于学生理解调色合成过程。"</w:t>
            </w:r>
          </w:p>
          <w:p w14:paraId="430C1632">
            <w:pPr>
              <w:rPr>
                <w:rFonts w:hint="eastAsia"/>
                <w:highlight w:val="none"/>
              </w:rPr>
            </w:pPr>
            <w:r>
              <w:rPr>
                <w:rFonts w:hint="eastAsia"/>
                <w:highlight w:val="none"/>
              </w:rPr>
              <w:t>9、多学科题库</w:t>
            </w:r>
          </w:p>
          <w:p w14:paraId="3C753B1C">
            <w:pPr>
              <w:rPr>
                <w:rFonts w:hint="eastAsia"/>
                <w:highlight w:val="none"/>
              </w:rPr>
            </w:pPr>
            <w:r>
              <w:rPr>
                <w:rFonts w:hint="eastAsia"/>
                <w:highlight w:val="none"/>
              </w:rPr>
              <w:t>1）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14:paraId="0E4B1289">
            <w:pPr>
              <w:rPr>
                <w:rFonts w:hint="eastAsia"/>
                <w:highlight w:val="none"/>
              </w:rPr>
            </w:pPr>
            <w:r>
              <w:rPr>
                <w:rFonts w:hint="eastAsia"/>
                <w:highlight w:val="none"/>
              </w:rPr>
              <w:t>▲2）支持多种格式的试题批量上传，包含.doc、.docx、.png、.jpeg、.jpg等类型，并可自动转换为电子试题，便于老师优质试题的收集使用和作业布置。</w:t>
            </w:r>
          </w:p>
          <w:p w14:paraId="69438CC7">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50E4027D">
            <w:pPr>
              <w:rPr>
                <w:rFonts w:hint="eastAsia"/>
                <w:highlight w:val="none"/>
              </w:rPr>
            </w:pPr>
            <w:r>
              <w:rPr>
                <w:rFonts w:hint="eastAsia"/>
                <w:highlight w:val="none"/>
              </w:rPr>
              <w:t>10、学科微课视频</w:t>
            </w:r>
          </w:p>
          <w:p w14:paraId="20EBCC85">
            <w:pPr>
              <w:rPr>
                <w:rFonts w:hint="eastAsia"/>
                <w:highlight w:val="none"/>
              </w:rPr>
            </w:pPr>
            <w:r>
              <w:rPr>
                <w:rFonts w:hint="eastAsia"/>
                <w:highlight w:val="none"/>
              </w:rPr>
              <w:t>1）多学科微课视频：提供涵盖小学、初中、高中微课程视频。微课内容可在线点播，下载至课件播放。微课视频支持视频关键帧打点标记，播放过程中可一键跳转至标记位置，同时支持一键对视频内容进行截图插入课件。</w:t>
            </w:r>
          </w:p>
          <w:p w14:paraId="3E6DFC46">
            <w:pPr>
              <w:rPr>
                <w:rFonts w:hint="eastAsia"/>
                <w:highlight w:val="none"/>
              </w:rPr>
            </w:pPr>
            <w:r>
              <w:rPr>
                <w:rFonts w:hint="eastAsia"/>
                <w:highlight w:val="none"/>
              </w:rPr>
              <w:t>▲2）党建微课视频：提供100节党建微课视频，包含革命篇、建设篇、改革篇、复兴篇4个篇章。微课内容可在线点播，下载至课件播放。微课视频支持视频关键帧打点标记，播放过程中可一键跳转至标记位置，同时支持一键对视频内容进行截图插入课件。</w:t>
            </w:r>
          </w:p>
          <w:p w14:paraId="6C06865A">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56330143">
            <w:pPr>
              <w:rPr>
                <w:rFonts w:hint="eastAsia"/>
                <w:highlight w:val="none"/>
              </w:rPr>
            </w:pPr>
            <w:r>
              <w:rPr>
                <w:rFonts w:hint="eastAsia"/>
                <w:highlight w:val="none"/>
              </w:rPr>
              <w:t>11、素材库</w:t>
            </w:r>
          </w:p>
          <w:p w14:paraId="0C78D8BA">
            <w:pPr>
              <w:rPr>
                <w:rFonts w:hint="eastAsia"/>
                <w:highlight w:val="none"/>
              </w:rPr>
            </w:pPr>
            <w:r>
              <w:rPr>
                <w:rFonts w:hint="eastAsia"/>
                <w:highlight w:val="none"/>
              </w:rPr>
              <w:t>▲1）免费备课素材：提供超过500个备课素材，包含人物形象、卡通动物、拟人动物、水果蔬菜13个分类，高清无版权图片，全免费，直接插入备课端进行使用即可。"</w:t>
            </w:r>
          </w:p>
          <w:p w14:paraId="62B7B12F">
            <w:pPr>
              <w:rPr>
                <w:rFonts w:hint="eastAsia"/>
                <w:highlight w:val="none"/>
              </w:rPr>
            </w:pPr>
            <w:r>
              <w:rPr>
                <w:rFonts w:hint="eastAsia"/>
                <w:highlight w:val="none"/>
              </w:rPr>
              <w:t>12、仿真实验工具：</w:t>
            </w:r>
          </w:p>
          <w:p w14:paraId="5633786B">
            <w:pPr>
              <w:rPr>
                <w:rFonts w:hint="eastAsia"/>
                <w:highlight w:val="none"/>
              </w:rPr>
            </w:pPr>
            <w:r>
              <w:rPr>
                <w:rFonts w:hint="eastAsia"/>
                <w:highlight w:val="none"/>
              </w:rPr>
              <w:t>初中理化生：</w:t>
            </w:r>
          </w:p>
          <w:p w14:paraId="4AD39B1B">
            <w:pPr>
              <w:rPr>
                <w:rFonts w:hint="eastAsia"/>
                <w:highlight w:val="none"/>
              </w:rPr>
            </w:pPr>
            <w:r>
              <w:rPr>
                <w:rFonts w:hint="eastAsia"/>
                <w:highlight w:val="none"/>
              </w:rPr>
              <w:t>1）所有实验内容都可以支持在实验操作的过程中查看具体的实验内容简介，可查看的内容简介至少应包含：实验目的、实验器材、实验步骤等，方便老师在使用中快速了解具体实验内容，提高老师课堂教学效率。</w:t>
            </w:r>
          </w:p>
          <w:p w14:paraId="51684E7C">
            <w:pPr>
              <w:rPr>
                <w:rFonts w:hint="eastAsia"/>
                <w:highlight w:val="none"/>
              </w:rPr>
            </w:pPr>
            <w:r>
              <w:rPr>
                <w:rFonts w:hint="eastAsia"/>
                <w:highlight w:val="none"/>
              </w:rPr>
              <w:t> ▲2）所有学科软件要求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w:t>
            </w:r>
          </w:p>
          <w:p w14:paraId="17C8D99C">
            <w:pPr>
              <w:rPr>
                <w:rFonts w:hint="eastAsia"/>
                <w:highlight w:val="none"/>
              </w:rPr>
            </w:pPr>
            <w:r>
              <w:rPr>
                <w:rFonts w:hint="eastAsia"/>
                <w:highlight w:val="none"/>
              </w:rPr>
              <w:t>▲3）所有学科软件要求至少包含实验：托里拆利实验、空气推动塞子时，内能减少、通电螺线管的磁场是什么样的、聚乙烯塑料的热塑性、测定空气中的氧气含量、一氧化碳与氧化铁的反应、氧气的实验室制取和性质、模拟膈肌的运动、膝跳反射、非生物因素对某种动物的影响、观察鸡卵的结构。</w:t>
            </w:r>
          </w:p>
          <w:p w14:paraId="2E8FBF9D">
            <w:pPr>
              <w:rPr>
                <w:rFonts w:hint="eastAsia"/>
                <w:highlight w:val="none"/>
              </w:rPr>
            </w:pPr>
            <w:r>
              <w:rPr>
                <w:rFonts w:hint="eastAsia"/>
                <w:highlight w:val="none"/>
              </w:rPr>
              <w:t>▲4）软件要求对于理科学习中较为抽象的实验原理提供可视化展示，物理中如电流的方向、力的方向、磁场电场等，化学中如：反应装置中物质的量的变化、分子运动的模拟、正在发生的化学反应方程式等。生物中如：人体生理运动中多个器官的同步运动现象等。</w:t>
            </w:r>
          </w:p>
          <w:p w14:paraId="7B3760B6">
            <w:pPr>
              <w:rPr>
                <w:rFonts w:hint="eastAsia"/>
                <w:highlight w:val="none"/>
              </w:rPr>
            </w:pPr>
            <w:r>
              <w:rPr>
                <w:rFonts w:hint="eastAsia"/>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1A7644A9">
            <w:pPr>
              <w:rPr>
                <w:rFonts w:hint="eastAsia"/>
                <w:highlight w:val="none"/>
              </w:rPr>
            </w:pPr>
            <w:r>
              <w:rPr>
                <w:rFonts w:hint="eastAsia"/>
                <w:highlight w:val="none"/>
              </w:rPr>
              <w:t>6）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w:t>
            </w:r>
          </w:p>
          <w:p w14:paraId="52F1F683">
            <w:pPr>
              <w:rPr>
                <w:rFonts w:hint="eastAsia"/>
                <w:highlight w:val="none"/>
              </w:rPr>
            </w:pPr>
            <w:r>
              <w:rPr>
                <w:rFonts w:hint="eastAsia"/>
                <w:highlight w:val="none"/>
              </w:rPr>
              <w:t> ▲7）软件要求提供的全部实验支持在任意视角下对实验进行观察和交互式操作。允许用户在实验操作空间中根据需求自由旋转观察视角，要求所有实验中的模型为3D高精度模型，支持无极放大，实验模型高保真。</w:t>
            </w:r>
          </w:p>
          <w:p w14:paraId="2FD2CE82">
            <w:pPr>
              <w:rPr>
                <w:rFonts w:hint="eastAsia"/>
                <w:highlight w:val="none"/>
              </w:rPr>
            </w:pPr>
            <w:r>
              <w:rPr>
                <w:rFonts w:hint="eastAsia"/>
                <w:highlight w:val="none"/>
              </w:rPr>
              <w:t> ▲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2BDA73EE">
            <w:pPr>
              <w:rPr>
                <w:rFonts w:hint="eastAsia"/>
                <w:highlight w:val="none"/>
              </w:rPr>
            </w:pPr>
            <w:r>
              <w:rPr>
                <w:rFonts w:hint="eastAsia"/>
                <w:highlight w:val="none"/>
              </w:rPr>
              <w:t>9）以上所有软件功能要求在同一软件系统平台中进行操作，方便用户管理、使用。</w:t>
            </w:r>
          </w:p>
          <w:p w14:paraId="29328AFF">
            <w:pPr>
              <w:rPr>
                <w:rFonts w:hint="eastAsia"/>
                <w:highlight w:val="none"/>
              </w:rPr>
            </w:pPr>
            <w:r>
              <w:rPr>
                <w:rFonts w:hint="eastAsia"/>
                <w:highlight w:val="none"/>
              </w:rPr>
              <w:t>高中理化生：</w:t>
            </w:r>
          </w:p>
          <w:p w14:paraId="6F97D29E">
            <w:pPr>
              <w:rPr>
                <w:rFonts w:hint="eastAsia"/>
                <w:highlight w:val="none"/>
              </w:rPr>
            </w:pPr>
            <w:r>
              <w:rPr>
                <w:rFonts w:hint="eastAsia"/>
                <w:highlight w:val="none"/>
              </w:rPr>
              <w:t>1） 要求提供的所有实验内容都可以支持在实验操作的过程中查看具体的实验内容简介，可查看的内容简介至少应包含：实验目的、实验器材、实验步骤等，方便老师在使用中快速了解具体实验内容，提高老师课堂教学效率。</w:t>
            </w:r>
          </w:p>
          <w:p w14:paraId="7C23A6AD">
            <w:pPr>
              <w:rPr>
                <w:rFonts w:hint="eastAsia"/>
                <w:highlight w:val="none"/>
              </w:rPr>
            </w:pPr>
            <w:r>
              <w:rPr>
                <w:rFonts w:hint="eastAsia"/>
                <w:highlight w:val="none"/>
              </w:rPr>
              <w:t>▲2）所有学科软件要求提供的实验内容模块需根据知识点分类。物理需包含：直线运动、牛顿运动定律、力与物体平衡、功和机械能、机械振动机械波、光学、动量、原子物理、曲线运动、电磁学、热学、；化学需包含：化学与技术、化学实验、重要的无机物、物质结构与性质、化学反应原理、化学与生活、有机化学基础、化学基本概念；生物需包含：细胞的分子组成与结构、细胞代谢、细胞的生命历程与遗传的细胞学基础、遗传的分子基础、变异与进化、生命活动的调节、生物与环境、生殖与个体发育。</w:t>
            </w:r>
          </w:p>
          <w:p w14:paraId="7A640F1F">
            <w:pPr>
              <w:rPr>
                <w:rFonts w:hint="eastAsia"/>
                <w:highlight w:val="none"/>
              </w:rPr>
            </w:pPr>
            <w:r>
              <w:rPr>
                <w:rFonts w:hint="eastAsia"/>
                <w:highlight w:val="none"/>
              </w:rPr>
              <w:t>▲3）所有学科软件要求至少包含实验：用双缝干涉测量光的波长、渡河问题、观察全反射现象、验证环形电流的磁场方向、示波管原理、铝热反应、铁粉与水蒸气反应、蛋白质的性质——盐析、乙醛的银镜反应、建立减数分裂中染色体变化的模型、绿叶中色素的提取与分离、制作DNA双螺旋结构模型、土壤微生物的分解作用、蛙的个体发育过程。</w:t>
            </w:r>
          </w:p>
          <w:p w14:paraId="56EB9C6C">
            <w:pPr>
              <w:rPr>
                <w:rFonts w:hint="eastAsia"/>
                <w:highlight w:val="none"/>
              </w:rPr>
            </w:pPr>
            <w:r>
              <w:rPr>
                <w:rFonts w:hint="eastAsia"/>
                <w:highlight w:val="none"/>
              </w:rPr>
              <w:t>▲4）软件要求对于理科学习中较为抽象的实验原理提供可视化展示，物理中如电流的方向、力的方向、磁场电场等，化学中如：反应装置中物质的量的变化、分子运动的模拟、正在发生的化学反应方程式等。</w:t>
            </w:r>
          </w:p>
          <w:p w14:paraId="0F325A58">
            <w:pPr>
              <w:rPr>
                <w:rFonts w:hint="eastAsia"/>
                <w:highlight w:val="none"/>
              </w:rPr>
            </w:pPr>
            <w:r>
              <w:rPr>
                <w:rFonts w:hint="eastAsia"/>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3D59FD4C">
            <w:pPr>
              <w:rPr>
                <w:rFonts w:hint="eastAsia"/>
                <w:highlight w:val="none"/>
              </w:rPr>
            </w:pPr>
            <w:r>
              <w:rPr>
                <w:rFonts w:hint="eastAsia"/>
                <w:highlight w:val="none"/>
              </w:rPr>
              <w:t>7）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 </w:t>
            </w:r>
          </w:p>
          <w:p w14:paraId="66FB315F">
            <w:pPr>
              <w:rPr>
                <w:rFonts w:hint="eastAsia"/>
                <w:highlight w:val="none"/>
              </w:rPr>
            </w:pPr>
            <w:r>
              <w:rPr>
                <w:rFonts w:hint="eastAsia"/>
                <w:highlight w:val="none"/>
              </w:rPr>
              <w:t>▲7）软件要求提供的全部实验支持在任意视角下对实验进行观察和交互式操作。允许用户在实验操作空间中根据需求自由旋转观察视角，要求所有实验中的模型为3D高精度模型，支持无极放大，实验模型高保真。</w:t>
            </w:r>
          </w:p>
          <w:p w14:paraId="16B76D00">
            <w:pPr>
              <w:rPr>
                <w:rFonts w:hint="eastAsia"/>
                <w:highlight w:val="none"/>
              </w:rPr>
            </w:pPr>
            <w:r>
              <w:rPr>
                <w:rFonts w:hint="eastAsia"/>
                <w:highlight w:val="none"/>
              </w:rPr>
              <w:t>▲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2B42B015">
            <w:pPr>
              <w:rPr>
                <w:rFonts w:hint="eastAsia"/>
                <w:highlight w:val="none"/>
              </w:rPr>
            </w:pPr>
            <w:r>
              <w:rPr>
                <w:rFonts w:hint="eastAsia"/>
                <w:highlight w:val="none"/>
              </w:rPr>
              <w:t>8）以上所有软件功能要求在同一软件系统平台中进行操作，方便用户管理、使用。</w:t>
            </w:r>
          </w:p>
          <w:p w14:paraId="22EE4ABE">
            <w:pPr>
              <w:rPr>
                <w:rFonts w:hint="eastAsia"/>
                <w:highlight w:val="none"/>
              </w:rPr>
            </w:pPr>
            <w:r>
              <w:rPr>
                <w:rFonts w:hint="eastAsia"/>
                <w:highlight w:val="none"/>
              </w:rPr>
              <w:t>（五）授课工具</w:t>
            </w:r>
          </w:p>
          <w:p w14:paraId="3C78F04B">
            <w:pPr>
              <w:rPr>
                <w:rFonts w:hint="eastAsia"/>
                <w:highlight w:val="none"/>
              </w:rPr>
            </w:pPr>
            <w:r>
              <w:rPr>
                <w:rFonts w:hint="eastAsia"/>
                <w:highlight w:val="none"/>
              </w:rPr>
              <w:t>1、擦除：提供精细点擦除、笔迹全屏清除，手势擦除方式。手势擦除面积可根据教师手掌与屏幕的接触面积自动判定调整擦除面积大小。</w:t>
            </w:r>
          </w:p>
          <w:p w14:paraId="06E5A928">
            <w:pPr>
              <w:rPr>
                <w:rFonts w:hint="eastAsia"/>
                <w:highlight w:val="none"/>
              </w:rPr>
            </w:pPr>
            <w:r>
              <w:rPr>
                <w:rFonts w:hint="eastAsia"/>
                <w:highlight w:val="none"/>
              </w:rPr>
              <w:t>2、提供多种翻页按键布局，翻页按键可分布于屏幕单侧或左右两侧，支持上下翻页、课件页面预览及页面非线性跳转。</w:t>
            </w:r>
          </w:p>
          <w:p w14:paraId="51AF3780">
            <w:pPr>
              <w:rPr>
                <w:rFonts w:hint="eastAsia"/>
                <w:highlight w:val="none"/>
              </w:rPr>
            </w:pPr>
            <w:r>
              <w:rPr>
                <w:rFonts w:hint="eastAsia"/>
                <w:highlight w:val="none"/>
              </w:rPr>
              <w:t>3、板中板：支持授课过程中调用板中板辅助教学，可进行批注、加页及背景色切换；板中板支持插入图片、音视频素材进行独立讲解，不影响课件主画面。板中板可以转换为小窗口，小窗口支持拖动和缩放。</w:t>
            </w:r>
          </w:p>
          <w:p w14:paraId="290C74D8">
            <w:pPr>
              <w:rPr>
                <w:rFonts w:hint="eastAsia"/>
                <w:highlight w:val="none"/>
              </w:rPr>
            </w:pPr>
            <w:r>
              <w:rPr>
                <w:rFonts w:hint="eastAsia"/>
                <w:highlight w:val="none"/>
              </w:rPr>
              <w:t>4、书写：支持多人同时书写，可自由调整笔迹颜色及笔触粗细，书写颜色及粗细设置面板支持浮窗模式，可自由调整至白板界面任意位置，便于教师授课使用。</w:t>
            </w:r>
          </w:p>
          <w:p w14:paraId="52E21DFF">
            <w:pPr>
              <w:rPr>
                <w:rFonts w:hint="eastAsia"/>
                <w:highlight w:val="none"/>
              </w:rPr>
            </w:pPr>
            <w:r>
              <w:rPr>
                <w:rFonts w:hint="eastAsia"/>
                <w:highlight w:val="none"/>
              </w:rPr>
              <w:t>5、图章笔：提供不少于15种图案样式，可在画布任意位置书写。</w:t>
            </w:r>
          </w:p>
          <w:p w14:paraId="2ADEF7BF">
            <w:pPr>
              <w:rPr>
                <w:rFonts w:hint="eastAsia"/>
                <w:highlight w:val="none"/>
              </w:rPr>
            </w:pPr>
            <w:r>
              <w:rPr>
                <w:rFonts w:hint="eastAsia"/>
                <w:highlight w:val="none"/>
              </w:rPr>
              <w:t>6、放大镜：支持调用放大镜工具进行局部画面放大，可设置放大比例及聚光灯效果。</w:t>
            </w:r>
          </w:p>
          <w:p w14:paraId="328D9344">
            <w:pPr>
              <w:rPr>
                <w:rFonts w:hint="eastAsia"/>
                <w:highlight w:val="none"/>
              </w:rPr>
            </w:pPr>
            <w:r>
              <w:rPr>
                <w:rFonts w:hint="eastAsia"/>
                <w:highlight w:val="none"/>
              </w:rPr>
              <w:t>7、撤销重做：支持白板操作撤销和重做，防止误操作影响教学。</w:t>
            </w:r>
          </w:p>
          <w:p w14:paraId="4315F3CC">
            <w:pPr>
              <w:rPr>
                <w:rFonts w:hint="eastAsia"/>
                <w:highlight w:val="none"/>
              </w:rPr>
            </w:pPr>
            <w:r>
              <w:rPr>
                <w:rFonts w:hint="eastAsia"/>
                <w:highlight w:val="none"/>
              </w:rPr>
              <w:t>8、尺规工具：提供直尺、三角板、量角器及圆规工具，尺工具支持旋转、伸缩，可实时显示绘制线条长度；圆规工具可更换笔触颜色，模拟真实圆规作图。</w:t>
            </w:r>
          </w:p>
          <w:p w14:paraId="401A5A91">
            <w:pPr>
              <w:rPr>
                <w:rFonts w:hint="eastAsia"/>
                <w:highlight w:val="none"/>
              </w:rPr>
            </w:pPr>
            <w:r>
              <w:rPr>
                <w:rFonts w:hint="eastAsia"/>
                <w:highlight w:val="none"/>
              </w:rPr>
              <w:t>9、文件导入：授课时可将图片、音频、视频等多媒体文件导入授课界面，系统自动识别外接移动储存设备并优先显示其中的内容。</w:t>
            </w:r>
          </w:p>
          <w:p w14:paraId="0E4C0C70">
            <w:pPr>
              <w:rPr>
                <w:rFonts w:hint="eastAsia"/>
                <w:highlight w:val="none"/>
              </w:rPr>
            </w:pPr>
            <w:r>
              <w:rPr>
                <w:rFonts w:hint="eastAsia"/>
                <w:highlight w:val="none"/>
              </w:rPr>
              <w:t>10、文件导出：支持授课时导出课件导出为图片，课件支持多种格式导出。</w:t>
            </w:r>
          </w:p>
          <w:p w14:paraId="1FAAF940">
            <w:pPr>
              <w:rPr>
                <w:rFonts w:hint="eastAsia"/>
                <w:highlight w:val="none"/>
              </w:rPr>
            </w:pPr>
            <w:r>
              <w:rPr>
                <w:rFonts w:hint="eastAsia"/>
                <w:highlight w:val="none"/>
              </w:rPr>
              <w:t>（六）空中在线教学课堂：功能内置于交互式备授课软件中，无需额外安装部署直播软件，可实现语音直播、课件同步、互动工具等远程教学功能</w:t>
            </w:r>
          </w:p>
          <w:p w14:paraId="5CD62597">
            <w:pPr>
              <w:rPr>
                <w:rFonts w:hint="eastAsia"/>
                <w:highlight w:val="none"/>
              </w:rPr>
            </w:pPr>
            <w:r>
              <w:rPr>
                <w:rFonts w:hint="eastAsia"/>
                <w:highlight w:val="none"/>
              </w:rPr>
              <w:t>1、一键开课：教师可一键开课生成课程海报；学生扫描课程海报微信二维码即可加入直播课堂，无需额外安装APP。</w:t>
            </w:r>
          </w:p>
          <w:p w14:paraId="6DC49CAB">
            <w:pPr>
              <w:rPr>
                <w:rFonts w:hint="eastAsia"/>
                <w:highlight w:val="none"/>
              </w:rPr>
            </w:pPr>
            <w:r>
              <w:rPr>
                <w:rFonts w:hint="eastAsia"/>
                <w:highlight w:val="none"/>
              </w:rPr>
              <w:t>2、文本聊天工具：学生可在直播课堂打字提问、互动，学生提问内容实时传递至教师；</w:t>
            </w:r>
          </w:p>
          <w:p w14:paraId="54945C70">
            <w:pPr>
              <w:rPr>
                <w:rFonts w:hint="eastAsia"/>
                <w:highlight w:val="none"/>
              </w:rPr>
            </w:pPr>
            <w:r>
              <w:rPr>
                <w:rFonts w:hint="eastAsia"/>
                <w:highlight w:val="none"/>
              </w:rPr>
              <w:t>3、互动答题工具：教师根据讲解内容发布答题板供学生选择作答，学生提交答案后系统自动统计正确率和答题详情。</w:t>
            </w:r>
          </w:p>
          <w:p w14:paraId="0019DBE0">
            <w:pPr>
              <w:rPr>
                <w:rFonts w:hint="eastAsia"/>
                <w:highlight w:val="none"/>
              </w:rPr>
            </w:pPr>
            <w:r>
              <w:rPr>
                <w:rFonts w:hint="eastAsia"/>
                <w:highlight w:val="none"/>
              </w:rPr>
              <w:t>4、远程互动工具：在直播课堂中，教师可指定授权学生远程互动，学生可在直播的课件画面进行书写、移动、擦除、参与互动活动等，学生操作过程实时同步至班级其他学生，可支持不少于5位学生同时参与远程互动；</w:t>
            </w:r>
          </w:p>
          <w:p w14:paraId="316D16C6">
            <w:pPr>
              <w:rPr>
                <w:rFonts w:hint="eastAsia"/>
                <w:highlight w:val="none"/>
              </w:rPr>
            </w:pPr>
            <w:r>
              <w:rPr>
                <w:rFonts w:hint="eastAsia"/>
                <w:highlight w:val="none"/>
              </w:rPr>
              <w:t>5、课堂奖励工具：直播过程中可向学生发放奖杯，学生在线学习获得的奖杯数量累积统计。</w:t>
            </w:r>
          </w:p>
          <w:p w14:paraId="4528F93D">
            <w:pPr>
              <w:rPr>
                <w:rFonts w:hint="eastAsia"/>
                <w:highlight w:val="none"/>
              </w:rPr>
            </w:pPr>
            <w:r>
              <w:rPr>
                <w:rFonts w:hint="eastAsia"/>
                <w:highlight w:val="none"/>
              </w:rPr>
              <w:t>6、远程考勤管理：直播课程结束后，后台自动统计报名学生名单和学生学习清单。</w:t>
            </w:r>
          </w:p>
          <w:p w14:paraId="4BFE6C3F">
            <w:pPr>
              <w:rPr>
                <w:rFonts w:hint="eastAsia"/>
                <w:highlight w:val="none"/>
              </w:rPr>
            </w:pPr>
            <w:r>
              <w:rPr>
                <w:rFonts w:hint="eastAsia"/>
                <w:highlight w:val="none"/>
              </w:rPr>
              <w:t>7、课程回放：课程结束后自动生成直播回放，报名课程的学生可反复学习；回放课程自动保存在云端，支持人工删除。</w:t>
            </w:r>
          </w:p>
          <w:p w14:paraId="4A96EDF5">
            <w:pPr>
              <w:rPr>
                <w:rFonts w:hint="eastAsia"/>
                <w:highlight w:val="none"/>
              </w:rPr>
            </w:pPr>
          </w:p>
          <w:p w14:paraId="0925B6A4">
            <w:pPr>
              <w:rPr>
                <w:rFonts w:hint="eastAsia"/>
                <w:highlight w:val="none"/>
              </w:rPr>
            </w:pPr>
            <w:r>
              <w:rPr>
                <w:rFonts w:hint="eastAsia"/>
                <w:highlight w:val="none"/>
              </w:rPr>
              <w:t>十、移动端教学备授课平台</w:t>
            </w:r>
          </w:p>
          <w:p w14:paraId="3811CF64">
            <w:pPr>
              <w:rPr>
                <w:rFonts w:hint="eastAsia"/>
                <w:highlight w:val="none"/>
              </w:rPr>
            </w:pPr>
            <w:r>
              <w:rPr>
                <w:rFonts w:hint="eastAsia"/>
                <w:highlight w:val="none"/>
              </w:rPr>
              <w:t>1、教学系统为教师提供对应的移动应用平台，实现备授课过程多终端多场景一体化。</w:t>
            </w:r>
          </w:p>
          <w:p w14:paraId="39FE658E">
            <w:pPr>
              <w:rPr>
                <w:rFonts w:hint="eastAsia"/>
                <w:highlight w:val="none"/>
              </w:rPr>
            </w:pPr>
            <w:r>
              <w:rPr>
                <w:rFonts w:hint="eastAsia"/>
                <w:highlight w:val="none"/>
              </w:rPr>
              <w:t>2、移动平台支持识别授课端登录状态，授课端处于登录状态时，移动应用平台自动连接移动端与授课端，无需人为操作。</w:t>
            </w:r>
          </w:p>
          <w:p w14:paraId="257264EF">
            <w:pPr>
              <w:rPr>
                <w:rFonts w:hint="eastAsia"/>
                <w:highlight w:val="none"/>
              </w:rPr>
            </w:pPr>
            <w:r>
              <w:rPr>
                <w:rFonts w:hint="eastAsia"/>
                <w:highlight w:val="none"/>
              </w:rPr>
              <w:t>3、移动平台支持安装在Android 5.0及以上、iOS 9.0及以上系统版本的移动终端。</w:t>
            </w:r>
          </w:p>
          <w:p w14:paraId="454B9E38">
            <w:pPr>
              <w:rPr>
                <w:rFonts w:hint="eastAsia"/>
                <w:highlight w:val="none"/>
              </w:rPr>
            </w:pPr>
            <w:r>
              <w:rPr>
                <w:rFonts w:hint="eastAsia"/>
                <w:highlight w:val="none"/>
              </w:rPr>
              <w:t>4、移动端与授课端通过网络实现账号数据对接互通、远程管控、移动授课，无需部署外接设备。</w:t>
            </w:r>
          </w:p>
          <w:p w14:paraId="76C86766">
            <w:pPr>
              <w:rPr>
                <w:rFonts w:hint="eastAsia"/>
                <w:highlight w:val="none"/>
              </w:rPr>
            </w:pPr>
            <w:r>
              <w:rPr>
                <w:rFonts w:hint="eastAsia"/>
                <w:highlight w:val="none"/>
              </w:rPr>
              <w:t>5、移动平台与授课端账号数据联通，可在移动端选择个人云空间内任意课件放映，授课端同步显示课件内容。</w:t>
            </w:r>
          </w:p>
          <w:p w14:paraId="34105391">
            <w:pPr>
              <w:rPr>
                <w:rFonts w:hint="eastAsia"/>
                <w:highlight w:val="none"/>
              </w:rPr>
            </w:pPr>
            <w:r>
              <w:rPr>
                <w:rFonts w:hint="eastAsia"/>
                <w:highlight w:val="none"/>
              </w:rPr>
              <w:t>6、无需局域网环境部署，教师可使用移动端进行课件翻页，课件预览、课件跳页、播放视频、播放课堂活动、展开思维导图。支持横竖屏两种模式。</w:t>
            </w:r>
          </w:p>
          <w:p w14:paraId="29ED6EBF">
            <w:pPr>
              <w:rPr>
                <w:rFonts w:hint="eastAsia"/>
                <w:highlight w:val="none"/>
              </w:rPr>
            </w:pPr>
            <w:r>
              <w:rPr>
                <w:rFonts w:hint="eastAsia"/>
                <w:highlight w:val="none"/>
              </w:rPr>
              <w:t>7、支持移动端对授课端远程实时同步书写擦除，提供不少于3种笔触粗细和5种笔迹颜色，支持一键清除书写内容。</w:t>
            </w:r>
          </w:p>
          <w:p w14:paraId="243B8EF3">
            <w:pPr>
              <w:rPr>
                <w:rFonts w:hint="eastAsia"/>
                <w:highlight w:val="none"/>
              </w:rPr>
            </w:pPr>
            <w:r>
              <w:rPr>
                <w:rFonts w:hint="eastAsia"/>
                <w:highlight w:val="none"/>
              </w:rPr>
              <w:t>8、支持调用移动端摄像头拍摄照片并直接插入课件，提供文档、普通和彩图3种拍照模式，适用于不同教学场景。</w:t>
            </w:r>
          </w:p>
          <w:p w14:paraId="56185634">
            <w:pPr>
              <w:rPr>
                <w:rFonts w:hint="eastAsia"/>
                <w:highlight w:val="none"/>
              </w:rPr>
            </w:pPr>
            <w:r>
              <w:rPr>
                <w:rFonts w:hint="eastAsia"/>
                <w:highlight w:val="none"/>
              </w:rPr>
              <w:t>9、支持上传移动端本地图片，并发上传数量不少于9张。</w:t>
            </w:r>
          </w:p>
          <w:p w14:paraId="4E529C4E">
            <w:pPr>
              <w:rPr>
                <w:rFonts w:hint="eastAsia"/>
                <w:highlight w:val="none"/>
              </w:rPr>
            </w:pPr>
            <w:r>
              <w:rPr>
                <w:rFonts w:hint="eastAsia"/>
                <w:highlight w:val="none"/>
              </w:rPr>
              <w:t>10、支持NFC一碰投屏或直播。</w:t>
            </w:r>
          </w:p>
          <w:p w14:paraId="773DEEE2">
            <w:pPr>
              <w:rPr>
                <w:rFonts w:hint="eastAsia"/>
                <w:highlight w:val="none"/>
              </w:rPr>
            </w:pPr>
            <w:r>
              <w:rPr>
                <w:rFonts w:hint="eastAsia"/>
                <w:highlight w:val="none"/>
              </w:rPr>
              <w:t>11、在局域网环境或无网环境下，可将移动端屏幕实时同步至授课显示端，同屏窗口、全屏显示方式根据移动端界面自动适配。</w:t>
            </w:r>
          </w:p>
          <w:p w14:paraId="00759D9C">
            <w:pPr>
              <w:rPr>
                <w:rFonts w:hint="eastAsia"/>
                <w:highlight w:val="none"/>
              </w:rPr>
            </w:pPr>
            <w:r>
              <w:rPr>
                <w:rFonts w:hint="eastAsia"/>
                <w:highlight w:val="none"/>
              </w:rPr>
              <w:t>12、在局域网环境或无网环境下提供直播功能，移动端拍摄画面实时同步至授课显示端，直播窗口、全屏显示方式根据移动端拍摄自动适配，直播画质根据网络状况自动调。</w:t>
            </w:r>
          </w:p>
          <w:p w14:paraId="54C7D633">
            <w:pPr>
              <w:rPr>
                <w:rFonts w:hint="eastAsia"/>
                <w:highlight w:val="none"/>
              </w:rPr>
            </w:pPr>
          </w:p>
          <w:p w14:paraId="5144D021">
            <w:pPr>
              <w:rPr>
                <w:rFonts w:hint="eastAsia"/>
                <w:highlight w:val="none"/>
              </w:rPr>
            </w:pPr>
            <w:r>
              <w:rPr>
                <w:rFonts w:hint="eastAsia"/>
                <w:highlight w:val="none"/>
              </w:rPr>
              <w:t>十一、作业题库</w:t>
            </w:r>
          </w:p>
          <w:p w14:paraId="2A14DDC0">
            <w:pPr>
              <w:rPr>
                <w:rFonts w:hint="eastAsia"/>
                <w:highlight w:val="none"/>
              </w:rPr>
            </w:pPr>
            <w:r>
              <w:rPr>
                <w:rFonts w:hint="eastAsia"/>
                <w:highlight w:val="none"/>
              </w:rPr>
              <w:t>1、创建习题：支持选择题、填空题、判断题、解答题多种类型题目的创建，支持匹配知识点，设定题目难度等。通常可用于练习任务，在线小测，客观题自动批改</w:t>
            </w:r>
          </w:p>
          <w:p w14:paraId="11BEEAC4">
            <w:pPr>
              <w:rPr>
                <w:rFonts w:hint="eastAsia"/>
                <w:highlight w:val="none"/>
              </w:rPr>
            </w:pPr>
            <w:r>
              <w:rPr>
                <w:rFonts w:hint="eastAsia"/>
                <w:highlight w:val="none"/>
              </w:rPr>
              <w:t>2、批量导入习题：支持WORD导出习题，导入后支持对照修改，实时预览，题目可挂靠解析，知识点，可添加题目使用备注。</w:t>
            </w:r>
          </w:p>
          <w:p w14:paraId="3EF8B370">
            <w:pPr>
              <w:rPr>
                <w:rFonts w:hint="eastAsia"/>
                <w:highlight w:val="none"/>
              </w:rPr>
            </w:pPr>
            <w:r>
              <w:rPr>
                <w:rFonts w:hint="eastAsia"/>
                <w:highlight w:val="none"/>
              </w:rPr>
              <w:t>3、习题管理：支持题目按教材章节、难度、题型管理和应用。</w:t>
            </w:r>
          </w:p>
          <w:p w14:paraId="753C699F">
            <w:pPr>
              <w:rPr>
                <w:rFonts w:hint="eastAsia"/>
                <w:highlight w:val="none"/>
              </w:rPr>
            </w:pPr>
            <w:r>
              <w:rPr>
                <w:rFonts w:hint="eastAsia"/>
                <w:highlight w:val="none"/>
              </w:rPr>
              <w:t>4、习题应用：支持将习题加入作业，并通过布置作业功能发送到使用端。</w:t>
            </w:r>
          </w:p>
          <w:p w14:paraId="62007E71">
            <w:pPr>
              <w:rPr>
                <w:rFonts w:hint="eastAsia"/>
                <w:highlight w:val="none"/>
              </w:rPr>
            </w:pPr>
            <w:r>
              <w:rPr>
                <w:rFonts w:hint="eastAsia"/>
                <w:highlight w:val="none"/>
              </w:rPr>
              <w:t>5、布置记录：被校内老师布置过的习题会通过作业报告的形式展示布置次数、历史作答正确率，以协助老师判断该题的难度和学生掌握情况。</w:t>
            </w:r>
          </w:p>
          <w:p w14:paraId="5B9D1934">
            <w:pPr>
              <w:rPr>
                <w:rFonts w:hint="eastAsia"/>
                <w:highlight w:val="none"/>
              </w:rPr>
            </w:pPr>
          </w:p>
          <w:p w14:paraId="40B0848F">
            <w:pPr>
              <w:rPr>
                <w:rFonts w:hint="eastAsia"/>
                <w:highlight w:val="none"/>
              </w:rPr>
            </w:pPr>
            <w:r>
              <w:rPr>
                <w:rFonts w:hint="eastAsia"/>
                <w:highlight w:val="none"/>
              </w:rPr>
              <w:t>十二、教学研究管理平台</w:t>
            </w:r>
          </w:p>
          <w:p w14:paraId="352EA1BC">
            <w:pPr>
              <w:rPr>
                <w:rFonts w:hint="eastAsia"/>
                <w:highlight w:val="none"/>
              </w:rPr>
            </w:pPr>
            <w:r>
              <w:rPr>
                <w:rFonts w:hint="eastAsia"/>
                <w:highlight w:val="none"/>
              </w:rPr>
              <w:t>▲1、为学校提供教研全流程管理服务，包含教学目标与计划、教学设计、集体备课、听课评课、班级氛围的流程管理和数据分析。管理者在教学检查中可以掌握以教研组、备课组为单位的教学资源和集体备数据，了解老师的教学备课工作。支持查看各年级和学科的教研组的教学资源覆盖情况和集体备课数据。支持以时间、教材进行数据筛选，推动老师的备课进度。支持查看备课组下成员的课程资源和集体备课数据概览，支持查看每位成员在不同教材章节下的课程资源上传/获取情况和集体备课的研讨情况。支持以时间、老师、教材章节进行数据筛选。支持导出备课组下全部成员的课程资源和集体备课数据。（响应文件中须出具检验结果符合或者优于本项参数的国家认可的第三方认证（检测）机构出具的带有CMA或CNAS标志的检测报告）</w:t>
            </w:r>
          </w:p>
          <w:p w14:paraId="3DFED53A">
            <w:pPr>
              <w:rPr>
                <w:rFonts w:hint="eastAsia"/>
                <w:highlight w:val="none"/>
              </w:rPr>
            </w:pPr>
            <w:r>
              <w:rPr>
                <w:rFonts w:hint="eastAsia"/>
                <w:highlight w:val="none"/>
              </w:rPr>
              <w:t>2、可查看集体备课的开展统计情况及老师参与集体备课的记录。支持以时间、学科进行筛选，支持输入集体备课名称/主备人名称，进行全局搜索。支持查看集体备课名称，主备人、所属学科、年级、参备老师数、稿数、浏览数、评论数、批注数、评论点赞数、集体备课状态和创建时间等数据。管理员可随时查看学校集体备课详情，查看集体备课的详细内容并给予指导评论，同时支持管理员删除集体备课活动和导出集体备课记录数据表格。支持查看以老师维度统计的集体备课记录，查看老师所属学段学科、发起次数、参备次数、评论数、批注数、最近集体备课时间等数据。支持管理员导出教师集体备课记录数据表格。</w:t>
            </w:r>
          </w:p>
          <w:p w14:paraId="196C1468">
            <w:pPr>
              <w:rPr>
                <w:rFonts w:hint="eastAsia"/>
                <w:highlight w:val="none"/>
              </w:rPr>
            </w:pPr>
            <w:r>
              <w:rPr>
                <w:rFonts w:hint="eastAsia"/>
                <w:highlight w:val="none"/>
              </w:rPr>
              <w:t>▲3、可查看课程的评价统计情况及教师对课程的评价记录。支持以时间、评课表、学科进行筛选，支持输入课程名称/老师名称，进行全局搜索。支持查看以课程维度的评价记录，包括课件名称、授课老师、所属学科、本节课的评课人数、总评价平均分及授课时间，通过点击操作“详情”可查看具体评价情况，支持管理员删除评价记录和导出课程评价记录数据表格。点击课程详情可以查看评课报告，可以查看该课程的总分和各板块得分，支持导出为PDF文件。支持查看课程下所有老师的评课表，可以批量导出为Word文件。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表格。支持自定义设置学校专属评课表，系统预置中央电教馆“一师一优课，一课一名师”、“教师通用评课表-评分制”模板供使用。点评支持评分题、主观题等评价及拍照上传图片等功能。支持发布多张评课表，同时开展多学科、多个评课活动。评课表支持在线预览和设置权限，听课老师权限可以选择公开，无需登录/需要登录用户账号/绑定本校且需登录用户账号等选项。（响应文件中须出具检验结果符合或者优于本项参数的国家认可的第三方认证（检测）机构出具的带有CMA或CNAS标志的检测报告）</w:t>
            </w:r>
          </w:p>
          <w:p w14:paraId="777069CF">
            <w:pPr>
              <w:rPr>
                <w:rFonts w:hint="eastAsia"/>
                <w:highlight w:val="none"/>
              </w:rPr>
            </w:pPr>
            <w:r>
              <w:rPr>
                <w:rFonts w:hint="eastAsia"/>
                <w:highlight w:val="none"/>
              </w:rPr>
              <w:t>4、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1DC53AAB">
            <w:pPr>
              <w:rPr>
                <w:rFonts w:hint="eastAsia"/>
                <w:highlight w:val="none"/>
              </w:rPr>
            </w:pPr>
            <w:r>
              <w:rPr>
                <w:rFonts w:hint="eastAsia"/>
                <w:highlight w:val="none"/>
              </w:rPr>
              <w:t>▲5、全校听评课数据统一汇总，数据包含全校本月评课节数，本月评课次数，累计评课节数和累计评课次数，了解听评课教研活动的开展情况。支持按评课人数/评课平均分查看全校排行详细数据。支持对不同评课维度得分进行统计，计算平均分并找出评分薄弱项，同时支持查看全校的课程评价记录和得分详情、教师评价记录，并可一键导出Excel表格。支持导出课程的评课报告为PDF文件，支持批量导出课程下所有老师的评课表为Word文件。（响应文件中须出具检验结果符合或者优于本项参数的国家认可的第三方认证（检测）机构出具的带有CMA或CNAS标志的检测报告）</w:t>
            </w:r>
          </w:p>
          <w:p w14:paraId="56449BB3">
            <w:pPr>
              <w:rPr>
                <w:rFonts w:hint="eastAsia"/>
                <w:highlight w:val="none"/>
              </w:rPr>
            </w:pPr>
            <w:r>
              <w:rPr>
                <w:rFonts w:hint="eastAsia"/>
                <w:highlight w:val="none"/>
              </w:rPr>
              <w:t>▲6、支持管理员在教研数字化管理平台后台移动、删除、重命名教师上传至校本库的课件、教案、微课及多媒体等资源。校本资源库提供学科目录模板/教材目录模板，管理者可搭建校本资源目录框架，以文件夹的形式进行分组，进行各年级学科的资源管理。支持以文件夹的维度进行权限设置，设置某个文件夹仅有权限的部门或者老师可见，同时支持按文件夹的维度进行课件的批量移动、删除。支持树形结构目录，进行资源分类及查找，支持全局资源搜索，按年级、学科筛选资源，支持查找资源后定位到当前资源文件夹。支持查看资源文件夹的创建者，资源的上传作者，更新时间、校本容量等数据。校本资源支持在线预览。管理员可对校本资源进行分类移动，删除或重命名，资源目录在编辑的界面支持同级拖拽移动。（响应文件中须出具检验结果符合或者优于本项参数的国家认可的第三方认证（检测）机构出具的带有CMA或CNAS标志的检测报告）</w:t>
            </w:r>
          </w:p>
          <w:p w14:paraId="65AD5434">
            <w:pPr>
              <w:rPr>
                <w:rFonts w:hint="eastAsia"/>
                <w:highlight w:val="none"/>
              </w:rPr>
            </w:pPr>
          </w:p>
          <w:p w14:paraId="7FA19553">
            <w:pPr>
              <w:rPr>
                <w:rFonts w:hint="eastAsia"/>
                <w:highlight w:val="none"/>
              </w:rPr>
            </w:pPr>
            <w:r>
              <w:rPr>
                <w:rFonts w:hint="eastAsia"/>
                <w:highlight w:val="none"/>
              </w:rPr>
              <w:t>十三、无线传屏教学系统</w:t>
            </w:r>
          </w:p>
          <w:p w14:paraId="6231D50A">
            <w:pPr>
              <w:rPr>
                <w:rFonts w:hint="eastAsia"/>
                <w:highlight w:val="none"/>
              </w:rPr>
            </w:pPr>
            <w:r>
              <w:rPr>
                <w:rFonts w:hint="eastAsia"/>
                <w:highlight w:val="none"/>
              </w:rPr>
              <w:t>1、支持操作系统：Win7/Win8/Win8.1/Win10/Mac OS10.10及以上。</w:t>
            </w:r>
          </w:p>
          <w:p w14:paraId="1920D4EF">
            <w:pPr>
              <w:rPr>
                <w:rFonts w:hint="eastAsia"/>
                <w:highlight w:val="none"/>
              </w:rPr>
            </w:pPr>
            <w:r>
              <w:rPr>
                <w:rFonts w:hint="eastAsia"/>
                <w:highlight w:val="none"/>
              </w:rPr>
              <w:t>2、传输延迟≤90ms，帧率达到20fps-30fps。</w:t>
            </w:r>
          </w:p>
          <w:p w14:paraId="2A7A33D9">
            <w:pPr>
              <w:rPr>
                <w:rFonts w:hint="eastAsia"/>
                <w:highlight w:val="none"/>
              </w:rPr>
            </w:pPr>
            <w:r>
              <w:rPr>
                <w:rFonts w:hint="eastAsia"/>
                <w:highlight w:val="none"/>
              </w:rPr>
              <w:t>3、无线传屏软硬件均支持win10系统扩展屏显示。</w:t>
            </w:r>
          </w:p>
          <w:p w14:paraId="6C7FC659">
            <w:pPr>
              <w:rPr>
                <w:rFonts w:hint="eastAsia"/>
                <w:highlight w:val="none"/>
              </w:rPr>
            </w:pPr>
            <w:r>
              <w:rPr>
                <w:rFonts w:hint="eastAsia"/>
                <w:highlight w:val="none"/>
              </w:rPr>
              <w:t>4、可以仅对一个窗口进行无线投屏，其他窗口内容不做展示，保证数据的隐私。</w:t>
            </w:r>
          </w:p>
          <w:p w14:paraId="57487C8B">
            <w:pPr>
              <w:rPr>
                <w:rFonts w:hint="eastAsia"/>
                <w:highlight w:val="none"/>
              </w:rPr>
            </w:pPr>
            <w:r>
              <w:rPr>
                <w:rFonts w:hint="eastAsia"/>
                <w:highlight w:val="none"/>
              </w:rPr>
              <w:t>5、无线传屏视频数据加密，加密方式：国密SM4，保障数据传输安全。</w:t>
            </w:r>
          </w:p>
          <w:p w14:paraId="481FAD87">
            <w:pPr>
              <w:rPr>
                <w:rFonts w:hint="eastAsia"/>
                <w:highlight w:val="none"/>
              </w:rPr>
            </w:pPr>
            <w:r>
              <w:rPr>
                <w:rFonts w:hint="eastAsia"/>
                <w:highlight w:val="none"/>
              </w:rPr>
              <w:t>6、软件传屏码可以在整机任何页面进行常显，也可设置取消，方便软件传屏连接。</w:t>
            </w:r>
          </w:p>
          <w:p w14:paraId="235142D4">
            <w:pPr>
              <w:rPr>
                <w:rFonts w:hint="eastAsia"/>
                <w:highlight w:val="none"/>
              </w:rPr>
            </w:pPr>
            <w:r>
              <w:rPr>
                <w:rFonts w:hint="eastAsia"/>
                <w:highlight w:val="none"/>
              </w:rPr>
              <w:t>传屏之后，在屏幕上部中间部分显示工具栏，可以进行基本的操作（具体包括触摸回传控制，勿扰模式，暂停投屏等）</w:t>
            </w:r>
          </w:p>
          <w:p w14:paraId="77C7CF15">
            <w:pPr>
              <w:rPr>
                <w:rFonts w:hint="eastAsia"/>
                <w:highlight w:val="none"/>
              </w:rPr>
            </w:pPr>
            <w:r>
              <w:rPr>
                <w:rFonts w:hint="eastAsia"/>
                <w:highlight w:val="none"/>
              </w:rPr>
              <w:t>7、传屏开启勿扰模式之后，不允许其他人在进行传屏，沉浸模式，避免在使用过程中，用户经常被其他人传屏顶替掉，造成使用中断。</w:t>
            </w:r>
          </w:p>
          <w:p w14:paraId="5C901F8F">
            <w:pPr>
              <w:rPr>
                <w:rFonts w:hint="eastAsia"/>
                <w:highlight w:val="none"/>
              </w:rPr>
            </w:pPr>
            <w:r>
              <w:rPr>
                <w:rFonts w:hint="eastAsia"/>
                <w:highlight w:val="none"/>
              </w:rPr>
              <w:t>8、可通过传屏工具栏暂停投屏功能进行画面冻结暂停，投屏电脑可自主进行其他操作，不影响整机的冻结画面内容显示。</w:t>
            </w:r>
          </w:p>
          <w:p w14:paraId="0DD10D58">
            <w:pPr>
              <w:rPr>
                <w:rFonts w:hint="eastAsia"/>
                <w:highlight w:val="none"/>
              </w:rPr>
            </w:pPr>
            <w:r>
              <w:rPr>
                <w:rFonts w:hint="eastAsia"/>
                <w:highlight w:val="none"/>
              </w:rPr>
              <w:t>9、可通过软件可自动发现近场可投屏的会议设备，选择即可投屏，无需手动配对。</w:t>
            </w:r>
          </w:p>
          <w:p w14:paraId="1B3E2236">
            <w:pPr>
              <w:rPr>
                <w:rFonts w:hint="eastAsia"/>
                <w:highlight w:val="none"/>
              </w:rPr>
            </w:pPr>
          </w:p>
          <w:p w14:paraId="7AAE5208">
            <w:pPr>
              <w:rPr>
                <w:rFonts w:hint="eastAsia"/>
                <w:highlight w:val="none"/>
              </w:rPr>
            </w:pPr>
            <w:r>
              <w:rPr>
                <w:rFonts w:hint="eastAsia"/>
                <w:highlight w:val="none"/>
              </w:rPr>
              <w:t>十四、教学学情分析系统</w:t>
            </w:r>
          </w:p>
          <w:p w14:paraId="3465073A">
            <w:pPr>
              <w:rPr>
                <w:rFonts w:hint="eastAsia"/>
                <w:highlight w:val="none"/>
              </w:rPr>
            </w:pPr>
            <w:r>
              <w:rPr>
                <w:rFonts w:hint="eastAsia"/>
                <w:highlight w:val="none"/>
              </w:rPr>
              <w:t>1、统计考勤：互动反馈系统支持无感考勤功能，学生连接成功后名字可显示在签到列表上，签到列表实时统计已签到人数，并查看未到的人员。</w:t>
            </w:r>
          </w:p>
          <w:p w14:paraId="6172D636">
            <w:pPr>
              <w:rPr>
                <w:rFonts w:hint="eastAsia"/>
                <w:highlight w:val="none"/>
              </w:rPr>
            </w:pPr>
            <w:r>
              <w:rPr>
                <w:rFonts w:hint="eastAsia"/>
                <w:highlight w:val="none"/>
              </w:rPr>
              <w:t>2、班级创建：支持老师主动创建班级，创建成功后，每次登录教师端即可直接进入班级列表，选择班级进入课堂。</w:t>
            </w:r>
          </w:p>
          <w:p w14:paraId="3DCF3C3F">
            <w:pPr>
              <w:rPr>
                <w:rFonts w:hint="eastAsia"/>
                <w:highlight w:val="none"/>
              </w:rPr>
            </w:pPr>
            <w:r>
              <w:rPr>
                <w:rFonts w:hint="eastAsia"/>
                <w:highlight w:val="none"/>
              </w:rPr>
              <w:t>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w:t>
            </w:r>
          </w:p>
          <w:p w14:paraId="694C15A9">
            <w:pPr>
              <w:rPr>
                <w:rFonts w:hint="eastAsia"/>
                <w:highlight w:val="none"/>
              </w:rPr>
            </w:pPr>
            <w:r>
              <w:rPr>
                <w:rFonts w:hint="eastAsia"/>
                <w:highlight w:val="none"/>
              </w:rPr>
              <w:t>4、抢答抽选：互动反馈系统支持抢答、抽选功能，活跃课堂氛围。</w:t>
            </w:r>
          </w:p>
          <w:p w14:paraId="638E02AE">
            <w:pPr>
              <w:rPr>
                <w:rFonts w:hint="eastAsia"/>
                <w:highlight w:val="none"/>
              </w:rPr>
            </w:pPr>
            <w:r>
              <w:rPr>
                <w:rFonts w:hint="eastAsia"/>
                <w:highlight w:val="none"/>
              </w:rPr>
              <w:t>5、观点云词：互动反馈系统支持主观观点收集功能，支持学生们自主提交不多于200字的观点评论，并自动生成班级关键词云，点击关键词可查看对应学生名单和具体评论信息。</w:t>
            </w:r>
          </w:p>
          <w:p w14:paraId="317374A7">
            <w:pPr>
              <w:rPr>
                <w:rFonts w:hint="eastAsia"/>
                <w:highlight w:val="none"/>
              </w:rPr>
            </w:pPr>
            <w:r>
              <w:rPr>
                <w:rFonts w:hint="eastAsia"/>
                <w:highlight w:val="none"/>
              </w:rPr>
              <w:t xml:space="preserve">6、学情报告；互动反馈系统在上课结束后支持实时生成课程报告，课堂报告支持查看签到人数，课堂互动总数，平均参与度，提问个数，支持查看考勤详情，互动详情和提问详情。 </w:t>
            </w:r>
          </w:p>
          <w:p w14:paraId="3E73BF83">
            <w:pPr>
              <w:rPr>
                <w:rFonts w:hint="eastAsia"/>
                <w:highlight w:val="none"/>
              </w:rPr>
            </w:pPr>
          </w:p>
          <w:p w14:paraId="1C2BD13B">
            <w:pPr>
              <w:rPr>
                <w:rFonts w:hint="eastAsia"/>
                <w:highlight w:val="none"/>
              </w:rPr>
            </w:pPr>
            <w:r>
              <w:rPr>
                <w:rFonts w:hint="eastAsia"/>
                <w:highlight w:val="none"/>
              </w:rPr>
              <w:t>十五、光能黑板</w:t>
            </w:r>
          </w:p>
          <w:p w14:paraId="32F6A68D">
            <w:pPr>
              <w:rPr>
                <w:rFonts w:hint="eastAsia"/>
                <w:highlight w:val="none"/>
              </w:rPr>
            </w:pPr>
            <w:r>
              <w:rPr>
                <w:rFonts w:hint="eastAsia"/>
                <w:highlight w:val="none"/>
              </w:rPr>
              <w:t>（一）硬件要求</w:t>
            </w:r>
          </w:p>
          <w:p w14:paraId="76327A4A">
            <w:pPr>
              <w:rPr>
                <w:rFonts w:hint="eastAsia"/>
                <w:highlight w:val="none"/>
              </w:rPr>
            </w:pPr>
            <w:r>
              <w:rPr>
                <w:rFonts w:hint="eastAsia"/>
                <w:highlight w:val="none"/>
              </w:rPr>
              <w:t>1、单块光能黑板≥1290（长）*1158（高）mm。每套由两块内板组合。</w:t>
            </w:r>
          </w:p>
          <w:p w14:paraId="405F7AB0">
            <w:pPr>
              <w:rPr>
                <w:rFonts w:hint="eastAsia"/>
                <w:highlight w:val="none"/>
              </w:rPr>
            </w:pPr>
            <w:r>
              <w:rPr>
                <w:rFonts w:hint="eastAsia"/>
                <w:highlight w:val="none"/>
              </w:rPr>
              <w:t>2、采用任何硬度适中的工具均可在板面进行书写，无需专用耗材，消除了粉笔粉尘对师生构成的健康隐患。</w:t>
            </w:r>
          </w:p>
          <w:p w14:paraId="445A4847">
            <w:pPr>
              <w:rPr>
                <w:rFonts w:hint="eastAsia"/>
                <w:highlight w:val="none"/>
              </w:rPr>
            </w:pPr>
            <w:r>
              <w:rPr>
                <w:rFonts w:hint="eastAsia"/>
                <w:highlight w:val="none"/>
              </w:rPr>
              <w:t>▲3、光能黑板应无频闪、无背光，上膜不应产生眩光。板书笔迹可视距离40米，可视角度≥150°，对比度≥150:1。</w:t>
            </w:r>
          </w:p>
          <w:p w14:paraId="03B56851">
            <w:pPr>
              <w:rPr>
                <w:rFonts w:hint="eastAsia"/>
                <w:highlight w:val="none"/>
              </w:rPr>
            </w:pPr>
            <w:r>
              <w:rPr>
                <w:rFonts w:hint="eastAsia"/>
                <w:highlight w:val="none"/>
              </w:rPr>
              <w:t>▲4、光能黑板的光泽度不高于30光泽单位。</w:t>
            </w:r>
          </w:p>
          <w:p w14:paraId="7347239C">
            <w:pPr>
              <w:rPr>
                <w:rFonts w:hint="eastAsia"/>
                <w:highlight w:val="none"/>
              </w:rPr>
            </w:pPr>
            <w:r>
              <w:rPr>
                <w:rFonts w:hint="eastAsia"/>
                <w:highlight w:val="none"/>
              </w:rPr>
              <w:t>▲5、书写膜的透光率不低于87%，雾度不高于40%。</w:t>
            </w:r>
          </w:p>
          <w:p w14:paraId="25390D52">
            <w:pPr>
              <w:rPr>
                <w:rFonts w:hint="eastAsia"/>
                <w:highlight w:val="none"/>
              </w:rPr>
            </w:pPr>
            <w:r>
              <w:rPr>
                <w:rFonts w:hint="eastAsia"/>
                <w:highlight w:val="none"/>
              </w:rPr>
              <w:t>6、一键擦除：按下一键擦除按键，可实现板书的全部擦除，擦除后无明显残留痕迹。</w:t>
            </w:r>
          </w:p>
          <w:p w14:paraId="6E908FD7">
            <w:pPr>
              <w:rPr>
                <w:rFonts w:hint="eastAsia"/>
                <w:highlight w:val="none"/>
              </w:rPr>
            </w:pPr>
            <w:r>
              <w:rPr>
                <w:rFonts w:hint="eastAsia"/>
                <w:highlight w:val="none"/>
              </w:rPr>
              <w:t>7、局部擦除：可使用板擦和手势对板书进行局部擦除。擦除精度小于10mm*10mm，擦除延时＜60ms。光能板具有独立供电装置，可在液晶屏关机的情况下独立使用，不影响局部擦除功能。</w:t>
            </w:r>
          </w:p>
          <w:p w14:paraId="5762575F">
            <w:pPr>
              <w:rPr>
                <w:rFonts w:hint="eastAsia"/>
                <w:highlight w:val="none"/>
              </w:rPr>
            </w:pPr>
            <w:r>
              <w:rPr>
                <w:rFonts w:hint="eastAsia"/>
                <w:highlight w:val="none"/>
              </w:rPr>
              <w:t>8、板内设有电压补偿机制，可以通过手势按压书写板板面的特定位置，控制书写板内部电压高低，以调节擦除灵敏度。</w:t>
            </w:r>
          </w:p>
          <w:p w14:paraId="2BD5CBD0">
            <w:pPr>
              <w:rPr>
                <w:rFonts w:hint="eastAsia"/>
                <w:highlight w:val="none"/>
              </w:rPr>
            </w:pPr>
            <w:r>
              <w:rPr>
                <w:rFonts w:hint="eastAsia"/>
                <w:highlight w:val="none"/>
              </w:rPr>
              <w:t>▲9、设备内提供的电池组保护电路，符合标准要求，并通过带二次锂电池的设备的充电安全防护。黑板通过恒定力和冲击试验，机械强度符合标准要求。</w:t>
            </w:r>
          </w:p>
          <w:p w14:paraId="239B953F">
            <w:pPr>
              <w:rPr>
                <w:rFonts w:hint="eastAsia"/>
                <w:highlight w:val="none"/>
              </w:rPr>
            </w:pPr>
            <w:r>
              <w:rPr>
                <w:rFonts w:hint="eastAsia"/>
                <w:highlight w:val="none"/>
              </w:rPr>
              <w:t>10、黑板表面具有暗格，用以提供给师生在书写板书时的直线参照，可避免板书歪斜。黑板表面可吸附磁贴、磁扣等教学工具，便于老师教学使用。</w:t>
            </w:r>
          </w:p>
          <w:p w14:paraId="09B7496D">
            <w:pPr>
              <w:rPr>
                <w:rFonts w:hint="eastAsia"/>
                <w:highlight w:val="none"/>
              </w:rPr>
            </w:pPr>
            <w:r>
              <w:rPr>
                <w:rFonts w:hint="eastAsia"/>
                <w:highlight w:val="none"/>
              </w:rPr>
              <w:t>11、光能黑板通过低温-30℃，高温80℃，恒定湿热40℃、95%RH测试，产品外观无变形、损坏等现象，通电运行正常。</w:t>
            </w:r>
          </w:p>
          <w:p w14:paraId="26DF0354">
            <w:pPr>
              <w:rPr>
                <w:rFonts w:hint="eastAsia"/>
                <w:highlight w:val="none"/>
              </w:rPr>
            </w:pPr>
            <w:r>
              <w:rPr>
                <w:rFonts w:hint="eastAsia"/>
                <w:highlight w:val="none"/>
              </w:rPr>
              <w:t>12、边框采用铝合金材质，坚固耐用，具有较好的耐腐蚀特性。</w:t>
            </w:r>
          </w:p>
          <w:p w14:paraId="0DFA51FE">
            <w:pPr>
              <w:rPr>
                <w:rFonts w:hint="eastAsia"/>
                <w:highlight w:val="none"/>
              </w:rPr>
            </w:pPr>
            <w:r>
              <w:rPr>
                <w:rFonts w:hint="eastAsia"/>
                <w:highlight w:val="none"/>
              </w:rPr>
              <w:t>13、采用一体式按键指示灯，可通过不同颜色、闪烁等方式表示擦除、电量不足等工作状态。每块光能黑板具备DC接口*2和USB接口*2，方便用户使用。</w:t>
            </w:r>
          </w:p>
          <w:p w14:paraId="6D63A253">
            <w:pPr>
              <w:rPr>
                <w:rFonts w:hint="eastAsia"/>
                <w:highlight w:val="none"/>
              </w:rPr>
            </w:pPr>
            <w:r>
              <w:rPr>
                <w:rFonts w:hint="eastAsia"/>
                <w:highlight w:val="none"/>
              </w:rPr>
              <w:t>▲14、光能黑板通过抗电强度1500V试验，无击穿现象，符合GB4943的安全要求。</w:t>
            </w:r>
          </w:p>
          <w:p w14:paraId="5BECEEFC">
            <w:pPr>
              <w:rPr>
                <w:rFonts w:hint="eastAsia"/>
                <w:highlight w:val="none"/>
              </w:rPr>
            </w:pPr>
            <w:r>
              <w:rPr>
                <w:rFonts w:hint="eastAsia"/>
                <w:highlight w:val="none"/>
              </w:rPr>
              <w:t>▲15、产品的最大工作电流（瞬间电流）≤1000mA。</w:t>
            </w:r>
          </w:p>
          <w:p w14:paraId="013A82A7">
            <w:pPr>
              <w:rPr>
                <w:rFonts w:hint="eastAsia"/>
                <w:highlight w:val="none"/>
              </w:rPr>
            </w:pPr>
            <w:r>
              <w:rPr>
                <w:rFonts w:hint="eastAsia"/>
                <w:highlight w:val="none"/>
              </w:rPr>
              <w:t>16、为让老师能够快速调取交互软件，方便使用功能，光能黑板上应具有实用快捷键。</w:t>
            </w:r>
          </w:p>
          <w:p w14:paraId="13C4AB80">
            <w:pPr>
              <w:rPr>
                <w:rFonts w:hint="eastAsia"/>
                <w:highlight w:val="none"/>
              </w:rPr>
            </w:pPr>
            <w:r>
              <w:rPr>
                <w:rFonts w:hint="eastAsia"/>
                <w:highlight w:val="none"/>
              </w:rPr>
              <w:t>（二）软件要求</w:t>
            </w:r>
          </w:p>
          <w:p w14:paraId="13EEA43F">
            <w:pPr>
              <w:rPr>
                <w:rFonts w:hint="eastAsia"/>
                <w:highlight w:val="none"/>
              </w:rPr>
            </w:pPr>
            <w:r>
              <w:rPr>
                <w:rFonts w:hint="eastAsia"/>
                <w:highlight w:val="none"/>
              </w:rPr>
              <w:t>1、左、右光能黑板可与触控一体机进行互动，将光能黑板的内容与触控一体机无缝连接，教师在光能黑板上的书写内容可同步显示在触控一体机上。</w:t>
            </w:r>
          </w:p>
          <w:p w14:paraId="4D6EE793">
            <w:pPr>
              <w:rPr>
                <w:rFonts w:hint="eastAsia"/>
                <w:highlight w:val="none"/>
              </w:rPr>
            </w:pPr>
            <w:r>
              <w:rPr>
                <w:rFonts w:hint="eastAsia"/>
                <w:highlight w:val="none"/>
              </w:rPr>
              <w:t>2、为便于老师记忆和操作，板书界面与电脑桌面/PPT课件之间，采用同一个按键来回切换，方便快捷。</w:t>
            </w:r>
          </w:p>
          <w:p w14:paraId="046D1DB9">
            <w:pPr>
              <w:rPr>
                <w:rFonts w:hint="eastAsia"/>
                <w:highlight w:val="none"/>
              </w:rPr>
            </w:pPr>
            <w:r>
              <w:rPr>
                <w:rFonts w:hint="eastAsia"/>
                <w:highlight w:val="none"/>
              </w:rPr>
              <w:t>3、光能黑板具有两种书写记录模式，支持单板书写记录内容为一个单页面，也可以支持多板同时书写时记录在一个页面上；</w:t>
            </w:r>
          </w:p>
          <w:p w14:paraId="12959E3B">
            <w:pPr>
              <w:rPr>
                <w:rFonts w:hint="eastAsia"/>
                <w:highlight w:val="none"/>
              </w:rPr>
            </w:pPr>
            <w:r>
              <w:rPr>
                <w:rFonts w:hint="eastAsia"/>
                <w:highlight w:val="none"/>
              </w:rPr>
              <w:t>4、当不需要板书传输到软件显示界面时，可以使用分屏功能，断开黑板与大屏的传输，使其成为互不影响的多块黑板。</w:t>
            </w:r>
          </w:p>
          <w:p w14:paraId="0810DFF8">
            <w:pPr>
              <w:rPr>
                <w:rFonts w:hint="eastAsia"/>
                <w:highlight w:val="none"/>
              </w:rPr>
            </w:pPr>
            <w:r>
              <w:rPr>
                <w:rFonts w:hint="eastAsia"/>
                <w:highlight w:val="none"/>
              </w:rPr>
              <w:t>5、设置不同的软件端笔迹颜色，可实现老师对于教学重点的标识及批注；</w:t>
            </w:r>
          </w:p>
          <w:p w14:paraId="3D4BE4EC">
            <w:pPr>
              <w:rPr>
                <w:rFonts w:hint="eastAsia"/>
                <w:highlight w:val="none"/>
              </w:rPr>
            </w:pPr>
            <w:r>
              <w:rPr>
                <w:rFonts w:hint="eastAsia"/>
                <w:highlight w:val="none"/>
              </w:rPr>
              <w:t>6、在保存的板书当中进行翻页，查找已经存储的板书内容。</w:t>
            </w:r>
          </w:p>
          <w:p w14:paraId="44E869CB">
            <w:pPr>
              <w:rPr>
                <w:rFonts w:hint="eastAsia"/>
                <w:highlight w:val="none"/>
              </w:rPr>
            </w:pPr>
            <w:r>
              <w:rPr>
                <w:rFonts w:hint="eastAsia"/>
                <w:highlight w:val="none"/>
              </w:rPr>
              <w:t>7、能直接预览所有存储的板书；</w:t>
            </w:r>
          </w:p>
          <w:p w14:paraId="29C30EA4">
            <w:pPr>
              <w:rPr>
                <w:rFonts w:hint="eastAsia"/>
                <w:highlight w:val="none"/>
              </w:rPr>
            </w:pPr>
            <w:r>
              <w:rPr>
                <w:rFonts w:hint="eastAsia"/>
                <w:highlight w:val="none"/>
              </w:rPr>
              <w:t>8、黑板的板书即时保存到软件当中，通过翻页可找回并显示，保存时不清除黑板的板书内容。</w:t>
            </w:r>
          </w:p>
          <w:p w14:paraId="6B7BFCFA">
            <w:pPr>
              <w:rPr>
                <w:rFonts w:hint="eastAsia"/>
                <w:highlight w:val="none"/>
              </w:rPr>
            </w:pPr>
            <w:r>
              <w:rPr>
                <w:rFonts w:hint="eastAsia"/>
                <w:highlight w:val="none"/>
              </w:rPr>
              <w:t>9、对板书的电子文档进行分享，可以存储在本地PC端，同时生产二维码，便于师生扫码获取。</w:t>
            </w:r>
          </w:p>
          <w:p w14:paraId="109B080F">
            <w:pPr>
              <w:rPr>
                <w:rFonts w:hint="eastAsia"/>
                <w:highlight w:val="none"/>
              </w:rPr>
            </w:pPr>
            <w:r>
              <w:rPr>
                <w:rFonts w:hint="eastAsia"/>
                <w:highlight w:val="none"/>
              </w:rPr>
              <w:t>10、可以对课堂的板书和讲解进行录制，生成视频文档，利于学生课后复习回放。</w:t>
            </w:r>
          </w:p>
          <w:p w14:paraId="0D41B001">
            <w:pPr>
              <w:rPr>
                <w:rFonts w:hint="eastAsia"/>
                <w:highlight w:val="none"/>
              </w:rPr>
            </w:pPr>
          </w:p>
          <w:p w14:paraId="1A2BA06E">
            <w:pPr>
              <w:rPr>
                <w:rFonts w:hint="eastAsia"/>
                <w:highlight w:val="none"/>
              </w:rPr>
            </w:pPr>
            <w:r>
              <w:rPr>
                <w:rFonts w:hint="eastAsia"/>
                <w:highlight w:val="none"/>
              </w:rPr>
              <w:t>十六、售后服务要求</w:t>
            </w:r>
          </w:p>
          <w:p w14:paraId="731AF5AC">
            <w:pPr>
              <w:rPr>
                <w:rFonts w:hint="eastAsia"/>
                <w:highlight w:val="none"/>
              </w:rPr>
            </w:pPr>
            <w:r>
              <w:rPr>
                <w:rFonts w:hint="eastAsia"/>
                <w:highlight w:val="none"/>
              </w:rPr>
              <w:t>1、全国24小时免费电话保修、二维码扫描保修、区域化驻地技术工程师专线保修；</w:t>
            </w:r>
          </w:p>
          <w:p w14:paraId="44D5F992">
            <w:pPr>
              <w:rPr>
                <w:rFonts w:hint="eastAsia"/>
                <w:highlight w:val="none"/>
              </w:rPr>
            </w:pPr>
            <w:r>
              <w:rPr>
                <w:rFonts w:hint="eastAsia"/>
                <w:highlight w:val="none"/>
              </w:rPr>
              <w:t>2、微信售后报修服务：快速输入相关问题及所在区域进行在线保修，贴心服务人员实时在线提供客服专线报修，更好更快的解决售后故障问题带来的使用不便；提供八大模块的问题查询及解决方案，现场完成简单故障的快速修复指导。</w:t>
            </w:r>
          </w:p>
          <w:p w14:paraId="12E71EAB">
            <w:pPr>
              <w:rPr>
                <w:highlight w:val="none"/>
                <w:vertAlign w:val="baseline"/>
              </w:rPr>
            </w:pPr>
            <w:r>
              <w:rPr>
                <w:rFonts w:hint="eastAsia"/>
                <w:highlight w:val="none"/>
              </w:rPr>
              <w:t>3、打“▲”号条款为重要技术参数，投标人必须满足否则中标无效。中标公示期内若有其他投标人质疑情况下，中标单位必须提供与标书技术要求及功能符合的全部样品一套至用户处进行整体性能与标书文件核对，协助质疑答复。</w:t>
            </w:r>
          </w:p>
        </w:tc>
        <w:tc>
          <w:tcPr>
            <w:tcW w:w="736" w:type="dxa"/>
            <w:noWrap w:val="0"/>
            <w:vAlign w:val="center"/>
          </w:tcPr>
          <w:p w14:paraId="5A99DE2B">
            <w:pPr>
              <w:jc w:val="both"/>
              <w:rPr>
                <w:rFonts w:hint="default" w:eastAsia="宋体"/>
                <w:highlight w:val="none"/>
                <w:vertAlign w:val="baseline"/>
                <w:lang w:val="en-US" w:eastAsia="zh-CN"/>
              </w:rPr>
            </w:pPr>
            <w:r>
              <w:rPr>
                <w:rFonts w:hint="eastAsia"/>
                <w:highlight w:val="none"/>
                <w:vertAlign w:val="baseline"/>
                <w:lang w:val="en-US" w:eastAsia="zh-CN"/>
              </w:rPr>
              <w:t xml:space="preserve">  1</w:t>
            </w:r>
          </w:p>
        </w:tc>
        <w:tc>
          <w:tcPr>
            <w:tcW w:w="834" w:type="dxa"/>
            <w:noWrap w:val="0"/>
            <w:vAlign w:val="center"/>
          </w:tcPr>
          <w:p w14:paraId="56D7EF64">
            <w:pPr>
              <w:jc w:val="both"/>
              <w:rPr>
                <w:rFonts w:hint="default" w:eastAsia="宋体"/>
                <w:highlight w:val="none"/>
                <w:vertAlign w:val="baseline"/>
                <w:lang w:val="en-US" w:eastAsia="zh-CN"/>
              </w:rPr>
            </w:pPr>
            <w:r>
              <w:rPr>
                <w:rFonts w:hint="eastAsia"/>
                <w:highlight w:val="none"/>
                <w:vertAlign w:val="baseline"/>
                <w:lang w:val="en-US" w:eastAsia="zh-CN"/>
              </w:rPr>
              <w:t xml:space="preserve">  台</w:t>
            </w:r>
          </w:p>
        </w:tc>
        <w:tc>
          <w:tcPr>
            <w:tcW w:w="3396" w:type="dxa"/>
            <w:gridSpan w:val="2"/>
            <w:noWrap w:val="0"/>
            <w:vAlign w:val="center"/>
          </w:tcPr>
          <w:p w14:paraId="5D8237E5">
            <w:pPr>
              <w:jc w:val="both"/>
              <w:rPr>
                <w:highlight w:val="none"/>
                <w:vertAlign w:val="baseline"/>
              </w:rPr>
            </w:pPr>
            <w:r>
              <w:rPr>
                <w:highlight w:val="none"/>
              </w:rPr>
              <w:drawing>
                <wp:inline distT="0" distB="0" distL="114300" distR="114300">
                  <wp:extent cx="2009775" cy="689610"/>
                  <wp:effectExtent l="0" t="0" r="9525"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4"/>
                          <a:stretch>
                            <a:fillRect/>
                          </a:stretch>
                        </pic:blipFill>
                        <pic:spPr>
                          <a:xfrm>
                            <a:off x="0" y="0"/>
                            <a:ext cx="2009775" cy="689610"/>
                          </a:xfrm>
                          <a:prstGeom prst="rect">
                            <a:avLst/>
                          </a:prstGeom>
                          <a:noFill/>
                          <a:ln>
                            <a:noFill/>
                          </a:ln>
                        </pic:spPr>
                      </pic:pic>
                    </a:graphicData>
                  </a:graphic>
                </wp:inline>
              </w:drawing>
            </w:r>
          </w:p>
        </w:tc>
        <w:tc>
          <w:tcPr>
            <w:tcW w:w="710" w:type="dxa"/>
            <w:gridSpan w:val="2"/>
            <w:noWrap w:val="0"/>
            <w:vAlign w:val="top"/>
          </w:tcPr>
          <w:p w14:paraId="51259CA8">
            <w:pPr>
              <w:rPr>
                <w:highlight w:val="none"/>
                <w:vertAlign w:val="baseline"/>
              </w:rPr>
            </w:pPr>
          </w:p>
        </w:tc>
      </w:tr>
      <w:tr w14:paraId="1984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EB0CB0">
            <w:pPr>
              <w:ind w:firstLine="210" w:firstLineChars="100"/>
              <w:jc w:val="both"/>
              <w:rPr>
                <w:rFonts w:hint="eastAsia" w:eastAsia="宋体"/>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72EC6DC1">
            <w:pPr>
              <w:jc w:val="both"/>
              <w:rPr>
                <w:highlight w:val="none"/>
                <w:vertAlign w:val="baseline"/>
              </w:rPr>
            </w:pPr>
            <w:r>
              <w:rPr>
                <w:rFonts w:hint="eastAsia"/>
                <w:highlight w:val="none"/>
                <w:vertAlign w:val="baseline"/>
              </w:rPr>
              <w:t>壁挂式视频展台</w:t>
            </w:r>
          </w:p>
        </w:tc>
        <w:tc>
          <w:tcPr>
            <w:tcW w:w="5928" w:type="dxa"/>
            <w:noWrap w:val="0"/>
            <w:vAlign w:val="center"/>
          </w:tcPr>
          <w:p w14:paraId="58F0013D">
            <w:pPr>
              <w:jc w:val="left"/>
              <w:rPr>
                <w:rFonts w:hint="eastAsia"/>
                <w:b/>
                <w:bCs/>
                <w:highlight w:val="none"/>
                <w:vertAlign w:val="baseline"/>
              </w:rPr>
            </w:pPr>
            <w:r>
              <w:rPr>
                <w:rFonts w:hint="eastAsia"/>
                <w:b/>
                <w:bCs/>
                <w:highlight w:val="none"/>
                <w:vertAlign w:val="baseline"/>
              </w:rPr>
              <w:t>一、硬件要求：</w:t>
            </w:r>
          </w:p>
          <w:p w14:paraId="710C9E64">
            <w:pPr>
              <w:jc w:val="left"/>
              <w:rPr>
                <w:rFonts w:hint="eastAsia"/>
                <w:highlight w:val="none"/>
                <w:vertAlign w:val="baseline"/>
              </w:rPr>
            </w:pPr>
            <w:r>
              <w:rPr>
                <w:rFonts w:hint="eastAsia"/>
                <w:highlight w:val="none"/>
                <w:vertAlign w:val="baseline"/>
              </w:rPr>
              <w:t>1.采用≥800万像素摄像头；采用 USB电源直接供电，无需额外配置电源适配器；箱内USB连线采用隐藏式设计，箱内无可见连线且USB口下出。</w:t>
            </w:r>
          </w:p>
          <w:p w14:paraId="4AF091B8">
            <w:pPr>
              <w:jc w:val="left"/>
              <w:rPr>
                <w:rFonts w:hint="eastAsia"/>
                <w:highlight w:val="none"/>
                <w:vertAlign w:val="baseline"/>
              </w:rPr>
            </w:pPr>
            <w:r>
              <w:rPr>
                <w:rFonts w:hint="eastAsia"/>
                <w:highlight w:val="none"/>
                <w:vertAlign w:val="baseline"/>
              </w:rPr>
              <w:t>2.A4大小拍摄幅面，1080P动态视频预览达到30帧/秒。</w:t>
            </w:r>
          </w:p>
          <w:p w14:paraId="29EC48F8">
            <w:pPr>
              <w:jc w:val="left"/>
              <w:rPr>
                <w:rFonts w:hint="eastAsia"/>
                <w:highlight w:val="none"/>
                <w:vertAlign w:val="baseline"/>
              </w:rPr>
            </w:pPr>
            <w:r>
              <w:rPr>
                <w:rFonts w:hint="eastAsia"/>
                <w:highlight w:val="none"/>
                <w:vertAlign w:val="baseline"/>
              </w:rPr>
              <w:t>3.整机采用圆弧式设计，无锐角；托板可承重3kg，同时托板采用磁吸吸附式机构。</w:t>
            </w:r>
          </w:p>
          <w:p w14:paraId="738E0F3B">
            <w:pPr>
              <w:jc w:val="left"/>
              <w:rPr>
                <w:rFonts w:hint="eastAsia"/>
                <w:highlight w:val="none"/>
                <w:vertAlign w:val="baseline"/>
              </w:rPr>
            </w:pPr>
            <w:r>
              <w:rPr>
                <w:rFonts w:hint="eastAsia"/>
                <w:highlight w:val="none"/>
                <w:vertAlign w:val="baseline"/>
              </w:rPr>
              <w:t>4.展示托板正上方具备LED补光灯补光灯开关采用触摸按键设计，同时可通过视频展台软件直接控制开关；</w:t>
            </w:r>
          </w:p>
          <w:p w14:paraId="60DA7DB2">
            <w:pPr>
              <w:jc w:val="left"/>
              <w:rPr>
                <w:rFonts w:hint="eastAsia"/>
                <w:highlight w:val="none"/>
                <w:vertAlign w:val="baseline"/>
              </w:rPr>
            </w:pPr>
            <w:r>
              <w:rPr>
                <w:rFonts w:hint="eastAsia"/>
                <w:highlight w:val="none"/>
                <w:vertAlign w:val="baseline"/>
              </w:rPr>
              <w:t>5.摄像头支持自动对焦；摄像头部分进行外壳防护等级试验，防护等级达到IP4X级别。</w:t>
            </w:r>
          </w:p>
          <w:p w14:paraId="4A299216">
            <w:pPr>
              <w:jc w:val="left"/>
              <w:rPr>
                <w:rFonts w:hint="eastAsia"/>
                <w:b/>
                <w:bCs/>
                <w:highlight w:val="none"/>
                <w:vertAlign w:val="baseline"/>
              </w:rPr>
            </w:pPr>
            <w:r>
              <w:rPr>
                <w:rFonts w:hint="eastAsia"/>
                <w:b/>
                <w:bCs/>
                <w:highlight w:val="none"/>
                <w:vertAlign w:val="baseline"/>
              </w:rPr>
              <w:t>二、软件要求：</w:t>
            </w:r>
          </w:p>
          <w:p w14:paraId="78914BA8">
            <w:pPr>
              <w:jc w:val="left"/>
              <w:rPr>
                <w:rFonts w:hint="eastAsia"/>
                <w:highlight w:val="none"/>
                <w:vertAlign w:val="baseline"/>
              </w:rPr>
            </w:pPr>
            <w:r>
              <w:rPr>
                <w:rFonts w:hint="eastAsia"/>
                <w:highlight w:val="none"/>
                <w:vertAlign w:val="baseline"/>
              </w:rPr>
              <w:t>1.支持对展台画面进行放大、缩小、旋转、自适应、冻结画面等操作。</w:t>
            </w:r>
          </w:p>
          <w:p w14:paraId="21B7CA38">
            <w:pPr>
              <w:jc w:val="left"/>
              <w:rPr>
                <w:rFonts w:hint="eastAsia"/>
                <w:highlight w:val="none"/>
                <w:vertAlign w:val="baseline"/>
              </w:rPr>
            </w:pPr>
            <w:r>
              <w:rPr>
                <w:rFonts w:hint="eastAsia"/>
                <w:highlight w:val="none"/>
                <w:vertAlign w:val="baseline"/>
              </w:rPr>
              <w:t>2.支持展台画面实时批注，预设多种笔划粗细及颜色供选择，且支持对展台画面联同批注内容进行同步缩放、移动。</w:t>
            </w:r>
          </w:p>
          <w:p w14:paraId="12B61B2A">
            <w:pPr>
              <w:jc w:val="left"/>
              <w:rPr>
                <w:rFonts w:hint="eastAsia"/>
                <w:highlight w:val="none"/>
                <w:vertAlign w:val="baseline"/>
              </w:rPr>
            </w:pPr>
            <w:r>
              <w:rPr>
                <w:rFonts w:hint="eastAsia"/>
                <w:highlight w:val="none"/>
                <w:vertAlign w:val="baseline"/>
              </w:rPr>
              <w:t>3.支持展台画面拍照截图并进行多图预览，可对任一图片进行全屏显示。</w:t>
            </w:r>
          </w:p>
          <w:p w14:paraId="01772BEA">
            <w:pPr>
              <w:jc w:val="left"/>
              <w:rPr>
                <w:rFonts w:hint="eastAsia"/>
                <w:highlight w:val="none"/>
                <w:vertAlign w:val="baseline"/>
              </w:rPr>
            </w:pPr>
            <w:r>
              <w:rPr>
                <w:rFonts w:hint="eastAsia"/>
                <w:highlight w:val="none"/>
                <w:vertAlign w:val="baseline"/>
              </w:rPr>
              <w:t>4.老师可在一体机或电脑上选择延时拍照功能，支持5秒或10秒延时模式，可调整拍摄内容。</w:t>
            </w:r>
          </w:p>
          <w:p w14:paraId="4B782D8C">
            <w:pPr>
              <w:jc w:val="left"/>
              <w:rPr>
                <w:rFonts w:hint="eastAsia"/>
                <w:highlight w:val="none"/>
                <w:vertAlign w:val="baseline"/>
              </w:rPr>
            </w:pPr>
            <w:r>
              <w:rPr>
                <w:rFonts w:hint="eastAsia"/>
                <w:highlight w:val="none"/>
                <w:vertAlign w:val="baseline"/>
              </w:rPr>
              <w:t>5.具备图像增强功能，可自动裁剪背景并增强文字显示，使文档画面更清晰。</w:t>
            </w:r>
          </w:p>
          <w:p w14:paraId="5BF69956">
            <w:pPr>
              <w:jc w:val="left"/>
              <w:rPr>
                <w:rFonts w:hint="eastAsia"/>
                <w:highlight w:val="none"/>
                <w:vertAlign w:val="baseline"/>
              </w:rPr>
            </w:pPr>
            <w:r>
              <w:rPr>
                <w:rFonts w:hint="eastAsia"/>
                <w:highlight w:val="none"/>
                <w:vertAlign w:val="baseline"/>
              </w:rPr>
              <w:t>6.可选择图像、文本或动态等多种情景模式，适应不同展示内容。</w:t>
            </w:r>
          </w:p>
          <w:p w14:paraId="1F85CE30">
            <w:pPr>
              <w:jc w:val="left"/>
              <w:rPr>
                <w:rFonts w:hint="eastAsia"/>
                <w:highlight w:val="none"/>
                <w:vertAlign w:val="baseline"/>
              </w:rPr>
            </w:pPr>
            <w:r>
              <w:rPr>
                <w:rFonts w:hint="eastAsia"/>
                <w:highlight w:val="none"/>
                <w:vertAlign w:val="baseline"/>
              </w:rPr>
              <w:t>7.二维码扫码：打开扫一扫功能后，将书本上的二维码放入扫描框内即可自动扫描，并进入系统浏览器获取二维码的链接内容，可获取电子教学资源。</w:t>
            </w:r>
          </w:p>
          <w:p w14:paraId="7B9B9800">
            <w:pPr>
              <w:jc w:val="left"/>
              <w:rPr>
                <w:highlight w:val="none"/>
                <w:vertAlign w:val="baseline"/>
              </w:rPr>
            </w:pPr>
            <w:r>
              <w:rPr>
                <w:rFonts w:hint="eastAsia"/>
                <w:highlight w:val="none"/>
                <w:vertAlign w:val="baseline"/>
              </w:rPr>
              <w:t>8.支持故障自动检测，在软件无法出现展台拍摄画面时，自动出现检测链接，检测“无画面”的原因，并给出引导性解决方案。可判断硬件连接、显卡驱动、摄像头占用、软件版本等问题。</w:t>
            </w:r>
          </w:p>
        </w:tc>
        <w:tc>
          <w:tcPr>
            <w:tcW w:w="736" w:type="dxa"/>
            <w:noWrap w:val="0"/>
            <w:vAlign w:val="center"/>
          </w:tcPr>
          <w:p w14:paraId="4B36D839">
            <w:pPr>
              <w:jc w:val="center"/>
              <w:rPr>
                <w:rFonts w:hint="eastAsia" w:eastAsia="宋体"/>
                <w:highlight w:val="none"/>
                <w:vertAlign w:val="baseline"/>
                <w:lang w:val="en-US" w:eastAsia="zh-CN"/>
              </w:rPr>
            </w:pPr>
            <w:r>
              <w:rPr>
                <w:rFonts w:hint="eastAsia"/>
                <w:highlight w:val="none"/>
                <w:vertAlign w:val="baseline"/>
                <w:lang w:val="en-US" w:eastAsia="zh-CN"/>
              </w:rPr>
              <w:t>1</w:t>
            </w:r>
          </w:p>
        </w:tc>
        <w:tc>
          <w:tcPr>
            <w:tcW w:w="834" w:type="dxa"/>
            <w:noWrap w:val="0"/>
            <w:vAlign w:val="center"/>
          </w:tcPr>
          <w:p w14:paraId="73721AAD">
            <w:pPr>
              <w:jc w:val="center"/>
              <w:rPr>
                <w:rFonts w:hint="eastAsia" w:eastAsia="宋体"/>
                <w:highlight w:val="none"/>
                <w:vertAlign w:val="baseline"/>
                <w:lang w:val="en-US" w:eastAsia="zh-CN"/>
              </w:rPr>
            </w:pPr>
            <w:r>
              <w:rPr>
                <w:rFonts w:hint="eastAsia"/>
                <w:highlight w:val="none"/>
                <w:vertAlign w:val="baseline"/>
                <w:lang w:val="en-US" w:eastAsia="zh-CN"/>
              </w:rPr>
              <w:t>个</w:t>
            </w:r>
          </w:p>
        </w:tc>
        <w:tc>
          <w:tcPr>
            <w:tcW w:w="3396" w:type="dxa"/>
            <w:gridSpan w:val="2"/>
            <w:noWrap w:val="0"/>
            <w:vAlign w:val="center"/>
          </w:tcPr>
          <w:p w14:paraId="36734E92">
            <w:pPr>
              <w:jc w:val="center"/>
              <w:rPr>
                <w:highlight w:val="none"/>
                <w:vertAlign w:val="baseline"/>
              </w:rPr>
            </w:pPr>
            <w:r>
              <w:rPr>
                <w:highlight w:val="none"/>
              </w:rPr>
              <w:drawing>
                <wp:inline distT="0" distB="0" distL="114300" distR="114300">
                  <wp:extent cx="1690370" cy="1886585"/>
                  <wp:effectExtent l="0" t="0" r="11430" b="571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5"/>
                          <a:stretch>
                            <a:fillRect/>
                          </a:stretch>
                        </pic:blipFill>
                        <pic:spPr>
                          <a:xfrm>
                            <a:off x="0" y="0"/>
                            <a:ext cx="1690370" cy="1886585"/>
                          </a:xfrm>
                          <a:prstGeom prst="rect">
                            <a:avLst/>
                          </a:prstGeom>
                          <a:noFill/>
                          <a:ln>
                            <a:noFill/>
                          </a:ln>
                        </pic:spPr>
                      </pic:pic>
                    </a:graphicData>
                  </a:graphic>
                </wp:inline>
              </w:drawing>
            </w:r>
          </w:p>
        </w:tc>
        <w:tc>
          <w:tcPr>
            <w:tcW w:w="710" w:type="dxa"/>
            <w:gridSpan w:val="2"/>
            <w:noWrap w:val="0"/>
            <w:vAlign w:val="center"/>
          </w:tcPr>
          <w:p w14:paraId="59F90923">
            <w:pPr>
              <w:jc w:val="both"/>
              <w:rPr>
                <w:highlight w:val="none"/>
                <w:vertAlign w:val="baseline"/>
              </w:rPr>
            </w:pPr>
          </w:p>
        </w:tc>
      </w:tr>
      <w:tr w14:paraId="1707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42807286">
            <w:pPr>
              <w:ind w:firstLine="210" w:firstLineChars="100"/>
              <w:jc w:val="both"/>
              <w:rPr>
                <w:rFonts w:hint="eastAsia" w:eastAsia="宋体"/>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018A2AD1">
            <w:pPr>
              <w:jc w:val="both"/>
              <w:rPr>
                <w:highlight w:val="none"/>
                <w:vertAlign w:val="baseline"/>
              </w:rPr>
            </w:pPr>
            <w:r>
              <w:rPr>
                <w:rFonts w:hint="eastAsia"/>
                <w:highlight w:val="none"/>
                <w:vertAlign w:val="baseline"/>
              </w:rPr>
              <w:t>一体化有源音箱</w:t>
            </w:r>
          </w:p>
        </w:tc>
        <w:tc>
          <w:tcPr>
            <w:tcW w:w="5928" w:type="dxa"/>
            <w:noWrap w:val="0"/>
            <w:vAlign w:val="center"/>
          </w:tcPr>
          <w:p w14:paraId="17F9A63A">
            <w:pPr>
              <w:jc w:val="left"/>
              <w:rPr>
                <w:rFonts w:hint="eastAsia"/>
                <w:highlight w:val="none"/>
                <w:vertAlign w:val="baseline"/>
              </w:rPr>
            </w:pPr>
            <w:r>
              <w:rPr>
                <w:rFonts w:hint="eastAsia"/>
                <w:highlight w:val="none"/>
                <w:vertAlign w:val="baseline"/>
              </w:rPr>
              <w:t>1.采用功放与有源音箱一体化设计，内置麦克风无线接收模块，帮助教师实现多媒体扩音以及本地扩声功能。</w:t>
            </w:r>
          </w:p>
          <w:p w14:paraId="2A10E5A3">
            <w:pPr>
              <w:jc w:val="left"/>
              <w:rPr>
                <w:rFonts w:hint="eastAsia"/>
                <w:highlight w:val="none"/>
                <w:vertAlign w:val="baseline"/>
              </w:rPr>
            </w:pPr>
            <w:r>
              <w:rPr>
                <w:rFonts w:hint="eastAsia"/>
                <w:highlight w:val="none"/>
                <w:vertAlign w:val="baseline"/>
              </w:rPr>
              <w:t>2.输出额定功率≥ 2x15W。</w:t>
            </w:r>
          </w:p>
          <w:p w14:paraId="6CF3CE79">
            <w:pPr>
              <w:jc w:val="left"/>
              <w:rPr>
                <w:rFonts w:hint="eastAsia"/>
                <w:highlight w:val="none"/>
                <w:vertAlign w:val="baseline"/>
              </w:rPr>
            </w:pPr>
            <w:r>
              <w:rPr>
                <w:rFonts w:hint="eastAsia"/>
                <w:highlight w:val="none"/>
                <w:vertAlign w:val="baseline"/>
              </w:rPr>
              <w:t>3.音箱灵敏度≥85dB，1W/1M。</w:t>
            </w:r>
          </w:p>
          <w:p w14:paraId="024AA3EE">
            <w:pPr>
              <w:jc w:val="left"/>
              <w:rPr>
                <w:rFonts w:hint="eastAsia"/>
                <w:highlight w:val="none"/>
                <w:vertAlign w:val="baseline"/>
              </w:rPr>
            </w:pPr>
            <w:r>
              <w:rPr>
                <w:rFonts w:hint="eastAsia"/>
                <w:highlight w:val="none"/>
                <w:vertAlign w:val="baseline"/>
              </w:rPr>
              <w:t>4.信噪比≥80dB@额定功率、A计权。</w:t>
            </w:r>
          </w:p>
          <w:p w14:paraId="55999A9D">
            <w:pPr>
              <w:jc w:val="left"/>
              <w:rPr>
                <w:rFonts w:hint="eastAsia"/>
                <w:highlight w:val="none"/>
                <w:vertAlign w:val="baseline"/>
              </w:rPr>
            </w:pPr>
            <w:r>
              <w:rPr>
                <w:rFonts w:hint="eastAsia"/>
                <w:highlight w:val="none"/>
                <w:vertAlign w:val="baseline"/>
              </w:rPr>
              <w:t>5.全频喇叭单元尺寸≥5英寸。</w:t>
            </w:r>
          </w:p>
          <w:p w14:paraId="1CA70A37">
            <w:pPr>
              <w:jc w:val="left"/>
              <w:rPr>
                <w:rFonts w:hint="eastAsia"/>
                <w:highlight w:val="none"/>
                <w:vertAlign w:val="baseline"/>
              </w:rPr>
            </w:pPr>
            <w:r>
              <w:rPr>
                <w:rFonts w:hint="eastAsia"/>
                <w:highlight w:val="none"/>
                <w:vertAlign w:val="baseline"/>
              </w:rPr>
              <w:t>6.THD+N≤1%。</w:t>
            </w:r>
          </w:p>
          <w:p w14:paraId="4862D559">
            <w:pPr>
              <w:jc w:val="left"/>
              <w:rPr>
                <w:rFonts w:hint="eastAsia"/>
                <w:highlight w:val="none"/>
                <w:vertAlign w:val="baseline"/>
              </w:rPr>
            </w:pPr>
            <w:r>
              <w:rPr>
                <w:rFonts w:hint="eastAsia"/>
                <w:highlight w:val="none"/>
                <w:vertAlign w:val="baseline"/>
              </w:rPr>
              <w:t>7.声频响110Hz-16kHz。</w:t>
            </w:r>
          </w:p>
          <w:p w14:paraId="16F3BC63">
            <w:pPr>
              <w:jc w:val="left"/>
              <w:rPr>
                <w:rFonts w:hint="eastAsia"/>
                <w:highlight w:val="none"/>
                <w:vertAlign w:val="baseline"/>
              </w:rPr>
            </w:pPr>
            <w:r>
              <w:rPr>
                <w:rFonts w:hint="eastAsia"/>
                <w:highlight w:val="none"/>
                <w:vertAlign w:val="baseline"/>
              </w:rPr>
              <w:t>8.距离音箱10米处声压级≥75dB。</w:t>
            </w:r>
          </w:p>
          <w:p w14:paraId="0BACB141">
            <w:pPr>
              <w:jc w:val="left"/>
              <w:rPr>
                <w:rFonts w:hint="eastAsia"/>
                <w:highlight w:val="none"/>
                <w:vertAlign w:val="baseline"/>
              </w:rPr>
            </w:pPr>
            <w:r>
              <w:rPr>
                <w:rFonts w:hint="eastAsia"/>
                <w:highlight w:val="none"/>
                <w:vertAlign w:val="baseline"/>
              </w:rPr>
              <w:t>9.具备≥1路电源开关、1路LINE IN、1路USB 接口。USB接口可外接U盘设备对音箱固件进行升级。</w:t>
            </w:r>
          </w:p>
          <w:p w14:paraId="17BEC2A3">
            <w:pPr>
              <w:jc w:val="left"/>
              <w:rPr>
                <w:rFonts w:hint="eastAsia"/>
                <w:highlight w:val="none"/>
                <w:vertAlign w:val="baseline"/>
              </w:rPr>
            </w:pPr>
            <w:r>
              <w:rPr>
                <w:rFonts w:hint="eastAsia"/>
                <w:highlight w:val="none"/>
                <w:vertAlign w:val="baseline"/>
              </w:rPr>
              <w:t>10.支持无线麦克风扩音接收，采用Wi-Fi射频2.4GHz与 5GHz双频段传输，有效避免环境中运营商U段（700MHz）的信号干扰。</w:t>
            </w:r>
          </w:p>
          <w:p w14:paraId="0442AF29">
            <w:pPr>
              <w:jc w:val="left"/>
              <w:rPr>
                <w:rFonts w:hint="eastAsia"/>
                <w:highlight w:val="none"/>
                <w:vertAlign w:val="baseline"/>
              </w:rPr>
            </w:pPr>
            <w:r>
              <w:rPr>
                <w:rFonts w:hint="eastAsia"/>
                <w:highlight w:val="none"/>
                <w:vertAlign w:val="baseline"/>
              </w:rPr>
              <w:t>11.采用红外对码方式，避免连接到其他教室音箱。可快速完成与教学扩声麦克风对码，无需繁琐操作。</w:t>
            </w:r>
          </w:p>
          <w:p w14:paraId="6414F2B3">
            <w:pPr>
              <w:jc w:val="left"/>
              <w:rPr>
                <w:rFonts w:hint="eastAsia"/>
                <w:highlight w:val="none"/>
                <w:vertAlign w:val="baseline"/>
              </w:rPr>
            </w:pPr>
            <w:r>
              <w:rPr>
                <w:rFonts w:hint="eastAsia"/>
                <w:highlight w:val="none"/>
                <w:vertAlign w:val="baseline"/>
              </w:rPr>
              <w:t>12.配置独立音频数字信号处理芯片，支持啸叫抑制功能。</w:t>
            </w:r>
          </w:p>
          <w:p w14:paraId="00E1D762">
            <w:pPr>
              <w:jc w:val="left"/>
              <w:rPr>
                <w:rFonts w:hint="eastAsia"/>
                <w:highlight w:val="none"/>
                <w:vertAlign w:val="baseline"/>
              </w:rPr>
            </w:pPr>
            <w:r>
              <w:rPr>
                <w:rFonts w:hint="eastAsia"/>
                <w:highlight w:val="none"/>
                <w:vertAlign w:val="baseline"/>
              </w:rPr>
              <w:t>13.支持蓝牙无线接收，可分享移动设备上的音频。支持密码模式，防止学生连接。</w:t>
            </w:r>
          </w:p>
          <w:p w14:paraId="62FF3FAC">
            <w:pPr>
              <w:jc w:val="left"/>
              <w:rPr>
                <w:rFonts w:hint="eastAsia"/>
                <w:highlight w:val="none"/>
                <w:vertAlign w:val="baseline"/>
              </w:rPr>
            </w:pPr>
            <w:r>
              <w:rPr>
                <w:rFonts w:hint="eastAsia"/>
                <w:highlight w:val="none"/>
                <w:vertAlign w:val="baseline"/>
              </w:rPr>
              <w:t>14.支持安卓手机通过蓝牙无线连接音箱，实现控制有源音箱的音量、设置蓝牙名称、设置蓝牙密码等功能，方便教师对音箱的管控。</w:t>
            </w:r>
          </w:p>
          <w:p w14:paraId="08A4D7AD">
            <w:pPr>
              <w:jc w:val="left"/>
              <w:rPr>
                <w:rFonts w:hint="eastAsia"/>
                <w:highlight w:val="none"/>
                <w:vertAlign w:val="baseline"/>
              </w:rPr>
            </w:pPr>
            <w:r>
              <w:rPr>
                <w:rFonts w:hint="eastAsia"/>
                <w:highlight w:val="none"/>
                <w:vertAlign w:val="baseline"/>
              </w:rPr>
              <w:t>15.支持交互智能平板显示设备通过蓝牙无线连接音箱，实现控制有源音箱的音量的功能。</w:t>
            </w:r>
          </w:p>
          <w:p w14:paraId="5D88F282">
            <w:pPr>
              <w:jc w:val="left"/>
              <w:rPr>
                <w:rFonts w:hint="eastAsia"/>
                <w:highlight w:val="none"/>
                <w:vertAlign w:val="baseline"/>
              </w:rPr>
            </w:pPr>
            <w:r>
              <w:rPr>
                <w:rFonts w:hint="eastAsia"/>
                <w:highlight w:val="none"/>
                <w:vertAlign w:val="baseline"/>
              </w:rPr>
              <w:t>16.主音箱与副音箱采用有线连接，保证声音还原度。</w:t>
            </w:r>
          </w:p>
          <w:p w14:paraId="67EDA4A2">
            <w:pPr>
              <w:jc w:val="left"/>
              <w:rPr>
                <w:highlight w:val="none"/>
                <w:vertAlign w:val="baseline"/>
              </w:rPr>
            </w:pPr>
            <w:r>
              <w:rPr>
                <w:rFonts w:hint="eastAsia"/>
                <w:highlight w:val="none"/>
                <w:vertAlign w:val="baseline"/>
              </w:rPr>
              <w:t>17.为确保与教室白色墙面一致，音箱采取白色外观设计，更加美观。</w:t>
            </w:r>
          </w:p>
        </w:tc>
        <w:tc>
          <w:tcPr>
            <w:tcW w:w="736" w:type="dxa"/>
            <w:noWrap w:val="0"/>
            <w:vAlign w:val="center"/>
          </w:tcPr>
          <w:p w14:paraId="0FC50587">
            <w:pPr>
              <w:jc w:val="center"/>
              <w:rPr>
                <w:rFonts w:hint="eastAsia" w:eastAsia="宋体"/>
                <w:highlight w:val="none"/>
                <w:vertAlign w:val="baseline"/>
                <w:lang w:val="en-US" w:eastAsia="zh-CN"/>
              </w:rPr>
            </w:pPr>
            <w:r>
              <w:rPr>
                <w:rFonts w:hint="eastAsia"/>
                <w:highlight w:val="none"/>
                <w:vertAlign w:val="baseline"/>
                <w:lang w:val="en-US" w:eastAsia="zh-CN"/>
              </w:rPr>
              <w:t>1</w:t>
            </w:r>
          </w:p>
        </w:tc>
        <w:tc>
          <w:tcPr>
            <w:tcW w:w="834" w:type="dxa"/>
            <w:noWrap w:val="0"/>
            <w:vAlign w:val="center"/>
          </w:tcPr>
          <w:p w14:paraId="1A42CCE3">
            <w:pPr>
              <w:jc w:val="center"/>
              <w:rPr>
                <w:rFonts w:hint="eastAsia" w:eastAsia="宋体"/>
                <w:highlight w:val="none"/>
                <w:vertAlign w:val="baseline"/>
                <w:lang w:val="en-US" w:eastAsia="zh-CN"/>
              </w:rPr>
            </w:pPr>
            <w:r>
              <w:rPr>
                <w:rFonts w:hint="eastAsia"/>
                <w:highlight w:val="none"/>
                <w:vertAlign w:val="baseline"/>
                <w:lang w:val="en-US" w:eastAsia="zh-CN"/>
              </w:rPr>
              <w:t>对</w:t>
            </w:r>
          </w:p>
        </w:tc>
        <w:tc>
          <w:tcPr>
            <w:tcW w:w="3396" w:type="dxa"/>
            <w:gridSpan w:val="2"/>
            <w:noWrap w:val="0"/>
            <w:vAlign w:val="center"/>
          </w:tcPr>
          <w:p w14:paraId="0E191BE6">
            <w:pPr>
              <w:jc w:val="center"/>
              <w:rPr>
                <w:highlight w:val="none"/>
                <w:vertAlign w:val="baseline"/>
              </w:rPr>
            </w:pPr>
            <w:r>
              <w:rPr>
                <w:highlight w:val="none"/>
              </w:rPr>
              <w:drawing>
                <wp:inline distT="0" distB="0" distL="114300" distR="114300">
                  <wp:extent cx="1558290" cy="1724025"/>
                  <wp:effectExtent l="0" t="0" r="3810" b="317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6"/>
                          <a:srcRect l="18063" t="10515" r="9288" b="10626"/>
                          <a:stretch>
                            <a:fillRect/>
                          </a:stretch>
                        </pic:blipFill>
                        <pic:spPr>
                          <a:xfrm>
                            <a:off x="0" y="0"/>
                            <a:ext cx="1558290" cy="1724025"/>
                          </a:xfrm>
                          <a:prstGeom prst="rect">
                            <a:avLst/>
                          </a:prstGeom>
                          <a:noFill/>
                          <a:ln>
                            <a:noFill/>
                          </a:ln>
                        </pic:spPr>
                      </pic:pic>
                    </a:graphicData>
                  </a:graphic>
                </wp:inline>
              </w:drawing>
            </w:r>
          </w:p>
        </w:tc>
        <w:tc>
          <w:tcPr>
            <w:tcW w:w="710" w:type="dxa"/>
            <w:gridSpan w:val="2"/>
            <w:noWrap w:val="0"/>
            <w:vAlign w:val="center"/>
          </w:tcPr>
          <w:p w14:paraId="52A611BD">
            <w:pPr>
              <w:jc w:val="both"/>
              <w:rPr>
                <w:highlight w:val="none"/>
                <w:vertAlign w:val="baseline"/>
              </w:rPr>
            </w:pPr>
          </w:p>
        </w:tc>
      </w:tr>
      <w:tr w14:paraId="03F2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92C8240">
            <w:pPr>
              <w:jc w:val="center"/>
              <w:rPr>
                <w:rFonts w:hint="eastAsia" w:eastAsia="宋体"/>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08CB9B4A">
            <w:pPr>
              <w:jc w:val="center"/>
              <w:rPr>
                <w:highlight w:val="none"/>
                <w:vertAlign w:val="baseline"/>
              </w:rPr>
            </w:pPr>
            <w:r>
              <w:rPr>
                <w:rFonts w:hint="eastAsia"/>
                <w:highlight w:val="none"/>
                <w:vertAlign w:val="baseline"/>
              </w:rPr>
              <w:t>智能翻页笔</w:t>
            </w:r>
          </w:p>
        </w:tc>
        <w:tc>
          <w:tcPr>
            <w:tcW w:w="5928" w:type="dxa"/>
            <w:noWrap w:val="0"/>
            <w:vAlign w:val="center"/>
          </w:tcPr>
          <w:p w14:paraId="771A2071">
            <w:pPr>
              <w:jc w:val="left"/>
              <w:rPr>
                <w:rFonts w:hint="eastAsia"/>
                <w:highlight w:val="none"/>
                <w:vertAlign w:val="baseline"/>
              </w:rPr>
            </w:pPr>
            <w:r>
              <w:rPr>
                <w:rFonts w:hint="eastAsia"/>
                <w:highlight w:val="none"/>
                <w:vertAlign w:val="baseline"/>
              </w:rPr>
              <w:t>1.笔身造型采用圆润一体化笔型设计，表面采用手感漆工艺便于握持；笔身长度≤17cm,笔身直径≤13mm，笔身重量≤18g。</w:t>
            </w:r>
          </w:p>
          <w:p w14:paraId="7257F6C2">
            <w:pPr>
              <w:jc w:val="left"/>
              <w:rPr>
                <w:rFonts w:hint="eastAsia"/>
                <w:highlight w:val="none"/>
                <w:vertAlign w:val="baseline"/>
              </w:rPr>
            </w:pPr>
            <w:r>
              <w:rPr>
                <w:rFonts w:hint="eastAsia"/>
                <w:highlight w:val="none"/>
                <w:vertAlign w:val="baseline"/>
              </w:rPr>
              <w:t>2.笔身配置不少于五个按键，具备上下翻页，智能语音，远程聚光灯/放大，书写颜色切换，兼顾触摸书写以及远程操控的握持姿态；</w:t>
            </w:r>
          </w:p>
          <w:p w14:paraId="3C962DFC">
            <w:pPr>
              <w:jc w:val="left"/>
              <w:rPr>
                <w:rFonts w:hint="eastAsia"/>
                <w:highlight w:val="none"/>
                <w:vertAlign w:val="baseline"/>
              </w:rPr>
            </w:pPr>
            <w:r>
              <w:rPr>
                <w:rFonts w:hint="eastAsia"/>
                <w:highlight w:val="none"/>
                <w:vertAlign w:val="baseline"/>
              </w:rPr>
              <w:t>3.采用锥型笔尖设计，直径≤3mm；同时支持电容，红外触控设备书写，书写最小精度2mm；</w:t>
            </w:r>
          </w:p>
          <w:p w14:paraId="2D8043DE">
            <w:pPr>
              <w:jc w:val="left"/>
              <w:rPr>
                <w:rFonts w:hint="eastAsia"/>
                <w:highlight w:val="none"/>
                <w:vertAlign w:val="baseline"/>
              </w:rPr>
            </w:pPr>
            <w:r>
              <w:rPr>
                <w:rFonts w:hint="eastAsia"/>
                <w:highlight w:val="none"/>
                <w:vertAlign w:val="baseline"/>
              </w:rPr>
              <w:t>4.连续书写距离不小于7km；</w:t>
            </w:r>
          </w:p>
          <w:p w14:paraId="153F586C">
            <w:pPr>
              <w:jc w:val="left"/>
              <w:rPr>
                <w:rFonts w:hint="eastAsia"/>
                <w:highlight w:val="none"/>
                <w:vertAlign w:val="baseline"/>
              </w:rPr>
            </w:pPr>
            <w:r>
              <w:rPr>
                <w:rFonts w:hint="eastAsia"/>
                <w:highlight w:val="none"/>
                <w:vertAlign w:val="baseline"/>
              </w:rPr>
              <w:t>5.短按上下翻页按键，可实现白板软件/ppt/pdf等文档上下翻页；长按上下翻页按键3s，可实现ppt播放/退出；</w:t>
            </w:r>
          </w:p>
          <w:p w14:paraId="08F293CE">
            <w:pPr>
              <w:jc w:val="left"/>
              <w:rPr>
                <w:rFonts w:hint="eastAsia"/>
                <w:highlight w:val="none"/>
                <w:vertAlign w:val="baseline"/>
              </w:rPr>
            </w:pPr>
            <w:r>
              <w:rPr>
                <w:rFonts w:hint="eastAsia"/>
                <w:highlight w:val="none"/>
                <w:vertAlign w:val="baseline"/>
              </w:rPr>
              <w:t>6.多功能按键：a.短按多功能按键，可实现播放/暂停音视频或flash；b.双击此按键，可实现空鼠/放大镜/聚光灯等功能切换，切换顺序空鼠&gt;放大镜&gt;聚光灯；c.长按此按键即可实现对应功能(空鼠/放大镜/聚光灯)；</w:t>
            </w:r>
          </w:p>
          <w:p w14:paraId="0EA77AE2">
            <w:pPr>
              <w:jc w:val="left"/>
              <w:rPr>
                <w:rFonts w:hint="eastAsia"/>
                <w:highlight w:val="none"/>
                <w:vertAlign w:val="baseline"/>
              </w:rPr>
            </w:pPr>
            <w:r>
              <w:rPr>
                <w:rFonts w:hint="eastAsia"/>
                <w:highlight w:val="none"/>
                <w:vertAlign w:val="baseline"/>
              </w:rPr>
              <w:t>7.语音：内置麦克风，支持按键唤醒语音识别功能，避免杂音造成误唤醒；</w:t>
            </w:r>
          </w:p>
          <w:p w14:paraId="5B0EE2F9">
            <w:pPr>
              <w:jc w:val="left"/>
              <w:rPr>
                <w:rFonts w:hint="eastAsia"/>
                <w:highlight w:val="none"/>
                <w:vertAlign w:val="baseline"/>
              </w:rPr>
            </w:pPr>
            <w:r>
              <w:rPr>
                <w:rFonts w:hint="eastAsia"/>
                <w:highlight w:val="none"/>
                <w:vertAlign w:val="baseline"/>
              </w:rPr>
              <w:t>8.支持唤醒语音识别时，可直接通过语音打开已安装的应用，可直接通过语音调用网络搜索引擎搜索查询相应资料，可进行语音转写输入，支持语音控制屏幕黑屏、亮屏，音量大小调整，返回桌面，截屏，关机等操作。</w:t>
            </w:r>
          </w:p>
          <w:p w14:paraId="7C57B6AF">
            <w:pPr>
              <w:jc w:val="left"/>
              <w:rPr>
                <w:rFonts w:hint="eastAsia"/>
                <w:highlight w:val="none"/>
                <w:vertAlign w:val="baseline"/>
              </w:rPr>
            </w:pPr>
            <w:r>
              <w:rPr>
                <w:rFonts w:hint="eastAsia"/>
                <w:highlight w:val="none"/>
                <w:vertAlign w:val="baseline"/>
              </w:rPr>
              <w:t>9.支持白板软件内，通过语音控制：切换书写、擦除、选择模式，最小化返回桌面，打开板中板，清空书写批注等操作；</w:t>
            </w:r>
          </w:p>
          <w:p w14:paraId="01803695">
            <w:pPr>
              <w:jc w:val="left"/>
              <w:rPr>
                <w:rFonts w:hint="eastAsia"/>
                <w:highlight w:val="none"/>
                <w:vertAlign w:val="baseline"/>
              </w:rPr>
            </w:pPr>
            <w:r>
              <w:rPr>
                <w:rFonts w:hint="eastAsia"/>
                <w:highlight w:val="none"/>
                <w:vertAlign w:val="baseline"/>
              </w:rPr>
              <w:t>10.支持按键调起批注功能，可通过按键实现批注颜色切换，长按按键可实现橡皮擦功能。</w:t>
            </w:r>
          </w:p>
          <w:p w14:paraId="42AAA4FE">
            <w:pPr>
              <w:jc w:val="left"/>
              <w:rPr>
                <w:rFonts w:hint="eastAsia"/>
                <w:highlight w:val="none"/>
                <w:vertAlign w:val="baseline"/>
              </w:rPr>
            </w:pPr>
            <w:r>
              <w:rPr>
                <w:rFonts w:hint="eastAsia"/>
                <w:highlight w:val="none"/>
                <w:vertAlign w:val="baseline"/>
              </w:rPr>
              <w:t>11.为保障用户在不同场景使用智能笔，支持无线dongle及蓝牙两种连接方式，支持蓝牙5.1协议；</w:t>
            </w:r>
          </w:p>
          <w:p w14:paraId="684615D3">
            <w:pPr>
              <w:jc w:val="left"/>
              <w:rPr>
                <w:rFonts w:hint="eastAsia"/>
                <w:highlight w:val="none"/>
                <w:vertAlign w:val="baseline"/>
              </w:rPr>
            </w:pPr>
            <w:r>
              <w:rPr>
                <w:rFonts w:hint="eastAsia"/>
                <w:highlight w:val="none"/>
                <w:vertAlign w:val="baseline"/>
              </w:rPr>
              <w:t>12.无线dongle&amp;蓝牙连接距离≥12m，上下翻页/语音控制/远程批注实现距离≥12m，覆盖标准教室；</w:t>
            </w:r>
          </w:p>
          <w:p w14:paraId="55926D7A">
            <w:pPr>
              <w:jc w:val="left"/>
              <w:rPr>
                <w:rFonts w:hint="eastAsia"/>
                <w:highlight w:val="none"/>
                <w:vertAlign w:val="baseline"/>
              </w:rPr>
            </w:pPr>
            <w:r>
              <w:rPr>
                <w:rFonts w:hint="eastAsia"/>
                <w:highlight w:val="none"/>
                <w:vertAlign w:val="baseline"/>
              </w:rPr>
              <w:t>13.内置锂电池，支持type-c充电，待机时间≥60h，连续书写时间≥8h，从无电到满电的充电时长≤1小时；</w:t>
            </w:r>
          </w:p>
          <w:p w14:paraId="72FA6861">
            <w:pPr>
              <w:jc w:val="left"/>
              <w:rPr>
                <w:highlight w:val="none"/>
                <w:vertAlign w:val="baseline"/>
              </w:rPr>
            </w:pPr>
            <w:r>
              <w:rPr>
                <w:rFonts w:hint="eastAsia"/>
                <w:highlight w:val="none"/>
                <w:vertAlign w:val="baseline"/>
              </w:rPr>
              <w:t>支持智能休眠节电，当设备&gt;5min无人操作时，设备自动进入休眠节电模式；</w:t>
            </w:r>
          </w:p>
        </w:tc>
        <w:tc>
          <w:tcPr>
            <w:tcW w:w="736" w:type="dxa"/>
            <w:noWrap w:val="0"/>
            <w:vAlign w:val="center"/>
          </w:tcPr>
          <w:p w14:paraId="7DF772C2">
            <w:pPr>
              <w:jc w:val="center"/>
              <w:rPr>
                <w:rFonts w:hint="eastAsia" w:eastAsia="宋体"/>
                <w:highlight w:val="none"/>
                <w:vertAlign w:val="baseline"/>
                <w:lang w:val="en-US" w:eastAsia="zh-CN"/>
              </w:rPr>
            </w:pPr>
            <w:r>
              <w:rPr>
                <w:rFonts w:hint="eastAsia"/>
                <w:highlight w:val="none"/>
                <w:vertAlign w:val="baseline"/>
                <w:lang w:val="en-US" w:eastAsia="zh-CN"/>
              </w:rPr>
              <w:t>1</w:t>
            </w:r>
          </w:p>
        </w:tc>
        <w:tc>
          <w:tcPr>
            <w:tcW w:w="834" w:type="dxa"/>
            <w:noWrap w:val="0"/>
            <w:vAlign w:val="center"/>
          </w:tcPr>
          <w:p w14:paraId="55E814CD">
            <w:pPr>
              <w:jc w:val="center"/>
              <w:rPr>
                <w:rFonts w:hint="eastAsia" w:eastAsia="宋体"/>
                <w:highlight w:val="none"/>
                <w:vertAlign w:val="baseline"/>
                <w:lang w:val="en-US" w:eastAsia="zh-CN"/>
              </w:rPr>
            </w:pPr>
            <w:r>
              <w:rPr>
                <w:rFonts w:hint="eastAsia"/>
                <w:highlight w:val="none"/>
                <w:vertAlign w:val="baseline"/>
                <w:lang w:val="en-US" w:eastAsia="zh-CN"/>
              </w:rPr>
              <w:t>支</w:t>
            </w:r>
          </w:p>
        </w:tc>
        <w:tc>
          <w:tcPr>
            <w:tcW w:w="3396" w:type="dxa"/>
            <w:gridSpan w:val="2"/>
            <w:noWrap w:val="0"/>
            <w:vAlign w:val="center"/>
          </w:tcPr>
          <w:p w14:paraId="275193D8">
            <w:pPr>
              <w:jc w:val="center"/>
              <w:rPr>
                <w:highlight w:val="none"/>
                <w:vertAlign w:val="baseline"/>
              </w:rPr>
            </w:pPr>
            <w:r>
              <w:rPr>
                <w:highlight w:val="none"/>
              </w:rPr>
              <w:drawing>
                <wp:inline distT="0" distB="0" distL="114300" distR="114300">
                  <wp:extent cx="664845" cy="1808480"/>
                  <wp:effectExtent l="0" t="0" r="762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7"/>
                          <a:stretch>
                            <a:fillRect/>
                          </a:stretch>
                        </pic:blipFill>
                        <pic:spPr>
                          <a:xfrm rot="-5400000">
                            <a:off x="0" y="0"/>
                            <a:ext cx="664845" cy="1808480"/>
                          </a:xfrm>
                          <a:prstGeom prst="rect">
                            <a:avLst/>
                          </a:prstGeom>
                          <a:noFill/>
                          <a:ln>
                            <a:noFill/>
                          </a:ln>
                        </pic:spPr>
                      </pic:pic>
                    </a:graphicData>
                  </a:graphic>
                </wp:inline>
              </w:drawing>
            </w:r>
          </w:p>
        </w:tc>
        <w:tc>
          <w:tcPr>
            <w:tcW w:w="710" w:type="dxa"/>
            <w:gridSpan w:val="2"/>
            <w:noWrap w:val="0"/>
            <w:vAlign w:val="center"/>
          </w:tcPr>
          <w:p w14:paraId="53F51546">
            <w:pPr>
              <w:jc w:val="both"/>
              <w:rPr>
                <w:highlight w:val="none"/>
                <w:vertAlign w:val="baseline"/>
              </w:rPr>
            </w:pPr>
          </w:p>
        </w:tc>
      </w:tr>
      <w:tr w14:paraId="3677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DA0938">
            <w:pPr>
              <w:jc w:val="center"/>
              <w:rPr>
                <w:rFonts w:hint="eastAsia" w:eastAsia="宋体"/>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79B21C17">
            <w:pPr>
              <w:jc w:val="center"/>
              <w:rPr>
                <w:highlight w:val="none"/>
                <w:vertAlign w:val="baseline"/>
              </w:rPr>
            </w:pPr>
            <w:r>
              <w:rPr>
                <w:rFonts w:hint="eastAsia"/>
                <w:highlight w:val="none"/>
                <w:vertAlign w:val="baseline"/>
              </w:rPr>
              <w:t>多媒体设备集中管理控制系统</w:t>
            </w:r>
          </w:p>
        </w:tc>
        <w:tc>
          <w:tcPr>
            <w:tcW w:w="5928" w:type="dxa"/>
            <w:noWrap w:val="0"/>
            <w:vAlign w:val="center"/>
          </w:tcPr>
          <w:p w14:paraId="27D9EB44">
            <w:pPr>
              <w:jc w:val="left"/>
              <w:rPr>
                <w:rFonts w:hint="eastAsia"/>
                <w:highlight w:val="none"/>
                <w:vertAlign w:val="baseline"/>
              </w:rPr>
            </w:pPr>
            <w:r>
              <w:rPr>
                <w:rFonts w:hint="eastAsia"/>
                <w:highlight w:val="none"/>
                <w:vertAlign w:val="baseline"/>
              </w:rPr>
              <w:t>一、整体设计</w:t>
            </w:r>
          </w:p>
          <w:p w14:paraId="131F11C6">
            <w:pPr>
              <w:jc w:val="left"/>
              <w:rPr>
                <w:rFonts w:hint="eastAsia"/>
                <w:highlight w:val="none"/>
                <w:vertAlign w:val="baseline"/>
              </w:rPr>
            </w:pPr>
            <w:r>
              <w:rPr>
                <w:rFonts w:hint="eastAsia"/>
                <w:highlight w:val="none"/>
                <w:vertAlign w:val="baseline"/>
              </w:rPr>
              <w:t>1、管理平台采用B/S混合云架构设计，无需本地额外部署服务器等设备，即可支持对教学信息化设备运行数据的监测。</w:t>
            </w:r>
          </w:p>
          <w:p w14:paraId="288A02B4">
            <w:pPr>
              <w:jc w:val="left"/>
              <w:rPr>
                <w:rFonts w:hint="eastAsia"/>
                <w:highlight w:val="none"/>
                <w:vertAlign w:val="baseline"/>
              </w:rPr>
            </w:pPr>
            <w:r>
              <w:rPr>
                <w:rFonts w:hint="eastAsia"/>
                <w:highlight w:val="none"/>
                <w:vertAlign w:val="baseline"/>
              </w:rPr>
              <w:t>2、支持在Windows、Linux、Android、IOS等多种操作系统通过网页浏览器登陆操作，提供多种智能身份识别方式：支持通过账号登录、手机扫码登录等方式。</w:t>
            </w:r>
          </w:p>
          <w:p w14:paraId="7E1A399A">
            <w:pPr>
              <w:jc w:val="left"/>
              <w:rPr>
                <w:rFonts w:hint="eastAsia"/>
                <w:highlight w:val="none"/>
                <w:vertAlign w:val="baseline"/>
              </w:rPr>
            </w:pPr>
            <w:r>
              <w:rPr>
                <w:rFonts w:hint="eastAsia"/>
                <w:highlight w:val="none"/>
                <w:vertAlign w:val="baseline"/>
              </w:rPr>
              <w:t>3、管理平台提供管理员移动管理平台，免安装并支持Android、IOS等多种移动操作系统，便于远程管理及告警信息通知。</w:t>
            </w:r>
          </w:p>
          <w:p w14:paraId="1F5C3108">
            <w:pPr>
              <w:jc w:val="left"/>
              <w:rPr>
                <w:rFonts w:hint="eastAsia"/>
                <w:highlight w:val="none"/>
                <w:vertAlign w:val="baseline"/>
              </w:rPr>
            </w:pPr>
            <w:r>
              <w:rPr>
                <w:rFonts w:hint="eastAsia"/>
                <w:highlight w:val="none"/>
                <w:vertAlign w:val="baseline"/>
              </w:rPr>
              <w:t>二、智能教学设备管理</w:t>
            </w:r>
          </w:p>
          <w:p w14:paraId="2BE6DEA2">
            <w:pPr>
              <w:jc w:val="left"/>
              <w:rPr>
                <w:rFonts w:hint="eastAsia"/>
                <w:highlight w:val="none"/>
                <w:vertAlign w:val="baseline"/>
              </w:rPr>
            </w:pPr>
            <w:r>
              <w:rPr>
                <w:rFonts w:hint="eastAsia"/>
                <w:highlight w:val="none"/>
                <w:vertAlign w:val="baseline"/>
              </w:rPr>
              <w:t>1、管理平台为学校提供专属识别代码，可支持交互智能设备在广域网环境下，输入专属代码接入管理平台即可在通过管理平台可开启或关闭指定交互智能设备的任意磁盘分区数据还原（冰点）保护。</w:t>
            </w:r>
          </w:p>
          <w:p w14:paraId="278747ED">
            <w:pPr>
              <w:jc w:val="left"/>
              <w:rPr>
                <w:rFonts w:hint="eastAsia"/>
                <w:highlight w:val="none"/>
                <w:vertAlign w:val="baseline"/>
              </w:rPr>
            </w:pPr>
            <w:r>
              <w:rPr>
                <w:rFonts w:hint="eastAsia"/>
                <w:highlight w:val="none"/>
                <w:vertAlign w:val="baseline"/>
              </w:rPr>
              <w:t>2、管理平台实时监控已连接的交互智能设备状态，支持多台设备的略缩预览和单设备全屏查看；可远程监控交互智能设备开关机状态、CPU温度、CPU使用率、硬盘空间、硬盘已使用状况、内存容量、内存使用率、管理软件版本、设备ID。</w:t>
            </w:r>
          </w:p>
          <w:p w14:paraId="29CDD192">
            <w:pPr>
              <w:jc w:val="left"/>
              <w:rPr>
                <w:rFonts w:hint="eastAsia"/>
                <w:highlight w:val="none"/>
                <w:vertAlign w:val="baseline"/>
              </w:rPr>
            </w:pPr>
            <w:r>
              <w:rPr>
                <w:rFonts w:hint="eastAsia"/>
                <w:highlight w:val="none"/>
                <w:vertAlign w:val="baseline"/>
              </w:rPr>
              <w:t>3、支持不少于 10 台设备的略缩预览。</w:t>
            </w:r>
          </w:p>
          <w:p w14:paraId="7973D66A">
            <w:pPr>
              <w:jc w:val="left"/>
              <w:rPr>
                <w:rFonts w:hint="eastAsia"/>
                <w:highlight w:val="none"/>
                <w:vertAlign w:val="baseline"/>
              </w:rPr>
            </w:pPr>
            <w:r>
              <w:rPr>
                <w:rFonts w:hint="eastAsia"/>
                <w:highlight w:val="none"/>
                <w:vertAlign w:val="baseline"/>
              </w:rPr>
              <w:t>4、管理平台可对局域网内的交互智能终端进行远程实时控制，能够监控设备当前运行界面，并远程对设备操作界面进行控制。</w:t>
            </w:r>
          </w:p>
          <w:p w14:paraId="59FF4F80">
            <w:pPr>
              <w:jc w:val="left"/>
              <w:rPr>
                <w:rFonts w:hint="eastAsia"/>
                <w:highlight w:val="none"/>
                <w:vertAlign w:val="baseline"/>
              </w:rPr>
            </w:pPr>
            <w:r>
              <w:rPr>
                <w:rFonts w:hint="eastAsia"/>
                <w:highlight w:val="none"/>
                <w:vertAlign w:val="baseline"/>
              </w:rPr>
              <w:t>5、管理平台可控制连接广域网的交互智能设备整机关机、开机和重启；可批量设定智能设备开关机的执行时间，并支持自定义循环模式（循环操作、定时操作）。</w:t>
            </w:r>
          </w:p>
          <w:p w14:paraId="0921EA47">
            <w:pPr>
              <w:jc w:val="left"/>
              <w:rPr>
                <w:rFonts w:hint="eastAsia"/>
                <w:highlight w:val="none"/>
                <w:vertAlign w:val="baseline"/>
              </w:rPr>
            </w:pPr>
            <w:r>
              <w:rPr>
                <w:rFonts w:hint="eastAsia"/>
                <w:highlight w:val="none"/>
                <w:vertAlign w:val="baseline"/>
              </w:rPr>
              <w:t>6、管理平台可远程对选定的交互智能设备推送动态文字滚动公告，可对公告文字的颜色、粗体以及播放次数、推送时间进行设置。</w:t>
            </w:r>
          </w:p>
          <w:p w14:paraId="1FB45E9D">
            <w:pPr>
              <w:jc w:val="left"/>
              <w:rPr>
                <w:rFonts w:hint="eastAsia"/>
                <w:highlight w:val="none"/>
                <w:vertAlign w:val="baseline"/>
              </w:rPr>
            </w:pPr>
            <w:r>
              <w:rPr>
                <w:rFonts w:hint="eastAsia"/>
                <w:highlight w:val="none"/>
                <w:vertAlign w:val="baseline"/>
              </w:rPr>
              <w:t>7、管理平台可远程开启指定交互智能设备倒计日功能并设定倒计日截止日期。</w:t>
            </w:r>
          </w:p>
          <w:p w14:paraId="28999114">
            <w:pPr>
              <w:jc w:val="left"/>
              <w:rPr>
                <w:rFonts w:hint="eastAsia"/>
                <w:highlight w:val="none"/>
                <w:vertAlign w:val="baseline"/>
              </w:rPr>
            </w:pPr>
            <w:r>
              <w:rPr>
                <w:rFonts w:hint="eastAsia"/>
                <w:highlight w:val="none"/>
                <w:vertAlign w:val="baseline"/>
              </w:rPr>
              <w:t>8、管理平台提供巡课值守模式，自动轮循显示所有的交互智能设备使用界面。</w:t>
            </w:r>
          </w:p>
          <w:p w14:paraId="6162E9FF">
            <w:pPr>
              <w:jc w:val="left"/>
              <w:rPr>
                <w:rFonts w:hint="eastAsia"/>
                <w:highlight w:val="none"/>
                <w:vertAlign w:val="baseline"/>
              </w:rPr>
            </w:pPr>
            <w:r>
              <w:rPr>
                <w:rFonts w:hint="eastAsia"/>
                <w:highlight w:val="none"/>
                <w:vertAlign w:val="baseline"/>
              </w:rPr>
              <w:t>9、管理平台实时显示交互智能设备异常的告警提示，并同步将异常信息推送至管理员移动端工作平台。</w:t>
            </w:r>
          </w:p>
          <w:p w14:paraId="2196C3F0">
            <w:pPr>
              <w:jc w:val="left"/>
              <w:rPr>
                <w:rFonts w:hint="eastAsia"/>
                <w:highlight w:val="none"/>
                <w:vertAlign w:val="baseline"/>
              </w:rPr>
            </w:pPr>
            <w:r>
              <w:rPr>
                <w:rFonts w:hint="eastAsia"/>
                <w:highlight w:val="none"/>
                <w:vertAlign w:val="baseline"/>
              </w:rPr>
              <w:t>三、音视频直播功能</w:t>
            </w:r>
          </w:p>
          <w:p w14:paraId="06FC11BA">
            <w:pPr>
              <w:jc w:val="left"/>
              <w:rPr>
                <w:rFonts w:hint="eastAsia"/>
                <w:highlight w:val="none"/>
                <w:vertAlign w:val="baseline"/>
              </w:rPr>
            </w:pPr>
            <w:r>
              <w:rPr>
                <w:rFonts w:hint="eastAsia"/>
                <w:highlight w:val="none"/>
                <w:vertAlign w:val="baseline"/>
              </w:rPr>
              <w:t>1、常见直播时可自动检测当前设备直播环境，并友好提示用户部署环境</w:t>
            </w:r>
          </w:p>
          <w:p w14:paraId="08B7ACBF">
            <w:pPr>
              <w:jc w:val="left"/>
              <w:rPr>
                <w:rFonts w:hint="eastAsia"/>
                <w:highlight w:val="none"/>
                <w:vertAlign w:val="baseline"/>
              </w:rPr>
            </w:pPr>
            <w:r>
              <w:rPr>
                <w:rFonts w:hint="eastAsia"/>
                <w:highlight w:val="none"/>
                <w:vertAlign w:val="baseline"/>
              </w:rPr>
              <w:t>2、支持不少于6路直播源并行发起直播，提供不少于4种直播模式（桌面直播、桌面+视频直播、视频直播、音频直播）供选择。</w:t>
            </w:r>
          </w:p>
          <w:p w14:paraId="1BF37D52">
            <w:pPr>
              <w:jc w:val="left"/>
              <w:rPr>
                <w:rFonts w:hint="eastAsia"/>
                <w:highlight w:val="none"/>
                <w:vertAlign w:val="baseline"/>
              </w:rPr>
            </w:pPr>
            <w:r>
              <w:rPr>
                <w:rFonts w:hint="eastAsia"/>
                <w:highlight w:val="none"/>
                <w:vertAlign w:val="baseline"/>
              </w:rPr>
              <w:t>3、直播方可实时查看直播接收方场所的现场画面，实时了解直播情况。</w:t>
            </w:r>
          </w:p>
          <w:p w14:paraId="6EE9159D">
            <w:pPr>
              <w:jc w:val="left"/>
              <w:rPr>
                <w:rFonts w:hint="eastAsia"/>
                <w:highlight w:val="none"/>
                <w:vertAlign w:val="baseline"/>
              </w:rPr>
            </w:pPr>
            <w:r>
              <w:rPr>
                <w:rFonts w:hint="eastAsia"/>
                <w:highlight w:val="none"/>
                <w:vertAlign w:val="baseline"/>
              </w:rPr>
              <w:t>4、支持外接麦克风、摄像头进行直播，提供多种画质选择。</w:t>
            </w:r>
          </w:p>
          <w:p w14:paraId="73794355">
            <w:pPr>
              <w:jc w:val="left"/>
              <w:rPr>
                <w:rFonts w:hint="eastAsia"/>
                <w:highlight w:val="none"/>
                <w:vertAlign w:val="baseline"/>
              </w:rPr>
            </w:pPr>
            <w:r>
              <w:rPr>
                <w:rFonts w:hint="eastAsia"/>
                <w:highlight w:val="none"/>
                <w:vertAlign w:val="baseline"/>
              </w:rPr>
              <w:t>5、支持实时统计显示直播源码率、FPS等数据。</w:t>
            </w:r>
          </w:p>
          <w:p w14:paraId="6462CB35">
            <w:pPr>
              <w:jc w:val="left"/>
              <w:rPr>
                <w:rFonts w:hint="eastAsia"/>
                <w:highlight w:val="none"/>
                <w:vertAlign w:val="baseline"/>
              </w:rPr>
            </w:pPr>
            <w:r>
              <w:rPr>
                <w:rFonts w:hint="eastAsia"/>
                <w:highlight w:val="none"/>
                <w:vertAlign w:val="baseline"/>
              </w:rPr>
              <w:t>四、安全应用防护</w:t>
            </w:r>
          </w:p>
          <w:p w14:paraId="6550D7B7">
            <w:pPr>
              <w:jc w:val="left"/>
              <w:rPr>
                <w:rFonts w:hint="eastAsia"/>
                <w:highlight w:val="none"/>
                <w:vertAlign w:val="baseline"/>
              </w:rPr>
            </w:pPr>
            <w:r>
              <w:rPr>
                <w:rFonts w:hint="eastAsia"/>
                <w:highlight w:val="none"/>
                <w:vertAlign w:val="baseline"/>
              </w:rPr>
              <w:t>1、管理平台可远程对运行状态 下的交互智能设备批量进行本地系统启动盘的冻结、解冻（冰点保护）。冻结的设备重启后会自动还原到冻结前 的状态，即本地系统启动盘 的数据及系统更改会自动恢复至冻结前状态。</w:t>
            </w:r>
          </w:p>
          <w:p w14:paraId="6E2AAB6F">
            <w:pPr>
              <w:jc w:val="left"/>
              <w:rPr>
                <w:rFonts w:hint="eastAsia"/>
                <w:highlight w:val="none"/>
                <w:vertAlign w:val="baseline"/>
              </w:rPr>
            </w:pPr>
            <w:r>
              <w:rPr>
                <w:rFonts w:hint="eastAsia"/>
                <w:highlight w:val="none"/>
                <w:vertAlign w:val="baseline"/>
              </w:rPr>
              <w:t>2、管理平台可实时监控开启冰点保护设备数量、安装冰点保护设备数量、磁盘冰冻状态等，并提示冰点风险，方便用户管理一体机系统环境</w:t>
            </w:r>
          </w:p>
          <w:p w14:paraId="2839DE5C">
            <w:pPr>
              <w:jc w:val="left"/>
              <w:rPr>
                <w:rFonts w:hint="eastAsia"/>
                <w:highlight w:val="none"/>
                <w:vertAlign w:val="baseline"/>
              </w:rPr>
            </w:pPr>
            <w:r>
              <w:rPr>
                <w:rFonts w:hint="eastAsia"/>
                <w:highlight w:val="none"/>
                <w:vertAlign w:val="baseline"/>
              </w:rPr>
              <w:t>管理平台可开启或关闭指定交互智能设备的任意磁盘分区数据还原（冰点）保护。</w:t>
            </w:r>
          </w:p>
          <w:p w14:paraId="59333156">
            <w:pPr>
              <w:jc w:val="left"/>
              <w:rPr>
                <w:rFonts w:hint="eastAsia"/>
                <w:highlight w:val="none"/>
                <w:vertAlign w:val="baseline"/>
              </w:rPr>
            </w:pPr>
            <w:r>
              <w:rPr>
                <w:rFonts w:hint="eastAsia"/>
                <w:highlight w:val="none"/>
                <w:vertAlign w:val="baseline"/>
              </w:rPr>
              <w:t>3、管理平台可随时查看所有弹窗拦截的设备数和历史拦截的条数。</w:t>
            </w:r>
          </w:p>
          <w:p w14:paraId="758B8D4B">
            <w:pPr>
              <w:jc w:val="left"/>
              <w:rPr>
                <w:rFonts w:hint="eastAsia"/>
                <w:highlight w:val="none"/>
                <w:vertAlign w:val="baseline"/>
              </w:rPr>
            </w:pPr>
            <w:r>
              <w:rPr>
                <w:rFonts w:hint="eastAsia"/>
                <w:highlight w:val="none"/>
                <w:vertAlign w:val="baseline"/>
              </w:rPr>
              <w:t>4管理平台可开启或关闭全校所有设备的弹窗拦截功能。</w:t>
            </w:r>
          </w:p>
          <w:p w14:paraId="314749CF">
            <w:pPr>
              <w:jc w:val="left"/>
              <w:rPr>
                <w:rFonts w:hint="eastAsia"/>
                <w:highlight w:val="none"/>
                <w:vertAlign w:val="baseline"/>
              </w:rPr>
            </w:pPr>
            <w:r>
              <w:rPr>
                <w:rFonts w:hint="eastAsia"/>
                <w:highlight w:val="none"/>
                <w:vertAlign w:val="baseline"/>
              </w:rPr>
              <w:t>5、管理平台可远程批量拦截弹窗，适用于所有关联本学校的交互智能设备。</w:t>
            </w:r>
          </w:p>
          <w:p w14:paraId="7C5F73C5">
            <w:pPr>
              <w:jc w:val="left"/>
              <w:rPr>
                <w:rFonts w:hint="eastAsia"/>
                <w:highlight w:val="none"/>
                <w:vertAlign w:val="baseline"/>
              </w:rPr>
            </w:pPr>
            <w:r>
              <w:rPr>
                <w:rFonts w:hint="eastAsia"/>
                <w:highlight w:val="none"/>
                <w:vertAlign w:val="baseline"/>
              </w:rPr>
              <w:t>五、多设备接入</w:t>
            </w:r>
          </w:p>
          <w:p w14:paraId="288F382F">
            <w:pPr>
              <w:jc w:val="left"/>
              <w:rPr>
                <w:rFonts w:hint="eastAsia"/>
                <w:highlight w:val="none"/>
                <w:vertAlign w:val="baseline"/>
              </w:rPr>
            </w:pPr>
            <w:r>
              <w:rPr>
                <w:rFonts w:hint="eastAsia"/>
                <w:highlight w:val="none"/>
                <w:vertAlign w:val="baseline"/>
              </w:rPr>
              <w:t>1、平台支持对全校智慧教室的教学信息化设备进行集中运维管理和策略部署。</w:t>
            </w:r>
          </w:p>
          <w:p w14:paraId="42504F98">
            <w:pPr>
              <w:jc w:val="left"/>
              <w:rPr>
                <w:highlight w:val="none"/>
                <w:vertAlign w:val="baseline"/>
              </w:rPr>
            </w:pPr>
            <w:r>
              <w:rPr>
                <w:rFonts w:hint="eastAsia"/>
                <w:highlight w:val="none"/>
                <w:vertAlign w:val="baseline"/>
              </w:rPr>
              <w:t>2、支持多设备接入，与交互智能教学设备、学生智能终端等教学设备对。</w:t>
            </w:r>
          </w:p>
        </w:tc>
        <w:tc>
          <w:tcPr>
            <w:tcW w:w="736" w:type="dxa"/>
            <w:noWrap w:val="0"/>
            <w:vAlign w:val="center"/>
          </w:tcPr>
          <w:p w14:paraId="584D139C">
            <w:pPr>
              <w:jc w:val="center"/>
              <w:rPr>
                <w:rFonts w:hint="eastAsia" w:eastAsia="宋体"/>
                <w:highlight w:val="none"/>
                <w:vertAlign w:val="baseline"/>
                <w:lang w:val="en-US" w:eastAsia="zh-CN"/>
              </w:rPr>
            </w:pPr>
            <w:r>
              <w:rPr>
                <w:rFonts w:hint="eastAsia"/>
                <w:highlight w:val="none"/>
                <w:vertAlign w:val="baseline"/>
                <w:lang w:val="en-US" w:eastAsia="zh-CN"/>
              </w:rPr>
              <w:t>1</w:t>
            </w:r>
          </w:p>
        </w:tc>
        <w:tc>
          <w:tcPr>
            <w:tcW w:w="834" w:type="dxa"/>
            <w:noWrap w:val="0"/>
            <w:vAlign w:val="center"/>
          </w:tcPr>
          <w:p w14:paraId="65BA56EA">
            <w:pPr>
              <w:jc w:val="center"/>
              <w:rPr>
                <w:rFonts w:hint="eastAsia" w:eastAsia="宋体"/>
                <w:highlight w:val="none"/>
                <w:vertAlign w:val="baseline"/>
                <w:lang w:val="en-US" w:eastAsia="zh-CN"/>
              </w:rPr>
            </w:pPr>
            <w:r>
              <w:rPr>
                <w:rFonts w:hint="eastAsia"/>
                <w:highlight w:val="none"/>
                <w:vertAlign w:val="baseline"/>
                <w:lang w:val="en-US" w:eastAsia="zh-CN"/>
              </w:rPr>
              <w:t>套</w:t>
            </w:r>
          </w:p>
        </w:tc>
        <w:tc>
          <w:tcPr>
            <w:tcW w:w="3396" w:type="dxa"/>
            <w:gridSpan w:val="2"/>
            <w:noWrap w:val="0"/>
            <w:vAlign w:val="center"/>
          </w:tcPr>
          <w:p w14:paraId="2B5B80EB">
            <w:pPr>
              <w:jc w:val="center"/>
              <w:rPr>
                <w:highlight w:val="none"/>
                <w:vertAlign w:val="baseline"/>
              </w:rPr>
            </w:pPr>
            <w:r>
              <w:rPr>
                <w:highlight w:val="none"/>
              </w:rPr>
              <w:drawing>
                <wp:inline distT="0" distB="0" distL="114300" distR="114300">
                  <wp:extent cx="1867535" cy="1416050"/>
                  <wp:effectExtent l="0" t="0" r="12065" b="635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8"/>
                          <a:stretch>
                            <a:fillRect/>
                          </a:stretch>
                        </pic:blipFill>
                        <pic:spPr>
                          <a:xfrm>
                            <a:off x="0" y="0"/>
                            <a:ext cx="1867535" cy="1416050"/>
                          </a:xfrm>
                          <a:prstGeom prst="rect">
                            <a:avLst/>
                          </a:prstGeom>
                          <a:noFill/>
                          <a:ln>
                            <a:noFill/>
                          </a:ln>
                        </pic:spPr>
                      </pic:pic>
                    </a:graphicData>
                  </a:graphic>
                </wp:inline>
              </w:drawing>
            </w:r>
          </w:p>
        </w:tc>
        <w:tc>
          <w:tcPr>
            <w:tcW w:w="710" w:type="dxa"/>
            <w:gridSpan w:val="2"/>
            <w:noWrap w:val="0"/>
            <w:vAlign w:val="center"/>
          </w:tcPr>
          <w:p w14:paraId="03507694">
            <w:pPr>
              <w:jc w:val="both"/>
              <w:rPr>
                <w:highlight w:val="none"/>
                <w:vertAlign w:val="baseline"/>
              </w:rPr>
            </w:pPr>
          </w:p>
        </w:tc>
      </w:tr>
      <w:tr w14:paraId="44AF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94E8FEB">
            <w:pPr>
              <w:jc w:val="center"/>
              <w:rPr>
                <w:rFonts w:hint="default"/>
                <w:highlight w:val="none"/>
                <w:vertAlign w:val="baseline"/>
                <w:lang w:val="en-US" w:eastAsia="zh-CN"/>
              </w:rPr>
            </w:pPr>
            <w:r>
              <w:rPr>
                <w:rFonts w:hint="eastAsia"/>
                <w:highlight w:val="none"/>
                <w:vertAlign w:val="baseline"/>
                <w:lang w:val="en-US" w:eastAsia="zh-CN"/>
              </w:rPr>
              <w:t>6</w:t>
            </w:r>
          </w:p>
        </w:tc>
        <w:tc>
          <w:tcPr>
            <w:tcW w:w="1690" w:type="dxa"/>
            <w:noWrap w:val="0"/>
            <w:vAlign w:val="center"/>
          </w:tcPr>
          <w:p w14:paraId="644ED0B2">
            <w:pPr>
              <w:jc w:val="center"/>
              <w:rPr>
                <w:rFonts w:hint="eastAsia"/>
                <w:highlight w:val="none"/>
                <w:vertAlign w:val="baseline"/>
              </w:rPr>
            </w:pPr>
            <w:r>
              <w:rPr>
                <w:rFonts w:hint="eastAsia"/>
                <w:highlight w:val="none"/>
                <w:vertAlign w:val="baseline"/>
              </w:rPr>
              <w:t>全钢老师桌</w:t>
            </w:r>
          </w:p>
        </w:tc>
        <w:tc>
          <w:tcPr>
            <w:tcW w:w="5928" w:type="dxa"/>
            <w:noWrap w:val="0"/>
            <w:vAlign w:val="center"/>
          </w:tcPr>
          <w:p w14:paraId="460D3CEB">
            <w:pPr>
              <w:jc w:val="left"/>
              <w:rPr>
                <w:rFonts w:hint="eastAsia"/>
                <w:highlight w:val="none"/>
                <w:vertAlign w:val="baseline"/>
              </w:rPr>
            </w:pPr>
            <w:r>
              <w:rPr>
                <w:rFonts w:hint="eastAsia"/>
                <w:highlight w:val="none"/>
                <w:vertAlign w:val="baseline"/>
              </w:rPr>
              <w:t>规格：≥2400×700×850mm</w:t>
            </w:r>
          </w:p>
          <w:p w14:paraId="12682970">
            <w:pPr>
              <w:jc w:val="left"/>
              <w:rPr>
                <w:rFonts w:hint="eastAsia"/>
                <w:highlight w:val="none"/>
                <w:vertAlign w:val="baseline"/>
              </w:rPr>
            </w:pPr>
            <w:r>
              <w:rPr>
                <w:rFonts w:hint="eastAsia"/>
                <w:highlight w:val="none"/>
                <w:vertAlign w:val="baseline"/>
              </w:rPr>
              <w:t>▲台面采用环保E1级高能板（高能实芯理化板），通体厚度为25mm，板材表面为生物抗菌型净化膜压贴，芯材采用热固树脂与70%可再生森林的软木纤维，中间添加内应力平衡无醛生物胶一体高温高压而成。 台面板具备耐酸碱，耐腐蚀，整体防水之性能。台面的各项功能检测须达到如下要求：</w:t>
            </w:r>
          </w:p>
          <w:p w14:paraId="59006860">
            <w:pPr>
              <w:jc w:val="left"/>
              <w:rPr>
                <w:rFonts w:hint="eastAsia"/>
                <w:highlight w:val="none"/>
                <w:vertAlign w:val="baseline"/>
              </w:rPr>
            </w:pPr>
            <w:r>
              <w:rPr>
                <w:rFonts w:hint="eastAsia"/>
                <w:highlight w:val="none"/>
                <w:vertAlign w:val="baseline"/>
              </w:rPr>
              <w:t>1、通过检测：硫酸（98%）、盐酸（37%）、硝酸（65%）、磷酸（85%）等不低于36项化学试剂检测，检测结果达到5级标准。</w:t>
            </w:r>
          </w:p>
          <w:p w14:paraId="311CBCA6">
            <w:pPr>
              <w:jc w:val="left"/>
              <w:rPr>
                <w:rFonts w:hint="eastAsia"/>
                <w:highlight w:val="none"/>
                <w:vertAlign w:val="baseline"/>
              </w:rPr>
            </w:pPr>
            <w:r>
              <w:rPr>
                <w:rFonts w:hint="eastAsia"/>
                <w:highlight w:val="none"/>
                <w:vertAlign w:val="baseline"/>
              </w:rPr>
              <w:t>2、通过检测，提供耐沸水性能、抗拉强度、弯曲强度等不低于15项物理性能检测。</w:t>
            </w:r>
          </w:p>
          <w:p w14:paraId="18C0ACE5">
            <w:pPr>
              <w:jc w:val="left"/>
              <w:rPr>
                <w:rFonts w:hint="eastAsia"/>
                <w:highlight w:val="none"/>
                <w:vertAlign w:val="baseline"/>
              </w:rPr>
            </w:pPr>
            <w:r>
              <w:rPr>
                <w:rFonts w:hint="eastAsia"/>
                <w:highlight w:val="none"/>
                <w:vertAlign w:val="baseline"/>
              </w:rPr>
              <w:t>3、通过检测, 执行标准GB18580-2017《室内装饰材料人造板及其制品中甲醛释放量》，甲醛释放量小于等于 0.005mg/m3，达到环保E1级标准。</w:t>
            </w:r>
          </w:p>
          <w:p w14:paraId="0DA65286">
            <w:pPr>
              <w:jc w:val="left"/>
              <w:rPr>
                <w:rFonts w:hint="eastAsia"/>
                <w:highlight w:val="none"/>
                <w:vertAlign w:val="baseline"/>
              </w:rPr>
            </w:pPr>
            <w:r>
              <w:rPr>
                <w:rFonts w:hint="eastAsia"/>
                <w:highlight w:val="none"/>
                <w:vertAlign w:val="baseline"/>
              </w:rPr>
              <w:t>4、通过检测，按照国家标准《建筑产品和家具的挥发性有机化合物的测定排放试验室法（ISO 16000-9-2006）》检测,要求总挥发性有机物（苯、二甲苯和TVOC）的释放率&lt;2μg/㎡·h。</w:t>
            </w:r>
          </w:p>
          <w:p w14:paraId="5F6D6383">
            <w:pPr>
              <w:jc w:val="left"/>
              <w:rPr>
                <w:rFonts w:hint="eastAsia"/>
                <w:highlight w:val="none"/>
                <w:vertAlign w:val="baseline"/>
              </w:rPr>
            </w:pPr>
            <w:r>
              <w:rPr>
                <w:rFonts w:hint="eastAsia"/>
                <w:highlight w:val="none"/>
                <w:vertAlign w:val="baseline"/>
              </w:rPr>
              <w:t>5、通过检测，检测依据:JC/T1074-2008《室内空气净化功能涂覆材料净化性能》，提供（生物抗菌型净化）高能板的甲醛净化功能检测报告,要求甲醛净化效率≥30%。</w:t>
            </w:r>
          </w:p>
          <w:p w14:paraId="299F271B">
            <w:pPr>
              <w:jc w:val="left"/>
              <w:rPr>
                <w:rFonts w:hint="eastAsia"/>
                <w:highlight w:val="none"/>
                <w:vertAlign w:val="baseline"/>
              </w:rPr>
            </w:pPr>
            <w:r>
              <w:rPr>
                <w:rFonts w:hint="eastAsia"/>
                <w:highlight w:val="none"/>
                <w:vertAlign w:val="baseline"/>
              </w:rPr>
              <w:t>备注：为确保产品质量，需提供具有CMA或CNAS标识的检测报告扫描件。</w:t>
            </w:r>
          </w:p>
          <w:p w14:paraId="30671806">
            <w:pPr>
              <w:jc w:val="left"/>
              <w:rPr>
                <w:rFonts w:hint="eastAsia"/>
                <w:highlight w:val="none"/>
                <w:vertAlign w:val="baseline"/>
              </w:rPr>
            </w:pPr>
            <w:r>
              <w:rPr>
                <w:rFonts w:hint="eastAsia"/>
                <w:highlight w:val="none"/>
                <w:vertAlign w:val="baseline"/>
              </w:rPr>
              <w:t>结构：全钢结构柜体。</w:t>
            </w:r>
          </w:p>
          <w:p w14:paraId="26B8596C">
            <w:pPr>
              <w:jc w:val="left"/>
              <w:rPr>
                <w:rFonts w:hint="eastAsia"/>
                <w:highlight w:val="none"/>
                <w:vertAlign w:val="baseline"/>
              </w:rPr>
            </w:pPr>
            <w:r>
              <w:rPr>
                <w:rFonts w:hint="eastAsia"/>
                <w:highlight w:val="none"/>
                <w:vertAlign w:val="baseline"/>
              </w:rPr>
              <w:t>柜体为落地柜式。</w:t>
            </w:r>
          </w:p>
          <w:p w14:paraId="6454CC1E">
            <w:pPr>
              <w:jc w:val="left"/>
              <w:rPr>
                <w:rFonts w:hint="eastAsia"/>
                <w:highlight w:val="none"/>
                <w:vertAlign w:val="baseline"/>
              </w:rPr>
            </w:pPr>
            <w:r>
              <w:rPr>
                <w:rFonts w:hint="eastAsia"/>
                <w:highlight w:val="none"/>
                <w:vertAlign w:val="baseline"/>
              </w:rPr>
              <w:t>柜体：采用1.0优质一级冷轧钢板（SPCCT）经CNC机压成型，焊接制作，表面经磷化处理、环氧树脂静电粉末涂装处理。</w:t>
            </w:r>
          </w:p>
          <w:p w14:paraId="01AC01D0">
            <w:pPr>
              <w:jc w:val="left"/>
              <w:rPr>
                <w:rFonts w:hint="eastAsia"/>
                <w:highlight w:val="none"/>
                <w:vertAlign w:val="baseline"/>
              </w:rPr>
            </w:pPr>
            <w:r>
              <w:rPr>
                <w:rFonts w:hint="eastAsia"/>
                <w:highlight w:val="none"/>
                <w:vertAlign w:val="baseline"/>
              </w:rPr>
              <w:t>设置电源专用抽屉位及电管孔</w:t>
            </w:r>
          </w:p>
          <w:p w14:paraId="77CF624D">
            <w:pPr>
              <w:jc w:val="left"/>
              <w:rPr>
                <w:rFonts w:hint="eastAsia"/>
                <w:highlight w:val="none"/>
                <w:vertAlign w:val="baseline"/>
              </w:rPr>
            </w:pPr>
            <w:r>
              <w:rPr>
                <w:rFonts w:hint="eastAsia"/>
                <w:highlight w:val="none"/>
                <w:vertAlign w:val="baseline"/>
              </w:rPr>
              <w:t>侧边空位，配有专门装饰网板加固。</w:t>
            </w:r>
          </w:p>
          <w:p w14:paraId="5976B793">
            <w:pPr>
              <w:jc w:val="left"/>
              <w:rPr>
                <w:rFonts w:hint="eastAsia"/>
                <w:highlight w:val="none"/>
                <w:vertAlign w:val="baseline"/>
              </w:rPr>
            </w:pPr>
            <w:r>
              <w:rPr>
                <w:rFonts w:hint="eastAsia"/>
                <w:highlight w:val="none"/>
                <w:vertAlign w:val="baseline"/>
              </w:rPr>
              <w:t>固定桌脚：ABS注塑专用垫。</w:t>
            </w:r>
          </w:p>
          <w:p w14:paraId="3A812483">
            <w:pPr>
              <w:jc w:val="left"/>
              <w:rPr>
                <w:rFonts w:hint="eastAsia"/>
                <w:highlight w:val="none"/>
                <w:vertAlign w:val="baseline"/>
              </w:rPr>
            </w:pPr>
            <w:r>
              <w:rPr>
                <w:rFonts w:hint="eastAsia"/>
                <w:highlight w:val="none"/>
                <w:vertAlign w:val="baseline"/>
              </w:rPr>
              <w:t>▲全钢老师桌整体通过GB/T 21747-2008 教学实验室设备 实验台（桌）的安全要求及试验方法标准检测，力学性能要求，理化性能要求，甲醛释放量，测试结果符合指标要求。备注：为确保产品质量，需提供具有CMA或CNAS标识的检测报告扫描件。</w:t>
            </w:r>
          </w:p>
        </w:tc>
        <w:tc>
          <w:tcPr>
            <w:tcW w:w="736" w:type="dxa"/>
            <w:noWrap w:val="0"/>
            <w:vAlign w:val="center"/>
          </w:tcPr>
          <w:p w14:paraId="37550288">
            <w:pPr>
              <w:jc w:val="center"/>
              <w:rPr>
                <w:rFonts w:hint="default"/>
                <w:highlight w:val="none"/>
                <w:vertAlign w:val="baseline"/>
                <w:lang w:val="en-US" w:eastAsia="zh-CN"/>
              </w:rPr>
            </w:pPr>
            <w:r>
              <w:rPr>
                <w:rFonts w:hint="eastAsia"/>
                <w:highlight w:val="none"/>
                <w:vertAlign w:val="baseline"/>
                <w:lang w:val="en-US" w:eastAsia="zh-CN"/>
              </w:rPr>
              <w:t>1</w:t>
            </w:r>
          </w:p>
        </w:tc>
        <w:tc>
          <w:tcPr>
            <w:tcW w:w="834" w:type="dxa"/>
            <w:noWrap w:val="0"/>
            <w:vAlign w:val="center"/>
          </w:tcPr>
          <w:p w14:paraId="1E906564">
            <w:pPr>
              <w:jc w:val="center"/>
              <w:rPr>
                <w:rFonts w:hint="default"/>
                <w:highlight w:val="none"/>
                <w:vertAlign w:val="baseline"/>
                <w:lang w:val="en-US" w:eastAsia="zh-CN"/>
              </w:rPr>
            </w:pPr>
            <w:r>
              <w:rPr>
                <w:rFonts w:hint="eastAsia"/>
                <w:highlight w:val="none"/>
                <w:vertAlign w:val="baseline"/>
                <w:lang w:val="en-US" w:eastAsia="zh-CN"/>
              </w:rPr>
              <w:t>张</w:t>
            </w:r>
          </w:p>
        </w:tc>
        <w:tc>
          <w:tcPr>
            <w:tcW w:w="3396" w:type="dxa"/>
            <w:gridSpan w:val="2"/>
            <w:noWrap w:val="0"/>
            <w:vAlign w:val="center"/>
          </w:tcPr>
          <w:p w14:paraId="5B9B4BC9">
            <w:pPr>
              <w:jc w:val="center"/>
              <w:rPr>
                <w:highlight w:val="none"/>
              </w:rPr>
            </w:pPr>
            <w:r>
              <w:rPr>
                <w:highlight w:val="none"/>
              </w:rPr>
              <w:drawing>
                <wp:inline distT="0" distB="0" distL="114300" distR="114300">
                  <wp:extent cx="1869440" cy="984250"/>
                  <wp:effectExtent l="0" t="0" r="10160" b="635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9"/>
                          <a:stretch>
                            <a:fillRect/>
                          </a:stretch>
                        </pic:blipFill>
                        <pic:spPr>
                          <a:xfrm>
                            <a:off x="0" y="0"/>
                            <a:ext cx="1869440" cy="984250"/>
                          </a:xfrm>
                          <a:prstGeom prst="rect">
                            <a:avLst/>
                          </a:prstGeom>
                          <a:noFill/>
                          <a:ln>
                            <a:noFill/>
                          </a:ln>
                        </pic:spPr>
                      </pic:pic>
                    </a:graphicData>
                  </a:graphic>
                </wp:inline>
              </w:drawing>
            </w:r>
          </w:p>
        </w:tc>
        <w:tc>
          <w:tcPr>
            <w:tcW w:w="710" w:type="dxa"/>
            <w:gridSpan w:val="2"/>
            <w:noWrap w:val="0"/>
            <w:vAlign w:val="center"/>
          </w:tcPr>
          <w:p w14:paraId="2C39C6D9">
            <w:pPr>
              <w:jc w:val="both"/>
              <w:rPr>
                <w:highlight w:val="none"/>
                <w:vertAlign w:val="baseline"/>
              </w:rPr>
            </w:pPr>
          </w:p>
        </w:tc>
      </w:tr>
      <w:tr w14:paraId="67CA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95" w:type="dxa"/>
            <w:noWrap w:val="0"/>
            <w:vAlign w:val="center"/>
          </w:tcPr>
          <w:p w14:paraId="08BA43E5">
            <w:pPr>
              <w:jc w:val="center"/>
              <w:rPr>
                <w:rFonts w:hint="default"/>
                <w:highlight w:val="none"/>
                <w:vertAlign w:val="baseline"/>
                <w:lang w:val="en-US" w:eastAsia="zh-CN"/>
              </w:rPr>
            </w:pPr>
            <w:r>
              <w:rPr>
                <w:rFonts w:hint="eastAsia"/>
                <w:highlight w:val="none"/>
                <w:vertAlign w:val="baseline"/>
                <w:lang w:val="en-US" w:eastAsia="zh-CN"/>
              </w:rPr>
              <w:t>7</w:t>
            </w:r>
          </w:p>
        </w:tc>
        <w:tc>
          <w:tcPr>
            <w:tcW w:w="1690" w:type="dxa"/>
            <w:noWrap w:val="0"/>
            <w:vAlign w:val="center"/>
          </w:tcPr>
          <w:p w14:paraId="3750B4FD">
            <w:pPr>
              <w:jc w:val="center"/>
              <w:rPr>
                <w:rFonts w:hint="eastAsia"/>
                <w:highlight w:val="none"/>
                <w:vertAlign w:val="baseline"/>
              </w:rPr>
            </w:pPr>
            <w:r>
              <w:rPr>
                <w:rFonts w:hint="eastAsia"/>
                <w:highlight w:val="none"/>
                <w:vertAlign w:val="baseline"/>
              </w:rPr>
              <w:t>教师电源</w:t>
            </w:r>
          </w:p>
        </w:tc>
        <w:tc>
          <w:tcPr>
            <w:tcW w:w="5928" w:type="dxa"/>
            <w:noWrap w:val="0"/>
            <w:vAlign w:val="center"/>
          </w:tcPr>
          <w:p w14:paraId="13FB4022">
            <w:pPr>
              <w:jc w:val="left"/>
              <w:rPr>
                <w:rFonts w:hint="eastAsia"/>
                <w:highlight w:val="none"/>
                <w:vertAlign w:val="baseline"/>
              </w:rPr>
            </w:pPr>
            <w:r>
              <w:rPr>
                <w:rFonts w:hint="eastAsia"/>
                <w:highlight w:val="none"/>
                <w:vertAlign w:val="baseline"/>
              </w:rPr>
              <w:t>教师控制台控制区采用轻触摸按键操作方式，因轻触按键式易操作，使用方便，不易损坏，易维护。</w:t>
            </w:r>
          </w:p>
          <w:p w14:paraId="0183AD0F">
            <w:pPr>
              <w:jc w:val="left"/>
              <w:rPr>
                <w:rFonts w:hint="eastAsia"/>
                <w:highlight w:val="none"/>
                <w:vertAlign w:val="baseline"/>
              </w:rPr>
            </w:pPr>
            <w:r>
              <w:rPr>
                <w:rFonts w:hint="eastAsia"/>
                <w:highlight w:val="none"/>
                <w:vertAlign w:val="baseline"/>
              </w:rPr>
              <w:t>教师,学生电源必须必须采用轻触按键操作方式。</w:t>
            </w:r>
          </w:p>
          <w:p w14:paraId="019B6DCE">
            <w:pPr>
              <w:jc w:val="left"/>
              <w:rPr>
                <w:rFonts w:hint="eastAsia"/>
                <w:highlight w:val="none"/>
                <w:vertAlign w:val="baseline"/>
              </w:rPr>
            </w:pPr>
            <w:r>
              <w:rPr>
                <w:rFonts w:hint="eastAsia"/>
                <w:highlight w:val="none"/>
                <w:vertAlign w:val="baseline"/>
              </w:rPr>
              <w:t>1、采用密码开机管理。</w:t>
            </w:r>
          </w:p>
          <w:p w14:paraId="2E9A1CD2">
            <w:pPr>
              <w:jc w:val="left"/>
              <w:rPr>
                <w:rFonts w:hint="eastAsia"/>
                <w:highlight w:val="none"/>
                <w:vertAlign w:val="baseline"/>
              </w:rPr>
            </w:pPr>
            <w:r>
              <w:rPr>
                <w:rFonts w:hint="eastAsia"/>
                <w:highlight w:val="none"/>
                <w:vertAlign w:val="baseline"/>
              </w:rPr>
              <w:t>2、具有年月日，时分秒，定时自动动关机功能。</w:t>
            </w:r>
          </w:p>
          <w:p w14:paraId="4CB56B58">
            <w:pPr>
              <w:jc w:val="left"/>
              <w:rPr>
                <w:rFonts w:hint="eastAsia"/>
                <w:highlight w:val="none"/>
                <w:vertAlign w:val="baseline"/>
              </w:rPr>
            </w:pPr>
            <w:r>
              <w:rPr>
                <w:rFonts w:hint="eastAsia"/>
                <w:highlight w:val="none"/>
                <w:vertAlign w:val="baseline"/>
              </w:rPr>
              <w:t>3、定时关机时间可以教师据任务要求按需设设定。</w:t>
            </w:r>
          </w:p>
          <w:p w14:paraId="4A8C28F8">
            <w:pPr>
              <w:jc w:val="left"/>
              <w:rPr>
                <w:rFonts w:hint="eastAsia"/>
                <w:highlight w:val="none"/>
                <w:vertAlign w:val="baseline"/>
              </w:rPr>
            </w:pPr>
            <w:r>
              <w:rPr>
                <w:rFonts w:hint="eastAsia"/>
                <w:highlight w:val="none"/>
                <w:vertAlign w:val="baseline"/>
              </w:rPr>
              <w:t>4、采用耐用的数码管显示教师和学生交直流电压，电流。</w:t>
            </w:r>
          </w:p>
          <w:p w14:paraId="228D021C">
            <w:pPr>
              <w:jc w:val="left"/>
              <w:rPr>
                <w:rFonts w:hint="eastAsia"/>
                <w:highlight w:val="none"/>
                <w:vertAlign w:val="baseline"/>
              </w:rPr>
            </w:pPr>
            <w:r>
              <w:rPr>
                <w:rFonts w:hint="eastAsia"/>
                <w:highlight w:val="none"/>
                <w:vertAlign w:val="baseline"/>
              </w:rPr>
              <w:t>5、分4组向学生实验桌输出安全的220V交流电源，具备漏电及过载保护功能。</w:t>
            </w:r>
          </w:p>
          <w:p w14:paraId="42A0DE18">
            <w:pPr>
              <w:jc w:val="left"/>
              <w:rPr>
                <w:rFonts w:hint="eastAsia"/>
                <w:highlight w:val="none"/>
                <w:vertAlign w:val="baseline"/>
              </w:rPr>
            </w:pPr>
            <w:r>
              <w:rPr>
                <w:rFonts w:hint="eastAsia"/>
                <w:highlight w:val="none"/>
                <w:vertAlign w:val="baseline"/>
              </w:rPr>
              <w:t>7、教师可远程控制和锁定学生电源的低压交、直流电压。控制交流0V - 30V，分辨率为1V；直流0V - 30.0V，分辨率为0.1V。分4组控制。</w:t>
            </w:r>
          </w:p>
          <w:p w14:paraId="21C066F8">
            <w:pPr>
              <w:jc w:val="left"/>
              <w:rPr>
                <w:rFonts w:hint="eastAsia"/>
                <w:highlight w:val="none"/>
                <w:vertAlign w:val="baseline"/>
              </w:rPr>
            </w:pPr>
            <w:r>
              <w:rPr>
                <w:rFonts w:hint="eastAsia"/>
                <w:highlight w:val="none"/>
                <w:vertAlign w:val="baseline"/>
              </w:rPr>
              <w:t>8、教师自用低压交流电源电压为0V-18V/3A、19V-30V/2A，分辩率为1V。具备自动过载保护功能。</w:t>
            </w:r>
          </w:p>
          <w:p w14:paraId="20C25D9F">
            <w:pPr>
              <w:jc w:val="left"/>
              <w:rPr>
                <w:rFonts w:hint="eastAsia"/>
                <w:highlight w:val="none"/>
                <w:vertAlign w:val="baseline"/>
              </w:rPr>
            </w:pPr>
            <w:r>
              <w:rPr>
                <w:rFonts w:hint="eastAsia"/>
                <w:highlight w:val="none"/>
                <w:vertAlign w:val="baseline"/>
              </w:rPr>
              <w:t>9、教师自用低压直流电源电压为0V-18.0V/2A、18.1V-30.0V/1.5A，分辩率为0.1V。具备自动过载保护功能。</w:t>
            </w:r>
          </w:p>
          <w:p w14:paraId="4E40A5EB">
            <w:pPr>
              <w:jc w:val="left"/>
              <w:rPr>
                <w:rFonts w:hint="eastAsia"/>
                <w:highlight w:val="none"/>
                <w:vertAlign w:val="baseline"/>
              </w:rPr>
            </w:pPr>
            <w:r>
              <w:rPr>
                <w:rFonts w:hint="eastAsia"/>
                <w:highlight w:val="none"/>
                <w:vertAlign w:val="baseline"/>
              </w:rPr>
              <w:t>10、大电流短时输出。8秒自动关断。</w:t>
            </w:r>
          </w:p>
          <w:p w14:paraId="143B7A3A">
            <w:pPr>
              <w:jc w:val="left"/>
              <w:rPr>
                <w:rFonts w:hint="eastAsia"/>
                <w:highlight w:val="none"/>
                <w:vertAlign w:val="baseline"/>
              </w:rPr>
            </w:pPr>
            <w:r>
              <w:rPr>
                <w:rFonts w:hint="eastAsia"/>
                <w:highlight w:val="none"/>
                <w:vertAlign w:val="baseline"/>
              </w:rPr>
              <w:t>13、电源的性能应符合《 JY/T 0374-2004 教学实验室设备电源系统 》中的相关要。</w:t>
            </w:r>
          </w:p>
        </w:tc>
        <w:tc>
          <w:tcPr>
            <w:tcW w:w="736" w:type="dxa"/>
            <w:noWrap w:val="0"/>
            <w:vAlign w:val="center"/>
          </w:tcPr>
          <w:p w14:paraId="36ED121B">
            <w:pPr>
              <w:jc w:val="center"/>
              <w:rPr>
                <w:rFonts w:hint="default"/>
                <w:highlight w:val="none"/>
                <w:vertAlign w:val="baseline"/>
                <w:lang w:val="en-US" w:eastAsia="zh-CN"/>
              </w:rPr>
            </w:pPr>
            <w:r>
              <w:rPr>
                <w:rFonts w:hint="eastAsia"/>
                <w:highlight w:val="none"/>
                <w:vertAlign w:val="baseline"/>
                <w:lang w:val="en-US" w:eastAsia="zh-CN"/>
              </w:rPr>
              <w:t>1</w:t>
            </w:r>
          </w:p>
        </w:tc>
        <w:tc>
          <w:tcPr>
            <w:tcW w:w="834" w:type="dxa"/>
            <w:noWrap w:val="0"/>
            <w:vAlign w:val="center"/>
          </w:tcPr>
          <w:p w14:paraId="217ABE2C">
            <w:pPr>
              <w:jc w:val="center"/>
              <w:rPr>
                <w:rFonts w:hint="default"/>
                <w:highlight w:val="none"/>
                <w:vertAlign w:val="baseline"/>
                <w:lang w:val="en-US" w:eastAsia="zh-CN"/>
              </w:rPr>
            </w:pPr>
            <w:r>
              <w:rPr>
                <w:rFonts w:hint="eastAsia"/>
                <w:highlight w:val="none"/>
                <w:vertAlign w:val="baseline"/>
                <w:lang w:val="en-US" w:eastAsia="zh-CN"/>
              </w:rPr>
              <w:t>套</w:t>
            </w:r>
          </w:p>
        </w:tc>
        <w:tc>
          <w:tcPr>
            <w:tcW w:w="3396" w:type="dxa"/>
            <w:gridSpan w:val="2"/>
            <w:noWrap w:val="0"/>
            <w:vAlign w:val="center"/>
          </w:tcPr>
          <w:p w14:paraId="4E42B9B0">
            <w:pPr>
              <w:jc w:val="center"/>
              <w:rPr>
                <w:highlight w:val="none"/>
              </w:rPr>
            </w:pPr>
            <w:r>
              <w:rPr>
                <w:highlight w:val="none"/>
              </w:rPr>
              <w:drawing>
                <wp:inline distT="0" distB="0" distL="114300" distR="114300">
                  <wp:extent cx="1082675" cy="1816735"/>
                  <wp:effectExtent l="0" t="0" r="12065" b="9525"/>
                  <wp:docPr id="27" name="图片 7" descr="b6f6c5d2d36eb1afdf6d5613a87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b6f6c5d2d36eb1afdf6d5613a878802"/>
                          <pic:cNvPicPr>
                            <a:picLocks noChangeAspect="1"/>
                          </pic:cNvPicPr>
                        </pic:nvPicPr>
                        <pic:blipFill>
                          <a:blip r:embed="rId30"/>
                          <a:stretch>
                            <a:fillRect/>
                          </a:stretch>
                        </pic:blipFill>
                        <pic:spPr>
                          <a:xfrm rot="-5400000">
                            <a:off x="0" y="0"/>
                            <a:ext cx="1082675" cy="1816735"/>
                          </a:xfrm>
                          <a:prstGeom prst="rect">
                            <a:avLst/>
                          </a:prstGeom>
                          <a:noFill/>
                          <a:ln>
                            <a:noFill/>
                          </a:ln>
                        </pic:spPr>
                      </pic:pic>
                    </a:graphicData>
                  </a:graphic>
                </wp:inline>
              </w:drawing>
            </w:r>
          </w:p>
        </w:tc>
        <w:tc>
          <w:tcPr>
            <w:tcW w:w="710" w:type="dxa"/>
            <w:gridSpan w:val="2"/>
            <w:noWrap w:val="0"/>
            <w:vAlign w:val="center"/>
          </w:tcPr>
          <w:p w14:paraId="3F275A68">
            <w:pPr>
              <w:jc w:val="both"/>
              <w:rPr>
                <w:highlight w:val="none"/>
                <w:vertAlign w:val="baseline"/>
              </w:rPr>
            </w:pPr>
          </w:p>
        </w:tc>
      </w:tr>
      <w:tr w14:paraId="356F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3" w:hRule="atLeast"/>
        </w:trPr>
        <w:tc>
          <w:tcPr>
            <w:tcW w:w="895" w:type="dxa"/>
            <w:noWrap w:val="0"/>
            <w:vAlign w:val="center"/>
          </w:tcPr>
          <w:p w14:paraId="222A6453">
            <w:pPr>
              <w:jc w:val="center"/>
              <w:rPr>
                <w:rFonts w:hint="default"/>
                <w:highlight w:val="none"/>
                <w:vertAlign w:val="baseline"/>
                <w:lang w:val="en-US" w:eastAsia="zh-CN"/>
              </w:rPr>
            </w:pPr>
            <w:r>
              <w:rPr>
                <w:rFonts w:hint="eastAsia"/>
                <w:highlight w:val="none"/>
                <w:vertAlign w:val="baseline"/>
                <w:lang w:val="en-US" w:eastAsia="zh-CN"/>
              </w:rPr>
              <w:t>8</w:t>
            </w:r>
          </w:p>
        </w:tc>
        <w:tc>
          <w:tcPr>
            <w:tcW w:w="1690" w:type="dxa"/>
            <w:noWrap w:val="0"/>
            <w:vAlign w:val="center"/>
          </w:tcPr>
          <w:p w14:paraId="3E49E6A3">
            <w:pPr>
              <w:jc w:val="center"/>
              <w:rPr>
                <w:rFonts w:hint="eastAsia"/>
                <w:highlight w:val="none"/>
                <w:vertAlign w:val="baseline"/>
              </w:rPr>
            </w:pPr>
            <w:r>
              <w:rPr>
                <w:rFonts w:hint="eastAsia"/>
                <w:highlight w:val="none"/>
                <w:vertAlign w:val="baseline"/>
              </w:rPr>
              <w:t>教师椅</w:t>
            </w:r>
          </w:p>
        </w:tc>
        <w:tc>
          <w:tcPr>
            <w:tcW w:w="5928" w:type="dxa"/>
            <w:noWrap w:val="0"/>
            <w:vAlign w:val="center"/>
          </w:tcPr>
          <w:p w14:paraId="06013183">
            <w:pPr>
              <w:jc w:val="left"/>
              <w:rPr>
                <w:rFonts w:hint="eastAsia"/>
                <w:highlight w:val="none"/>
                <w:vertAlign w:val="baseline"/>
              </w:rPr>
            </w:pPr>
            <w:r>
              <w:rPr>
                <w:rFonts w:hint="eastAsia"/>
                <w:highlight w:val="none"/>
                <w:vertAlign w:val="baseline"/>
              </w:rPr>
              <w:t>规格：≥590×600×960/1060mm</w:t>
            </w:r>
          </w:p>
          <w:p w14:paraId="24AE5DC7">
            <w:pPr>
              <w:jc w:val="left"/>
              <w:rPr>
                <w:rFonts w:hint="eastAsia"/>
                <w:highlight w:val="none"/>
                <w:vertAlign w:val="baseline"/>
              </w:rPr>
            </w:pPr>
            <w:r>
              <w:rPr>
                <w:rFonts w:hint="eastAsia"/>
                <w:highlight w:val="none"/>
                <w:vertAlign w:val="baseline"/>
              </w:rPr>
              <w:t>1、靠背：采用塑料尼龙框架，依照人体工程学设计，线条流畅，美观大方。面料采用高密度网布格，阻燃、舒适、回弹性好。</w:t>
            </w:r>
          </w:p>
          <w:p w14:paraId="0C644FA2">
            <w:pPr>
              <w:jc w:val="left"/>
              <w:rPr>
                <w:rFonts w:hint="eastAsia"/>
                <w:highlight w:val="none"/>
                <w:vertAlign w:val="baseline"/>
              </w:rPr>
            </w:pPr>
            <w:r>
              <w:rPr>
                <w:rFonts w:hint="eastAsia"/>
                <w:highlight w:val="none"/>
                <w:vertAlign w:val="baseline"/>
              </w:rPr>
              <w:t>2、座包：面料采用高密度网格布。内框架基材采用曲木木材，经蒸、压煮、烘干、杀虫、杀菌处理，具有防腐、防虫、防潮等性能。内部填充物采用高密度阻燃一次成型发泡海绵，表面有防腐和防变形保护膜。</w:t>
            </w:r>
          </w:p>
          <w:p w14:paraId="5A07C66B">
            <w:pPr>
              <w:jc w:val="left"/>
              <w:rPr>
                <w:rFonts w:hint="eastAsia"/>
                <w:highlight w:val="none"/>
                <w:vertAlign w:val="baseline"/>
              </w:rPr>
            </w:pPr>
            <w:r>
              <w:rPr>
                <w:rFonts w:hint="eastAsia"/>
                <w:highlight w:val="none"/>
                <w:vertAlign w:val="baseline"/>
              </w:rPr>
              <w:t>3、扶手：可90°向上翻转，主体采用塑料尼龙框架，软包部分采用高密度阻燃一次成型发泡海绵，表面有防腐和防变形保护膜，外层高密度网格布包裹，可90°向上翻转。</w:t>
            </w:r>
          </w:p>
          <w:p w14:paraId="51CF883A">
            <w:pPr>
              <w:jc w:val="left"/>
              <w:rPr>
                <w:rFonts w:hint="eastAsia"/>
                <w:highlight w:val="none"/>
                <w:vertAlign w:val="baseline"/>
              </w:rPr>
            </w:pPr>
            <w:r>
              <w:rPr>
                <w:rFonts w:hint="eastAsia"/>
                <w:highlight w:val="none"/>
                <w:vertAlign w:val="baseline"/>
              </w:rPr>
              <w:t>4、座包连接托板：蝴蝶型钢制连接托板。</w:t>
            </w:r>
          </w:p>
          <w:p w14:paraId="279B8738">
            <w:pPr>
              <w:jc w:val="left"/>
              <w:rPr>
                <w:rFonts w:hint="eastAsia"/>
                <w:highlight w:val="none"/>
                <w:vertAlign w:val="baseline"/>
              </w:rPr>
            </w:pPr>
            <w:r>
              <w:rPr>
                <w:rFonts w:hint="eastAsia"/>
                <w:highlight w:val="none"/>
                <w:vertAlign w:val="baseline"/>
              </w:rPr>
              <w:t>5、升降杆：气压升降杆，调节行程100mm。</w:t>
            </w:r>
          </w:p>
          <w:p w14:paraId="2C603025">
            <w:pPr>
              <w:jc w:val="left"/>
              <w:rPr>
                <w:rFonts w:hint="eastAsia"/>
                <w:highlight w:val="none"/>
                <w:vertAlign w:val="baseline"/>
              </w:rPr>
            </w:pPr>
            <w:r>
              <w:rPr>
                <w:rFonts w:hint="eastAsia"/>
                <w:highlight w:val="none"/>
                <w:vertAlign w:val="baseline"/>
              </w:rPr>
              <w:t>6、轮脚：优质塑料尼龙、钢材精心制作，滚动声音更细微，柔韧性更好，能做到防滑、减震、防静电。</w:t>
            </w:r>
          </w:p>
        </w:tc>
        <w:tc>
          <w:tcPr>
            <w:tcW w:w="736" w:type="dxa"/>
            <w:noWrap w:val="0"/>
            <w:vAlign w:val="center"/>
          </w:tcPr>
          <w:p w14:paraId="0CF3CEC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834" w:type="dxa"/>
            <w:noWrap w:val="0"/>
            <w:vAlign w:val="center"/>
          </w:tcPr>
          <w:p w14:paraId="5DD5DD1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7D46DD6B">
            <w:pPr>
              <w:jc w:val="center"/>
              <w:rPr>
                <w:highlight w:val="none"/>
              </w:rPr>
            </w:pPr>
            <w:r>
              <w:rPr>
                <w:highlight w:val="none"/>
              </w:rPr>
              <w:drawing>
                <wp:inline distT="0" distB="0" distL="114300" distR="114300">
                  <wp:extent cx="926465" cy="1155065"/>
                  <wp:effectExtent l="0" t="0" r="635" b="635"/>
                  <wp:docPr id="35" name="图片 8" descr="老师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老师椅"/>
                          <pic:cNvPicPr>
                            <a:picLocks noChangeAspect="1"/>
                          </pic:cNvPicPr>
                        </pic:nvPicPr>
                        <pic:blipFill>
                          <a:blip r:embed="rId31"/>
                          <a:srcRect l="19278" r="20511"/>
                          <a:stretch>
                            <a:fillRect/>
                          </a:stretch>
                        </pic:blipFill>
                        <pic:spPr>
                          <a:xfrm>
                            <a:off x="0" y="0"/>
                            <a:ext cx="926465" cy="1155065"/>
                          </a:xfrm>
                          <a:prstGeom prst="rect">
                            <a:avLst/>
                          </a:prstGeom>
                          <a:noFill/>
                          <a:ln>
                            <a:noFill/>
                          </a:ln>
                        </pic:spPr>
                      </pic:pic>
                    </a:graphicData>
                  </a:graphic>
                </wp:inline>
              </w:drawing>
            </w:r>
          </w:p>
        </w:tc>
        <w:tc>
          <w:tcPr>
            <w:tcW w:w="710" w:type="dxa"/>
            <w:gridSpan w:val="2"/>
            <w:noWrap w:val="0"/>
            <w:vAlign w:val="center"/>
          </w:tcPr>
          <w:p w14:paraId="6D55CB2D">
            <w:pPr>
              <w:jc w:val="both"/>
              <w:rPr>
                <w:highlight w:val="none"/>
                <w:vertAlign w:val="baseline"/>
              </w:rPr>
            </w:pPr>
          </w:p>
        </w:tc>
      </w:tr>
      <w:tr w14:paraId="4B78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4189" w:type="dxa"/>
            <w:gridSpan w:val="9"/>
            <w:noWrap w:val="0"/>
            <w:vAlign w:val="center"/>
          </w:tcPr>
          <w:p w14:paraId="10C7157F">
            <w:pPr>
              <w:jc w:val="left"/>
              <w:rPr>
                <w:highlight w:val="none"/>
                <w:vertAlign w:val="baseline"/>
              </w:rPr>
            </w:pPr>
            <w:r>
              <w:rPr>
                <w:rFonts w:hint="eastAsia"/>
                <w:b/>
                <w:bCs/>
                <w:sz w:val="30"/>
                <w:szCs w:val="30"/>
                <w:highlight w:val="none"/>
                <w:vertAlign w:val="baseline"/>
              </w:rPr>
              <w:t>二、学生实验学习区</w:t>
            </w:r>
          </w:p>
        </w:tc>
      </w:tr>
      <w:tr w14:paraId="54E9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895" w:type="dxa"/>
            <w:noWrap w:val="0"/>
            <w:vAlign w:val="center"/>
          </w:tcPr>
          <w:p w14:paraId="796C8A1C">
            <w:pPr>
              <w:keepNext w:val="0"/>
              <w:keepLines w:val="0"/>
              <w:widowControl/>
              <w:suppressLineNumbers w:val="0"/>
              <w:jc w:val="center"/>
              <w:textAlignment w:val="center"/>
              <w:rPr>
                <w:rFonts w:hint="eastAsia"/>
                <w:b/>
                <w:bCs/>
                <w:sz w:val="48"/>
                <w:szCs w:val="48"/>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187B4386">
            <w:pPr>
              <w:keepNext w:val="0"/>
              <w:keepLines w:val="0"/>
              <w:widowControl/>
              <w:suppressLineNumbers w:val="0"/>
              <w:jc w:val="center"/>
              <w:textAlignment w:val="center"/>
              <w:rPr>
                <w:rFonts w:hint="eastAsia"/>
                <w:b/>
                <w:bCs/>
                <w:sz w:val="48"/>
                <w:szCs w:val="48"/>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4F8F2A35">
            <w:pPr>
              <w:keepNext w:val="0"/>
              <w:keepLines w:val="0"/>
              <w:widowControl/>
              <w:suppressLineNumbers w:val="0"/>
              <w:jc w:val="center"/>
              <w:textAlignment w:val="center"/>
              <w:rPr>
                <w:rFonts w:hint="eastAsia"/>
                <w:b/>
                <w:bCs/>
                <w:sz w:val="48"/>
                <w:szCs w:val="48"/>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426C1894">
            <w:pPr>
              <w:keepNext w:val="0"/>
              <w:keepLines w:val="0"/>
              <w:widowControl/>
              <w:suppressLineNumbers w:val="0"/>
              <w:jc w:val="center"/>
              <w:textAlignment w:val="center"/>
              <w:rPr>
                <w:rFonts w:hint="eastAsia"/>
                <w:b/>
                <w:bCs/>
                <w:sz w:val="48"/>
                <w:szCs w:val="48"/>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45" w:type="dxa"/>
            <w:gridSpan w:val="2"/>
            <w:noWrap w:val="0"/>
            <w:vAlign w:val="center"/>
          </w:tcPr>
          <w:p w14:paraId="07F828C7">
            <w:pPr>
              <w:keepNext w:val="0"/>
              <w:keepLines w:val="0"/>
              <w:widowControl/>
              <w:suppressLineNumbers w:val="0"/>
              <w:jc w:val="center"/>
              <w:textAlignment w:val="center"/>
              <w:rPr>
                <w:rFonts w:hint="eastAsia"/>
                <w:b/>
                <w:bCs/>
                <w:sz w:val="48"/>
                <w:szCs w:val="48"/>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88" w:type="dxa"/>
            <w:gridSpan w:val="2"/>
            <w:noWrap w:val="0"/>
            <w:vAlign w:val="center"/>
          </w:tcPr>
          <w:p w14:paraId="06D8F3FF">
            <w:pPr>
              <w:keepNext w:val="0"/>
              <w:keepLines w:val="0"/>
              <w:widowControl/>
              <w:suppressLineNumbers w:val="0"/>
              <w:jc w:val="center"/>
              <w:textAlignment w:val="center"/>
              <w:rPr>
                <w:rFonts w:hint="eastAsia"/>
                <w:b/>
                <w:bCs/>
                <w:sz w:val="48"/>
                <w:szCs w:val="48"/>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07" w:type="dxa"/>
            <w:noWrap w:val="0"/>
            <w:vAlign w:val="center"/>
          </w:tcPr>
          <w:p w14:paraId="511DC66C">
            <w:pPr>
              <w:keepNext w:val="0"/>
              <w:keepLines w:val="0"/>
              <w:widowControl/>
              <w:suppressLineNumbers w:val="0"/>
              <w:jc w:val="center"/>
              <w:textAlignment w:val="center"/>
              <w:rPr>
                <w:rFonts w:hint="eastAsia"/>
                <w:b/>
                <w:bCs/>
                <w:sz w:val="48"/>
                <w:szCs w:val="48"/>
                <w:highlight w:val="none"/>
                <w:vertAlign w:val="baseline"/>
              </w:rPr>
            </w:pPr>
            <w:r>
              <w:rPr>
                <w:rFonts w:hint="eastAsia"/>
                <w:highlight w:val="none"/>
                <w:vertAlign w:val="baseline"/>
                <w:lang w:val="en-US" w:eastAsia="zh-CN"/>
              </w:rPr>
              <w:t>备注</w:t>
            </w:r>
          </w:p>
        </w:tc>
      </w:tr>
      <w:tr w14:paraId="14C5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DE2AB8E">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2B7A7FE4">
            <w:pPr>
              <w:jc w:val="center"/>
              <w:rPr>
                <w:rFonts w:hint="eastAsia"/>
                <w:highlight w:val="none"/>
                <w:vertAlign w:val="baseline"/>
              </w:rPr>
            </w:pPr>
            <w:r>
              <w:rPr>
                <w:rFonts w:hint="eastAsia"/>
                <w:highlight w:val="none"/>
                <w:vertAlign w:val="baseline"/>
              </w:rPr>
              <w:t>塑铝学生桌</w:t>
            </w:r>
          </w:p>
        </w:tc>
        <w:tc>
          <w:tcPr>
            <w:tcW w:w="5928" w:type="dxa"/>
            <w:noWrap w:val="0"/>
            <w:vAlign w:val="center"/>
          </w:tcPr>
          <w:p w14:paraId="2CA5B7B4">
            <w:pPr>
              <w:jc w:val="left"/>
              <w:rPr>
                <w:rFonts w:hint="eastAsia"/>
                <w:highlight w:val="none"/>
                <w:vertAlign w:val="baseline"/>
              </w:rPr>
            </w:pPr>
            <w:r>
              <w:rPr>
                <w:rFonts w:hint="eastAsia"/>
                <w:highlight w:val="none"/>
                <w:vertAlign w:val="baseline"/>
              </w:rPr>
              <w:t xml:space="preserve">规格：≥1200×600×780mm </w:t>
            </w:r>
          </w:p>
          <w:p w14:paraId="3D6DEF2F">
            <w:pPr>
              <w:jc w:val="left"/>
              <w:rPr>
                <w:rFonts w:hint="eastAsia"/>
                <w:highlight w:val="none"/>
                <w:vertAlign w:val="baseline"/>
              </w:rPr>
            </w:pPr>
            <w:r>
              <w:rPr>
                <w:rFonts w:hint="eastAsia"/>
                <w:highlight w:val="none"/>
                <w:vertAlign w:val="baseline"/>
              </w:rPr>
              <w:t>▲采用20mm厚无甲醛新型环保陶瓷台面，台面表面为实验室专业耐腐蚀、耐污染、抗冲击釉面。坯体一体实芯，釉面和坯体经高温一体烧结而成。</w:t>
            </w:r>
          </w:p>
          <w:p w14:paraId="1DCEBC4B">
            <w:pPr>
              <w:jc w:val="left"/>
              <w:rPr>
                <w:rFonts w:hint="eastAsia"/>
                <w:highlight w:val="none"/>
                <w:vertAlign w:val="baseline"/>
              </w:rPr>
            </w:pPr>
            <w:r>
              <w:rPr>
                <w:rFonts w:hint="eastAsia"/>
                <w:highlight w:val="none"/>
                <w:vertAlign w:val="baseline"/>
              </w:rPr>
              <w:t>1、外观要求：参照T/CIQA10-2020的要求，外观为五面坯体，表面釉面为烧成颜色；坯体敲碎后，无空洞、无直径2mm以上气泡、无杂色，为一体实芯坯体；釉面与坯体之间无脱层，釉面与坯体呈一体结构，釉面为烧成颜色，非坯体颜色。</w:t>
            </w:r>
          </w:p>
          <w:p w14:paraId="35ACC236">
            <w:pPr>
              <w:jc w:val="left"/>
              <w:rPr>
                <w:rFonts w:hint="eastAsia"/>
                <w:highlight w:val="none"/>
                <w:vertAlign w:val="baseline"/>
              </w:rPr>
            </w:pPr>
            <w:r>
              <w:rPr>
                <w:rFonts w:hint="eastAsia"/>
                <w:highlight w:val="none"/>
                <w:vertAlign w:val="baseline"/>
              </w:rPr>
              <w:t>2、耐化学腐蚀性能：为保证台面耐化学腐蚀的稳定性，参照T/CIQA10-2020标准，台面耐化学腐蚀性不低于GLA级。</w:t>
            </w:r>
          </w:p>
          <w:p w14:paraId="5D44F28C">
            <w:pPr>
              <w:jc w:val="left"/>
              <w:rPr>
                <w:rFonts w:hint="eastAsia"/>
                <w:highlight w:val="none"/>
                <w:vertAlign w:val="baseline"/>
              </w:rPr>
            </w:pPr>
            <w:r>
              <w:rPr>
                <w:rFonts w:hint="eastAsia"/>
                <w:highlight w:val="none"/>
                <w:vertAlign w:val="baseline"/>
              </w:rPr>
              <w:t>3、抗冲击性能：为保证台面使用的安全性，参照T/CIQA10-2020标准，台面抗冲击性（恢复系数）不低于0.849。</w:t>
            </w:r>
          </w:p>
          <w:p w14:paraId="0511F20C">
            <w:pPr>
              <w:jc w:val="left"/>
              <w:rPr>
                <w:rFonts w:hint="eastAsia"/>
                <w:highlight w:val="none"/>
                <w:vertAlign w:val="baseline"/>
              </w:rPr>
            </w:pPr>
            <w:r>
              <w:rPr>
                <w:rFonts w:hint="eastAsia"/>
                <w:highlight w:val="none"/>
                <w:vertAlign w:val="baseline"/>
              </w:rPr>
              <w:t>4、防潮要求：为保证台面防潮、防霉的性能，参照GB/T4100-2015（陶瓷砖）附录G标准，台面吸水率测试平均值≤0.05％。</w:t>
            </w:r>
          </w:p>
          <w:p w14:paraId="21237C09">
            <w:pPr>
              <w:jc w:val="left"/>
              <w:rPr>
                <w:rFonts w:hint="eastAsia"/>
                <w:highlight w:val="none"/>
                <w:vertAlign w:val="baseline"/>
              </w:rPr>
            </w:pPr>
            <w:r>
              <w:rPr>
                <w:rFonts w:hint="eastAsia"/>
                <w:highlight w:val="none"/>
                <w:vertAlign w:val="baseline"/>
              </w:rPr>
              <w:t>5、放射性核素限量要求：参照GB6566-2010《建筑材料放射性核素限量》标准，检测结果：内照射指数≤0.4。</w:t>
            </w:r>
          </w:p>
          <w:p w14:paraId="0D24F92C">
            <w:pPr>
              <w:jc w:val="left"/>
              <w:rPr>
                <w:rFonts w:hint="eastAsia"/>
                <w:highlight w:val="none"/>
                <w:vertAlign w:val="baseline"/>
              </w:rPr>
            </w:pPr>
            <w:r>
              <w:rPr>
                <w:rFonts w:hint="eastAsia"/>
                <w:highlight w:val="none"/>
                <w:vertAlign w:val="baseline"/>
              </w:rPr>
              <w:t>6、颜色稳定性：为保证台面的美观度，参照GB/T17657-2022标准,耐光色牢度不低于4级。</w:t>
            </w:r>
          </w:p>
          <w:p w14:paraId="1986608E">
            <w:pPr>
              <w:jc w:val="left"/>
              <w:rPr>
                <w:rFonts w:hint="eastAsia"/>
                <w:highlight w:val="none"/>
                <w:vertAlign w:val="baseline"/>
              </w:rPr>
            </w:pPr>
            <w:r>
              <w:rPr>
                <w:rFonts w:hint="eastAsia"/>
                <w:highlight w:val="none"/>
                <w:vertAlign w:val="baseline"/>
              </w:rPr>
              <w:t>备注：为确保产品质量，需提供具有CMA或CNAS标识的检测报告扫描件并加盖制造商公章。</w:t>
            </w:r>
          </w:p>
          <w:p w14:paraId="4F83FAF4">
            <w:pPr>
              <w:jc w:val="left"/>
              <w:rPr>
                <w:rFonts w:hint="eastAsia"/>
                <w:highlight w:val="none"/>
                <w:vertAlign w:val="baseline"/>
              </w:rPr>
            </w:pPr>
            <w:r>
              <w:rPr>
                <w:rFonts w:hint="eastAsia"/>
                <w:highlight w:val="none"/>
                <w:vertAlign w:val="baseline"/>
              </w:rPr>
              <w:t>结构：新型塑铝结构，学生位镂空式，符合人体工程学设计，美观大方。</w:t>
            </w:r>
          </w:p>
          <w:p w14:paraId="5BDAB508">
            <w:pPr>
              <w:jc w:val="left"/>
              <w:rPr>
                <w:rFonts w:hint="eastAsia"/>
                <w:highlight w:val="none"/>
                <w:vertAlign w:val="baseline"/>
              </w:rPr>
            </w:pPr>
            <w:r>
              <w:rPr>
                <w:rFonts w:hint="eastAsia"/>
                <w:highlight w:val="none"/>
                <w:vertAlign w:val="baseline"/>
              </w:rPr>
              <w:t>主框架工字型结构：</w:t>
            </w:r>
          </w:p>
          <w:p w14:paraId="16E7BE8D">
            <w:pPr>
              <w:jc w:val="left"/>
              <w:rPr>
                <w:rFonts w:hint="eastAsia"/>
                <w:highlight w:val="none"/>
                <w:vertAlign w:val="baseline"/>
              </w:rPr>
            </w:pPr>
            <w:r>
              <w:rPr>
                <w:rFonts w:hint="eastAsia"/>
                <w:highlight w:val="none"/>
                <w:vertAlign w:val="baseline"/>
              </w:rPr>
              <w:t>桌身：由桌腿、立柱、前横梁、中横梁、后横梁组成。</w:t>
            </w:r>
          </w:p>
          <w:p w14:paraId="010B5E6B">
            <w:pPr>
              <w:jc w:val="left"/>
              <w:rPr>
                <w:rFonts w:hint="eastAsia"/>
                <w:highlight w:val="none"/>
                <w:vertAlign w:val="baseline"/>
              </w:rPr>
            </w:pPr>
            <w:r>
              <w:rPr>
                <w:rFonts w:hint="eastAsia"/>
                <w:highlight w:val="none"/>
                <w:vertAlign w:val="baseline"/>
              </w:rPr>
              <w:t>桌腿：采用工字型压铸铝一次成型，材料表面经高压静电喷涂环氧树脂防护层，耐酸碱，耐腐蚀处理。</w:t>
            </w:r>
          </w:p>
          <w:p w14:paraId="2E5E08DA">
            <w:pPr>
              <w:jc w:val="left"/>
              <w:rPr>
                <w:rFonts w:hint="eastAsia"/>
                <w:highlight w:val="none"/>
                <w:vertAlign w:val="baseline"/>
              </w:rPr>
            </w:pPr>
            <w:r>
              <w:rPr>
                <w:rFonts w:hint="eastAsia"/>
                <w:highlight w:val="none"/>
                <w:vertAlign w:val="baseline"/>
              </w:rPr>
              <w:t>上腿规格：≥590×50×95mm，壁厚2.5mm。</w:t>
            </w:r>
          </w:p>
          <w:p w14:paraId="14FD3026">
            <w:pPr>
              <w:jc w:val="left"/>
              <w:rPr>
                <w:rFonts w:hint="eastAsia"/>
                <w:highlight w:val="none"/>
                <w:vertAlign w:val="baseline"/>
              </w:rPr>
            </w:pPr>
            <w:r>
              <w:rPr>
                <w:rFonts w:hint="eastAsia"/>
                <w:highlight w:val="none"/>
                <w:vertAlign w:val="baseline"/>
              </w:rPr>
              <w:t>下腿规格：≥540×50×95mm，壁厚2.5mm。</w:t>
            </w:r>
          </w:p>
          <w:p w14:paraId="4AB82D91">
            <w:pPr>
              <w:jc w:val="left"/>
              <w:rPr>
                <w:rFonts w:hint="eastAsia"/>
                <w:highlight w:val="none"/>
                <w:vertAlign w:val="baseline"/>
              </w:rPr>
            </w:pPr>
            <w:r>
              <w:rPr>
                <w:rFonts w:hint="eastAsia"/>
                <w:highlight w:val="none"/>
                <w:vertAlign w:val="baseline"/>
              </w:rPr>
              <w:t>立柱：≥580×43×110mm，壁厚1.5mm。</w:t>
            </w:r>
          </w:p>
          <w:p w14:paraId="7270F453">
            <w:pPr>
              <w:jc w:val="left"/>
              <w:rPr>
                <w:rFonts w:hint="eastAsia"/>
                <w:highlight w:val="none"/>
                <w:vertAlign w:val="baseline"/>
              </w:rPr>
            </w:pPr>
            <w:r>
              <w:rPr>
                <w:rFonts w:hint="eastAsia"/>
                <w:highlight w:val="none"/>
                <w:vertAlign w:val="baseline"/>
              </w:rPr>
              <w:t>前横梁：≥1070×40×30mm，壁厚1.0mm。</w:t>
            </w:r>
          </w:p>
          <w:p w14:paraId="0D329C28">
            <w:pPr>
              <w:jc w:val="left"/>
              <w:rPr>
                <w:rFonts w:hint="eastAsia"/>
                <w:highlight w:val="none"/>
                <w:vertAlign w:val="baseline"/>
              </w:rPr>
            </w:pPr>
            <w:r>
              <w:rPr>
                <w:rFonts w:hint="eastAsia"/>
                <w:highlight w:val="none"/>
                <w:vertAlign w:val="baseline"/>
              </w:rPr>
              <w:t>中横梁：≥1070×30×25mm，壁厚1.0mm。</w:t>
            </w:r>
          </w:p>
          <w:p w14:paraId="5D4C11BA">
            <w:pPr>
              <w:jc w:val="left"/>
              <w:rPr>
                <w:rFonts w:hint="eastAsia"/>
                <w:highlight w:val="none"/>
                <w:vertAlign w:val="baseline"/>
              </w:rPr>
            </w:pPr>
            <w:r>
              <w:rPr>
                <w:rFonts w:hint="eastAsia"/>
                <w:highlight w:val="none"/>
                <w:vertAlign w:val="baseline"/>
              </w:rPr>
              <w:t>后横梁：≥1070×40×30mm，壁厚1.0mm。</w:t>
            </w:r>
          </w:p>
          <w:p w14:paraId="1FA0A343">
            <w:pPr>
              <w:jc w:val="left"/>
              <w:rPr>
                <w:rFonts w:hint="eastAsia"/>
                <w:highlight w:val="none"/>
                <w:vertAlign w:val="baseline"/>
              </w:rPr>
            </w:pPr>
            <w:r>
              <w:rPr>
                <w:rFonts w:hint="eastAsia"/>
                <w:highlight w:val="none"/>
                <w:vertAlign w:val="baseline"/>
              </w:rPr>
              <w:t>大横梁：≥1090×80×20mm，壁厚1.0mm。</w:t>
            </w:r>
          </w:p>
          <w:p w14:paraId="43A0AE9A">
            <w:pPr>
              <w:jc w:val="left"/>
              <w:rPr>
                <w:rFonts w:hint="eastAsia"/>
                <w:highlight w:val="none"/>
                <w:vertAlign w:val="baseline"/>
              </w:rPr>
            </w:pPr>
            <w:r>
              <w:rPr>
                <w:rFonts w:hint="eastAsia"/>
                <w:highlight w:val="none"/>
                <w:vertAlign w:val="baseline"/>
              </w:rPr>
              <w:t>材料均采用优质铝镁合金材料，材料表面经高压静电喷涂环氧树脂防护层，耐酸碱，耐腐蚀处理。</w:t>
            </w:r>
          </w:p>
          <w:p w14:paraId="6806C2BE">
            <w:pPr>
              <w:jc w:val="left"/>
              <w:rPr>
                <w:rFonts w:hint="eastAsia"/>
                <w:highlight w:val="none"/>
                <w:vertAlign w:val="baseline"/>
              </w:rPr>
            </w:pPr>
            <w:r>
              <w:rPr>
                <w:rFonts w:hint="eastAsia"/>
                <w:highlight w:val="none"/>
                <w:vertAlign w:val="baseline"/>
              </w:rPr>
              <w:t>书包斗：外规格：≥430×340×160mm，采用PP材料，大型模具一次性注塑成型,上面设计有可悬挂凳子的圆形孔，镂空造型，造型时尚。</w:t>
            </w:r>
          </w:p>
          <w:p w14:paraId="62464D69">
            <w:pPr>
              <w:jc w:val="left"/>
              <w:rPr>
                <w:rFonts w:hint="eastAsia"/>
                <w:highlight w:val="none"/>
                <w:vertAlign w:val="baseline"/>
              </w:rPr>
            </w:pPr>
            <w:r>
              <w:rPr>
                <w:rFonts w:hint="eastAsia"/>
                <w:highlight w:val="none"/>
                <w:vertAlign w:val="baseline"/>
              </w:rPr>
              <w:t>▲塑铝学生桌整体通过GB/T 3325-2017金属家具通用技术条件检测，外观性能要求，安全性能要求，金属喷漆涂层要求，桌类稳定性要求。测试结果符合指标要求。备注：为确保产品质量，需提供具有CMA或CNAS标识的检测报告扫描件。</w:t>
            </w:r>
          </w:p>
          <w:p w14:paraId="06982396">
            <w:pPr>
              <w:jc w:val="left"/>
              <w:rPr>
                <w:rFonts w:hint="eastAsia"/>
                <w:highlight w:val="none"/>
                <w:vertAlign w:val="baseline"/>
              </w:rPr>
            </w:pPr>
            <w:r>
              <w:rPr>
                <w:rFonts w:hint="eastAsia"/>
                <w:highlight w:val="none"/>
                <w:vertAlign w:val="baseline"/>
              </w:rPr>
              <w:t>▲塑铝学生桌整体通过GB/T 21747-2008 教学实验室设备 实验台（桌）的安全要求及试验方法标准检测，力学性能要求，理化性能要求，甲醛释放量。测试结果符合指标要求。备注：为确保产品质量，需提供具有CMA或CNAS标识的检测报告扫描件。</w:t>
            </w:r>
          </w:p>
          <w:p w14:paraId="0824F388">
            <w:pPr>
              <w:jc w:val="left"/>
              <w:rPr>
                <w:rFonts w:hint="eastAsia"/>
                <w:highlight w:val="none"/>
                <w:vertAlign w:val="baseline"/>
              </w:rPr>
            </w:pPr>
            <w:r>
              <w:rPr>
                <w:rFonts w:hint="eastAsia"/>
                <w:highlight w:val="none"/>
                <w:vertAlign w:val="baseline"/>
              </w:rPr>
              <w:t>▲书包斗整体通过GB/T 32487-2016 塑料家具通用技术条件检测，塑料件外观要求，塑料件理化性能，有害物质限量。测试结果符合指标要求。备注：为确保产品质量，需提供具有CMA或CNAS标识的检测报告扫描件。</w:t>
            </w:r>
          </w:p>
        </w:tc>
        <w:tc>
          <w:tcPr>
            <w:tcW w:w="736" w:type="dxa"/>
            <w:noWrap w:val="0"/>
            <w:vAlign w:val="center"/>
          </w:tcPr>
          <w:p w14:paraId="2F3F26FF">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28 </w:t>
            </w:r>
          </w:p>
        </w:tc>
        <w:tc>
          <w:tcPr>
            <w:tcW w:w="834" w:type="dxa"/>
            <w:noWrap w:val="0"/>
            <w:vAlign w:val="center"/>
          </w:tcPr>
          <w:p w14:paraId="3860978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2848EBAD">
            <w:pPr>
              <w:jc w:val="center"/>
              <w:rPr>
                <w:highlight w:val="none"/>
              </w:rPr>
            </w:pPr>
            <w:r>
              <w:rPr>
                <w:highlight w:val="none"/>
              </w:rPr>
              <w:drawing>
                <wp:inline distT="0" distB="0" distL="114300" distR="114300">
                  <wp:extent cx="1780540" cy="1436370"/>
                  <wp:effectExtent l="0" t="0" r="10160" b="11430"/>
                  <wp:docPr id="37" name="图片 9" descr="C:/Users/ADMINI~1/AppData/Local/Temp/picturescale_20200507133936/output_20200507133937.jpgoutput_2020050713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C:/Users/ADMINI~1/AppData/Local/Temp/picturescale_20200507133936/output_20200507133937.jpgoutput_20200507133937"/>
                          <pic:cNvPicPr>
                            <a:picLocks noChangeAspect="1"/>
                          </pic:cNvPicPr>
                        </pic:nvPicPr>
                        <pic:blipFill>
                          <a:blip r:embed="rId32"/>
                          <a:srcRect l="20847" t="26097" r="26779" b="9631"/>
                          <a:stretch>
                            <a:fillRect/>
                          </a:stretch>
                        </pic:blipFill>
                        <pic:spPr>
                          <a:xfrm>
                            <a:off x="0" y="0"/>
                            <a:ext cx="1780540" cy="1436370"/>
                          </a:xfrm>
                          <a:prstGeom prst="rect">
                            <a:avLst/>
                          </a:prstGeom>
                          <a:noFill/>
                          <a:ln>
                            <a:noFill/>
                          </a:ln>
                        </pic:spPr>
                      </pic:pic>
                    </a:graphicData>
                  </a:graphic>
                </wp:inline>
              </w:drawing>
            </w:r>
          </w:p>
        </w:tc>
        <w:tc>
          <w:tcPr>
            <w:tcW w:w="710" w:type="dxa"/>
            <w:gridSpan w:val="2"/>
            <w:noWrap w:val="0"/>
            <w:vAlign w:val="center"/>
          </w:tcPr>
          <w:p w14:paraId="28B4E925">
            <w:pPr>
              <w:jc w:val="both"/>
              <w:rPr>
                <w:highlight w:val="none"/>
                <w:vertAlign w:val="baseline"/>
              </w:rPr>
            </w:pPr>
          </w:p>
        </w:tc>
      </w:tr>
      <w:tr w14:paraId="35B9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18DF44">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0597EE32">
            <w:pPr>
              <w:jc w:val="center"/>
              <w:rPr>
                <w:rFonts w:hint="eastAsia"/>
                <w:highlight w:val="none"/>
                <w:vertAlign w:val="baseline"/>
              </w:rPr>
            </w:pPr>
            <w:r>
              <w:rPr>
                <w:rFonts w:hint="eastAsia"/>
                <w:highlight w:val="none"/>
                <w:vertAlign w:val="baseline"/>
              </w:rPr>
              <w:t>柜体箱</w:t>
            </w:r>
          </w:p>
        </w:tc>
        <w:tc>
          <w:tcPr>
            <w:tcW w:w="5928" w:type="dxa"/>
            <w:noWrap w:val="0"/>
            <w:vAlign w:val="center"/>
          </w:tcPr>
          <w:p w14:paraId="317AAAA3">
            <w:pPr>
              <w:jc w:val="left"/>
              <w:rPr>
                <w:rFonts w:hint="eastAsia"/>
                <w:highlight w:val="none"/>
                <w:vertAlign w:val="baseline"/>
              </w:rPr>
            </w:pPr>
            <w:r>
              <w:rPr>
                <w:rFonts w:hint="eastAsia"/>
                <w:highlight w:val="none"/>
                <w:vertAlign w:val="baseline"/>
              </w:rPr>
              <w:t xml:space="preserve">规格：≥宽360≥深230×高730mm，采用环保型ABS工程塑料注塑成型。电缆线、通风管等管线均布置于箱体内部，避免管线外露，确保使用的安全。  </w:t>
            </w:r>
          </w:p>
          <w:p w14:paraId="7D437280">
            <w:pPr>
              <w:jc w:val="left"/>
              <w:rPr>
                <w:rFonts w:hint="eastAsia"/>
                <w:highlight w:val="none"/>
                <w:vertAlign w:val="baseline"/>
              </w:rPr>
            </w:pPr>
            <w:r>
              <w:rPr>
                <w:rFonts w:hint="eastAsia"/>
                <w:highlight w:val="none"/>
                <w:vertAlign w:val="baseline"/>
              </w:rPr>
              <w:t>▲柜体箱整体通过GB/T 32487-2016 塑料家具通用技术条件检测，塑料件外观要求，塑料件理化性能，有害物质限量。测试结果符合指标要求。备注：为确保产品质量，需提供具有CMA或CNAS标识的检测报告扫描件。</w:t>
            </w:r>
          </w:p>
        </w:tc>
        <w:tc>
          <w:tcPr>
            <w:tcW w:w="736" w:type="dxa"/>
            <w:noWrap w:val="0"/>
            <w:vAlign w:val="center"/>
          </w:tcPr>
          <w:p w14:paraId="77BB02E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28</w:t>
            </w:r>
          </w:p>
        </w:tc>
        <w:tc>
          <w:tcPr>
            <w:tcW w:w="834" w:type="dxa"/>
            <w:noWrap w:val="0"/>
            <w:vAlign w:val="center"/>
          </w:tcPr>
          <w:p w14:paraId="66E874D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6080350C">
            <w:pPr>
              <w:jc w:val="center"/>
              <w:rPr>
                <w:highlight w:val="none"/>
              </w:rPr>
            </w:pPr>
            <w:r>
              <w:rPr>
                <w:highlight w:val="none"/>
              </w:rPr>
              <w:drawing>
                <wp:inline distT="0" distB="0" distL="114300" distR="114300">
                  <wp:extent cx="704215" cy="1290320"/>
                  <wp:effectExtent l="0" t="0" r="6985" b="5080"/>
                  <wp:docPr id="38" name="图片 10" descr="C:/Users/ADMINI~1/AppData/Local/Temp/picturescale_20200507133714/output_20200507133715.jpgoutput_2020050713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C:/Users/ADMINI~1/AppData/Local/Temp/picturescale_20200507133714/output_20200507133715.jpgoutput_20200507133715"/>
                          <pic:cNvPicPr>
                            <a:picLocks noChangeAspect="1"/>
                          </pic:cNvPicPr>
                        </pic:nvPicPr>
                        <pic:blipFill>
                          <a:blip r:embed="rId33"/>
                          <a:srcRect l="32996" t="19778" r="38208" b="10178"/>
                          <a:stretch>
                            <a:fillRect/>
                          </a:stretch>
                        </pic:blipFill>
                        <pic:spPr>
                          <a:xfrm>
                            <a:off x="0" y="0"/>
                            <a:ext cx="704215" cy="1290320"/>
                          </a:xfrm>
                          <a:prstGeom prst="rect">
                            <a:avLst/>
                          </a:prstGeom>
                          <a:noFill/>
                          <a:ln>
                            <a:noFill/>
                          </a:ln>
                        </pic:spPr>
                      </pic:pic>
                    </a:graphicData>
                  </a:graphic>
                </wp:inline>
              </w:drawing>
            </w:r>
          </w:p>
        </w:tc>
        <w:tc>
          <w:tcPr>
            <w:tcW w:w="710" w:type="dxa"/>
            <w:gridSpan w:val="2"/>
            <w:noWrap w:val="0"/>
            <w:vAlign w:val="center"/>
          </w:tcPr>
          <w:p w14:paraId="609743F7">
            <w:pPr>
              <w:jc w:val="both"/>
              <w:rPr>
                <w:highlight w:val="none"/>
                <w:vertAlign w:val="baseline"/>
              </w:rPr>
            </w:pPr>
          </w:p>
        </w:tc>
      </w:tr>
      <w:tr w14:paraId="1BA9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9A52E6C">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23F977E3">
            <w:pPr>
              <w:jc w:val="center"/>
              <w:rPr>
                <w:rFonts w:hint="eastAsia"/>
                <w:highlight w:val="none"/>
                <w:vertAlign w:val="baseline"/>
              </w:rPr>
            </w:pPr>
            <w:r>
              <w:rPr>
                <w:rFonts w:hint="eastAsia"/>
                <w:highlight w:val="none"/>
                <w:vertAlign w:val="baseline"/>
              </w:rPr>
              <w:t>学生电学电源</w:t>
            </w:r>
          </w:p>
        </w:tc>
        <w:tc>
          <w:tcPr>
            <w:tcW w:w="5928" w:type="dxa"/>
            <w:noWrap w:val="0"/>
            <w:vAlign w:val="center"/>
          </w:tcPr>
          <w:p w14:paraId="6323F001">
            <w:pPr>
              <w:jc w:val="left"/>
              <w:rPr>
                <w:rFonts w:hint="eastAsia"/>
                <w:highlight w:val="none"/>
                <w:vertAlign w:val="baseline"/>
              </w:rPr>
            </w:pPr>
            <w:r>
              <w:rPr>
                <w:rFonts w:hint="eastAsia"/>
                <w:highlight w:val="none"/>
                <w:vertAlign w:val="baseline"/>
              </w:rPr>
              <w:t>采用铝合金外框，一体化PVC及隐藏式按键操作，电源设定采用数字键盘快捷方式，替代传统的按钮调节，电源显示方式采用数字表显示。</w:t>
            </w:r>
          </w:p>
          <w:p w14:paraId="37589B44">
            <w:pPr>
              <w:jc w:val="left"/>
              <w:rPr>
                <w:rFonts w:hint="eastAsia"/>
                <w:highlight w:val="none"/>
                <w:vertAlign w:val="baseline"/>
              </w:rPr>
            </w:pPr>
            <w:r>
              <w:rPr>
                <w:rFonts w:hint="eastAsia"/>
                <w:highlight w:val="none"/>
                <w:vertAlign w:val="baseline"/>
              </w:rPr>
              <w:t>1.交流输出：可由学生或教师操作输出0-30V电源，分辨率为1V，有过载声光报警过载保护功能。</w:t>
            </w:r>
          </w:p>
          <w:p w14:paraId="7FA64D49">
            <w:pPr>
              <w:jc w:val="left"/>
              <w:rPr>
                <w:rFonts w:hint="eastAsia"/>
                <w:highlight w:val="none"/>
                <w:vertAlign w:val="baseline"/>
              </w:rPr>
            </w:pPr>
            <w:r>
              <w:rPr>
                <w:rFonts w:hint="eastAsia"/>
                <w:highlight w:val="none"/>
                <w:vertAlign w:val="baseline"/>
              </w:rPr>
              <w:t>2.直流输出：可由学生或教师操作输出0-30V电源，分辨率为0.1V，有过载声光报警过载保护功能。</w:t>
            </w:r>
          </w:p>
          <w:p w14:paraId="26539334">
            <w:pPr>
              <w:jc w:val="left"/>
              <w:rPr>
                <w:rFonts w:hint="eastAsia"/>
                <w:highlight w:val="none"/>
                <w:vertAlign w:val="baseline"/>
              </w:rPr>
            </w:pPr>
            <w:r>
              <w:rPr>
                <w:rFonts w:hint="eastAsia"/>
                <w:highlight w:val="none"/>
                <w:vertAlign w:val="baseline"/>
              </w:rPr>
              <w:t>3.由教师单独控制两路220V电源输出，有开关及指示显示，当此电被关闭时，低压仍可使用。</w:t>
            </w:r>
          </w:p>
          <w:p w14:paraId="1931125B">
            <w:pPr>
              <w:jc w:val="left"/>
              <w:rPr>
                <w:rFonts w:hint="eastAsia"/>
                <w:highlight w:val="none"/>
                <w:vertAlign w:val="baseline"/>
              </w:rPr>
            </w:pPr>
            <w:r>
              <w:rPr>
                <w:rFonts w:hint="eastAsia"/>
                <w:highlight w:val="none"/>
                <w:vertAlign w:val="baseline"/>
              </w:rPr>
              <w:t>4.锁定：当电源被教师锁定时，本电源内部锁定禁止学生操作本电源，只能由教师操作控制本电源所有电压，以防学生误操作的电压与教师要求的实验电压不符而对实验设备造成损坏。</w:t>
            </w:r>
          </w:p>
          <w:p w14:paraId="5490701D">
            <w:pPr>
              <w:jc w:val="left"/>
              <w:rPr>
                <w:rFonts w:hint="eastAsia"/>
                <w:highlight w:val="none"/>
                <w:vertAlign w:val="baseline"/>
              </w:rPr>
            </w:pPr>
            <w:r>
              <w:rPr>
                <w:rFonts w:hint="eastAsia"/>
                <w:highlight w:val="none"/>
                <w:vertAlign w:val="baseline"/>
              </w:rPr>
              <w:t>5.配备双组外部测试功能，含有电压，电流，灵敏电流计等六块表。</w:t>
            </w:r>
          </w:p>
        </w:tc>
        <w:tc>
          <w:tcPr>
            <w:tcW w:w="736" w:type="dxa"/>
            <w:noWrap w:val="0"/>
            <w:vAlign w:val="center"/>
          </w:tcPr>
          <w:p w14:paraId="4836CD23">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28 </w:t>
            </w:r>
          </w:p>
        </w:tc>
        <w:tc>
          <w:tcPr>
            <w:tcW w:w="834" w:type="dxa"/>
            <w:noWrap w:val="0"/>
            <w:vAlign w:val="center"/>
          </w:tcPr>
          <w:p w14:paraId="06218EE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7F8AF0D3">
            <w:pPr>
              <w:jc w:val="center"/>
              <w:rPr>
                <w:highlight w:val="none"/>
              </w:rPr>
            </w:pPr>
            <w:r>
              <w:rPr>
                <w:highlight w:val="none"/>
              </w:rPr>
              <w:drawing>
                <wp:inline distT="0" distB="0" distL="114300" distR="114300">
                  <wp:extent cx="1793875" cy="422275"/>
                  <wp:effectExtent l="0" t="0" r="9525" b="9525"/>
                  <wp:docPr id="41" name="图片 11" descr="baa07a5864a7ba7900890e9da54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baa07a5864a7ba7900890e9da547937"/>
                          <pic:cNvPicPr>
                            <a:picLocks noChangeAspect="1"/>
                          </pic:cNvPicPr>
                        </pic:nvPicPr>
                        <pic:blipFill>
                          <a:blip r:embed="rId34"/>
                          <a:srcRect t="22327" b="46393"/>
                          <a:stretch>
                            <a:fillRect/>
                          </a:stretch>
                        </pic:blipFill>
                        <pic:spPr>
                          <a:xfrm>
                            <a:off x="0" y="0"/>
                            <a:ext cx="1793875" cy="422275"/>
                          </a:xfrm>
                          <a:prstGeom prst="rect">
                            <a:avLst/>
                          </a:prstGeom>
                          <a:noFill/>
                          <a:ln>
                            <a:noFill/>
                          </a:ln>
                        </pic:spPr>
                      </pic:pic>
                    </a:graphicData>
                  </a:graphic>
                </wp:inline>
              </w:drawing>
            </w:r>
          </w:p>
        </w:tc>
        <w:tc>
          <w:tcPr>
            <w:tcW w:w="710" w:type="dxa"/>
            <w:gridSpan w:val="2"/>
            <w:noWrap w:val="0"/>
            <w:vAlign w:val="center"/>
          </w:tcPr>
          <w:p w14:paraId="4E20ABF3">
            <w:pPr>
              <w:jc w:val="both"/>
              <w:rPr>
                <w:highlight w:val="none"/>
                <w:vertAlign w:val="baseline"/>
              </w:rPr>
            </w:pPr>
          </w:p>
        </w:tc>
      </w:tr>
      <w:tr w14:paraId="4846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513AE8">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337DAB4E">
            <w:pPr>
              <w:jc w:val="center"/>
              <w:rPr>
                <w:rFonts w:hint="eastAsia"/>
                <w:highlight w:val="none"/>
                <w:vertAlign w:val="baseline"/>
              </w:rPr>
            </w:pPr>
            <w:r>
              <w:rPr>
                <w:rFonts w:hint="eastAsia"/>
                <w:highlight w:val="none"/>
                <w:vertAlign w:val="baseline"/>
              </w:rPr>
              <w:t>学生凳</w:t>
            </w:r>
          </w:p>
        </w:tc>
        <w:tc>
          <w:tcPr>
            <w:tcW w:w="5928" w:type="dxa"/>
            <w:noWrap w:val="0"/>
            <w:vAlign w:val="center"/>
          </w:tcPr>
          <w:p w14:paraId="5FDF1A04">
            <w:pPr>
              <w:jc w:val="left"/>
              <w:rPr>
                <w:rFonts w:hint="eastAsia"/>
                <w:highlight w:val="none"/>
                <w:vertAlign w:val="baseline"/>
              </w:rPr>
            </w:pPr>
            <w:r>
              <w:rPr>
                <w:rFonts w:hint="eastAsia"/>
                <w:highlight w:val="none"/>
                <w:vertAlign w:val="baseline"/>
              </w:rPr>
              <w:t>1、规格：≥320×430～480mm；</w:t>
            </w:r>
          </w:p>
          <w:p w14:paraId="4A8FE0BB">
            <w:pPr>
              <w:jc w:val="left"/>
              <w:rPr>
                <w:rFonts w:hint="eastAsia"/>
                <w:highlight w:val="none"/>
                <w:vertAlign w:val="baseline"/>
              </w:rPr>
            </w:pPr>
            <w:r>
              <w:rPr>
                <w:rFonts w:hint="eastAsia"/>
                <w:highlight w:val="none"/>
                <w:vertAlign w:val="baseline"/>
              </w:rPr>
              <w:t>2、凳面：凳面直径≥320mm，采用环保型PP改性塑料注塑成型；表面细纹咬花,防滑不发光；</w:t>
            </w:r>
          </w:p>
          <w:p w14:paraId="2FAED94F">
            <w:pPr>
              <w:jc w:val="left"/>
              <w:rPr>
                <w:rFonts w:hint="eastAsia"/>
                <w:highlight w:val="none"/>
                <w:vertAlign w:val="baseline"/>
              </w:rPr>
            </w:pPr>
            <w:r>
              <w:rPr>
                <w:rFonts w:hint="eastAsia"/>
                <w:highlight w:val="none"/>
                <w:vertAlign w:val="baseline"/>
              </w:rPr>
              <w:t>3、凳脚材质：4个凳脚采用≥20×40×1.2mm椭圆形无缝钢管模具一次成型,全圆满焊完成,结构牢固,经高温粉体烤漆处理,长时间使用也不会产生表面烤漆剥落现象；</w:t>
            </w:r>
          </w:p>
          <w:p w14:paraId="0CB0C87C">
            <w:pPr>
              <w:jc w:val="left"/>
              <w:rPr>
                <w:rFonts w:hint="eastAsia"/>
                <w:highlight w:val="none"/>
                <w:vertAlign w:val="baseline"/>
              </w:rPr>
            </w:pPr>
            <w:r>
              <w:rPr>
                <w:rFonts w:hint="eastAsia"/>
                <w:highlight w:val="none"/>
                <w:vertAlign w:val="baseline"/>
              </w:rPr>
              <w:t>4、凳脚弧度：凳脚需带有弧度,整体美观大方；</w:t>
            </w:r>
          </w:p>
          <w:p w14:paraId="67D5669D">
            <w:pPr>
              <w:jc w:val="left"/>
              <w:rPr>
                <w:rFonts w:hint="eastAsia"/>
                <w:highlight w:val="none"/>
                <w:vertAlign w:val="baseline"/>
              </w:rPr>
            </w:pPr>
            <w:r>
              <w:rPr>
                <w:rFonts w:hint="eastAsia"/>
                <w:highlight w:val="none"/>
                <w:vertAlign w:val="baseline"/>
              </w:rPr>
              <w:t>5、方形托盘厚度2mm边长160×160mm，以保证凳面稳固性；</w:t>
            </w:r>
          </w:p>
          <w:p w14:paraId="7D0B8341">
            <w:pPr>
              <w:jc w:val="left"/>
              <w:rPr>
                <w:rFonts w:hint="eastAsia"/>
                <w:highlight w:val="none"/>
                <w:vertAlign w:val="baseline"/>
              </w:rPr>
            </w:pPr>
            <w:r>
              <w:rPr>
                <w:rFonts w:hint="eastAsia"/>
                <w:highlight w:val="none"/>
                <w:vertAlign w:val="baseline"/>
              </w:rPr>
              <w:t>6、脚垫：采用PP加耐磨纤维质塑料,实心倒勾式一体注塑成型；</w:t>
            </w:r>
          </w:p>
          <w:p w14:paraId="43B45262">
            <w:pPr>
              <w:jc w:val="left"/>
              <w:rPr>
                <w:rFonts w:hint="eastAsia"/>
                <w:highlight w:val="none"/>
                <w:vertAlign w:val="baseline"/>
              </w:rPr>
            </w:pPr>
            <w:r>
              <w:rPr>
                <w:rFonts w:hint="eastAsia"/>
                <w:highlight w:val="none"/>
                <w:vertAlign w:val="baseline"/>
              </w:rPr>
              <w:t>7、凳子可螺旋升降,升降到一定高度后要有固定不旋转装置并且升到最高时凳面不可脱落。</w:t>
            </w:r>
          </w:p>
          <w:p w14:paraId="21362123">
            <w:pPr>
              <w:jc w:val="left"/>
              <w:rPr>
                <w:rFonts w:hint="eastAsia"/>
                <w:highlight w:val="none"/>
                <w:vertAlign w:val="baseline"/>
              </w:rPr>
            </w:pPr>
            <w:r>
              <w:rPr>
                <w:rFonts w:hint="eastAsia"/>
                <w:highlight w:val="none"/>
                <w:vertAlign w:val="baseline"/>
              </w:rPr>
              <w:t>▲学生凳整体通过GB/T 3325-2017金属家具通用技术条件检测，外观要求，结构安全，金属喷漆涂层，椅凳类强度和耐久度。测试结果符合指标要求。备注：为确保产品质量，需提供具有CMA或CNAS标识的检测报告扫描件。</w:t>
            </w:r>
          </w:p>
        </w:tc>
        <w:tc>
          <w:tcPr>
            <w:tcW w:w="736" w:type="dxa"/>
            <w:noWrap w:val="0"/>
            <w:vAlign w:val="center"/>
          </w:tcPr>
          <w:p w14:paraId="6AF9F446">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56 </w:t>
            </w:r>
          </w:p>
        </w:tc>
        <w:tc>
          <w:tcPr>
            <w:tcW w:w="834" w:type="dxa"/>
            <w:noWrap w:val="0"/>
            <w:vAlign w:val="center"/>
          </w:tcPr>
          <w:p w14:paraId="2CC2A6E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0FA478A6">
            <w:pPr>
              <w:jc w:val="center"/>
              <w:rPr>
                <w:highlight w:val="none"/>
              </w:rPr>
            </w:pPr>
            <w:r>
              <w:rPr>
                <w:highlight w:val="none"/>
              </w:rPr>
              <w:drawing>
                <wp:inline distT="0" distB="0" distL="114300" distR="114300">
                  <wp:extent cx="1348740" cy="1813560"/>
                  <wp:effectExtent l="0" t="0" r="10160" b="2540"/>
                  <wp:docPr id="42" name="图片 12" descr="C:/Users/ADMINI~1/AppData/Local/Temp/picturescale_20200507133838/output_20200507133839.jpgoutput_202005071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C:/Users/ADMINI~1/AppData/Local/Temp/picturescale_20200507133838/output_20200507133839.jpgoutput_20200507133839"/>
                          <pic:cNvPicPr>
                            <a:picLocks noChangeAspect="1"/>
                          </pic:cNvPicPr>
                        </pic:nvPicPr>
                        <pic:blipFill>
                          <a:blip r:embed="rId35"/>
                          <a:srcRect l="34471" t="25737" r="37437" b="17764"/>
                          <a:stretch>
                            <a:fillRect/>
                          </a:stretch>
                        </pic:blipFill>
                        <pic:spPr>
                          <a:xfrm>
                            <a:off x="0" y="0"/>
                            <a:ext cx="1348740" cy="1813560"/>
                          </a:xfrm>
                          <a:prstGeom prst="rect">
                            <a:avLst/>
                          </a:prstGeom>
                          <a:noFill/>
                          <a:ln>
                            <a:noFill/>
                          </a:ln>
                        </pic:spPr>
                      </pic:pic>
                    </a:graphicData>
                  </a:graphic>
                </wp:inline>
              </w:drawing>
            </w:r>
          </w:p>
        </w:tc>
        <w:tc>
          <w:tcPr>
            <w:tcW w:w="710" w:type="dxa"/>
            <w:gridSpan w:val="2"/>
            <w:noWrap w:val="0"/>
            <w:vAlign w:val="center"/>
          </w:tcPr>
          <w:p w14:paraId="2B734026">
            <w:pPr>
              <w:jc w:val="both"/>
              <w:rPr>
                <w:highlight w:val="none"/>
                <w:vertAlign w:val="baseline"/>
              </w:rPr>
            </w:pPr>
          </w:p>
        </w:tc>
      </w:tr>
      <w:tr w14:paraId="05BD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89" w:type="dxa"/>
            <w:gridSpan w:val="9"/>
            <w:noWrap w:val="0"/>
            <w:vAlign w:val="center"/>
          </w:tcPr>
          <w:p w14:paraId="21651CB2">
            <w:pPr>
              <w:jc w:val="both"/>
              <w:rPr>
                <w:highlight w:val="none"/>
                <w:vertAlign w:val="baseline"/>
              </w:rPr>
            </w:pPr>
            <w:r>
              <w:rPr>
                <w:rFonts w:hint="eastAsia"/>
                <w:b/>
                <w:bCs/>
                <w:sz w:val="30"/>
                <w:szCs w:val="30"/>
                <w:highlight w:val="none"/>
              </w:rPr>
              <w:t>三、安装附件部分</w:t>
            </w:r>
          </w:p>
        </w:tc>
      </w:tr>
      <w:tr w14:paraId="31ED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95" w:type="dxa"/>
            <w:noWrap w:val="0"/>
            <w:vAlign w:val="center"/>
          </w:tcPr>
          <w:p w14:paraId="7503452A">
            <w:pPr>
              <w:keepNext w:val="0"/>
              <w:keepLines w:val="0"/>
              <w:widowControl/>
              <w:suppressLineNumbers w:val="0"/>
              <w:jc w:val="center"/>
              <w:textAlignment w:val="center"/>
              <w:rPr>
                <w:rFonts w:hint="eastAsia"/>
                <w:b/>
                <w:bCs/>
                <w:sz w:val="44"/>
                <w:szCs w:val="44"/>
                <w:highlight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6957B777">
            <w:pPr>
              <w:keepNext w:val="0"/>
              <w:keepLines w:val="0"/>
              <w:widowControl/>
              <w:suppressLineNumbers w:val="0"/>
              <w:jc w:val="center"/>
              <w:textAlignment w:val="center"/>
              <w:rPr>
                <w:rFonts w:hint="eastAsia"/>
                <w:b/>
                <w:bCs/>
                <w:sz w:val="44"/>
                <w:szCs w:val="44"/>
                <w:highlight w:val="no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7ABA9FD0">
            <w:pPr>
              <w:keepNext w:val="0"/>
              <w:keepLines w:val="0"/>
              <w:widowControl/>
              <w:suppressLineNumbers w:val="0"/>
              <w:jc w:val="center"/>
              <w:textAlignment w:val="center"/>
              <w:rPr>
                <w:rFonts w:hint="eastAsia"/>
                <w:b/>
                <w:bCs/>
                <w:sz w:val="44"/>
                <w:szCs w:val="44"/>
                <w:highlight w:val="no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2F8828A0">
            <w:pPr>
              <w:keepNext w:val="0"/>
              <w:keepLines w:val="0"/>
              <w:widowControl/>
              <w:suppressLineNumbers w:val="0"/>
              <w:jc w:val="center"/>
              <w:textAlignment w:val="center"/>
              <w:rPr>
                <w:rFonts w:hint="eastAsia"/>
                <w:b/>
                <w:bCs/>
                <w:sz w:val="44"/>
                <w:szCs w:val="44"/>
                <w:highlight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7DF7271C">
            <w:pPr>
              <w:keepNext w:val="0"/>
              <w:keepLines w:val="0"/>
              <w:widowControl/>
              <w:suppressLineNumbers w:val="0"/>
              <w:jc w:val="center"/>
              <w:textAlignment w:val="center"/>
              <w:rPr>
                <w:rFonts w:hint="eastAsia"/>
                <w:b/>
                <w:bCs/>
                <w:sz w:val="44"/>
                <w:szCs w:val="44"/>
                <w:highlight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7983C79E">
            <w:pPr>
              <w:keepNext w:val="0"/>
              <w:keepLines w:val="0"/>
              <w:widowControl/>
              <w:suppressLineNumbers w:val="0"/>
              <w:jc w:val="center"/>
              <w:textAlignment w:val="center"/>
              <w:rPr>
                <w:rFonts w:hint="eastAsia"/>
                <w:b/>
                <w:bCs/>
                <w:sz w:val="44"/>
                <w:szCs w:val="44"/>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0E29592A">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4842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633C24">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58428BF9">
            <w:pPr>
              <w:jc w:val="center"/>
              <w:rPr>
                <w:rFonts w:hint="eastAsia"/>
                <w:highlight w:val="none"/>
                <w:vertAlign w:val="baseline"/>
              </w:rPr>
            </w:pPr>
            <w:r>
              <w:rPr>
                <w:rFonts w:hint="eastAsia"/>
                <w:highlight w:val="none"/>
                <w:vertAlign w:val="baseline"/>
              </w:rPr>
              <w:t>电源布线耗材</w:t>
            </w:r>
          </w:p>
        </w:tc>
        <w:tc>
          <w:tcPr>
            <w:tcW w:w="5928" w:type="dxa"/>
            <w:noWrap w:val="0"/>
            <w:vAlign w:val="center"/>
          </w:tcPr>
          <w:p w14:paraId="2C61112C">
            <w:pPr>
              <w:jc w:val="left"/>
              <w:rPr>
                <w:rFonts w:hint="eastAsia"/>
                <w:highlight w:val="none"/>
                <w:vertAlign w:val="baseline"/>
              </w:rPr>
            </w:pPr>
            <w:r>
              <w:rPr>
                <w:rFonts w:hint="eastAsia"/>
                <w:highlight w:val="none"/>
                <w:vertAlign w:val="baseline"/>
              </w:rPr>
              <w:t>预埋耗材：电源主线采用4mm²优质多芯铜质护套线，电源支线采用2.5mm²、1.5mm²优质多芯铜质护套线；选用Ф25PVC阻燃线管预埋或采用PVC线槽明敷；</w:t>
            </w:r>
          </w:p>
        </w:tc>
        <w:tc>
          <w:tcPr>
            <w:tcW w:w="736" w:type="dxa"/>
            <w:noWrap w:val="0"/>
            <w:vAlign w:val="center"/>
          </w:tcPr>
          <w:p w14:paraId="464313B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834" w:type="dxa"/>
            <w:noWrap w:val="0"/>
            <w:vAlign w:val="center"/>
          </w:tcPr>
          <w:p w14:paraId="4E9DB6BD">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373D7B81">
            <w:pPr>
              <w:jc w:val="center"/>
              <w:rPr>
                <w:highlight w:val="none"/>
              </w:rPr>
            </w:pPr>
          </w:p>
        </w:tc>
        <w:tc>
          <w:tcPr>
            <w:tcW w:w="710" w:type="dxa"/>
            <w:gridSpan w:val="2"/>
            <w:noWrap w:val="0"/>
            <w:vAlign w:val="center"/>
          </w:tcPr>
          <w:p w14:paraId="7F7D979C">
            <w:pPr>
              <w:jc w:val="both"/>
              <w:rPr>
                <w:highlight w:val="none"/>
                <w:vertAlign w:val="baseline"/>
              </w:rPr>
            </w:pPr>
          </w:p>
        </w:tc>
      </w:tr>
      <w:tr w14:paraId="2F4B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895" w:type="dxa"/>
            <w:noWrap w:val="0"/>
            <w:vAlign w:val="center"/>
          </w:tcPr>
          <w:p w14:paraId="02CB177C">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6264573A">
            <w:pPr>
              <w:jc w:val="center"/>
              <w:rPr>
                <w:rFonts w:hint="eastAsia"/>
                <w:highlight w:val="none"/>
                <w:vertAlign w:val="baseline"/>
              </w:rPr>
            </w:pPr>
            <w:r>
              <w:rPr>
                <w:rFonts w:hint="eastAsia"/>
                <w:highlight w:val="none"/>
                <w:vertAlign w:val="baseline"/>
              </w:rPr>
              <w:t>安装及调试</w:t>
            </w:r>
          </w:p>
        </w:tc>
        <w:tc>
          <w:tcPr>
            <w:tcW w:w="5928" w:type="dxa"/>
            <w:noWrap w:val="0"/>
            <w:vAlign w:val="center"/>
          </w:tcPr>
          <w:p w14:paraId="127ACF94">
            <w:pPr>
              <w:jc w:val="left"/>
              <w:rPr>
                <w:rFonts w:hint="eastAsia"/>
                <w:highlight w:val="none"/>
                <w:vertAlign w:val="baseline"/>
              </w:rPr>
            </w:pPr>
            <w:r>
              <w:rPr>
                <w:rFonts w:hint="eastAsia"/>
                <w:highlight w:val="none"/>
                <w:vertAlign w:val="baseline"/>
              </w:rPr>
              <w:t>设备安装及调试（含开槽预埋线路）。</w:t>
            </w:r>
          </w:p>
        </w:tc>
        <w:tc>
          <w:tcPr>
            <w:tcW w:w="736" w:type="dxa"/>
            <w:noWrap w:val="0"/>
            <w:vAlign w:val="center"/>
          </w:tcPr>
          <w:p w14:paraId="2C8EBC5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834" w:type="dxa"/>
            <w:noWrap w:val="0"/>
            <w:vAlign w:val="center"/>
          </w:tcPr>
          <w:p w14:paraId="4332ACF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108D8D6B">
            <w:pPr>
              <w:jc w:val="center"/>
              <w:rPr>
                <w:highlight w:val="none"/>
              </w:rPr>
            </w:pPr>
          </w:p>
        </w:tc>
        <w:tc>
          <w:tcPr>
            <w:tcW w:w="710" w:type="dxa"/>
            <w:gridSpan w:val="2"/>
            <w:noWrap w:val="0"/>
            <w:vAlign w:val="center"/>
          </w:tcPr>
          <w:p w14:paraId="3418941F">
            <w:pPr>
              <w:jc w:val="both"/>
              <w:rPr>
                <w:highlight w:val="none"/>
                <w:vertAlign w:val="baseline"/>
              </w:rPr>
            </w:pPr>
          </w:p>
        </w:tc>
      </w:tr>
      <w:tr w14:paraId="60E5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4189" w:type="dxa"/>
            <w:gridSpan w:val="9"/>
            <w:noWrap w:val="0"/>
            <w:vAlign w:val="center"/>
          </w:tcPr>
          <w:p w14:paraId="02DFB7AF">
            <w:pPr>
              <w:jc w:val="center"/>
              <w:rPr>
                <w:highlight w:val="none"/>
                <w:vertAlign w:val="baseline"/>
              </w:rPr>
            </w:pPr>
            <w:r>
              <w:rPr>
                <w:rFonts w:hint="eastAsia"/>
                <w:b/>
                <w:bCs/>
                <w:sz w:val="44"/>
                <w:szCs w:val="44"/>
                <w:highlight w:val="none"/>
                <w:vertAlign w:val="baseline"/>
              </w:rPr>
              <w:t>物理准备室</w:t>
            </w:r>
          </w:p>
        </w:tc>
      </w:tr>
      <w:tr w14:paraId="0457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895" w:type="dxa"/>
            <w:noWrap w:val="0"/>
            <w:vAlign w:val="center"/>
          </w:tcPr>
          <w:p w14:paraId="45C152A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05DEEC1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53468D1B">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412BAE5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50424A7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113EF480">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3871F4DA">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6342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189" w:type="dxa"/>
            <w:gridSpan w:val="9"/>
            <w:noWrap w:val="0"/>
            <w:vAlign w:val="center"/>
          </w:tcPr>
          <w:p w14:paraId="59927382">
            <w:pPr>
              <w:jc w:val="both"/>
              <w:rPr>
                <w:highlight w:val="none"/>
                <w:vertAlign w:val="baseline"/>
              </w:rPr>
            </w:pPr>
            <w:r>
              <w:rPr>
                <w:rFonts w:hint="eastAsia"/>
                <w:b/>
                <w:bCs/>
                <w:sz w:val="30"/>
                <w:szCs w:val="30"/>
                <w:highlight w:val="none"/>
                <w:vertAlign w:val="baseline"/>
              </w:rPr>
              <w:t>一、准备室设备</w:t>
            </w:r>
          </w:p>
        </w:tc>
      </w:tr>
      <w:tr w14:paraId="0734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51D9BE4">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77271476">
            <w:pPr>
              <w:jc w:val="center"/>
              <w:rPr>
                <w:rFonts w:hint="eastAsia"/>
                <w:highlight w:val="none"/>
                <w:vertAlign w:val="baseline"/>
              </w:rPr>
            </w:pPr>
            <w:r>
              <w:rPr>
                <w:rFonts w:hint="eastAsia"/>
                <w:highlight w:val="none"/>
                <w:vertAlign w:val="baseline"/>
              </w:rPr>
              <w:t>准备台</w:t>
            </w:r>
          </w:p>
        </w:tc>
        <w:tc>
          <w:tcPr>
            <w:tcW w:w="5928" w:type="dxa"/>
            <w:noWrap w:val="0"/>
            <w:vAlign w:val="center"/>
          </w:tcPr>
          <w:p w14:paraId="255ABD3C">
            <w:pPr>
              <w:jc w:val="left"/>
              <w:rPr>
                <w:rFonts w:hint="eastAsia"/>
                <w:highlight w:val="none"/>
                <w:vertAlign w:val="baseline"/>
              </w:rPr>
            </w:pPr>
            <w:r>
              <w:rPr>
                <w:rFonts w:hint="eastAsia"/>
                <w:highlight w:val="none"/>
                <w:vertAlign w:val="baseline"/>
              </w:rPr>
              <w:t xml:space="preserve">规格：≥2400×1200×780mm                                                              </w:t>
            </w:r>
          </w:p>
          <w:p w14:paraId="0E844E3F">
            <w:pPr>
              <w:jc w:val="left"/>
              <w:rPr>
                <w:rFonts w:hint="eastAsia"/>
                <w:highlight w:val="none"/>
                <w:vertAlign w:val="baseline"/>
              </w:rPr>
            </w:pPr>
            <w:r>
              <w:rPr>
                <w:rFonts w:hint="eastAsia"/>
                <w:highlight w:val="none"/>
                <w:vertAlign w:val="baseline"/>
              </w:rPr>
              <w:t>▲采用板厚为12.7mm实芯理化板，抗腐蚀抗菌、净醛、耐磨防火、耐烟酌抗污。台面板各项功能必须达到如下要求：</w:t>
            </w:r>
          </w:p>
          <w:p w14:paraId="73B4D361">
            <w:pPr>
              <w:jc w:val="left"/>
              <w:rPr>
                <w:rFonts w:hint="eastAsia"/>
                <w:highlight w:val="none"/>
                <w:vertAlign w:val="baseline"/>
              </w:rPr>
            </w:pPr>
            <w:r>
              <w:rPr>
                <w:rFonts w:hint="eastAsia"/>
                <w:highlight w:val="none"/>
                <w:vertAlign w:val="baseline"/>
              </w:rPr>
              <w:t>1、化学性能检测：参照GB/T17657-2022《人造板及饰面人造板理化性能试验方法》检测标准：盐酸（37%）、硝酸（65%）、硫酸（98%）等不低于138项酸碱测试，测试结果为5级，提供耐腐蚀检验报告；</w:t>
            </w:r>
          </w:p>
          <w:p w14:paraId="3CD29F82">
            <w:pPr>
              <w:jc w:val="left"/>
              <w:rPr>
                <w:rFonts w:hint="eastAsia"/>
                <w:highlight w:val="none"/>
                <w:vertAlign w:val="baseline"/>
              </w:rPr>
            </w:pPr>
            <w:r>
              <w:rPr>
                <w:rFonts w:hint="eastAsia"/>
                <w:highlight w:val="none"/>
                <w:vertAlign w:val="baseline"/>
              </w:rPr>
              <w:t>2、物理性能检测：参照GB/T17657-2022《人造板及饰面人造板理化性能试验方法》检测标准：握螺钉力≥5290N、含水率≤0.1%、24h吸水率≤0.1%、密度≥1.53g/cm3、表面耐龟裂性能≥5级、表面耐湿热性能≥五级、耐光色牢度性能&gt;4级、色泽稳定性能、漆膜硬度&gt;9H、表面耐磨性能≥1200r等不低于16项物理性能测试提供物理性能检验报告；</w:t>
            </w:r>
          </w:p>
          <w:p w14:paraId="6CF7C5C6">
            <w:pPr>
              <w:jc w:val="left"/>
              <w:rPr>
                <w:rFonts w:hint="eastAsia"/>
                <w:highlight w:val="none"/>
                <w:vertAlign w:val="baseline"/>
              </w:rPr>
            </w:pPr>
            <w:r>
              <w:rPr>
                <w:rFonts w:hint="eastAsia"/>
                <w:highlight w:val="none"/>
                <w:vertAlign w:val="baseline"/>
              </w:rPr>
              <w:t>3、甲醛释放量检测：检测依据GB 18580-2017《室内装饰装修材料人造板及其制品中甲醛释放限量》检测，检测结果为未检出；</w:t>
            </w:r>
          </w:p>
          <w:p w14:paraId="2250FE2D">
            <w:pPr>
              <w:jc w:val="left"/>
              <w:rPr>
                <w:rFonts w:hint="eastAsia"/>
                <w:highlight w:val="none"/>
                <w:vertAlign w:val="baseline"/>
              </w:rPr>
            </w:pPr>
            <w:r>
              <w:rPr>
                <w:rFonts w:hint="eastAsia"/>
                <w:highlight w:val="none"/>
                <w:vertAlign w:val="baseline"/>
              </w:rPr>
              <w:t>4、抗菌性能检测及防霉性能检测:依据JC/T2039-2010《抗菌防霉木质装饰板》，提供大肠杆菌、金黄色葡萄球菌、肺炎克雷佰氏菌、鼠伤寒沙门氏菌、表皮葡萄球菌、铜绿假单胞菌、宋内志贺氏菌、白色葡萄球菌、粪肠球菌、耐甲氧西林金黄色葡萄球菌、单增细胞增生李斯特氏菌、变化考克氏菌、乙型溶血性链球群等13种菌种检测，而且抗菌率≥99.99%；依据JC/T2039-2010《抗菌防霉木质装饰板》，提供黑曲霉、土曲霉、宛氏拟青霉、绳状青霉、出芽短梗霉、球毛壳霉等6种霉菌检测，而且防霉等级为0级；</w:t>
            </w:r>
          </w:p>
          <w:p w14:paraId="0D7F7ABC">
            <w:pPr>
              <w:jc w:val="left"/>
              <w:rPr>
                <w:rFonts w:hint="eastAsia"/>
                <w:highlight w:val="none"/>
                <w:vertAlign w:val="baseline"/>
              </w:rPr>
            </w:pPr>
            <w:r>
              <w:rPr>
                <w:rFonts w:hint="eastAsia"/>
                <w:highlight w:val="none"/>
                <w:vertAlign w:val="baseline"/>
              </w:rPr>
              <w:t>5、抗老化性检测：检测依据GB/T24508-2020，表面无开裂、无鼓泡、无粉化，提供相关检测报告；</w:t>
            </w:r>
          </w:p>
          <w:p w14:paraId="48613AA9">
            <w:pPr>
              <w:jc w:val="left"/>
              <w:rPr>
                <w:rFonts w:hint="eastAsia"/>
                <w:highlight w:val="none"/>
                <w:vertAlign w:val="baseline"/>
              </w:rPr>
            </w:pPr>
            <w:r>
              <w:rPr>
                <w:rFonts w:hint="eastAsia"/>
                <w:highlight w:val="none"/>
                <w:vertAlign w:val="baseline"/>
              </w:rPr>
              <w:t>6、重金属检测：检测依据GB18584-2001《室内装饰装修材料木家具中有害物质限量》，检测内容为可溶性铅、可溶性镉、可溶性铬、可溶性汞，检测结果均为合格；</w:t>
            </w:r>
          </w:p>
          <w:p w14:paraId="55425CE3">
            <w:pPr>
              <w:jc w:val="left"/>
              <w:rPr>
                <w:rFonts w:hint="eastAsia"/>
                <w:highlight w:val="none"/>
                <w:vertAlign w:val="baseline"/>
              </w:rPr>
            </w:pPr>
            <w:r>
              <w:rPr>
                <w:rFonts w:hint="eastAsia"/>
                <w:highlight w:val="none"/>
                <w:vertAlign w:val="baseline"/>
              </w:rPr>
              <w:t>7、燃烧性能检测：检测依据GB8624-2012《建筑材料及制品燃烧性能分级》,检测内容包括燃烧增长速率指数：FIGRA0.2MJW/s≤120，60s内焰尖高度：Fsmm≤150，60s内无燃烧滴落物引燃滤纸现象,,检测结果达到B1级;产烟特性等级S2级，燃烧滴落物/微粒等级d0级；</w:t>
            </w:r>
          </w:p>
          <w:p w14:paraId="261FA6B2">
            <w:pPr>
              <w:jc w:val="left"/>
              <w:rPr>
                <w:rFonts w:hint="eastAsia"/>
                <w:highlight w:val="none"/>
                <w:vertAlign w:val="baseline"/>
              </w:rPr>
            </w:pPr>
            <w:r>
              <w:rPr>
                <w:rFonts w:hint="eastAsia"/>
                <w:highlight w:val="none"/>
                <w:vertAlign w:val="baseline"/>
              </w:rPr>
              <w:t>8、环保性能检测：依据QB/T 2761-2006 《室内空气净化产品净化效果测定方法》检测，甲醛去除率≥50%；</w:t>
            </w:r>
          </w:p>
          <w:p w14:paraId="6F76FBAE">
            <w:pPr>
              <w:jc w:val="left"/>
              <w:rPr>
                <w:rFonts w:hint="eastAsia"/>
                <w:highlight w:val="none"/>
                <w:vertAlign w:val="baseline"/>
              </w:rPr>
            </w:pPr>
            <w:r>
              <w:rPr>
                <w:rFonts w:hint="eastAsia"/>
                <w:highlight w:val="none"/>
                <w:vertAlign w:val="baseline"/>
              </w:rPr>
              <w:t>9、环保性能检测：依据QB/T 2761-2006 《室内空气净化产品净化效果测定方法》检测，甲苯去除率≥20%；</w:t>
            </w:r>
          </w:p>
          <w:p w14:paraId="475F0E48">
            <w:pPr>
              <w:jc w:val="left"/>
              <w:rPr>
                <w:rFonts w:hint="eastAsia"/>
                <w:highlight w:val="none"/>
                <w:vertAlign w:val="baseline"/>
              </w:rPr>
            </w:pPr>
            <w:r>
              <w:rPr>
                <w:rFonts w:hint="eastAsia"/>
                <w:highlight w:val="none"/>
                <w:vertAlign w:val="baseline"/>
              </w:rPr>
              <w:t>备注：为确保产品质量，需提供具有CMA或CNAS标识的检测报告扫描件；</w:t>
            </w:r>
          </w:p>
          <w:p w14:paraId="3226876C">
            <w:pPr>
              <w:jc w:val="left"/>
              <w:rPr>
                <w:rFonts w:hint="eastAsia"/>
                <w:highlight w:val="none"/>
                <w:vertAlign w:val="baseline"/>
              </w:rPr>
            </w:pPr>
            <w:r>
              <w:rPr>
                <w:rFonts w:hint="eastAsia"/>
                <w:highlight w:val="none"/>
                <w:vertAlign w:val="baseline"/>
              </w:rPr>
              <w:t>结构：新型塑铝结构，学生位镂空式，符合人体工程学设计，美观大方；</w:t>
            </w:r>
          </w:p>
          <w:p w14:paraId="76FC2C29">
            <w:pPr>
              <w:jc w:val="left"/>
              <w:rPr>
                <w:rFonts w:hint="eastAsia"/>
                <w:highlight w:val="none"/>
                <w:vertAlign w:val="baseline"/>
              </w:rPr>
            </w:pPr>
            <w:r>
              <w:rPr>
                <w:rFonts w:hint="eastAsia"/>
                <w:highlight w:val="none"/>
                <w:vertAlign w:val="baseline"/>
              </w:rPr>
              <w:t>由4张工字桌组合而成，主框架工字型结构：</w:t>
            </w:r>
          </w:p>
          <w:p w14:paraId="3EBFEC1F">
            <w:pPr>
              <w:jc w:val="left"/>
              <w:rPr>
                <w:rFonts w:hint="eastAsia"/>
                <w:highlight w:val="none"/>
                <w:vertAlign w:val="baseline"/>
              </w:rPr>
            </w:pPr>
            <w:r>
              <w:rPr>
                <w:rFonts w:hint="eastAsia"/>
                <w:highlight w:val="none"/>
                <w:vertAlign w:val="baseline"/>
              </w:rPr>
              <w:t>桌身：由桌腿、立柱、前横梁/中横梁，大横梁组成；</w:t>
            </w:r>
          </w:p>
          <w:p w14:paraId="22F72D62">
            <w:pPr>
              <w:jc w:val="left"/>
              <w:rPr>
                <w:rFonts w:hint="eastAsia"/>
                <w:highlight w:val="none"/>
                <w:vertAlign w:val="baseline"/>
              </w:rPr>
            </w:pPr>
            <w:r>
              <w:rPr>
                <w:rFonts w:hint="eastAsia"/>
                <w:highlight w:val="none"/>
                <w:vertAlign w:val="baseline"/>
              </w:rPr>
              <w:t>桌腿：采用工字型压铸铝一次成型，材料表面经高压静电喷涂环氧树脂防护层，耐酸碱，耐腐蚀处理；</w:t>
            </w:r>
          </w:p>
          <w:p w14:paraId="33450824">
            <w:pPr>
              <w:jc w:val="left"/>
              <w:rPr>
                <w:rFonts w:hint="eastAsia"/>
                <w:highlight w:val="none"/>
                <w:vertAlign w:val="baseline"/>
              </w:rPr>
            </w:pPr>
            <w:r>
              <w:rPr>
                <w:rFonts w:hint="eastAsia"/>
                <w:highlight w:val="none"/>
                <w:vertAlign w:val="baseline"/>
              </w:rPr>
              <w:t>上腿规格：≥590×50×95mm，壁厚2.5mm；</w:t>
            </w:r>
          </w:p>
          <w:p w14:paraId="1010CE5A">
            <w:pPr>
              <w:jc w:val="left"/>
              <w:rPr>
                <w:rFonts w:hint="eastAsia"/>
                <w:highlight w:val="none"/>
                <w:vertAlign w:val="baseline"/>
              </w:rPr>
            </w:pPr>
            <w:r>
              <w:rPr>
                <w:rFonts w:hint="eastAsia"/>
                <w:highlight w:val="none"/>
                <w:vertAlign w:val="baseline"/>
              </w:rPr>
              <w:t>下腿规格：≥540×50×95mm，壁厚2.5mm；</w:t>
            </w:r>
          </w:p>
          <w:p w14:paraId="346B0BB5">
            <w:pPr>
              <w:jc w:val="left"/>
              <w:rPr>
                <w:rFonts w:hint="eastAsia"/>
                <w:highlight w:val="none"/>
                <w:vertAlign w:val="baseline"/>
              </w:rPr>
            </w:pPr>
            <w:r>
              <w:rPr>
                <w:rFonts w:hint="eastAsia"/>
                <w:highlight w:val="none"/>
                <w:vertAlign w:val="baseline"/>
              </w:rPr>
              <w:t>立柱：≥580×43mm，壁厚1.5mm；</w:t>
            </w:r>
          </w:p>
          <w:p w14:paraId="4752C247">
            <w:pPr>
              <w:jc w:val="left"/>
              <w:rPr>
                <w:rFonts w:hint="eastAsia"/>
                <w:highlight w:val="none"/>
                <w:vertAlign w:val="baseline"/>
              </w:rPr>
            </w:pPr>
            <w:r>
              <w:rPr>
                <w:rFonts w:hint="eastAsia"/>
                <w:highlight w:val="none"/>
                <w:vertAlign w:val="baseline"/>
              </w:rPr>
              <w:t>前横梁：≥40×30mm，壁厚1.0mm；</w:t>
            </w:r>
          </w:p>
          <w:p w14:paraId="156A4E0E">
            <w:pPr>
              <w:jc w:val="left"/>
              <w:rPr>
                <w:rFonts w:hint="eastAsia"/>
                <w:highlight w:val="none"/>
                <w:vertAlign w:val="baseline"/>
              </w:rPr>
            </w:pPr>
            <w:r>
              <w:rPr>
                <w:rFonts w:hint="eastAsia"/>
                <w:highlight w:val="none"/>
                <w:vertAlign w:val="baseline"/>
              </w:rPr>
              <w:t>中横梁：≥30×25mm，壁厚1.0mm；</w:t>
            </w:r>
          </w:p>
          <w:p w14:paraId="73416542">
            <w:pPr>
              <w:jc w:val="left"/>
              <w:rPr>
                <w:rFonts w:hint="eastAsia"/>
                <w:highlight w:val="none"/>
                <w:vertAlign w:val="baseline"/>
              </w:rPr>
            </w:pPr>
            <w:r>
              <w:rPr>
                <w:rFonts w:hint="eastAsia"/>
                <w:highlight w:val="none"/>
                <w:vertAlign w:val="baseline"/>
              </w:rPr>
              <w:t>大横梁：≥80×20mm，壁厚1.0mm；</w:t>
            </w:r>
          </w:p>
          <w:p w14:paraId="5E4E989F">
            <w:pPr>
              <w:jc w:val="left"/>
              <w:rPr>
                <w:rFonts w:hint="eastAsia"/>
                <w:highlight w:val="none"/>
                <w:vertAlign w:val="baseline"/>
              </w:rPr>
            </w:pPr>
            <w:r>
              <w:rPr>
                <w:rFonts w:hint="eastAsia"/>
                <w:highlight w:val="none"/>
                <w:vertAlign w:val="baseline"/>
              </w:rPr>
              <w:t>材料均采用优质铝镁合金材料，材料表面经高压静电喷涂环氧树脂防护层，耐酸碱，耐腐蚀处理；</w:t>
            </w:r>
          </w:p>
          <w:p w14:paraId="7468AFE6">
            <w:pPr>
              <w:jc w:val="left"/>
              <w:rPr>
                <w:rFonts w:hint="eastAsia"/>
                <w:highlight w:val="none"/>
                <w:vertAlign w:val="baseline"/>
              </w:rPr>
            </w:pPr>
            <w:r>
              <w:rPr>
                <w:rFonts w:hint="eastAsia"/>
                <w:highlight w:val="none"/>
                <w:vertAlign w:val="baseline"/>
              </w:rPr>
              <w:t>书包斗：外规格：≥430×340×160mm，采用PP材料，大型模具一次性注塑成型,上面设计有可悬挂凳子的圆形孔，镂空造型，造型时尚；</w:t>
            </w:r>
          </w:p>
          <w:p w14:paraId="0E11C09D">
            <w:pPr>
              <w:jc w:val="left"/>
              <w:rPr>
                <w:rFonts w:hint="eastAsia"/>
                <w:highlight w:val="none"/>
                <w:vertAlign w:val="baseline"/>
              </w:rPr>
            </w:pPr>
            <w:r>
              <w:rPr>
                <w:rFonts w:hint="eastAsia"/>
                <w:highlight w:val="none"/>
                <w:vertAlign w:val="baseline"/>
              </w:rPr>
              <w:t>产品特点：零甲醛、零污染、易擦洗、耐老化、环保、回收率高。</w:t>
            </w:r>
          </w:p>
        </w:tc>
        <w:tc>
          <w:tcPr>
            <w:tcW w:w="736" w:type="dxa"/>
            <w:noWrap w:val="0"/>
            <w:vAlign w:val="center"/>
          </w:tcPr>
          <w:p w14:paraId="0C25ADAB">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460E8C9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207E80E5">
            <w:pPr>
              <w:jc w:val="center"/>
              <w:rPr>
                <w:highlight w:val="none"/>
              </w:rPr>
            </w:pPr>
            <w:r>
              <w:rPr>
                <w:highlight w:val="none"/>
              </w:rPr>
              <w:drawing>
                <wp:inline distT="0" distB="0" distL="114300" distR="114300">
                  <wp:extent cx="1840865" cy="1475105"/>
                  <wp:effectExtent l="0" t="0" r="635" b="10795"/>
                  <wp:docPr id="33" name="图片 1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R"/>
                          <pic:cNvPicPr>
                            <a:picLocks noChangeAspect="1"/>
                          </pic:cNvPicPr>
                        </pic:nvPicPr>
                        <pic:blipFill>
                          <a:blip r:embed="rId36"/>
                          <a:stretch>
                            <a:fillRect/>
                          </a:stretch>
                        </pic:blipFill>
                        <pic:spPr>
                          <a:xfrm>
                            <a:off x="0" y="0"/>
                            <a:ext cx="1840865" cy="1475105"/>
                          </a:xfrm>
                          <a:prstGeom prst="rect">
                            <a:avLst/>
                          </a:prstGeom>
                          <a:noFill/>
                          <a:ln>
                            <a:noFill/>
                          </a:ln>
                        </pic:spPr>
                      </pic:pic>
                    </a:graphicData>
                  </a:graphic>
                </wp:inline>
              </w:drawing>
            </w:r>
          </w:p>
        </w:tc>
        <w:tc>
          <w:tcPr>
            <w:tcW w:w="710" w:type="dxa"/>
            <w:gridSpan w:val="2"/>
            <w:noWrap w:val="0"/>
            <w:vAlign w:val="center"/>
          </w:tcPr>
          <w:p w14:paraId="174220F6">
            <w:pPr>
              <w:jc w:val="both"/>
              <w:rPr>
                <w:highlight w:val="none"/>
                <w:vertAlign w:val="baseline"/>
              </w:rPr>
            </w:pPr>
          </w:p>
        </w:tc>
      </w:tr>
      <w:tr w14:paraId="2F96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F5AFFD">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5CFBCD04">
            <w:pPr>
              <w:jc w:val="center"/>
              <w:rPr>
                <w:rFonts w:hint="eastAsia"/>
                <w:highlight w:val="none"/>
                <w:vertAlign w:val="baseline"/>
              </w:rPr>
            </w:pPr>
            <w:r>
              <w:rPr>
                <w:rFonts w:hint="eastAsia"/>
                <w:highlight w:val="none"/>
                <w:vertAlign w:val="baseline"/>
              </w:rPr>
              <w:t>仪器柜</w:t>
            </w:r>
          </w:p>
        </w:tc>
        <w:tc>
          <w:tcPr>
            <w:tcW w:w="5928" w:type="dxa"/>
            <w:noWrap w:val="0"/>
            <w:vAlign w:val="center"/>
          </w:tcPr>
          <w:p w14:paraId="41257844">
            <w:pPr>
              <w:jc w:val="left"/>
              <w:rPr>
                <w:rFonts w:hint="eastAsia"/>
                <w:highlight w:val="none"/>
                <w:vertAlign w:val="baseline"/>
              </w:rPr>
            </w:pPr>
            <w:r>
              <w:rPr>
                <w:rFonts w:hint="eastAsia"/>
                <w:highlight w:val="none"/>
                <w:vertAlign w:val="baseline"/>
              </w:rPr>
              <w:t>规格：≥1000×500×2000mm</w:t>
            </w:r>
          </w:p>
          <w:p w14:paraId="7BDEE66A">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54ED637B">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572D9104">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17020FD7">
            <w:pPr>
              <w:jc w:val="left"/>
              <w:rPr>
                <w:rFonts w:hint="eastAsia"/>
                <w:highlight w:val="none"/>
                <w:vertAlign w:val="baseline"/>
              </w:rPr>
            </w:pPr>
            <w:r>
              <w:rPr>
                <w:rFonts w:hint="eastAsia"/>
                <w:highlight w:val="none"/>
                <w:vertAlign w:val="baseline"/>
              </w:rPr>
              <w:t>4、层板：上柜配置两块活动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378CDCFB">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6CEC8BDD">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39D6243C">
            <w:pPr>
              <w:jc w:val="left"/>
              <w:rPr>
                <w:rFonts w:hint="eastAsia"/>
                <w:highlight w:val="none"/>
                <w:vertAlign w:val="baseline"/>
              </w:rPr>
            </w:pPr>
            <w:r>
              <w:rPr>
                <w:rFonts w:hint="eastAsia"/>
                <w:highlight w:val="none"/>
                <w:vertAlign w:val="baseline"/>
              </w:rPr>
              <w:t>7、螺丝：不锈钢304材质。</w:t>
            </w:r>
          </w:p>
          <w:p w14:paraId="5E02DB96">
            <w:pPr>
              <w:jc w:val="left"/>
              <w:rPr>
                <w:rFonts w:hint="eastAsia"/>
                <w:highlight w:val="none"/>
                <w:vertAlign w:val="baseline"/>
              </w:rPr>
            </w:pPr>
            <w:r>
              <w:rPr>
                <w:rFonts w:hint="eastAsia"/>
                <w:highlight w:val="none"/>
                <w:vertAlign w:val="baseline"/>
              </w:rPr>
              <w:t>▲仪器柜整体通过GB/T 32487-2016 塑料家具通用技术条件检测，柜类强度和耐久性，塑料件外观，理化性能，有害物质限量。测试结果符合指标要求。备注：为确保产品质量，需提供具有CMA或CNAS标识的检测报告扫描件。</w:t>
            </w:r>
          </w:p>
        </w:tc>
        <w:tc>
          <w:tcPr>
            <w:tcW w:w="736" w:type="dxa"/>
            <w:noWrap w:val="0"/>
            <w:vAlign w:val="center"/>
          </w:tcPr>
          <w:p w14:paraId="2D18388F">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10</w:t>
            </w:r>
          </w:p>
        </w:tc>
        <w:tc>
          <w:tcPr>
            <w:tcW w:w="834" w:type="dxa"/>
            <w:noWrap w:val="0"/>
            <w:vAlign w:val="center"/>
          </w:tcPr>
          <w:p w14:paraId="61036C16">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285182FC">
            <w:pPr>
              <w:jc w:val="center"/>
              <w:rPr>
                <w:highlight w:val="none"/>
              </w:rPr>
            </w:pPr>
            <w:r>
              <w:rPr>
                <w:highlight w:val="none"/>
              </w:rPr>
              <w:drawing>
                <wp:inline distT="0" distB="0" distL="114300" distR="114300">
                  <wp:extent cx="1725295" cy="1509395"/>
                  <wp:effectExtent l="0" t="0" r="1905" b="1905"/>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37"/>
                          <a:stretch>
                            <a:fillRect/>
                          </a:stretch>
                        </pic:blipFill>
                        <pic:spPr>
                          <a:xfrm>
                            <a:off x="0" y="0"/>
                            <a:ext cx="1725295" cy="1509395"/>
                          </a:xfrm>
                          <a:prstGeom prst="rect">
                            <a:avLst/>
                          </a:prstGeom>
                          <a:noFill/>
                          <a:ln>
                            <a:noFill/>
                          </a:ln>
                        </pic:spPr>
                      </pic:pic>
                    </a:graphicData>
                  </a:graphic>
                </wp:inline>
              </w:drawing>
            </w:r>
          </w:p>
        </w:tc>
        <w:tc>
          <w:tcPr>
            <w:tcW w:w="710" w:type="dxa"/>
            <w:gridSpan w:val="2"/>
            <w:noWrap w:val="0"/>
            <w:vAlign w:val="center"/>
          </w:tcPr>
          <w:p w14:paraId="4ACCBCC1">
            <w:pPr>
              <w:jc w:val="both"/>
              <w:rPr>
                <w:highlight w:val="none"/>
                <w:vertAlign w:val="baseline"/>
              </w:rPr>
            </w:pPr>
          </w:p>
        </w:tc>
      </w:tr>
      <w:tr w14:paraId="1E4B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479" w:type="dxa"/>
            <w:gridSpan w:val="7"/>
            <w:noWrap w:val="0"/>
            <w:vAlign w:val="center"/>
          </w:tcPr>
          <w:p w14:paraId="2F95F674">
            <w:pPr>
              <w:jc w:val="left"/>
              <w:rPr>
                <w:highlight w:val="none"/>
              </w:rPr>
            </w:pPr>
            <w:r>
              <w:rPr>
                <w:rFonts w:hint="eastAsia"/>
                <w:b/>
                <w:bCs/>
                <w:sz w:val="30"/>
                <w:szCs w:val="30"/>
                <w:highlight w:val="none"/>
              </w:rPr>
              <w:t>二、安装附件部分</w:t>
            </w:r>
          </w:p>
        </w:tc>
        <w:tc>
          <w:tcPr>
            <w:tcW w:w="710" w:type="dxa"/>
            <w:gridSpan w:val="2"/>
            <w:noWrap w:val="0"/>
            <w:vAlign w:val="center"/>
          </w:tcPr>
          <w:p w14:paraId="7B392FEB">
            <w:pPr>
              <w:jc w:val="both"/>
              <w:rPr>
                <w:highlight w:val="none"/>
                <w:vertAlign w:val="baseline"/>
              </w:rPr>
            </w:pPr>
          </w:p>
        </w:tc>
      </w:tr>
      <w:tr w14:paraId="1C52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95" w:type="dxa"/>
            <w:noWrap w:val="0"/>
            <w:vAlign w:val="center"/>
          </w:tcPr>
          <w:p w14:paraId="421F4C68">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24919173">
            <w:pPr>
              <w:jc w:val="center"/>
              <w:rPr>
                <w:rFonts w:hint="eastAsia"/>
                <w:highlight w:val="none"/>
                <w:vertAlign w:val="baseline"/>
              </w:rPr>
            </w:pPr>
            <w:r>
              <w:rPr>
                <w:rFonts w:hint="eastAsia"/>
                <w:highlight w:val="none"/>
                <w:vertAlign w:val="baseline"/>
              </w:rPr>
              <w:t>安装及调试</w:t>
            </w:r>
          </w:p>
        </w:tc>
        <w:tc>
          <w:tcPr>
            <w:tcW w:w="5928" w:type="dxa"/>
            <w:noWrap w:val="0"/>
            <w:vAlign w:val="center"/>
          </w:tcPr>
          <w:p w14:paraId="60F23754">
            <w:pPr>
              <w:jc w:val="left"/>
              <w:rPr>
                <w:rFonts w:hint="eastAsia"/>
                <w:highlight w:val="none"/>
                <w:vertAlign w:val="baseline"/>
              </w:rPr>
            </w:pPr>
            <w:r>
              <w:rPr>
                <w:rFonts w:hint="eastAsia"/>
                <w:highlight w:val="none"/>
                <w:vertAlign w:val="baseline"/>
              </w:rPr>
              <w:t>设备安装及调试。</w:t>
            </w:r>
          </w:p>
        </w:tc>
        <w:tc>
          <w:tcPr>
            <w:tcW w:w="736" w:type="dxa"/>
            <w:noWrap w:val="0"/>
            <w:vAlign w:val="center"/>
          </w:tcPr>
          <w:p w14:paraId="63A768A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4F5387A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3972820E">
            <w:pPr>
              <w:jc w:val="center"/>
              <w:rPr>
                <w:highlight w:val="none"/>
              </w:rPr>
            </w:pPr>
          </w:p>
        </w:tc>
        <w:tc>
          <w:tcPr>
            <w:tcW w:w="710" w:type="dxa"/>
            <w:gridSpan w:val="2"/>
            <w:noWrap w:val="0"/>
            <w:vAlign w:val="center"/>
          </w:tcPr>
          <w:p w14:paraId="14C7A724">
            <w:pPr>
              <w:jc w:val="both"/>
              <w:rPr>
                <w:highlight w:val="none"/>
                <w:vertAlign w:val="baseline"/>
              </w:rPr>
            </w:pPr>
          </w:p>
        </w:tc>
      </w:tr>
      <w:tr w14:paraId="1BAE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4189" w:type="dxa"/>
            <w:gridSpan w:val="9"/>
            <w:noWrap w:val="0"/>
            <w:vAlign w:val="center"/>
          </w:tcPr>
          <w:p w14:paraId="6F85FB7F">
            <w:pPr>
              <w:jc w:val="center"/>
              <w:rPr>
                <w:highlight w:val="none"/>
                <w:vertAlign w:val="baseline"/>
              </w:rPr>
            </w:pPr>
            <w:r>
              <w:rPr>
                <w:rFonts w:hint="eastAsia"/>
                <w:b/>
                <w:bCs/>
                <w:sz w:val="44"/>
                <w:szCs w:val="44"/>
                <w:highlight w:val="none"/>
                <w:vertAlign w:val="baseline"/>
              </w:rPr>
              <w:t>物理仪器室</w:t>
            </w:r>
          </w:p>
        </w:tc>
      </w:tr>
      <w:tr w14:paraId="266D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95" w:type="dxa"/>
            <w:noWrap w:val="0"/>
            <w:vAlign w:val="center"/>
          </w:tcPr>
          <w:p w14:paraId="3263E343">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4B218F3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0AC3005D">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168927B3">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2F8310D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7447FDC1">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672E4985">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7B76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4189" w:type="dxa"/>
            <w:gridSpan w:val="9"/>
            <w:noWrap w:val="0"/>
            <w:vAlign w:val="center"/>
          </w:tcPr>
          <w:p w14:paraId="460D51F1">
            <w:pPr>
              <w:jc w:val="both"/>
              <w:rPr>
                <w:highlight w:val="none"/>
                <w:vertAlign w:val="baseline"/>
              </w:rPr>
            </w:pPr>
            <w:r>
              <w:rPr>
                <w:rFonts w:hint="eastAsia"/>
                <w:b/>
                <w:bCs/>
                <w:sz w:val="30"/>
                <w:szCs w:val="30"/>
                <w:highlight w:val="none"/>
                <w:vertAlign w:val="baseline"/>
              </w:rPr>
              <w:t>一、仪器室设备</w:t>
            </w:r>
          </w:p>
        </w:tc>
      </w:tr>
      <w:tr w14:paraId="47E6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4BAF2E">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4A4CD2C0">
            <w:pPr>
              <w:jc w:val="center"/>
              <w:rPr>
                <w:rFonts w:hint="eastAsia"/>
                <w:highlight w:val="none"/>
                <w:vertAlign w:val="baseline"/>
              </w:rPr>
            </w:pPr>
            <w:r>
              <w:rPr>
                <w:rFonts w:hint="eastAsia"/>
                <w:highlight w:val="none"/>
                <w:vertAlign w:val="baseline"/>
              </w:rPr>
              <w:t>仪器柜</w:t>
            </w:r>
          </w:p>
        </w:tc>
        <w:tc>
          <w:tcPr>
            <w:tcW w:w="5928" w:type="dxa"/>
            <w:noWrap w:val="0"/>
            <w:vAlign w:val="center"/>
          </w:tcPr>
          <w:p w14:paraId="7A515AE4">
            <w:pPr>
              <w:jc w:val="left"/>
              <w:rPr>
                <w:rFonts w:hint="eastAsia"/>
                <w:highlight w:val="none"/>
                <w:vertAlign w:val="baseline"/>
              </w:rPr>
            </w:pPr>
            <w:r>
              <w:rPr>
                <w:rFonts w:hint="eastAsia"/>
                <w:highlight w:val="none"/>
                <w:vertAlign w:val="baseline"/>
              </w:rPr>
              <w:t>规格：≥1000×500×2000mm</w:t>
            </w:r>
          </w:p>
          <w:p w14:paraId="00A2DC09">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7CC4C2C9">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7B0A1672">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36BCED7F">
            <w:pPr>
              <w:jc w:val="left"/>
              <w:rPr>
                <w:rFonts w:hint="eastAsia"/>
                <w:highlight w:val="none"/>
                <w:vertAlign w:val="baseline"/>
              </w:rPr>
            </w:pPr>
            <w:r>
              <w:rPr>
                <w:rFonts w:hint="eastAsia"/>
                <w:highlight w:val="none"/>
                <w:vertAlign w:val="baseline"/>
              </w:rPr>
              <w:t>4、层板：上柜配置两块活动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3B7C5348">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6D4AE1F2">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3A824E86">
            <w:pPr>
              <w:jc w:val="left"/>
              <w:rPr>
                <w:rFonts w:hint="eastAsia"/>
                <w:highlight w:val="none"/>
                <w:vertAlign w:val="baseline"/>
              </w:rPr>
            </w:pPr>
            <w:r>
              <w:rPr>
                <w:rFonts w:hint="eastAsia"/>
                <w:highlight w:val="none"/>
                <w:vertAlign w:val="baseline"/>
              </w:rPr>
              <w:t>7、螺丝：不锈钢304材质。</w:t>
            </w:r>
          </w:p>
          <w:p w14:paraId="5F46FD9B">
            <w:pPr>
              <w:jc w:val="left"/>
              <w:rPr>
                <w:rFonts w:hint="eastAsia"/>
                <w:highlight w:val="none"/>
                <w:vertAlign w:val="baseline"/>
              </w:rPr>
            </w:pPr>
            <w:r>
              <w:rPr>
                <w:rFonts w:hint="eastAsia"/>
                <w:highlight w:val="none"/>
                <w:vertAlign w:val="baseline"/>
              </w:rPr>
              <w:t>▲仪器柜整体通过GB/T 32487-2016 塑料家具通用技术条件检测，柜类强度和耐久性，塑料件外观，理化性能，有害物质限量。测试结果符合指标要求。备注：为确保产品质量，需提供具有CMA或CNAS标识的检测报告扫描件。</w:t>
            </w:r>
          </w:p>
        </w:tc>
        <w:tc>
          <w:tcPr>
            <w:tcW w:w="736" w:type="dxa"/>
            <w:noWrap w:val="0"/>
            <w:vAlign w:val="center"/>
          </w:tcPr>
          <w:p w14:paraId="6A70507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10</w:t>
            </w:r>
          </w:p>
        </w:tc>
        <w:tc>
          <w:tcPr>
            <w:tcW w:w="834" w:type="dxa"/>
            <w:noWrap w:val="0"/>
            <w:vAlign w:val="center"/>
          </w:tcPr>
          <w:p w14:paraId="5E8449F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3E11B24C">
            <w:pPr>
              <w:jc w:val="center"/>
              <w:rPr>
                <w:highlight w:val="none"/>
              </w:rPr>
            </w:pPr>
            <w:r>
              <w:rPr>
                <w:highlight w:val="none"/>
              </w:rPr>
              <w:drawing>
                <wp:inline distT="0" distB="0" distL="114300" distR="114300">
                  <wp:extent cx="1747520" cy="2629535"/>
                  <wp:effectExtent l="0" t="0" r="5080" b="12065"/>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37"/>
                          <a:stretch>
                            <a:fillRect/>
                          </a:stretch>
                        </pic:blipFill>
                        <pic:spPr>
                          <a:xfrm>
                            <a:off x="0" y="0"/>
                            <a:ext cx="1747520" cy="2629535"/>
                          </a:xfrm>
                          <a:prstGeom prst="rect">
                            <a:avLst/>
                          </a:prstGeom>
                          <a:noFill/>
                          <a:ln>
                            <a:noFill/>
                          </a:ln>
                        </pic:spPr>
                      </pic:pic>
                    </a:graphicData>
                  </a:graphic>
                </wp:inline>
              </w:drawing>
            </w:r>
          </w:p>
        </w:tc>
        <w:tc>
          <w:tcPr>
            <w:tcW w:w="710" w:type="dxa"/>
            <w:gridSpan w:val="2"/>
            <w:noWrap w:val="0"/>
            <w:vAlign w:val="center"/>
          </w:tcPr>
          <w:p w14:paraId="7EE38CC4">
            <w:pPr>
              <w:jc w:val="both"/>
              <w:rPr>
                <w:highlight w:val="none"/>
                <w:vertAlign w:val="baseline"/>
              </w:rPr>
            </w:pPr>
          </w:p>
        </w:tc>
      </w:tr>
      <w:tr w14:paraId="11C6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4189" w:type="dxa"/>
            <w:gridSpan w:val="9"/>
            <w:noWrap w:val="0"/>
            <w:vAlign w:val="center"/>
          </w:tcPr>
          <w:p w14:paraId="407D31E3">
            <w:pPr>
              <w:jc w:val="both"/>
              <w:rPr>
                <w:highlight w:val="none"/>
                <w:vertAlign w:val="baseline"/>
              </w:rPr>
            </w:pPr>
            <w:r>
              <w:rPr>
                <w:rFonts w:hint="eastAsia"/>
                <w:b/>
                <w:bCs/>
                <w:sz w:val="30"/>
                <w:szCs w:val="30"/>
                <w:highlight w:val="none"/>
                <w:vertAlign w:val="baseline"/>
              </w:rPr>
              <w:t>二、安装附件部分</w:t>
            </w:r>
          </w:p>
        </w:tc>
      </w:tr>
      <w:tr w14:paraId="20A9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5843C9">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7CBF1CE5">
            <w:pPr>
              <w:jc w:val="center"/>
              <w:rPr>
                <w:rFonts w:hint="eastAsia"/>
                <w:highlight w:val="none"/>
                <w:vertAlign w:val="baseline"/>
              </w:rPr>
            </w:pPr>
            <w:r>
              <w:rPr>
                <w:rFonts w:hint="eastAsia"/>
                <w:highlight w:val="none"/>
                <w:vertAlign w:val="baseline"/>
              </w:rPr>
              <w:t>安装及调试</w:t>
            </w:r>
          </w:p>
        </w:tc>
        <w:tc>
          <w:tcPr>
            <w:tcW w:w="5928" w:type="dxa"/>
            <w:noWrap w:val="0"/>
            <w:vAlign w:val="center"/>
          </w:tcPr>
          <w:p w14:paraId="67921D6F">
            <w:pPr>
              <w:jc w:val="left"/>
              <w:rPr>
                <w:rFonts w:hint="eastAsia"/>
                <w:highlight w:val="none"/>
                <w:vertAlign w:val="baseline"/>
              </w:rPr>
            </w:pPr>
            <w:r>
              <w:rPr>
                <w:rFonts w:hint="eastAsia"/>
                <w:highlight w:val="none"/>
                <w:vertAlign w:val="baseline"/>
              </w:rPr>
              <w:t>设备安装及调试。</w:t>
            </w:r>
          </w:p>
        </w:tc>
        <w:tc>
          <w:tcPr>
            <w:tcW w:w="736" w:type="dxa"/>
            <w:noWrap w:val="0"/>
            <w:vAlign w:val="center"/>
          </w:tcPr>
          <w:p w14:paraId="30A32A80">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190943D3">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44AB1E7C">
            <w:pPr>
              <w:jc w:val="center"/>
              <w:rPr>
                <w:highlight w:val="none"/>
              </w:rPr>
            </w:pPr>
          </w:p>
        </w:tc>
        <w:tc>
          <w:tcPr>
            <w:tcW w:w="710" w:type="dxa"/>
            <w:gridSpan w:val="2"/>
            <w:noWrap w:val="0"/>
            <w:vAlign w:val="center"/>
          </w:tcPr>
          <w:p w14:paraId="625F997E">
            <w:pPr>
              <w:jc w:val="both"/>
              <w:rPr>
                <w:highlight w:val="none"/>
                <w:vertAlign w:val="baseline"/>
              </w:rPr>
            </w:pPr>
          </w:p>
        </w:tc>
      </w:tr>
      <w:tr w14:paraId="6027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4189" w:type="dxa"/>
            <w:gridSpan w:val="9"/>
            <w:noWrap w:val="0"/>
            <w:vAlign w:val="center"/>
          </w:tcPr>
          <w:p w14:paraId="0F45882C">
            <w:pPr>
              <w:jc w:val="center"/>
              <w:rPr>
                <w:highlight w:val="none"/>
                <w:vertAlign w:val="baseline"/>
              </w:rPr>
            </w:pPr>
            <w:r>
              <w:rPr>
                <w:rFonts w:hint="eastAsia"/>
                <w:b/>
                <w:bCs/>
                <w:sz w:val="44"/>
                <w:szCs w:val="44"/>
                <w:highlight w:val="none"/>
                <w:vertAlign w:val="baseline"/>
              </w:rPr>
              <w:t>化学上通风实验室</w:t>
            </w:r>
          </w:p>
        </w:tc>
      </w:tr>
      <w:tr w14:paraId="2296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95" w:type="dxa"/>
            <w:noWrap w:val="0"/>
            <w:vAlign w:val="center"/>
          </w:tcPr>
          <w:p w14:paraId="1C9F8EF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0387D12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53833C22">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58C5ED0B">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4862CAD3">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6A870755">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2CBAE80D">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0CC3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7B88F78">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0DDB68FA">
            <w:pPr>
              <w:jc w:val="center"/>
              <w:rPr>
                <w:rFonts w:hint="eastAsia"/>
                <w:highlight w:val="none"/>
                <w:vertAlign w:val="baseline"/>
              </w:rPr>
            </w:pPr>
            <w:r>
              <w:rPr>
                <w:rFonts w:hint="eastAsia"/>
                <w:highlight w:val="none"/>
                <w:vertAlign w:val="baseline"/>
              </w:rPr>
              <w:t>86英寸</w:t>
            </w:r>
            <w:r>
              <w:rPr>
                <w:rFonts w:hint="eastAsia"/>
                <w:highlight w:val="none"/>
                <w:vertAlign w:val="baseline"/>
                <w:lang w:val="en-US" w:eastAsia="zh-CN"/>
              </w:rPr>
              <w:t>教学交互智能互联平板</w:t>
            </w:r>
          </w:p>
        </w:tc>
        <w:tc>
          <w:tcPr>
            <w:tcW w:w="5928" w:type="dxa"/>
            <w:shd w:val="clear" w:color="auto" w:fill="auto"/>
            <w:noWrap w:val="0"/>
            <w:vAlign w:val="top"/>
          </w:tcPr>
          <w:p w14:paraId="1F820D66">
            <w:pPr>
              <w:rPr>
                <w:rFonts w:hint="eastAsia"/>
                <w:highlight w:val="none"/>
              </w:rPr>
            </w:pPr>
            <w:r>
              <w:rPr>
                <w:rFonts w:hint="eastAsia"/>
                <w:highlight w:val="none"/>
              </w:rPr>
              <w:t>一、教师教研集体备课</w:t>
            </w:r>
          </w:p>
          <w:p w14:paraId="2B582BB2">
            <w:pPr>
              <w:rPr>
                <w:rFonts w:hint="eastAsia"/>
                <w:highlight w:val="none"/>
              </w:rPr>
            </w:pPr>
            <w:r>
              <w:rPr>
                <w:rFonts w:hint="eastAsia"/>
                <w:highlight w:val="none"/>
              </w:rPr>
              <w:t>▲1、校本资源库：支持实现校本资源共建共享。</w:t>
            </w:r>
          </w:p>
          <w:p w14:paraId="644E3EB4">
            <w:pPr>
              <w:rPr>
                <w:rFonts w:hint="eastAsia"/>
                <w:highlight w:val="none"/>
              </w:rPr>
            </w:pPr>
            <w:r>
              <w:rPr>
                <w:rFonts w:hint="eastAsia"/>
                <w:highlight w:val="none"/>
              </w:rPr>
              <w:t>①资源上传：支持上传课件、教案、胶囊及多媒体文件，其中多媒体资源类型与格式包括：文档：doc、docx、pdf、ppt、pptx、xlsx、xls；图片：bmp、jpg、png、jpeg、gif；视频：mp4、webm；音频：wav、mp3、ogg；</w:t>
            </w:r>
          </w:p>
          <w:p w14:paraId="34A9D95C">
            <w:pPr>
              <w:rPr>
                <w:rFonts w:hint="eastAsia"/>
                <w:highlight w:val="none"/>
              </w:rPr>
            </w:pPr>
            <w:r>
              <w:rPr>
                <w:rFonts w:hint="eastAsia"/>
                <w:highlight w:val="none"/>
              </w:rPr>
              <w:t>②批量上传：支持课件、教案、胶囊以文件夹的形式批量上传。</w:t>
            </w:r>
          </w:p>
          <w:p w14:paraId="1A50B0E0">
            <w:pPr>
              <w:rPr>
                <w:rFonts w:hint="eastAsia"/>
                <w:highlight w:val="none"/>
              </w:rPr>
            </w:pPr>
            <w:r>
              <w:rPr>
                <w:rFonts w:hint="eastAsia"/>
                <w:highlight w:val="none"/>
              </w:rPr>
              <w:t>③资源搜索：支持树形结构目录，可进行资源分类及查找，支持全局资源搜索，按年级、学科筛选资源，支持查找资源后定位到当前资源文件夹。</w:t>
            </w:r>
          </w:p>
          <w:p w14:paraId="0661F224">
            <w:pPr>
              <w:rPr>
                <w:rFonts w:hint="eastAsia"/>
                <w:highlight w:val="none"/>
              </w:rPr>
            </w:pPr>
            <w:r>
              <w:rPr>
                <w:rFonts w:hint="eastAsia"/>
                <w:highlight w:val="none"/>
              </w:rPr>
              <w:t>④查看及预览：支持查看资源文件夹的创建者，资源的上传作者，更新时间数据。校本资源支持在线预览。支持切换列表模式/宫格模式查看资源。</w:t>
            </w:r>
          </w:p>
          <w:p w14:paraId="276ABBB7">
            <w:pPr>
              <w:rPr>
                <w:rFonts w:hint="eastAsia"/>
                <w:highlight w:val="none"/>
              </w:rPr>
            </w:pPr>
            <w:r>
              <w:rPr>
                <w:rFonts w:hint="eastAsia"/>
                <w:highlight w:val="none"/>
              </w:rPr>
              <w:t>⑤资源管理：支持教师对本人上传的校本资源进行分类移动，删除或重命名。</w:t>
            </w:r>
          </w:p>
          <w:p w14:paraId="25BAD6B9">
            <w:pPr>
              <w:rPr>
                <w:rFonts w:hint="eastAsia"/>
                <w:highlight w:val="none"/>
              </w:rPr>
            </w:pPr>
            <w:r>
              <w:rPr>
                <w:rFonts w:hint="eastAsia"/>
                <w:highlight w:val="none"/>
              </w:rPr>
              <w:t>⑥备课应用：在交互式备授课软件中，支持获取校本多媒体资源到本地查看，也可选择插入校本资源库中的多媒体资源，实现校内资源的共建共享。</w:t>
            </w:r>
          </w:p>
          <w:p w14:paraId="1C6F62D3">
            <w:pPr>
              <w:rPr>
                <w:rFonts w:hint="eastAsia"/>
                <w:highlight w:val="none"/>
              </w:rPr>
            </w:pPr>
            <w:r>
              <w:rPr>
                <w:rFonts w:hint="eastAsia"/>
                <w:highlight w:val="none"/>
              </w:rPr>
              <w:t>▲2、集体备课：支持实现信息化集体备课。</w:t>
            </w:r>
          </w:p>
          <w:p w14:paraId="61A38DA6">
            <w:pPr>
              <w:rPr>
                <w:rFonts w:hint="eastAsia"/>
                <w:highlight w:val="none"/>
              </w:rPr>
            </w:pPr>
            <w:r>
              <w:rPr>
                <w:rFonts w:hint="eastAsia"/>
                <w:highlight w:val="none"/>
              </w:rPr>
              <w:t>①发起集备：支持选择教案、课件、胶囊资源上传发起集备研讨，支持设置多重访问权限，通过手机号搜索即可邀请外校老师，可用于跨校教研场景。</w:t>
            </w:r>
          </w:p>
          <w:p w14:paraId="478362EB">
            <w:pPr>
              <w:rPr>
                <w:rFonts w:hint="eastAsia"/>
                <w:highlight w:val="none"/>
              </w:rPr>
            </w:pPr>
            <w:r>
              <w:rPr>
                <w:rFonts w:hint="eastAsia"/>
                <w:highlight w:val="none"/>
              </w:rPr>
              <w:t>②进入集备：支持搜索集备名称/老师昵称、或按照学科/学段/年级/教材章节、我参与的/我发起的几个维度进行筛选查看，支持电脑端进入集备页面。</w:t>
            </w:r>
          </w:p>
          <w:p w14:paraId="2E32CF66">
            <w:pPr>
              <w:rPr>
                <w:rFonts w:hint="eastAsia"/>
                <w:highlight w:val="none"/>
              </w:rPr>
            </w:pPr>
            <w:r>
              <w:rPr>
                <w:rFonts w:hint="eastAsia"/>
                <w:highlight w:val="none"/>
              </w:rPr>
              <w:t>③集备研讨：参备人可通过评论区发表观点，可对他人评论的观点进行点赞，评论消息支持实时提醒，支持图片的上传。</w:t>
            </w:r>
          </w:p>
          <w:p w14:paraId="323F2425">
            <w:pPr>
              <w:rPr>
                <w:rFonts w:hint="eastAsia"/>
                <w:highlight w:val="none"/>
              </w:rPr>
            </w:pPr>
            <w:r>
              <w:rPr>
                <w:rFonts w:hint="eastAsia"/>
                <w:highlight w:val="none"/>
              </w:rPr>
              <w:t>④在线批注：参备人在可在线对教案进行随文式批注，追加批注，回复以及查看实时批注消息。支持对课件进行打点式批注，可通过批注定位研讨内容，完成协同备课。</w:t>
            </w:r>
          </w:p>
          <w:p w14:paraId="5F66F400">
            <w:pPr>
              <w:rPr>
                <w:rFonts w:hint="eastAsia"/>
                <w:highlight w:val="none"/>
              </w:rPr>
            </w:pPr>
            <w:r>
              <w:rPr>
                <w:rFonts w:hint="eastAsia"/>
                <w:highlight w:val="none"/>
              </w:rPr>
              <w:t>⑤稿件编辑：完成本次研讨后，主备人可直接进入编辑页面编辑课件/教案，发布新稿件后，备课组进入下一轮研讨，更新稿件后会给参备老师同步教研动态。</w:t>
            </w:r>
          </w:p>
          <w:p w14:paraId="5258718E">
            <w:pPr>
              <w:rPr>
                <w:rFonts w:hint="eastAsia"/>
                <w:highlight w:val="none"/>
              </w:rPr>
            </w:pPr>
            <w:r>
              <w:rPr>
                <w:rFonts w:hint="eastAsia"/>
                <w:highlight w:val="none"/>
              </w:rPr>
              <w:t>⑥稿件对比：可对集备中多稿的课件/教案/胶囊进行内容的横向对比，支持批注研讨过程数据对比回溯；</w:t>
            </w:r>
          </w:p>
          <w:p w14:paraId="71D0EDAA">
            <w:pPr>
              <w:rPr>
                <w:rFonts w:hint="eastAsia"/>
                <w:highlight w:val="none"/>
              </w:rPr>
            </w:pPr>
            <w:r>
              <w:rPr>
                <w:rFonts w:hint="eastAsia"/>
                <w:highlight w:val="none"/>
              </w:rPr>
              <w:t>⑦获取稿件：参备成员可以随时获取和下载每一稿中的集备稿件到云课件，进行编辑或引用。</w:t>
            </w:r>
          </w:p>
          <w:p w14:paraId="50D429F1">
            <w:pPr>
              <w:rPr>
                <w:rFonts w:hint="eastAsia"/>
                <w:highlight w:val="none"/>
              </w:rPr>
            </w:pPr>
            <w:r>
              <w:rPr>
                <w:rFonts w:hint="eastAsia"/>
                <w:highlight w:val="none"/>
              </w:rPr>
              <w:t>⑧完成集备：完成研讨后，可生成集体备课报告。集备终稿会自动上传到校本资源库，主备人可自定义上传目录，参备人可前往校本资源库获取集备终稿。</w:t>
            </w:r>
          </w:p>
          <w:p w14:paraId="7DAA1660">
            <w:pPr>
              <w:rPr>
                <w:rFonts w:hint="eastAsia"/>
                <w:highlight w:val="none"/>
              </w:rPr>
            </w:pPr>
            <w:r>
              <w:rPr>
                <w:rFonts w:hint="eastAsia"/>
                <w:highlight w:val="none"/>
              </w:rPr>
              <w:t>⑨生成集备报告：支持生成集备报告，报告生成后，参备人可查看具体报告内容和下载集备报告。报告内包含集备信息、数据统计、研讨记录的具体内容。</w:t>
            </w:r>
          </w:p>
          <w:p w14:paraId="4F4C4D9D">
            <w:pPr>
              <w:rPr>
                <w:rFonts w:hint="eastAsia"/>
                <w:highlight w:val="none"/>
              </w:rPr>
            </w:pPr>
            <w:r>
              <w:rPr>
                <w:rFonts w:hint="eastAsia"/>
                <w:highlight w:val="none"/>
              </w:rPr>
              <w:t>⑩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p w14:paraId="460D3A8F">
            <w:pPr>
              <w:rPr>
                <w:rFonts w:hint="eastAsia"/>
                <w:highlight w:val="none"/>
              </w:rPr>
            </w:pPr>
            <w:r>
              <w:rPr>
                <w:rFonts w:hint="eastAsia"/>
                <w:highlight w:val="none"/>
              </w:rPr>
              <w:t>⑪集备妙记：支持语音及视频会议记录，为音视频回放自动生成字幕，对音视频研讨过程中的关键词和对话进行智能提炼，支持倍速播放，回溯研讨内容。</w:t>
            </w:r>
          </w:p>
          <w:p w14:paraId="29422623">
            <w:pPr>
              <w:rPr>
                <w:rFonts w:hint="eastAsia"/>
                <w:highlight w:val="none"/>
              </w:rPr>
            </w:pPr>
            <w:r>
              <w:rPr>
                <w:rFonts w:hint="eastAsia"/>
                <w:highlight w:val="none"/>
              </w:rPr>
              <w:t>▲3、集体备课混合教研模式：支持在授课模式下，使用交互式智能平板快速发起集体备课，开展即时的线下交流研讨，支持在线完成活动签到、资源共享，对整个线下研讨的过程进行记录。</w:t>
            </w:r>
          </w:p>
          <w:p w14:paraId="291EE516">
            <w:pPr>
              <w:rPr>
                <w:rFonts w:hint="eastAsia"/>
                <w:highlight w:val="none"/>
              </w:rPr>
            </w:pPr>
            <w:r>
              <w:rPr>
                <w:rFonts w:hint="eastAsia"/>
                <w:highlight w:val="none"/>
              </w:rPr>
              <w:t>①大屏模式：通过集体备课列表，在已发起的集备项目中支持大屏模式，开启线下研讨。</w:t>
            </w:r>
          </w:p>
          <w:p w14:paraId="1D911CE7">
            <w:pPr>
              <w:rPr>
                <w:rFonts w:hint="eastAsia"/>
                <w:highlight w:val="none"/>
              </w:rPr>
            </w:pPr>
            <w:r>
              <w:rPr>
                <w:rFonts w:hint="eastAsia"/>
                <w:highlight w:val="none"/>
              </w:rPr>
              <w:t>②共享资源：主备老师支持现场上传文件（包括课件、教案、胶囊和多媒体资源）用于研讨，参备老师也可通过扫码上传需要的资源文件，即时与教师们开展研讨。</w:t>
            </w:r>
          </w:p>
          <w:p w14:paraId="695F29C6">
            <w:pPr>
              <w:rPr>
                <w:rFonts w:hint="eastAsia"/>
                <w:highlight w:val="none"/>
              </w:rPr>
            </w:pPr>
            <w:r>
              <w:rPr>
                <w:rFonts w:hint="eastAsia"/>
                <w:highlight w:val="none"/>
              </w:rPr>
              <w:t>③设置签到：在集体备课研讨前主备老师可以设置签到环节，选择签到时长，现场的老师扫码即可完成签到。</w:t>
            </w:r>
          </w:p>
          <w:p w14:paraId="03156130">
            <w:pPr>
              <w:rPr>
                <w:rFonts w:hint="eastAsia"/>
                <w:highlight w:val="none"/>
              </w:rPr>
            </w:pPr>
            <w:r>
              <w:rPr>
                <w:rFonts w:hint="eastAsia"/>
                <w:highlight w:val="none"/>
              </w:rPr>
              <w:t>④调取黑板：支持调用黑板应用，老师现场完成板书/讨论。</w:t>
            </w:r>
          </w:p>
          <w:p w14:paraId="2B181C58">
            <w:pPr>
              <w:rPr>
                <w:rFonts w:hint="eastAsia"/>
                <w:highlight w:val="none"/>
              </w:rPr>
            </w:pPr>
            <w:r>
              <w:rPr>
                <w:rFonts w:hint="eastAsia"/>
                <w:highlight w:val="none"/>
              </w:rPr>
              <w:t>⑤分享集备：支持分享二维码，现场或线上的老师可进入集备查看资源并参与研讨批注。</w:t>
            </w:r>
          </w:p>
          <w:p w14:paraId="363EE5BF">
            <w:pPr>
              <w:rPr>
                <w:rFonts w:hint="eastAsia"/>
                <w:highlight w:val="none"/>
              </w:rPr>
            </w:pPr>
            <w:r>
              <w:rPr>
                <w:rFonts w:hint="eastAsia"/>
                <w:highlight w:val="none"/>
              </w:rPr>
              <w:t>▲4、听评课：支持实现电子化听评课。</w:t>
            </w:r>
          </w:p>
          <w:p w14:paraId="7593BA08">
            <w:pPr>
              <w:rPr>
                <w:rFonts w:hint="eastAsia"/>
                <w:highlight w:val="none"/>
              </w:rPr>
            </w:pPr>
            <w:r>
              <w:rPr>
                <w:rFonts w:hint="eastAsia"/>
                <w:highlight w:val="none"/>
              </w:rPr>
              <w:t>①邀请评课：支持在授课模式中发起授课评价，根据课程和评课表生成二维码，可选择是否分享课件，若选择分享课件，评课人通过扫码即可参与评课并获取课件。</w:t>
            </w:r>
          </w:p>
          <w:p w14:paraId="5E7E6A3E">
            <w:pPr>
              <w:rPr>
                <w:rFonts w:hint="eastAsia"/>
                <w:highlight w:val="none"/>
              </w:rPr>
            </w:pPr>
            <w:r>
              <w:rPr>
                <w:rFonts w:hint="eastAsia"/>
                <w:highlight w:val="none"/>
              </w:rPr>
              <w:t>②查看评课记录：支持在我的学校中查看我评的课、我讲的课的历史评价记录。</w:t>
            </w:r>
          </w:p>
          <w:p w14:paraId="2DC517D5">
            <w:pPr>
              <w:rPr>
                <w:rFonts w:hint="eastAsia"/>
                <w:highlight w:val="none"/>
              </w:rPr>
            </w:pPr>
            <w:r>
              <w:rPr>
                <w:rFonts w:hint="eastAsia"/>
                <w:highlight w:val="none"/>
              </w:rPr>
              <w:t>③导出评课报告和听课记录：支持导出我讲的课的评课报告为PDF文档，支持导出我评的课的评课表为WORD文档。</w:t>
            </w:r>
          </w:p>
          <w:p w14:paraId="1F486827">
            <w:pPr>
              <w:rPr>
                <w:rFonts w:hint="eastAsia"/>
                <w:highlight w:val="none"/>
              </w:rPr>
            </w:pPr>
            <w:r>
              <w:rPr>
                <w:rFonts w:hint="eastAsia"/>
                <w:highlight w:val="none"/>
              </w:rPr>
              <w:t>④直播回放：直播评课全过程支持回放并自动生成字幕，支持回放视频形成回放链接分享，可直接下载导出，用于老师回顾课堂内容，分析老师的课堂表现和教学情况。</w:t>
            </w:r>
          </w:p>
          <w:p w14:paraId="6254A43D">
            <w:pPr>
              <w:rPr>
                <w:rFonts w:hint="eastAsia"/>
                <w:highlight w:val="none"/>
              </w:rPr>
            </w:pPr>
            <w:r>
              <w:rPr>
                <w:rFonts w:hint="eastAsia"/>
                <w:highlight w:val="none"/>
              </w:rPr>
              <w:t>⑤AI课堂数据分析：一览课堂重要数据，智能分析授课内容生成高频词云，提炼师生互动生成课堂问答，老师可掌握课堂的重点与方向。</w:t>
            </w:r>
          </w:p>
          <w:p w14:paraId="1F3E103F">
            <w:pPr>
              <w:rPr>
                <w:rFonts w:hint="eastAsia"/>
                <w:highlight w:val="none"/>
              </w:rPr>
            </w:pPr>
            <w:r>
              <w:rPr>
                <w:rFonts w:hint="eastAsia"/>
                <w:highlight w:val="none"/>
              </w:rPr>
              <w:t>听评课-教师评课授课记录</w:t>
            </w:r>
          </w:p>
          <w:p w14:paraId="19694CB7">
            <w:pPr>
              <w:rPr>
                <w:rFonts w:hint="eastAsia"/>
                <w:highlight w:val="none"/>
              </w:rPr>
            </w:pPr>
            <w:r>
              <w:rPr>
                <w:rFonts w:hint="eastAsia"/>
                <w:highlight w:val="none"/>
              </w:rPr>
              <w:t>1、评课列表：在评课列表中可查看[我评的课]的所有记录，评课记录云端存储，不怕丢失。</w:t>
            </w:r>
          </w:p>
          <w:p w14:paraId="13BE57CF">
            <w:pPr>
              <w:rPr>
                <w:rFonts w:hint="eastAsia"/>
                <w:highlight w:val="none"/>
              </w:rPr>
            </w:pPr>
            <w:r>
              <w:rPr>
                <w:rFonts w:hint="eastAsia"/>
                <w:highlight w:val="none"/>
              </w:rPr>
              <w:t>2、评课表导出：支持评课表导出，便于存档和检查。</w:t>
            </w:r>
          </w:p>
          <w:p w14:paraId="13A29A3D">
            <w:pPr>
              <w:rPr>
                <w:rFonts w:hint="eastAsia"/>
                <w:highlight w:val="none"/>
              </w:rPr>
            </w:pPr>
            <w:r>
              <w:rPr>
                <w:rFonts w:hint="eastAsia"/>
                <w:highlight w:val="none"/>
              </w:rPr>
              <w:t>3、授课列表：在授课列表中可查看[我讲的课]的所有记录，讲课记录云端存储，方便查阅，</w:t>
            </w:r>
          </w:p>
          <w:p w14:paraId="765A4ACF">
            <w:pPr>
              <w:rPr>
                <w:rFonts w:hint="eastAsia"/>
                <w:highlight w:val="none"/>
              </w:rPr>
            </w:pPr>
            <w:r>
              <w:rPr>
                <w:rFonts w:hint="eastAsia"/>
                <w:highlight w:val="none"/>
              </w:rPr>
              <w:t>4、导出评课报告：系统自动生成评课报告，并支持一键导出PDF。</w:t>
            </w:r>
          </w:p>
          <w:p w14:paraId="3276AF6C">
            <w:pPr>
              <w:rPr>
                <w:rFonts w:hint="eastAsia"/>
                <w:highlight w:val="none"/>
              </w:rPr>
            </w:pPr>
            <w:r>
              <w:rPr>
                <w:rFonts w:hint="eastAsia"/>
                <w:highlight w:val="none"/>
              </w:rPr>
              <w:t>听评课-直播听评课</w:t>
            </w:r>
          </w:p>
          <w:p w14:paraId="78ADE62D">
            <w:pPr>
              <w:rPr>
                <w:rFonts w:hint="eastAsia"/>
                <w:highlight w:val="none"/>
              </w:rPr>
            </w:pPr>
            <w:r>
              <w:rPr>
                <w:rFonts w:hint="eastAsia"/>
                <w:highlight w:val="none"/>
              </w:rPr>
              <w:t>支持通过实时音视频将课堂教学现场进行实况直播，实现异地听课、评课，直播听评课结束后生成直播回放，使课堂教学研究与课堂教学同步进行，参与听课、评课教师。</w:t>
            </w:r>
          </w:p>
          <w:p w14:paraId="7794C589">
            <w:pPr>
              <w:rPr>
                <w:rFonts w:hint="eastAsia"/>
                <w:highlight w:val="none"/>
              </w:rPr>
            </w:pPr>
            <w:r>
              <w:rPr>
                <w:rFonts w:hint="eastAsia"/>
                <w:highlight w:val="none"/>
              </w:rPr>
              <w:t>①直播听评课：支持授课老师发起直播听评课，使用手机进行录影，听课老师可查看课堂直播。</w:t>
            </w:r>
          </w:p>
          <w:p w14:paraId="22718389">
            <w:pPr>
              <w:rPr>
                <w:rFonts w:hint="eastAsia"/>
                <w:highlight w:val="none"/>
              </w:rPr>
            </w:pPr>
            <w:r>
              <w:rPr>
                <w:rFonts w:hint="eastAsia"/>
                <w:highlight w:val="none"/>
              </w:rPr>
              <w:t>②听课提醒：支持查看评课邀请信息和直播开启预告，及时进入直播课堂，进行听课评价。</w:t>
            </w:r>
          </w:p>
          <w:p w14:paraId="48759C6A">
            <w:pPr>
              <w:rPr>
                <w:rFonts w:hint="eastAsia"/>
                <w:highlight w:val="none"/>
              </w:rPr>
            </w:pPr>
            <w:r>
              <w:rPr>
                <w:rFonts w:hint="eastAsia"/>
                <w:highlight w:val="none"/>
              </w:rPr>
              <w:t>③听课交流：支持主动发布“开启了直播”、“关闭直播”课堂状态，及时同步课堂进度。支持远程观看课堂直播时同步在听课交流区发表文字、快捷表情和照片内容，记录与分享听课想法。</w:t>
            </w:r>
          </w:p>
          <w:p w14:paraId="4DB956B0">
            <w:pPr>
              <w:rPr>
                <w:rFonts w:hint="eastAsia"/>
                <w:highlight w:val="none"/>
              </w:rPr>
            </w:pPr>
            <w:r>
              <w:rPr>
                <w:rFonts w:hint="eastAsia"/>
                <w:highlight w:val="none"/>
              </w:rPr>
              <w:t>④直播回放：支持查看课堂录影回放，回顾课堂内容，分析老师的课堂表现和教学情况。</w:t>
            </w:r>
          </w:p>
          <w:p w14:paraId="32A6DC30">
            <w:pPr>
              <w:rPr>
                <w:rFonts w:hint="eastAsia"/>
                <w:highlight w:val="none"/>
              </w:rPr>
            </w:pPr>
            <w:r>
              <w:rPr>
                <w:rFonts w:hint="eastAsia"/>
                <w:highlight w:val="none"/>
              </w:rPr>
              <w:t>⑤提供推流地址，支持网络推流输出，可实时推流给资源平台，实现平台直播。</w:t>
            </w:r>
          </w:p>
          <w:p w14:paraId="0C5B21CF">
            <w:pPr>
              <w:rPr>
                <w:rFonts w:hint="eastAsia"/>
                <w:highlight w:val="none"/>
              </w:rPr>
            </w:pPr>
            <w:r>
              <w:rPr>
                <w:rFonts w:hint="eastAsia"/>
                <w:highlight w:val="none"/>
              </w:rPr>
              <w:t>⑥支持绑定互动录播电脑主机发起直播。</w:t>
            </w:r>
          </w:p>
          <w:p w14:paraId="422AC4F6">
            <w:pPr>
              <w:rPr>
                <w:rFonts w:hint="eastAsia"/>
                <w:highlight w:val="none"/>
              </w:rPr>
            </w:pPr>
            <w:r>
              <w:rPr>
                <w:rFonts w:hint="eastAsia"/>
                <w:highlight w:val="none"/>
              </w:rPr>
              <w:t>5、创建教研组：在电脑端进入备课组空间实现组内备课资源共享，集体备课共研。</w:t>
            </w:r>
          </w:p>
          <w:p w14:paraId="00B204E2">
            <w:pPr>
              <w:rPr>
                <w:rFonts w:hint="eastAsia"/>
                <w:highlight w:val="none"/>
              </w:rPr>
            </w:pPr>
            <w:r>
              <w:rPr>
                <w:rFonts w:hint="eastAsia"/>
                <w:highlight w:val="none"/>
              </w:rPr>
              <w:t>①共享备课资源：支持选择教材和对应的章节目录，添加课件/教案/胶囊/多媒体文件/集体备课项目到组内一起研讨，支持同步到校本资源库。</w:t>
            </w:r>
          </w:p>
          <w:p w14:paraId="66E4B220">
            <w:pPr>
              <w:rPr>
                <w:rFonts w:hint="eastAsia"/>
                <w:highlight w:val="none"/>
              </w:rPr>
            </w:pPr>
            <w:r>
              <w:rPr>
                <w:rFonts w:hint="eastAsia"/>
                <w:highlight w:val="none"/>
              </w:rPr>
              <w:t>②搜索备课资源：支持点击选择教材，通过教材章节目录找到对应的课程教学资料和集备项目，支持筛选老师查看其添加的备课资源。</w:t>
            </w:r>
          </w:p>
          <w:p w14:paraId="4A3A5B24">
            <w:pPr>
              <w:rPr>
                <w:rFonts w:hint="eastAsia"/>
                <w:highlight w:val="none"/>
              </w:rPr>
            </w:pPr>
            <w:r>
              <w:rPr>
                <w:rFonts w:hint="eastAsia"/>
                <w:highlight w:val="none"/>
              </w:rPr>
              <w:t>③获取备课资源：点击可预览资源内容，并获取到云课件中应用。</w:t>
            </w:r>
          </w:p>
          <w:p w14:paraId="465520C4">
            <w:pPr>
              <w:rPr>
                <w:rFonts w:hint="eastAsia"/>
                <w:highlight w:val="none"/>
              </w:rPr>
            </w:pPr>
            <w:r>
              <w:rPr>
                <w:rFonts w:hint="eastAsia"/>
                <w:highlight w:val="none"/>
              </w:rPr>
              <w:t>④进入集备项目：点击章节下的集体备课项目可进入集体备课页面，参与研讨或回顾研讨内容。</w:t>
            </w:r>
          </w:p>
          <w:p w14:paraId="42E6C1B7">
            <w:pPr>
              <w:rPr>
                <w:rFonts w:hint="eastAsia"/>
                <w:highlight w:val="none"/>
              </w:rPr>
            </w:pPr>
            <w:r>
              <w:rPr>
                <w:rFonts w:hint="eastAsia"/>
                <w:highlight w:val="none"/>
              </w:rPr>
              <w:t>⑤查看数据统计：支持查看不同时间/教材下的小组成员的备课资源和集备数据，支持对数据进行排序查看。</w:t>
            </w:r>
          </w:p>
          <w:p w14:paraId="3FE557B8">
            <w:pPr>
              <w:rPr>
                <w:rFonts w:hint="eastAsia"/>
                <w:highlight w:val="none"/>
              </w:rPr>
            </w:pPr>
            <w:r>
              <w:rPr>
                <w:rFonts w:hint="eastAsia"/>
                <w:highlight w:val="none"/>
              </w:rPr>
              <w:t>⑥添加成员：支持搜索名称或手机号添加老师进入备课组。</w:t>
            </w:r>
          </w:p>
          <w:p w14:paraId="1E7959B9">
            <w:pPr>
              <w:rPr>
                <w:rFonts w:hint="eastAsia"/>
                <w:highlight w:val="none"/>
              </w:rPr>
            </w:pPr>
          </w:p>
          <w:p w14:paraId="063F12CE">
            <w:pPr>
              <w:rPr>
                <w:rFonts w:hint="eastAsia"/>
                <w:highlight w:val="none"/>
              </w:rPr>
            </w:pPr>
            <w:r>
              <w:rPr>
                <w:rFonts w:hint="eastAsia"/>
                <w:highlight w:val="none"/>
              </w:rPr>
              <w:t>二、电子云教案</w:t>
            </w:r>
          </w:p>
          <w:p w14:paraId="6C4E6AEB">
            <w:pPr>
              <w:rPr>
                <w:rFonts w:hint="eastAsia"/>
                <w:highlight w:val="none"/>
              </w:rPr>
            </w:pPr>
            <w:r>
              <w:rPr>
                <w:rFonts w:hint="eastAsia"/>
                <w:highlight w:val="none"/>
              </w:rPr>
              <w:t>▲1、云教案内容可自动同步至云空间。支持以链接方式进行定向式分享和开放式分享。接收者可直接在桌面浏览器、微信内打开预览，可将云教案转存至个人云空间。云教案支持导出为PDF格式。（响应文件中须出具检验结果符合或者优于本项参数的国家认可的第三方认证（检测）机构出具的带有CMA或CNAS标志的检测报告）</w:t>
            </w:r>
          </w:p>
          <w:p w14:paraId="4A2AFD50">
            <w:pPr>
              <w:rPr>
                <w:rFonts w:hint="eastAsia"/>
                <w:highlight w:val="none"/>
              </w:rPr>
            </w:pPr>
            <w:r>
              <w:rPr>
                <w:rFonts w:hint="eastAsia"/>
                <w:highlight w:val="none"/>
              </w:rPr>
              <w:t>▲2、支持将Word文档转换为云教案，支持解析文本、表格通用元素。（响应文件中须出具检验结果符合或者优于本项参数的国家认可的第三方认证（检测）机构出具的带有CMA或CNAS标志的检测报告）</w:t>
            </w:r>
          </w:p>
          <w:p w14:paraId="3D0ABB18">
            <w:pPr>
              <w:rPr>
                <w:rFonts w:hint="eastAsia"/>
                <w:highlight w:val="none"/>
              </w:rPr>
            </w:pPr>
            <w:r>
              <w:rPr>
                <w:rFonts w:hint="eastAsia"/>
                <w:highlight w:val="none"/>
              </w:rPr>
              <w:t>▲3、云教案支持插入表格、图片、音视频、文档附件。支持的音视频格式：mp3、mp4、ogg、wav、webm；支持的文档格式：pdf、doc、docx、xls、xlsx。</w:t>
            </w:r>
          </w:p>
          <w:p w14:paraId="32051D41">
            <w:pPr>
              <w:rPr>
                <w:rFonts w:hint="eastAsia"/>
                <w:highlight w:val="none"/>
              </w:rPr>
            </w:pPr>
            <w:r>
              <w:rPr>
                <w:rFonts w:hint="eastAsia"/>
                <w:highlight w:val="none"/>
              </w:rPr>
              <w:t>▲4、提供教案模板以供老师撰写教案，预置模板包含表格式、提纲式、集备式、多课时式、单元设计式不少于7个。支持校本模板，管理员在教研管理后台设置校本模板后，老师可在云教案模板调用。（响应文件中须出具检验结果符合或者优于本项参数的国家认可的第三方认证（检测）机构出具的带有CMA或CNAS标志的检测报告）</w:t>
            </w:r>
          </w:p>
          <w:p w14:paraId="61211443">
            <w:pPr>
              <w:rPr>
                <w:rFonts w:hint="eastAsia"/>
                <w:highlight w:val="none"/>
              </w:rPr>
            </w:pPr>
            <w:r>
              <w:rPr>
                <w:rFonts w:hint="eastAsia"/>
                <w:highlight w:val="none"/>
              </w:rPr>
              <w:t>▲5、云教案与云课件可一对多关联绑定，产生绑定后，在课件页和教案页均支持在同一面板打开关联的云课件或云教案预览，便于老师备课时相互对照。（响应文件中须出具检验结果符合或者优于本项参数的国家认可的第三方认证（检测）机构出具的带有CMA或CNAS标志的检测报告）</w:t>
            </w:r>
          </w:p>
          <w:p w14:paraId="2CC54A29">
            <w:pPr>
              <w:rPr>
                <w:rFonts w:hint="eastAsia"/>
                <w:highlight w:val="none"/>
              </w:rPr>
            </w:pPr>
            <w:r>
              <w:rPr>
                <w:rFonts w:hint="eastAsia"/>
                <w:highlight w:val="none"/>
              </w:rPr>
              <w:t>▲6、云教案内支持插入课件页，可调用云空间中的课件列表，按单页或整份插入教案。插入后的课件可以窗口形式预览，可直接在窗口内进行翻页、元素移动、课堂活动操作、思维导图展开收起、形状工具、蒙层工具、笔工具的交互。可一键切换至全屏模式，全屏模式下支持批注和手势擦除。（响应文件中须出具检验结果符合或者优于本项参数的国家认可的第三方认证（检测）机构出具的带有CMA或CNAS标志的检测报告）</w:t>
            </w:r>
          </w:p>
          <w:p w14:paraId="3577625D">
            <w:pPr>
              <w:rPr>
                <w:rFonts w:hint="eastAsia"/>
                <w:highlight w:val="none"/>
              </w:rPr>
            </w:pPr>
            <w:r>
              <w:rPr>
                <w:rFonts w:hint="eastAsia"/>
                <w:highlight w:val="none"/>
              </w:rPr>
              <w:t>▲7、云教案提供授课模式，可在云教案预览页面点击授课进入全屏演示模式，也可在授课端直接打开云教案列表进入。授课模式下支持使用笔工具书写批注，且可上下左右漫游。（响应文件中须出具检验结果符合或者优于本项参数的国家认可的第三方认证（检测）机构出具的带有CMA或CNAS标志的检测报告）</w:t>
            </w:r>
          </w:p>
          <w:p w14:paraId="47DDA323">
            <w:pPr>
              <w:rPr>
                <w:rFonts w:hint="eastAsia"/>
                <w:highlight w:val="none"/>
              </w:rPr>
            </w:pPr>
            <w:r>
              <w:rPr>
                <w:rFonts w:hint="eastAsia"/>
                <w:highlight w:val="none"/>
              </w:rPr>
              <w:t>▲8、可一键插入思维导图，支持直接在教案页面的轻量化编辑，进入全屏后可设置更多导图格式。</w:t>
            </w:r>
          </w:p>
          <w:p w14:paraId="1B35E70C">
            <w:pPr>
              <w:rPr>
                <w:rFonts w:hint="eastAsia"/>
                <w:highlight w:val="none"/>
              </w:rPr>
            </w:pPr>
            <w:r>
              <w:rPr>
                <w:rFonts w:hint="eastAsia"/>
                <w:highlight w:val="none"/>
              </w:rPr>
              <w:t>▲9、教案授课模式下，课件页、思维导图、插入的PDF、Word等文件均支持全屏预览板书。</w:t>
            </w:r>
          </w:p>
          <w:p w14:paraId="30871FA8">
            <w:pPr>
              <w:rPr>
                <w:rFonts w:hint="eastAsia"/>
                <w:highlight w:val="none"/>
              </w:rPr>
            </w:pPr>
          </w:p>
          <w:p w14:paraId="674F7A9D">
            <w:pPr>
              <w:rPr>
                <w:rFonts w:hint="eastAsia"/>
                <w:highlight w:val="none"/>
              </w:rPr>
            </w:pPr>
            <w:r>
              <w:rPr>
                <w:rFonts w:hint="eastAsia"/>
                <w:highlight w:val="none"/>
              </w:rPr>
              <w:t>三、电脑模块配置要求</w:t>
            </w:r>
          </w:p>
          <w:p w14:paraId="33FC5076">
            <w:pPr>
              <w:rPr>
                <w:rFonts w:hint="eastAsia"/>
                <w:highlight w:val="none"/>
              </w:rPr>
            </w:pPr>
            <w:r>
              <w:rPr>
                <w:rFonts w:hint="eastAsia"/>
                <w:highlight w:val="none"/>
              </w:rPr>
              <w:t>1.采用抽拉内置式模块化电脑，抽拉内置式，PC模块可插入整机，可实现无单独接线的插拔。无需工具即可快速拆卸电脑模块。</w:t>
            </w:r>
          </w:p>
          <w:p w14:paraId="10A4279F">
            <w:pPr>
              <w:rPr>
                <w:rFonts w:hint="eastAsia"/>
                <w:highlight w:val="none"/>
              </w:rPr>
            </w:pPr>
            <w:r>
              <w:rPr>
                <w:rFonts w:hint="eastAsia"/>
                <w:highlight w:val="none"/>
              </w:rPr>
              <w:t>▲2.搭载Intel 十二代酷睿i5或以上配置CPU，内存：16GB DDR4内存或以上配置。硬盘：512 GB SSD固态硬盘或以上配置。</w:t>
            </w:r>
          </w:p>
          <w:p w14:paraId="0FC08DC8">
            <w:pPr>
              <w:rPr>
                <w:rFonts w:hint="eastAsia"/>
                <w:highlight w:val="none"/>
              </w:rPr>
            </w:pPr>
            <w:r>
              <w:rPr>
                <w:rFonts w:hint="eastAsia"/>
                <w:highlight w:val="none"/>
              </w:rPr>
              <w:t>3.采用按压式卡扣，无需工具即可快速拆卸电脑模块。</w:t>
            </w:r>
          </w:p>
          <w:p w14:paraId="09F21CE8">
            <w:pPr>
              <w:rPr>
                <w:rFonts w:hint="eastAsia"/>
                <w:highlight w:val="none"/>
              </w:rPr>
            </w:pPr>
            <w:r>
              <w:rPr>
                <w:rFonts w:hint="eastAsia"/>
                <w:highlight w:val="none"/>
              </w:rPr>
              <w:t>4.PC模块可抽拉式插入整机，可实现无单独接线的拔插，和整机的连接采用万兆级接口，传输速率≥10Gbps。</w:t>
            </w:r>
          </w:p>
          <w:p w14:paraId="0504BF7D">
            <w:pPr>
              <w:rPr>
                <w:rFonts w:hint="eastAsia"/>
                <w:highlight w:val="none"/>
              </w:rPr>
            </w:pPr>
            <w:r>
              <w:rPr>
                <w:rFonts w:hint="eastAsia"/>
                <w:highlight w:val="none"/>
              </w:rPr>
              <w:t>▲5.须配备正版操作系统。</w:t>
            </w:r>
          </w:p>
          <w:p w14:paraId="405A5E10">
            <w:pPr>
              <w:rPr>
                <w:rFonts w:hint="eastAsia"/>
                <w:highlight w:val="none"/>
              </w:rPr>
            </w:pPr>
          </w:p>
          <w:p w14:paraId="34D985D0">
            <w:pPr>
              <w:rPr>
                <w:rFonts w:hint="eastAsia"/>
                <w:highlight w:val="none"/>
              </w:rPr>
            </w:pPr>
            <w:r>
              <w:rPr>
                <w:rFonts w:hint="eastAsia"/>
                <w:highlight w:val="none"/>
                <w:lang w:val="en-US" w:eastAsia="zh-CN"/>
              </w:rPr>
              <w:t>四</w:t>
            </w:r>
            <w:r>
              <w:rPr>
                <w:rFonts w:hint="eastAsia"/>
                <w:highlight w:val="none"/>
              </w:rPr>
              <w:t>、整体设计</w:t>
            </w:r>
          </w:p>
          <w:p w14:paraId="7B61760D">
            <w:pPr>
              <w:rPr>
                <w:rFonts w:hint="eastAsia"/>
                <w:highlight w:val="none"/>
              </w:rPr>
            </w:pPr>
            <w:r>
              <w:rPr>
                <w:rFonts w:hint="eastAsia"/>
                <w:highlight w:val="none"/>
              </w:rPr>
              <w:t>1、整机采用一体设计，外部无任何可见内部功能模块连接线。边角采用弧形设计，表面无尖锐边缘或凸起。</w:t>
            </w:r>
          </w:p>
          <w:p w14:paraId="23623B2A">
            <w:pPr>
              <w:rPr>
                <w:rFonts w:hint="eastAsia"/>
                <w:highlight w:val="none"/>
              </w:rPr>
            </w:pPr>
            <w:r>
              <w:rPr>
                <w:rFonts w:hint="eastAsia"/>
                <w:highlight w:val="none"/>
              </w:rPr>
              <w:t>2、整机采用全金属外壳设计，屏幕边缘采用金属圆角包边防护，整机背板采用金属材质，有效屏蔽内部电路器件辐射；防潮耐盐雾蚀锈，适应多种教学环境。</w:t>
            </w:r>
          </w:p>
          <w:p w14:paraId="359C59F3">
            <w:pPr>
              <w:rPr>
                <w:rFonts w:hint="eastAsia"/>
                <w:highlight w:val="none"/>
              </w:rPr>
            </w:pPr>
            <w:r>
              <w:rPr>
                <w:rFonts w:hint="eastAsia"/>
                <w:highlight w:val="none"/>
              </w:rPr>
              <w:t>▲3、整机屏幕采用≥86英寸液晶显示器。整机采用超高清LED液晶显示屏，显示比例16:9，分辨率3840×2160。</w:t>
            </w:r>
          </w:p>
          <w:p w14:paraId="5DBC5F4B">
            <w:pPr>
              <w:rPr>
                <w:rFonts w:hint="eastAsia"/>
                <w:highlight w:val="none"/>
              </w:rPr>
            </w:pPr>
            <w:r>
              <w:rPr>
                <w:rFonts w:hint="eastAsia"/>
                <w:highlight w:val="none"/>
              </w:rPr>
              <w:t>4、侧置输入接口具备≥2路HDMI、≥1路RS232、≥1路USB接口；侧置输出接口具备≥1路音频输出、≥1路触控USB输出；前置输入接口具备≥3路USB接口（包含≥1路Type-C、≥2路USB）。</w:t>
            </w:r>
          </w:p>
          <w:p w14:paraId="645A6016">
            <w:pPr>
              <w:rPr>
                <w:rFonts w:hint="eastAsia"/>
                <w:highlight w:val="none"/>
              </w:rPr>
            </w:pPr>
            <w:r>
              <w:rPr>
                <w:rFonts w:hint="eastAsia"/>
                <w:highlight w:val="none"/>
              </w:rPr>
              <w:t>5、嵌入式系统版本不低于Android 13，内存≥2GB，存储空间≥7GB。</w:t>
            </w:r>
          </w:p>
          <w:p w14:paraId="6416EC14">
            <w:pPr>
              <w:rPr>
                <w:rFonts w:hint="eastAsia"/>
                <w:highlight w:val="none"/>
              </w:rPr>
            </w:pPr>
            <w:r>
              <w:rPr>
                <w:rFonts w:hint="eastAsia"/>
                <w:highlight w:val="none"/>
              </w:rPr>
              <w:t>▲6、钢化玻璃表面硬度≥8H。采用红外触控技术，支持Windows系统中进行40点或以上触控，支持在Android系统中进行40点或以上触控。（响应文件中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7E7BFE18">
            <w:pPr>
              <w:rPr>
                <w:rFonts w:hint="eastAsia"/>
                <w:highlight w:val="none"/>
              </w:rPr>
            </w:pPr>
            <w:r>
              <w:rPr>
                <w:rFonts w:hint="eastAsia"/>
                <w:highlight w:val="none"/>
              </w:rPr>
              <w:t>7、从内部Android通道切换到内部PC通道后，触摸框在1s内达到可触控状态。从内部PC通道切换到外部通道后，触摸框在3s内达到可触控状态。</w:t>
            </w:r>
          </w:p>
          <w:p w14:paraId="5B363622">
            <w:pPr>
              <w:rPr>
                <w:rFonts w:hint="eastAsia"/>
                <w:highlight w:val="none"/>
              </w:rPr>
            </w:pPr>
            <w:r>
              <w:rPr>
                <w:rFonts w:hint="eastAsia"/>
                <w:highlight w:val="none"/>
              </w:rPr>
              <w:t>8、前置USB接口支持Android系统、Windows系统读取外接移动存储设备。</w:t>
            </w:r>
          </w:p>
          <w:p w14:paraId="7C4065E5">
            <w:pPr>
              <w:rPr>
                <w:rFonts w:hint="eastAsia"/>
                <w:highlight w:val="none"/>
              </w:rPr>
            </w:pPr>
            <w:r>
              <w:rPr>
                <w:rFonts w:hint="eastAsia"/>
                <w:highlight w:val="none"/>
              </w:rPr>
              <w:t>9、部署单根网线可实现Android、Windows系统双系统有线网络连通。</w:t>
            </w:r>
          </w:p>
          <w:p w14:paraId="4F906D0D">
            <w:pPr>
              <w:rPr>
                <w:rFonts w:hint="eastAsia"/>
                <w:highlight w:val="none"/>
              </w:rPr>
            </w:pPr>
            <w:r>
              <w:rPr>
                <w:rFonts w:hint="eastAsia"/>
                <w:highlight w:val="none"/>
              </w:rPr>
              <w:t>10、整机能感应并自动调节屏幕亮度来达到在不同光照环境下的不同亮度显示效果，此功能可自行开启或关闭。</w:t>
            </w:r>
          </w:p>
          <w:p w14:paraId="7156B0E7">
            <w:pPr>
              <w:rPr>
                <w:rFonts w:hint="eastAsia"/>
                <w:highlight w:val="none"/>
              </w:rPr>
            </w:pPr>
            <w:r>
              <w:rPr>
                <w:rFonts w:hint="eastAsia"/>
                <w:highlight w:val="none"/>
              </w:rPr>
              <w:t>11、采用全物理钢化玻璃，有效保护屏幕显示画面，整机采用防眩光玻璃，屏幕支持防眩光功能，玻璃表面采用纳米材料镀膜环保工艺，书写更加顺滑，防眩光效果更加优异。</w:t>
            </w:r>
          </w:p>
          <w:p w14:paraId="4D75DEF4">
            <w:pPr>
              <w:rPr>
                <w:rFonts w:hint="eastAsia"/>
                <w:highlight w:val="none"/>
              </w:rPr>
            </w:pPr>
          </w:p>
          <w:p w14:paraId="659D44D1">
            <w:pPr>
              <w:rPr>
                <w:rFonts w:hint="eastAsia"/>
                <w:highlight w:val="none"/>
              </w:rPr>
            </w:pPr>
            <w:r>
              <w:rPr>
                <w:rFonts w:hint="eastAsia"/>
                <w:highlight w:val="none"/>
                <w:lang w:val="en-US" w:eastAsia="zh-CN"/>
              </w:rPr>
              <w:t>五</w:t>
            </w:r>
            <w:r>
              <w:rPr>
                <w:rFonts w:hint="eastAsia"/>
                <w:highlight w:val="none"/>
              </w:rPr>
              <w:t>、音视频教学功能：</w:t>
            </w:r>
          </w:p>
          <w:p w14:paraId="2DEA6447">
            <w:pPr>
              <w:rPr>
                <w:rFonts w:hint="eastAsia"/>
                <w:highlight w:val="none"/>
              </w:rPr>
            </w:pPr>
            <w:r>
              <w:rPr>
                <w:rFonts w:hint="eastAsia"/>
                <w:highlight w:val="none"/>
              </w:rPr>
              <w:t>▲1、整机内置2.2声道扬声器，位于设备上边框，顶置朝前发声，前朝向≥10W高音扬声器2个，上朝向≥20W中低音扬声器2个，额定总功率≥60W。整机可选择高级音效设置，支持在左右声道平衡显示范围中进行更改；中低频段显示调节范围125Hz～1KHz，高频段显示调节范围 2KHz～16KHz，分贝显示-12dB～12dB 调节范围。（响应文件中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B9CC564">
            <w:pPr>
              <w:rPr>
                <w:rFonts w:hint="eastAsia"/>
                <w:highlight w:val="none"/>
              </w:rPr>
            </w:pPr>
            <w:r>
              <w:rPr>
                <w:rFonts w:hint="eastAsia"/>
                <w:highlight w:val="none"/>
              </w:rPr>
              <w:t>▲2、整机内置非独立外扩展的8阵列麦克风，拾音角度≥180°，可用于对教室环境音频进行采集，拾音距离≥12m，整机内置扬声器采用缝隙发声技术，喇叭采用槽式开口设计，不大于5.8mm。（响应文件中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2BB42BA">
            <w:pPr>
              <w:rPr>
                <w:rFonts w:hint="eastAsia"/>
                <w:highlight w:val="none"/>
              </w:rPr>
            </w:pPr>
            <w:r>
              <w:rPr>
                <w:rFonts w:hint="eastAsia"/>
                <w:highlight w:val="none"/>
              </w:rPr>
              <w:t>▲3、整机扬声器在100%音量下，可做到1米处声压级≥88db，10米处声压级≥79dB；</w:t>
            </w:r>
          </w:p>
          <w:p w14:paraId="59C434F0">
            <w:pPr>
              <w:rPr>
                <w:rFonts w:hint="eastAsia"/>
                <w:highlight w:val="none"/>
              </w:rPr>
            </w:pPr>
            <w:r>
              <w:rPr>
                <w:rFonts w:hint="eastAsia"/>
                <w:highlight w:val="none"/>
              </w:rPr>
              <w:t>4、内置摄像头、麦克风无需外接线材连接，无任何可见外接线材及模块化拼接痕迹，未占用整机设备端口。</w:t>
            </w:r>
          </w:p>
          <w:p w14:paraId="589F2BF2">
            <w:pPr>
              <w:rPr>
                <w:rFonts w:hint="eastAsia"/>
                <w:highlight w:val="none"/>
              </w:rPr>
            </w:pPr>
            <w:r>
              <w:rPr>
                <w:rFonts w:hint="eastAsia"/>
                <w:highlight w:val="none"/>
              </w:rPr>
              <w:t>▲5、支持标准、听力、观影和AI空间感知音效模式，AI空间感知音效模式可通过内置麦克风采集教室物理环境声音，自动生成符合当前教室物理环境的频段、音量、音效。（响应文件中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AD401C6">
            <w:pPr>
              <w:rPr>
                <w:rFonts w:hint="eastAsia"/>
                <w:highlight w:val="none"/>
              </w:rPr>
            </w:pPr>
            <w:r>
              <w:rPr>
                <w:rFonts w:hint="eastAsia"/>
                <w:highlight w:val="none"/>
              </w:rPr>
              <w:t>6、整机色域覆盖率（NTSC）≥72%</w:t>
            </w:r>
          </w:p>
          <w:p w14:paraId="0B4D3F70">
            <w:pPr>
              <w:rPr>
                <w:rFonts w:hint="eastAsia"/>
                <w:highlight w:val="none"/>
              </w:rPr>
            </w:pPr>
            <w:r>
              <w:rPr>
                <w:rFonts w:hint="eastAsia"/>
                <w:highlight w:val="none"/>
              </w:rPr>
              <w:t>7、整机背光系统支持DC调光方式，多级亮度调节，支持白颜色背景下最暗亮度≤100nit，用于提升显示对比度。灰度等级≥256级。</w:t>
            </w:r>
          </w:p>
          <w:p w14:paraId="65BA6653">
            <w:pPr>
              <w:rPr>
                <w:rFonts w:hint="eastAsia"/>
                <w:highlight w:val="none"/>
              </w:rPr>
            </w:pPr>
            <w:r>
              <w:rPr>
                <w:rFonts w:hint="eastAsia"/>
                <w:highlight w:val="none"/>
              </w:rPr>
              <w:t>▲8、整机支持色彩空间可选，包含标准模式和sRGB模式，在sRGB模式下可做到高色准△E≤1。（响应文件中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FA9DAA2">
            <w:pPr>
              <w:rPr>
                <w:rFonts w:hint="eastAsia"/>
                <w:highlight w:val="none"/>
              </w:rPr>
            </w:pPr>
            <w:r>
              <w:rPr>
                <w:rFonts w:hint="eastAsia"/>
                <w:highlight w:val="none"/>
              </w:rPr>
              <w:t>9、整机采用硬件低蓝光背光技术，在源头减少有害蓝光波段能量，蓝光占比（有害蓝光415～455nm能量综合）/（整体蓝光400～500能量综合）＜50%，低蓝光保护显示不偏色、不泛黄。</w:t>
            </w:r>
          </w:p>
          <w:p w14:paraId="0F2F24A2">
            <w:pPr>
              <w:rPr>
                <w:rFonts w:hint="eastAsia"/>
                <w:highlight w:val="none"/>
              </w:rPr>
            </w:pPr>
            <w:r>
              <w:rPr>
                <w:rFonts w:hint="eastAsia"/>
                <w:highlight w:val="none"/>
              </w:rPr>
              <w:t>▲10、支持标准、多媒体和节能三种图像模式调节，整机系统支持手势上滑调出人工智能画质调节模式（AI-PQ），在安卓通道下可根据屏幕内容自动调节画质参数，当屏幕出现人物、建筑、夜景等元素时，自动调整对比度、饱和度、锐利度、色调色相值、高光/阴影。（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A65F72F">
            <w:pPr>
              <w:rPr>
                <w:rFonts w:hint="eastAsia"/>
                <w:highlight w:val="none"/>
              </w:rPr>
            </w:pPr>
            <w:r>
              <w:rPr>
                <w:rFonts w:hint="eastAsia"/>
                <w:highlight w:val="none"/>
              </w:rPr>
              <w:t>11、支持自定义图像设置，可对对比度、屏幕色温、图像亮度、亮度范围、色彩空间调节设置。</w:t>
            </w:r>
          </w:p>
          <w:p w14:paraId="1B7ED1E9">
            <w:pPr>
              <w:rPr>
                <w:rFonts w:hint="eastAsia"/>
                <w:highlight w:val="none"/>
              </w:rPr>
            </w:pPr>
            <w:r>
              <w:rPr>
                <w:rFonts w:hint="eastAsia"/>
                <w:highlight w:val="none"/>
              </w:rPr>
              <w:t>12、整机视网膜蓝光危害（蓝光加权辐射亮度LB）满足IEC TR 62778:2014蓝光危害RG0级别</w:t>
            </w:r>
          </w:p>
          <w:p w14:paraId="153DA55D">
            <w:pPr>
              <w:rPr>
                <w:rFonts w:hint="eastAsia"/>
                <w:highlight w:val="none"/>
              </w:rPr>
            </w:pPr>
            <w:r>
              <w:rPr>
                <w:rFonts w:hint="eastAsia"/>
                <w:highlight w:val="none"/>
              </w:rPr>
              <w:t>▲13、整机全通道支持纸质护眼模式，可实现画面纹理的实时调整；支持纸质纹理：牛皮纸、素描纸、宣纸、水彩纸；支持透明度调节；支持色温调节，纸质护眼模式下，显示画面各像素点灰度不规则，减少背景干扰。</w:t>
            </w:r>
          </w:p>
          <w:p w14:paraId="2BEF828E">
            <w:pPr>
              <w:rPr>
                <w:rFonts w:hint="eastAsia"/>
                <w:highlight w:val="none"/>
              </w:rPr>
            </w:pPr>
            <w:r>
              <w:rPr>
                <w:rFonts w:hint="eastAsia"/>
                <w:highlight w:val="none"/>
              </w:rPr>
              <w:t>14、三合一电源按键，同一电源物理按键完成Android系统和Windows系统的开机、节能熄屏、关机操作；关机状态下按按键开机；开机状态下按按键实现节能熄屏/唤醒，长按按键实现关机。</w:t>
            </w:r>
          </w:p>
          <w:p w14:paraId="07622C55">
            <w:pPr>
              <w:rPr>
                <w:rFonts w:hint="eastAsia"/>
                <w:highlight w:val="none"/>
              </w:rPr>
            </w:pPr>
            <w:r>
              <w:rPr>
                <w:rFonts w:hint="eastAsia"/>
                <w:highlight w:val="none"/>
              </w:rPr>
              <w:t>▲15、整机具备至少6个前置按键，可实现开关机、调出中控菜单、音量+/-、护眼、录屏操作。</w:t>
            </w:r>
          </w:p>
          <w:p w14:paraId="6098E362">
            <w:pPr>
              <w:rPr>
                <w:rFonts w:hint="eastAsia"/>
                <w:highlight w:val="none"/>
              </w:rPr>
            </w:pPr>
            <w:r>
              <w:rPr>
                <w:rFonts w:hint="eastAsia"/>
                <w:highlight w:val="none"/>
              </w:rPr>
              <w:t>16、支持经典护眼模式，可通过前置面板物理功能按键一键启用经典护眼模式，设备支持通过前置面板物理按键一键启动录屏功能，可将屏幕中显示的课件、音频内容与人声同时录制。</w:t>
            </w:r>
          </w:p>
          <w:p w14:paraId="337AD6B2">
            <w:pPr>
              <w:rPr>
                <w:rFonts w:hint="eastAsia"/>
                <w:highlight w:val="none"/>
              </w:rPr>
            </w:pPr>
            <w:r>
              <w:rPr>
                <w:rFonts w:hint="eastAsia"/>
                <w:highlight w:val="none"/>
              </w:rPr>
              <w:t>17、前置USB接口具备防撞挡板设计，防撞挡板采用转轴式翻转。</w:t>
            </w:r>
          </w:p>
          <w:p w14:paraId="55120AD9">
            <w:pPr>
              <w:rPr>
                <w:rFonts w:hint="eastAsia"/>
                <w:highlight w:val="none"/>
              </w:rPr>
            </w:pPr>
            <w:r>
              <w:rPr>
                <w:rFonts w:hint="eastAsia"/>
                <w:highlight w:val="none"/>
              </w:rPr>
              <w:t>▲18、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12E02B81">
            <w:pPr>
              <w:rPr>
                <w:rFonts w:hint="eastAsia"/>
                <w:highlight w:val="none"/>
              </w:rPr>
            </w:pPr>
            <w:r>
              <w:rPr>
                <w:rFonts w:hint="eastAsia"/>
                <w:highlight w:val="none"/>
              </w:rPr>
              <w:t>▲19、整机无需外接无线网卡，在Android和Windows系统下可实现Wi-Fi无线上网连接、AP无线热点发射和BT蓝牙连接功能，Wi-Fi和AP热点工作距离≥11m，整机支持蓝牙Bluetooth 5.4标准，固件版本号HCI13.0/LMP13.0。（响应文件中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F106D7F">
            <w:pPr>
              <w:rPr>
                <w:rFonts w:hint="eastAsia"/>
                <w:highlight w:val="none"/>
              </w:rPr>
            </w:pPr>
            <w:r>
              <w:rPr>
                <w:rFonts w:hint="eastAsia"/>
                <w:highlight w:val="none"/>
              </w:rPr>
              <w:t>20、整机支持发出频率为18kHz-22kHz超声波信号，智能手机通过麦克风接收后，智能手机与整机无需在同一局域网内，可实现配对，一键投屏，用户无需手动输入投屏码或扫码获取投屏码；</w:t>
            </w:r>
          </w:p>
          <w:p w14:paraId="45B590E1">
            <w:pPr>
              <w:rPr>
                <w:rFonts w:hint="eastAsia"/>
                <w:highlight w:val="none"/>
              </w:rPr>
            </w:pPr>
            <w:r>
              <w:rPr>
                <w:rFonts w:hint="eastAsia"/>
                <w:highlight w:val="none"/>
              </w:rPr>
              <w:t>▲21、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74600364">
            <w:pPr>
              <w:rPr>
                <w:rFonts w:hint="eastAsia"/>
                <w:highlight w:val="none"/>
              </w:rPr>
            </w:pPr>
            <w:r>
              <w:rPr>
                <w:rFonts w:hint="eastAsia"/>
                <w:highlight w:val="none"/>
              </w:rPr>
              <w:t>▲22、整机PC端支持主动发现蓝牙外设从而连接（无需整机进入发现模式），支持连接外部蓝牙音箱播放音频。</w:t>
            </w:r>
          </w:p>
          <w:p w14:paraId="2B4DCDCF">
            <w:pPr>
              <w:rPr>
                <w:rFonts w:hint="eastAsia"/>
                <w:highlight w:val="none"/>
              </w:rPr>
            </w:pPr>
            <w:r>
              <w:rPr>
                <w:rFonts w:hint="eastAsia"/>
                <w:highlight w:val="none"/>
              </w:rPr>
              <w:t>▲23、整机内置双WiFi6无线网卡（不接受外接），在Android和Windows系统下，可实现Wi-Fi无线上网连接、AP无线热点发射，在Android下支持无线设备同时连接数量≥32个，在Windows系统下支持无线设备同时连接≥8个；（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0B27EAD0">
            <w:pPr>
              <w:rPr>
                <w:rFonts w:hint="eastAsia"/>
                <w:highlight w:val="none"/>
              </w:rPr>
            </w:pPr>
            <w:r>
              <w:rPr>
                <w:rFonts w:hint="eastAsia"/>
                <w:highlight w:val="none"/>
              </w:rPr>
              <w:t>24、整机无需外接无线网卡，在Windows系统下接入无线网络，切换到嵌入式Android系统下可直接实现无线上网功能，不需手动重复设置。</w:t>
            </w:r>
          </w:p>
          <w:p w14:paraId="72E9F490">
            <w:pPr>
              <w:rPr>
                <w:rFonts w:hint="eastAsia"/>
                <w:highlight w:val="none"/>
              </w:rPr>
            </w:pPr>
            <w:r>
              <w:rPr>
                <w:rFonts w:hint="eastAsia"/>
                <w:highlight w:val="none"/>
              </w:rPr>
              <w:t>25、Wi-Fi及AP热点支持频段2.4GHz/5GHz ，Wi-Fi制式支持IEEE 802.11 a/b/g/n/ac/ax；支持版本Wi-Fi6。</w:t>
            </w:r>
          </w:p>
          <w:p w14:paraId="009A7EBD">
            <w:pPr>
              <w:rPr>
                <w:rFonts w:hint="eastAsia"/>
                <w:highlight w:val="none"/>
              </w:rPr>
            </w:pPr>
            <w:r>
              <w:rPr>
                <w:rFonts w:hint="eastAsia"/>
                <w:highlight w:val="none"/>
              </w:rPr>
              <w:t>26、整机内置摄像头（非外扩），PC通道下支持通过视频展台软件调用摄像头进行二维码扫码识别。</w:t>
            </w:r>
          </w:p>
          <w:p w14:paraId="4BF3B562">
            <w:pPr>
              <w:rPr>
                <w:rFonts w:hint="eastAsia"/>
                <w:highlight w:val="none"/>
              </w:rPr>
            </w:pPr>
            <w:r>
              <w:rPr>
                <w:rFonts w:hint="eastAsia"/>
                <w:highlight w:val="none"/>
              </w:rPr>
              <w:t>27、具备摄像头工作指示灯，摄像头运行时，有指示灯提示。</w:t>
            </w:r>
          </w:p>
          <w:p w14:paraId="0BC9B93A">
            <w:pPr>
              <w:rPr>
                <w:rFonts w:hint="eastAsia"/>
                <w:highlight w:val="none"/>
              </w:rPr>
            </w:pPr>
            <w:r>
              <w:rPr>
                <w:rFonts w:hint="eastAsia"/>
                <w:highlight w:val="none"/>
              </w:rPr>
              <w:t>▲28、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2BC9C79">
            <w:pPr>
              <w:rPr>
                <w:rFonts w:hint="eastAsia"/>
                <w:highlight w:val="none"/>
              </w:rPr>
            </w:pPr>
            <w:r>
              <w:rPr>
                <w:rFonts w:hint="eastAsia"/>
                <w:highlight w:val="none"/>
              </w:rPr>
              <w:t>▲29、整机上边框内置非独式广角摄像头和智能拼接摄像头， 均支持 3D 降噪算法和数字宽动态范围成像WDR 技术，支持输出 MJPG、 H.264 视频格式。（响应文件中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D9EB2C7">
            <w:pPr>
              <w:rPr>
                <w:rFonts w:hint="eastAsia"/>
                <w:highlight w:val="none"/>
              </w:rPr>
            </w:pPr>
            <w:r>
              <w:rPr>
                <w:rFonts w:hint="eastAsia"/>
                <w:highlight w:val="none"/>
              </w:rPr>
              <w:t>▲30、整机上边框内置非独立的广角高清摄像头，在距离整机1.7米情况下，且拍摄范围可以覆盖摄像头垂直法线左右距离大于等于4米，可以实现人脸识别。（响应文件中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D420EFD">
            <w:pPr>
              <w:rPr>
                <w:rFonts w:hint="eastAsia"/>
                <w:highlight w:val="none"/>
              </w:rPr>
            </w:pPr>
            <w:r>
              <w:rPr>
                <w:rFonts w:hint="eastAsia"/>
                <w:highlight w:val="none"/>
              </w:rPr>
              <w:t>▲31、整机上边框内置非独立式智能拼接摄像头，支持清晰度TV lines ≥ 1600 lines，视场角≥141度且水平视场角≥139度，可拍摄≥1600万像素的照片，支持输出8192×2048分辨率的照片和视频，支持画面畸变矫正功能 。（响应文件中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633D5C9">
            <w:pPr>
              <w:rPr>
                <w:rFonts w:hint="eastAsia"/>
                <w:highlight w:val="none"/>
              </w:rPr>
            </w:pPr>
            <w:r>
              <w:rPr>
                <w:rFonts w:hint="eastAsia"/>
                <w:highlight w:val="none"/>
              </w:rPr>
              <w:t>▲32、整机支持距离摄像头位置≥10米距离的AI识别人脸，整机摄像头支持人脸识别、清点人数、随机抽人；识别所有学生，显示标记，然后随机抽选，同时显示标记不少于60人。</w:t>
            </w:r>
          </w:p>
          <w:p w14:paraId="2DE3B83E">
            <w:pPr>
              <w:rPr>
                <w:rFonts w:hint="eastAsia"/>
                <w:highlight w:val="none"/>
              </w:rPr>
            </w:pPr>
            <w:r>
              <w:rPr>
                <w:rFonts w:hint="eastAsia"/>
                <w:highlight w:val="none"/>
              </w:rPr>
              <w:t>▲33、整机支持上边框内置非独立摄像头模组，同时输出至少 3 路视频流，同时支持课堂远程巡课、课堂教学数据采集、本地画面预览（拍照或视频录制）。（响应文件中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5625F39">
            <w:pPr>
              <w:rPr>
                <w:rFonts w:hint="eastAsia"/>
                <w:highlight w:val="none"/>
              </w:rPr>
            </w:pPr>
            <w:r>
              <w:rPr>
                <w:rFonts w:hint="eastAsia"/>
                <w:highlight w:val="none"/>
              </w:rPr>
              <w:t>34、整机支持通过人脸识别进行登录账号。整机摄像头支持环境色温判断，根据环境调节合适的显示图像效果。</w:t>
            </w:r>
          </w:p>
          <w:p w14:paraId="57A4D6CE">
            <w:pPr>
              <w:rPr>
                <w:rFonts w:hint="eastAsia"/>
                <w:highlight w:val="none"/>
              </w:rPr>
            </w:pPr>
          </w:p>
          <w:p w14:paraId="4C14F1F0">
            <w:pPr>
              <w:rPr>
                <w:rFonts w:hint="eastAsia"/>
                <w:highlight w:val="none"/>
              </w:rPr>
            </w:pPr>
            <w:r>
              <w:rPr>
                <w:rFonts w:hint="eastAsia"/>
                <w:highlight w:val="none"/>
                <w:lang w:val="en-US" w:eastAsia="zh-CN"/>
              </w:rPr>
              <w:t>六</w:t>
            </w:r>
            <w:r>
              <w:rPr>
                <w:rFonts w:hint="eastAsia"/>
                <w:highlight w:val="none"/>
              </w:rPr>
              <w:t>、整机功能和触摸系统：</w:t>
            </w:r>
          </w:p>
          <w:p w14:paraId="7D6C7519">
            <w:pPr>
              <w:rPr>
                <w:rFonts w:hint="eastAsia"/>
                <w:highlight w:val="none"/>
              </w:rPr>
            </w:pPr>
            <w:r>
              <w:rPr>
                <w:rFonts w:hint="eastAsia"/>
                <w:highlight w:val="none"/>
              </w:rPr>
              <w:t>1、 支持Windows 7、Windows 8、Windows 10、Windows 11、Linux、Mac Os、UOS和麒麟系统外置电脑操作系统接入时，无需安装触摸驱动。</w:t>
            </w:r>
          </w:p>
          <w:p w14:paraId="0128C5DA">
            <w:pPr>
              <w:rPr>
                <w:rFonts w:hint="eastAsia"/>
                <w:highlight w:val="none"/>
              </w:rPr>
            </w:pPr>
            <w:r>
              <w:rPr>
                <w:rFonts w:hint="eastAsia"/>
                <w:highlight w:val="none"/>
              </w:rPr>
              <w:t>2、 触摸分辨率32768×32768。</w:t>
            </w:r>
          </w:p>
          <w:p w14:paraId="7183D2AD">
            <w:pPr>
              <w:rPr>
                <w:rFonts w:hint="eastAsia"/>
                <w:highlight w:val="none"/>
              </w:rPr>
            </w:pPr>
            <w:r>
              <w:rPr>
                <w:rFonts w:hint="eastAsia"/>
                <w:highlight w:val="none"/>
              </w:rPr>
              <w:t>3、 整机系统支持书写触控延迟≤25ms，整机触控书写功能集成预测算法，在书写速度≥50cm/s，支持笔迹距离笔的距离小于20mm。</w:t>
            </w:r>
          </w:p>
          <w:p w14:paraId="3DF1F2D9">
            <w:pPr>
              <w:rPr>
                <w:rFonts w:hint="eastAsia"/>
                <w:highlight w:val="none"/>
              </w:rPr>
            </w:pPr>
            <w:r>
              <w:rPr>
                <w:rFonts w:hint="eastAsia"/>
                <w:highlight w:val="none"/>
              </w:rPr>
              <w:t>4、 触摸响应时间≤4ms，触摸最小识别物≤3mm。整机屏幕触摸有效识别高度不超过1.5mm，即触摸物体距离玻璃外表面高度不超过1.5mm时，触摸屏识别为点击操作。</w:t>
            </w:r>
          </w:p>
          <w:p w14:paraId="573FF677">
            <w:pPr>
              <w:rPr>
                <w:rFonts w:hint="eastAsia"/>
                <w:highlight w:val="none"/>
              </w:rPr>
            </w:pPr>
            <w:r>
              <w:rPr>
                <w:rFonts w:hint="eastAsia"/>
                <w:highlight w:val="none"/>
              </w:rPr>
              <w:t>▲5、整机支持提笔书写，在Windows系统下可实现无需点击任意功能入口，当检测到红外笔笔尖接触屏幕时，自动进入书写模式。支持同一支笔，笔头、笔尾书写不同的颜色，且颜色可自定义。（响应文件中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6A23D63">
            <w:pPr>
              <w:rPr>
                <w:rFonts w:hint="eastAsia"/>
                <w:highlight w:val="none"/>
              </w:rPr>
            </w:pPr>
            <w:r>
              <w:rPr>
                <w:rFonts w:hint="eastAsia"/>
                <w:highlight w:val="none"/>
              </w:rPr>
              <w:t>▲6、整机触摸支持动态压力感应，支持无任何电子功能的普通书写笔在整机上书写或点压时，整机能感应压力变化，书写或点压过程笔迹呈现不同粗细。整机支持手笔分离，通过提笔即写唤醒批注功能后，可进行手笔分离功能，使用笔正常书写，使用手指可以操作应用，进行点击操作。（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E4209A3">
            <w:pPr>
              <w:rPr>
                <w:rFonts w:hint="eastAsia"/>
                <w:highlight w:val="none"/>
              </w:rPr>
            </w:pPr>
            <w:r>
              <w:rPr>
                <w:rFonts w:hint="eastAsia"/>
                <w:highlight w:val="none"/>
              </w:rPr>
              <w:t>7、 支持智能板擦功能，系统可根据触控物体的形状自动识别出实物板擦，可擦除电子白板中的内容，无需依赖外部电子设备。</w:t>
            </w:r>
          </w:p>
          <w:p w14:paraId="59468485">
            <w:pPr>
              <w:rPr>
                <w:rFonts w:hint="eastAsia"/>
                <w:highlight w:val="none"/>
              </w:rPr>
            </w:pPr>
            <w:r>
              <w:rPr>
                <w:rFonts w:hint="eastAsia"/>
                <w:highlight w:val="none"/>
              </w:rPr>
              <w:t>8、 触摸屏具有防遮挡功能，触摸接收器在单点或多点遮挡后仍能正常书写。</w:t>
            </w:r>
          </w:p>
          <w:p w14:paraId="2B05143C">
            <w:pPr>
              <w:rPr>
                <w:rFonts w:hint="eastAsia"/>
                <w:highlight w:val="none"/>
              </w:rPr>
            </w:pPr>
            <w:r>
              <w:rPr>
                <w:rFonts w:hint="eastAsia"/>
                <w:highlight w:val="none"/>
              </w:rPr>
              <w:t>9、 外接电脑设备连接整机且触摸信号连通时，外接电脑设备可直接读取整机前置USB接口的移动存储设备数据，连接整机前置USB接口的翻页笔和无线键鼠外接设备可直接使用于外接电脑。</w:t>
            </w:r>
          </w:p>
          <w:p w14:paraId="4D57951B">
            <w:pPr>
              <w:rPr>
                <w:rFonts w:hint="eastAsia"/>
                <w:highlight w:val="none"/>
              </w:rPr>
            </w:pPr>
            <w:r>
              <w:rPr>
                <w:rFonts w:hint="eastAsia"/>
                <w:highlight w:val="none"/>
              </w:rPr>
              <w:t>10、支持智能U盘锁功能，整机可设置触摸及按键锁定，锁定后无法随意自由操作，需要使用时插入USB key可解锁。</w:t>
            </w:r>
          </w:p>
          <w:p w14:paraId="36DB05DB">
            <w:pPr>
              <w:rPr>
                <w:rFonts w:hint="eastAsia"/>
                <w:highlight w:val="none"/>
              </w:rPr>
            </w:pPr>
            <w:r>
              <w:rPr>
                <w:rFonts w:hint="eastAsia"/>
                <w:highlight w:val="none"/>
              </w:rPr>
              <w:t>11、整机具备前置Type-C接口，通过Type-C接口实现音视频输入，外接电脑设备经双头Type-C线连接至整机，即可把外接电脑设备画面投到整机上，同时在整机上操作画面，可实现触摸电脑的操作，无需再连接触控USB线。</w:t>
            </w:r>
          </w:p>
          <w:p w14:paraId="40F6B862">
            <w:pPr>
              <w:rPr>
                <w:rFonts w:hint="eastAsia"/>
                <w:highlight w:val="none"/>
              </w:rPr>
            </w:pPr>
            <w:r>
              <w:rPr>
                <w:rFonts w:hint="eastAsia"/>
                <w:highlight w:val="none"/>
              </w:rPr>
              <w:t>12、外接电脑设备经双头Type-C线连接至整机，可调用整机内置的摄像头、麦克风、扬声器，在外接电脑即可控制整机拍摄教室画面。</w:t>
            </w:r>
          </w:p>
          <w:p w14:paraId="44D41FE8">
            <w:pPr>
              <w:rPr>
                <w:rFonts w:hint="eastAsia"/>
                <w:highlight w:val="none"/>
              </w:rPr>
            </w:pPr>
            <w:r>
              <w:rPr>
                <w:rFonts w:hint="eastAsia"/>
                <w:highlight w:val="none"/>
              </w:rPr>
              <w:t>13、前置Type-C接口，支持通过不带转换转置的外部线缆，实现外接电脑HDMI信号的接入显示。</w:t>
            </w:r>
          </w:p>
          <w:p w14:paraId="5708FE84">
            <w:pPr>
              <w:rPr>
                <w:rFonts w:hint="eastAsia"/>
                <w:highlight w:val="none"/>
              </w:rPr>
            </w:pPr>
            <w:r>
              <w:rPr>
                <w:rFonts w:hint="eastAsia"/>
                <w:highlight w:val="none"/>
              </w:rPr>
              <w:t>14、整机关机状态下，通过长按电源键进入设置界面后，可点击屏幕选择恢复Android系统及Windows操作系统到出厂默认状态，无需额外工具辅助。</w:t>
            </w:r>
          </w:p>
          <w:p w14:paraId="6480F0F4">
            <w:pPr>
              <w:rPr>
                <w:rFonts w:hint="eastAsia"/>
                <w:highlight w:val="none"/>
              </w:rPr>
            </w:pPr>
            <w:r>
              <w:rPr>
                <w:rFonts w:hint="eastAsia"/>
                <w:highlight w:val="none"/>
              </w:rPr>
              <w:t>15、整机关机状态下，通过长按电源键进入设置界面后，可点击屏幕选择故障检测、系统还原功能，系统还原可单独还原PC系统，单独还原整机系统。</w:t>
            </w:r>
          </w:p>
          <w:p w14:paraId="41B1F06C">
            <w:pPr>
              <w:rPr>
                <w:rFonts w:hint="eastAsia"/>
                <w:highlight w:val="none"/>
              </w:rPr>
            </w:pPr>
            <w:r>
              <w:rPr>
                <w:rFonts w:hint="eastAsia"/>
                <w:highlight w:val="none"/>
              </w:rPr>
              <w:t>16、在整机全信号源通道下，支持十指长按屏幕5秒和遥控器两种方式实现触摸锁定及解锁，触摸锁定时整机无法被触控操作。</w:t>
            </w:r>
          </w:p>
          <w:p w14:paraId="3FA847B5">
            <w:pPr>
              <w:rPr>
                <w:rFonts w:hint="eastAsia"/>
                <w:highlight w:val="none"/>
              </w:rPr>
            </w:pPr>
            <w:r>
              <w:rPr>
                <w:rFonts w:hint="eastAsia"/>
                <w:highlight w:val="none"/>
              </w:rPr>
              <w:t>17、支持通道自动跳转功能，如整机处于正常使用状态，HDMI信号接入时，能自动识别并切换到对应的HDMI信号源通道，且断开后能回到上一通道。</w:t>
            </w:r>
          </w:p>
          <w:p w14:paraId="6B1CE95A">
            <w:pPr>
              <w:rPr>
                <w:rFonts w:hint="eastAsia"/>
                <w:highlight w:val="none"/>
              </w:rPr>
            </w:pPr>
            <w:r>
              <w:rPr>
                <w:rFonts w:hint="eastAsia"/>
                <w:highlight w:val="none"/>
              </w:rPr>
              <w:t>18、在HDMI、Android以及Windows信号源模式下，整机屏幕支持手势下移实现半屏显示，半屏显示时可通过点击上方屏幕返回全屏。</w:t>
            </w:r>
          </w:p>
          <w:p w14:paraId="34F7B1ED">
            <w:pPr>
              <w:rPr>
                <w:rFonts w:hint="eastAsia"/>
                <w:highlight w:val="none"/>
              </w:rPr>
            </w:pPr>
            <w:r>
              <w:rPr>
                <w:rFonts w:hint="eastAsia"/>
                <w:highlight w:val="none"/>
              </w:rPr>
              <w:t>19、支持半屏模式，将Windows显示画面上半部分下拉到屏幕下半部分显示，此时依然可以正常触控操作Windows系统；点击非Windows显示画面区域（屏幕上半部分），即可退出该模式。</w:t>
            </w:r>
          </w:p>
          <w:p w14:paraId="2ADF542F">
            <w:pPr>
              <w:rPr>
                <w:rFonts w:hint="eastAsia"/>
                <w:highlight w:val="none"/>
              </w:rPr>
            </w:pPr>
            <w:r>
              <w:rPr>
                <w:rFonts w:hint="eastAsia"/>
                <w:highlight w:val="none"/>
              </w:rPr>
              <w:t>20、支持通道记忆功能，开机默认回到最近一次关机时的显示通道。</w:t>
            </w:r>
          </w:p>
          <w:p w14:paraId="3D273319">
            <w:pPr>
              <w:rPr>
                <w:rFonts w:hint="eastAsia"/>
                <w:highlight w:val="none"/>
              </w:rPr>
            </w:pPr>
            <w:r>
              <w:rPr>
                <w:rFonts w:hint="eastAsia"/>
                <w:highlight w:val="none"/>
              </w:rPr>
              <w:t>21、支持外接信号输入时自动唤醒功能，整机处于关机通电状态，外接电脑显示信号通过HDMI传输线连接至整机时，整机可智能识别外接电脑设备信号输入并自动开机。</w:t>
            </w:r>
          </w:p>
          <w:p w14:paraId="3C1A1EE1">
            <w:pPr>
              <w:rPr>
                <w:rFonts w:hint="eastAsia"/>
                <w:highlight w:val="none"/>
              </w:rPr>
            </w:pPr>
            <w:r>
              <w:rPr>
                <w:rFonts w:hint="eastAsia"/>
                <w:highlight w:val="none"/>
              </w:rPr>
              <w:t>22、整机内置专业硬件自检维护工具（非第三方工具），支持对整机内部的板卡及部件模块进行故障检测、系统还原功能。</w:t>
            </w:r>
          </w:p>
          <w:p w14:paraId="582B3D3E">
            <w:pPr>
              <w:rPr>
                <w:rFonts w:hint="eastAsia"/>
                <w:highlight w:val="none"/>
              </w:rPr>
            </w:pPr>
            <w:r>
              <w:rPr>
                <w:rFonts w:hint="eastAsia"/>
                <w:highlight w:val="none"/>
              </w:rPr>
              <w:t>23、当整机处于黑暗环境中并无人操作，一分钟后整机将可以自动进入熄屏模式。</w:t>
            </w:r>
          </w:p>
          <w:p w14:paraId="3613132A">
            <w:pPr>
              <w:rPr>
                <w:rFonts w:hint="eastAsia"/>
                <w:highlight w:val="none"/>
              </w:rPr>
            </w:pPr>
            <w:r>
              <w:rPr>
                <w:rFonts w:hint="eastAsia"/>
                <w:highlight w:val="none"/>
              </w:rPr>
              <w:t>24、支持将自定义图片、动画设置为开机画面。</w:t>
            </w:r>
          </w:p>
          <w:p w14:paraId="42A8B28A">
            <w:pPr>
              <w:rPr>
                <w:rFonts w:hint="eastAsia"/>
                <w:highlight w:val="none"/>
              </w:rPr>
            </w:pPr>
          </w:p>
          <w:p w14:paraId="1D005E56">
            <w:pPr>
              <w:rPr>
                <w:rFonts w:hint="eastAsia"/>
                <w:highlight w:val="none"/>
              </w:rPr>
            </w:pPr>
            <w:r>
              <w:rPr>
                <w:rFonts w:hint="eastAsia"/>
                <w:highlight w:val="none"/>
                <w:lang w:val="en-US" w:eastAsia="zh-CN"/>
              </w:rPr>
              <w:t>七</w:t>
            </w:r>
            <w:r>
              <w:rPr>
                <w:rFonts w:hint="eastAsia"/>
                <w:highlight w:val="none"/>
              </w:rPr>
              <w:t>、整机中控系统管理：</w:t>
            </w:r>
          </w:p>
          <w:p w14:paraId="21843A50">
            <w:pPr>
              <w:rPr>
                <w:rFonts w:hint="eastAsia"/>
                <w:highlight w:val="none"/>
              </w:rPr>
            </w:pPr>
            <w:r>
              <w:rPr>
                <w:rFonts w:hint="eastAsia"/>
                <w:highlight w:val="none"/>
              </w:rPr>
              <w:t>1、 支持通过Type-C接口U盘进行文件传输，兼容Type-C接口手机充电。type-C 支持最大充电功率15W。</w:t>
            </w:r>
          </w:p>
          <w:p w14:paraId="630812E8">
            <w:pPr>
              <w:rPr>
                <w:rFonts w:hint="eastAsia"/>
                <w:highlight w:val="none"/>
              </w:rPr>
            </w:pPr>
            <w:r>
              <w:rPr>
                <w:rFonts w:hint="eastAsia"/>
                <w:highlight w:val="none"/>
              </w:rPr>
              <w:t>2、 整机在五分钟内处于无信号接收状态时，能够自动关机。整机具备供电保护模块，能够检测内置电脑是否插好在位，在内置电脑未在位的情况下，内置电脑无法上电工作。</w:t>
            </w:r>
          </w:p>
          <w:p w14:paraId="568B0A3C">
            <w:pPr>
              <w:rPr>
                <w:rFonts w:hint="eastAsia"/>
                <w:highlight w:val="none"/>
              </w:rPr>
            </w:pPr>
            <w:r>
              <w:rPr>
                <w:rFonts w:hint="eastAsia"/>
                <w:highlight w:val="none"/>
              </w:rPr>
              <w:t>3、 支持云端在线系统固件升级。触摸屏在照度100k lx（勒克司）环境下仍能正常工作。</w:t>
            </w:r>
          </w:p>
          <w:p w14:paraId="4066E5F9">
            <w:pPr>
              <w:rPr>
                <w:rFonts w:hint="eastAsia"/>
                <w:highlight w:val="none"/>
              </w:rPr>
            </w:pPr>
            <w:r>
              <w:rPr>
                <w:rFonts w:hint="eastAsia"/>
                <w:highlight w:val="none"/>
              </w:rPr>
              <w:t>嵌入式Android操作系统下，白板支持对已经书写的笔迹和形状的颜色进行更换，在嵌入式系统下使用白板软件时，整机可自行调节屏幕亮度。</w:t>
            </w:r>
          </w:p>
          <w:p w14:paraId="49FF678B">
            <w:pPr>
              <w:rPr>
                <w:rFonts w:hint="eastAsia"/>
                <w:highlight w:val="none"/>
              </w:rPr>
            </w:pPr>
            <w:r>
              <w:rPr>
                <w:rFonts w:hint="eastAsia"/>
                <w:highlight w:val="none"/>
              </w:rPr>
              <w:t>4、嵌入式Android操作系统下，互动白板支持不同背景颜色，同时提供学科背景，如：五线谱、信纸、田字格、英文格、篮球和足球场地平面图。</w:t>
            </w:r>
          </w:p>
          <w:p w14:paraId="6C6D712C">
            <w:pPr>
              <w:rPr>
                <w:rFonts w:hint="eastAsia"/>
                <w:highlight w:val="none"/>
              </w:rPr>
            </w:pPr>
            <w:r>
              <w:rPr>
                <w:rFonts w:hint="eastAsia"/>
                <w:highlight w:val="none"/>
              </w:rPr>
              <w:t>5、无PC状态下，嵌入式系统内置互动白板支持十笔书写及手掌擦除（手掌擦除面积根据手掌与屏幕的接触面大小自动调整），白板书写内容可以PDF、IWB和SVG格式导出。支持10种以上平面图形工具。支持7种以上立体图形工具。</w:t>
            </w:r>
          </w:p>
          <w:p w14:paraId="375BDEED">
            <w:pPr>
              <w:rPr>
                <w:rFonts w:hint="eastAsia"/>
                <w:highlight w:val="none"/>
              </w:rPr>
            </w:pPr>
            <w:r>
              <w:rPr>
                <w:rFonts w:hint="eastAsia"/>
                <w:highlight w:val="none"/>
              </w:rPr>
              <w:t>6、无PC状态下，嵌入式系统内置互动白板支持全局漫游，并能在工具栏中对全局内容进行预览和移动。</w:t>
            </w:r>
          </w:p>
          <w:p w14:paraId="6FAE4574">
            <w:pPr>
              <w:rPr>
                <w:rFonts w:hint="eastAsia"/>
                <w:highlight w:val="none"/>
              </w:rPr>
            </w:pPr>
            <w:r>
              <w:rPr>
                <w:rFonts w:hint="eastAsia"/>
                <w:highlight w:val="none"/>
              </w:rPr>
              <w:t>7、无PC状态下，嵌入式Android操作系统下可使用白板书写、WPS软件和网页浏览。</w:t>
            </w:r>
          </w:p>
          <w:p w14:paraId="373FC35E">
            <w:pPr>
              <w:rPr>
                <w:rFonts w:hint="eastAsia"/>
                <w:highlight w:val="none"/>
              </w:rPr>
            </w:pPr>
            <w:r>
              <w:rPr>
                <w:rFonts w:hint="eastAsia"/>
                <w:highlight w:val="none"/>
              </w:rPr>
              <w:t>8、在嵌入式Android操作系统下，能对TV多媒体USB所读取到的文件进行自动归类，可分类查找文档、板书、图片、音视频，检索后可直接在界面中打开。</w:t>
            </w:r>
          </w:p>
          <w:p w14:paraId="2DD58E86">
            <w:pPr>
              <w:rPr>
                <w:rFonts w:hint="eastAsia"/>
                <w:highlight w:val="none"/>
              </w:rPr>
            </w:pPr>
            <w:r>
              <w:rPr>
                <w:rFonts w:hint="eastAsia"/>
                <w:highlight w:val="none"/>
              </w:rPr>
              <w:t>9、整机内置全通道侧边栏快捷菜单，小工具、应用软件、快捷设置、亮度/音量调节、教室物联入口。</w:t>
            </w:r>
          </w:p>
          <w:p w14:paraId="1872935E">
            <w:pPr>
              <w:rPr>
                <w:rFonts w:hint="eastAsia"/>
                <w:highlight w:val="none"/>
              </w:rPr>
            </w:pPr>
            <w:r>
              <w:rPr>
                <w:rFonts w:hint="eastAsia"/>
                <w:highlight w:val="none"/>
              </w:rPr>
              <w:t>10、整机全通道侧边栏支持展示学校名称、设备班级、场地信息。</w:t>
            </w:r>
          </w:p>
          <w:p w14:paraId="0B3652E1">
            <w:pPr>
              <w:rPr>
                <w:rFonts w:hint="eastAsia"/>
                <w:highlight w:val="none"/>
              </w:rPr>
            </w:pPr>
            <w:r>
              <w:rPr>
                <w:rFonts w:hint="eastAsia"/>
                <w:highlight w:val="none"/>
              </w:rPr>
              <w:t>11、整机全通道侧边栏快捷菜单包含如下小工具：批注、降半屏、截屏、放大镜、倒计时、日历、聚光灯、秒表、冻屏、倒数日、答题、节拍器</w:t>
            </w:r>
          </w:p>
          <w:p w14:paraId="2239FC36">
            <w:pPr>
              <w:rPr>
                <w:rFonts w:hint="eastAsia"/>
                <w:highlight w:val="none"/>
              </w:rPr>
            </w:pPr>
            <w:r>
              <w:rPr>
                <w:rFonts w:hint="eastAsia"/>
                <w:highlight w:val="none"/>
              </w:rPr>
              <w:t>12、整机全通道侧边栏快捷菜单小工具支持自定义，支持设置对应小工具的显示/隐藏。</w:t>
            </w:r>
          </w:p>
          <w:p w14:paraId="68BFA199">
            <w:pPr>
              <w:rPr>
                <w:rFonts w:hint="eastAsia"/>
                <w:highlight w:val="none"/>
              </w:rPr>
            </w:pPr>
            <w:r>
              <w:rPr>
                <w:rFonts w:hint="eastAsia"/>
                <w:highlight w:val="none"/>
              </w:rPr>
              <w:t>13、整机全通道侧边栏支持使用批注小工具进行批注讲解，可切换书写笔颜色、截屏保存批注内容、清屏，可根据手与屏幕的接触面积自动调整板擦工具的大小。</w:t>
            </w:r>
          </w:p>
          <w:p w14:paraId="3D5BBB77">
            <w:pPr>
              <w:rPr>
                <w:rFonts w:hint="eastAsia"/>
                <w:highlight w:val="none"/>
              </w:rPr>
            </w:pPr>
            <w:r>
              <w:rPr>
                <w:rFonts w:hint="eastAsia"/>
                <w:highlight w:val="none"/>
              </w:rPr>
              <w:t>14、整机全通道侧边栏支持将设备屏幕降低为半屏幕状态，点击上半屏幕可返回全屏状态。</w:t>
            </w:r>
          </w:p>
          <w:p w14:paraId="1FB06110">
            <w:pPr>
              <w:rPr>
                <w:rFonts w:hint="eastAsia"/>
                <w:highlight w:val="none"/>
              </w:rPr>
            </w:pPr>
            <w:r>
              <w:rPr>
                <w:rFonts w:hint="eastAsia"/>
                <w:highlight w:val="none"/>
              </w:rPr>
              <w:t>15、整机全通道侧边栏支持自主选择所需截取的屏幕范围，点击截屏可成功截取屏幕，并自动保存。</w:t>
            </w:r>
          </w:p>
          <w:p w14:paraId="3FBD2B0A">
            <w:pPr>
              <w:rPr>
                <w:rFonts w:hint="eastAsia"/>
                <w:highlight w:val="none"/>
              </w:rPr>
            </w:pPr>
            <w:r>
              <w:rPr>
                <w:rFonts w:hint="eastAsia"/>
                <w:highlight w:val="none"/>
              </w:rPr>
              <w:t>16、整机全通道侧边栏支持放大选中区域内容；并可支持对未选中区域关灯处理，实现聚光灯效果。</w:t>
            </w:r>
          </w:p>
          <w:p w14:paraId="67E4DE68">
            <w:pPr>
              <w:rPr>
                <w:rFonts w:hint="eastAsia"/>
                <w:highlight w:val="none"/>
              </w:rPr>
            </w:pPr>
            <w:r>
              <w:rPr>
                <w:rFonts w:hint="eastAsia"/>
                <w:highlight w:val="none"/>
              </w:rPr>
              <w:t>17、整机全通道侧边栏支持倒计时、正计时功能；倒计时，输入某特定时间值，可精确到秒，点击开始进入倒计时；正计时，点击开始计时便自动开始，并实时显示时间。</w:t>
            </w:r>
          </w:p>
          <w:p w14:paraId="17D33459">
            <w:pPr>
              <w:rPr>
                <w:rFonts w:hint="eastAsia"/>
                <w:highlight w:val="none"/>
              </w:rPr>
            </w:pPr>
            <w:r>
              <w:rPr>
                <w:rFonts w:hint="eastAsia"/>
                <w:highlight w:val="none"/>
              </w:rPr>
              <w:t>18、整机全通道侧边栏支持打开日历，查看日期。</w:t>
            </w:r>
          </w:p>
          <w:p w14:paraId="691DA7C8">
            <w:pPr>
              <w:rPr>
                <w:rFonts w:hint="eastAsia"/>
                <w:highlight w:val="none"/>
              </w:rPr>
            </w:pPr>
            <w:r>
              <w:rPr>
                <w:rFonts w:hint="eastAsia"/>
                <w:highlight w:val="none"/>
              </w:rPr>
              <w:t>19、整机全通道侧边栏支持聚光灯，支持聚光灯高亮区域大小调节、区域移动。</w:t>
            </w:r>
          </w:p>
          <w:p w14:paraId="32889328">
            <w:pPr>
              <w:rPr>
                <w:rFonts w:hint="eastAsia"/>
                <w:highlight w:val="none"/>
              </w:rPr>
            </w:pPr>
            <w:r>
              <w:rPr>
                <w:rFonts w:hint="eastAsia"/>
                <w:highlight w:val="none"/>
              </w:rPr>
              <w:t>20、整机全通道侧边栏支持冻屏，将屏幕画面进行缩放。</w:t>
            </w:r>
          </w:p>
          <w:p w14:paraId="426F4A57">
            <w:pPr>
              <w:rPr>
                <w:rFonts w:hint="eastAsia"/>
                <w:highlight w:val="none"/>
              </w:rPr>
            </w:pPr>
            <w:r>
              <w:rPr>
                <w:rFonts w:hint="eastAsia"/>
                <w:highlight w:val="none"/>
              </w:rPr>
              <w:t>21、整机安卓和全部外接通道（HDMI、Type-C）下侧边栏支持设置倒数日。</w:t>
            </w:r>
          </w:p>
          <w:p w14:paraId="20B2166B">
            <w:pPr>
              <w:rPr>
                <w:rFonts w:hint="eastAsia"/>
                <w:highlight w:val="none"/>
              </w:rPr>
            </w:pPr>
            <w:r>
              <w:rPr>
                <w:rFonts w:hint="eastAsia"/>
                <w:highlight w:val="none"/>
              </w:rPr>
              <w:t>▲22、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74BAEEF">
            <w:pPr>
              <w:rPr>
                <w:rFonts w:hint="eastAsia"/>
                <w:highlight w:val="none"/>
              </w:rPr>
            </w:pPr>
            <w:r>
              <w:rPr>
                <w:rFonts w:hint="eastAsia"/>
                <w:highlight w:val="none"/>
              </w:rPr>
              <w:t>23、整机安卓和全部外接通道（HDMI、Type-c）下侧边栏支持节拍器，支持设置节拍、轻重、节拍播放速度。全通道下可支持通过自定义按键调出该功能。</w:t>
            </w:r>
          </w:p>
          <w:p w14:paraId="2AC80CE0">
            <w:pPr>
              <w:rPr>
                <w:rFonts w:hint="eastAsia"/>
                <w:highlight w:val="none"/>
              </w:rPr>
            </w:pPr>
            <w:r>
              <w:rPr>
                <w:rFonts w:hint="eastAsia"/>
                <w:highlight w:val="none"/>
              </w:rPr>
              <w:t>24、整机支持在设备上通过摄像头获取教室内图像并自动识别图像内所有人员，并随机抽选1人。</w:t>
            </w:r>
          </w:p>
          <w:p w14:paraId="268C2B2F">
            <w:pPr>
              <w:rPr>
                <w:rFonts w:hint="eastAsia"/>
                <w:highlight w:val="none"/>
              </w:rPr>
            </w:pPr>
            <w:r>
              <w:rPr>
                <w:rFonts w:hint="eastAsia"/>
                <w:highlight w:val="none"/>
              </w:rPr>
              <w:t>25、整机支持在设备上通过摄像头获取教室内图像并自动识别图像内所有人员，并自动进行人数统计。</w:t>
            </w:r>
          </w:p>
          <w:p w14:paraId="18CD9308">
            <w:pPr>
              <w:rPr>
                <w:rFonts w:hint="eastAsia"/>
                <w:highlight w:val="none"/>
              </w:rPr>
            </w:pPr>
            <w:r>
              <w:rPr>
                <w:rFonts w:hint="eastAsia"/>
                <w:highlight w:val="none"/>
              </w:rPr>
              <w:t>26、整机支持在设备上，通过侧边栏实现调用windows系统运行、打开文件夹、打开任务管理。</w:t>
            </w:r>
          </w:p>
          <w:p w14:paraId="2A9ACA92">
            <w:pPr>
              <w:rPr>
                <w:rFonts w:hint="eastAsia"/>
                <w:highlight w:val="none"/>
              </w:rPr>
            </w:pPr>
            <w:r>
              <w:rPr>
                <w:rFonts w:hint="eastAsia"/>
                <w:highlight w:val="none"/>
              </w:rPr>
              <w:t>27、整机Windows通道支持对当前运行中的应用进行窗口最大化、窗口最小化、应用强制关闭。</w:t>
            </w:r>
          </w:p>
          <w:p w14:paraId="01A22DBE">
            <w:pPr>
              <w:rPr>
                <w:rFonts w:hint="eastAsia"/>
                <w:highlight w:val="none"/>
              </w:rPr>
            </w:pPr>
            <w:r>
              <w:rPr>
                <w:rFonts w:hint="eastAsia"/>
                <w:highlight w:val="none"/>
              </w:rPr>
              <w:t>28、整机Windows通道支持通过侧边栏调取软键盘。整机处于非内置PC通道下，支持通过侧边栏进入PC通道。整机全通道侧边栏快捷菜单支持快捷调节音量、亮度，支持自动亮度模式，支持点击静音按钮静音。</w:t>
            </w:r>
          </w:p>
          <w:p w14:paraId="15D686FF">
            <w:pPr>
              <w:rPr>
                <w:rFonts w:hint="eastAsia"/>
                <w:highlight w:val="none"/>
              </w:rPr>
            </w:pPr>
            <w:r>
              <w:rPr>
                <w:rFonts w:hint="eastAsia"/>
                <w:highlight w:val="none"/>
              </w:rPr>
              <w:t>29、整机全通道侧边栏快捷菜单中应用软件可以进行切换，无需在已经开启的应用软件全屏模式下退出当前应用再选择更换。整机全通道侧边栏支持自定义快捷菜单，支持windows 应用固定，可将应用固定后，在侧边栏进行快捷打开。</w:t>
            </w:r>
          </w:p>
          <w:p w14:paraId="34603EE3">
            <w:pPr>
              <w:rPr>
                <w:rFonts w:hint="eastAsia"/>
                <w:highlight w:val="none"/>
              </w:rPr>
            </w:pPr>
            <w:r>
              <w:rPr>
                <w:rFonts w:hint="eastAsia"/>
                <w:highlight w:val="none"/>
              </w:rPr>
              <w:t>30、整机全通道侧边栏快捷菜单中可实时查看物联设备的连接情况，点击设备图标即可调出中控菜单进行管控。整机全通道侧边栏快捷菜单支持简洁模式和常规模式切换。</w:t>
            </w:r>
          </w:p>
          <w:p w14:paraId="399BBFF3">
            <w:pPr>
              <w:rPr>
                <w:rFonts w:hint="eastAsia"/>
                <w:highlight w:val="none"/>
              </w:rPr>
            </w:pPr>
            <w:r>
              <w:rPr>
                <w:rFonts w:hint="eastAsia"/>
                <w:highlight w:val="none"/>
              </w:rPr>
              <w:t>31、整机全通道侧边栏快捷菜单简洁模式，可进行打开批注、降半屏、主页的基础操作。</w:t>
            </w:r>
          </w:p>
          <w:p w14:paraId="7FA7CB92">
            <w:pPr>
              <w:rPr>
                <w:rFonts w:hint="eastAsia"/>
                <w:highlight w:val="none"/>
              </w:rPr>
            </w:pPr>
            <w:r>
              <w:rPr>
                <w:rFonts w:hint="eastAsia"/>
                <w:highlight w:val="none"/>
              </w:rPr>
              <w:t>整机内置触摸中控菜单，在整机全信号源通道下通过手势在屏幕上调取该触摸菜单；支持信号源通道切换、护眼、声音调节功能；支持切换智能息屏、经典护眼模式、纸质护眼模式、自动亮度模式；并可支持调节音量、亮度，支持自动亮度模式，支持点击静音按钮静音。</w:t>
            </w:r>
          </w:p>
          <w:p w14:paraId="07D35F31">
            <w:pPr>
              <w:rPr>
                <w:rFonts w:hint="eastAsia"/>
                <w:highlight w:val="none"/>
              </w:rPr>
            </w:pPr>
            <w:r>
              <w:rPr>
                <w:rFonts w:hint="eastAsia"/>
                <w:highlight w:val="none"/>
              </w:rPr>
              <w:t>32、整机内置触摸中控菜单，可查看当前正在运行的应用，支持应用切换，在全屏应用下无需退出全屏应用即可进行切换；支持应用关闭，以及关闭所有应用。</w:t>
            </w:r>
          </w:p>
          <w:p w14:paraId="53F863E3">
            <w:pPr>
              <w:rPr>
                <w:rFonts w:hint="eastAsia"/>
                <w:highlight w:val="none"/>
              </w:rPr>
            </w:pPr>
          </w:p>
          <w:p w14:paraId="75A5501C">
            <w:pPr>
              <w:rPr>
                <w:rFonts w:hint="eastAsia"/>
                <w:highlight w:val="none"/>
              </w:rPr>
            </w:pPr>
            <w:r>
              <w:rPr>
                <w:rFonts w:hint="eastAsia"/>
                <w:highlight w:val="none"/>
                <w:lang w:val="en-US" w:eastAsia="zh-CN"/>
              </w:rPr>
              <w:t>八</w:t>
            </w:r>
            <w:r>
              <w:rPr>
                <w:rFonts w:hint="eastAsia"/>
                <w:highlight w:val="none"/>
              </w:rPr>
              <w:t>、教学桌面功能：</w:t>
            </w:r>
          </w:p>
          <w:p w14:paraId="3199CF04">
            <w:pPr>
              <w:rPr>
                <w:rFonts w:hint="eastAsia"/>
                <w:highlight w:val="none"/>
              </w:rPr>
            </w:pPr>
            <w:r>
              <w:rPr>
                <w:rFonts w:hint="eastAsia"/>
                <w:highlight w:val="none"/>
              </w:rPr>
              <w:t>1、整机设备开机启动后，自动进入教学桌面，支持账号登录、退出，自动获取个人云端教学课件列表，并可进入全部课件列表。</w:t>
            </w:r>
          </w:p>
          <w:p w14:paraId="2F0E8DFC">
            <w:pPr>
              <w:rPr>
                <w:rFonts w:hint="eastAsia"/>
                <w:highlight w:val="none"/>
              </w:rPr>
            </w:pPr>
            <w:r>
              <w:rPr>
                <w:rFonts w:hint="eastAsia"/>
                <w:highlight w:val="none"/>
              </w:rPr>
              <w:t>2、整机设备支持多种身份识别方式，可通过账号登录、手机扫码登录，并支持账号安全登录检测。</w:t>
            </w:r>
          </w:p>
          <w:p w14:paraId="2A38523B">
            <w:pPr>
              <w:rPr>
                <w:rFonts w:hint="eastAsia"/>
                <w:highlight w:val="none"/>
              </w:rPr>
            </w:pPr>
            <w:r>
              <w:rPr>
                <w:rFonts w:hint="eastAsia"/>
                <w:highlight w:val="none"/>
              </w:rPr>
              <w:t>3、 整机设备支持统一互通的用户身份认证服务，账号登录后，打开教学白板软件教学应用工具时无需再次输入账号密码重复登录。</w:t>
            </w:r>
          </w:p>
          <w:p w14:paraId="6BC7ADF6">
            <w:pPr>
              <w:rPr>
                <w:rFonts w:hint="eastAsia"/>
                <w:highlight w:val="none"/>
              </w:rPr>
            </w:pPr>
            <w:r>
              <w:rPr>
                <w:rFonts w:hint="eastAsia"/>
                <w:highlight w:val="none"/>
              </w:rPr>
              <w:t>▲4、整机设备教学桌面支持教学常用的教学白板软件和文件管理软件软件；教学桌面首页支持自定义桌面应用，支持展示8个应用入口。并提供进入本机所有应用的入口。可将应用编辑到教学桌面首页，编辑方式支持从教学桌面首页进入编辑，支持在全部应用列表中进入编辑 2 种方式。教学桌面首页应用支持无需进入应用编辑页面，在首页指定应用上长按进行移除。（响应文件中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E335A5A">
            <w:pPr>
              <w:rPr>
                <w:rFonts w:hint="eastAsia"/>
                <w:highlight w:val="none"/>
              </w:rPr>
            </w:pPr>
            <w:r>
              <w:rPr>
                <w:rFonts w:hint="eastAsia"/>
                <w:highlight w:val="none"/>
              </w:rPr>
              <w:t>▲5、整机设备教学桌面支持查看设备盘符，支持本地磁盘和外接 U 盘、移动硬盘，点击即可打开该磁盘查看磁盘文件。教学桌面支持显示存储空间状态，当存储空间即将满载时候进行红色标记明显提示。（响应文件中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C201B0B">
            <w:pPr>
              <w:rPr>
                <w:rFonts w:hint="eastAsia"/>
                <w:highlight w:val="none"/>
              </w:rPr>
            </w:pPr>
            <w:r>
              <w:rPr>
                <w:rFonts w:hint="eastAsia"/>
                <w:highlight w:val="none"/>
              </w:rPr>
              <w:t>6、整机设备教学桌面支持推荐应用，推荐应用支持移除，整机设备教学桌面支持进行应用卸载，设备教学桌面的教师登录账号后，可自动获取并在桌面显示最近使用的教学课件，点击课件可直接进入授课模式；并支持查看所有个人教学课件资源。</w:t>
            </w:r>
          </w:p>
          <w:p w14:paraId="39E8621B">
            <w:pPr>
              <w:rPr>
                <w:rFonts w:hint="eastAsia"/>
                <w:highlight w:val="none"/>
              </w:rPr>
            </w:pPr>
            <w:r>
              <w:rPr>
                <w:rFonts w:hint="eastAsia"/>
                <w:highlight w:val="none"/>
              </w:rPr>
              <w:t>7、整机设备教学桌面支持进行壁纸编辑，内置10张以上壁纸，并支持自定义壁纸，设备教学桌面支持 U 盘、移动硬盘外接存储设备直接在桌面显示，无需打开文件浏览器即可查看文件列表，并且支持文件打开。支持查看全部文件列表以及按照文档、图片、音视频分类方式查看文件列表。</w:t>
            </w:r>
          </w:p>
          <w:p w14:paraId="763AA5FB">
            <w:pPr>
              <w:rPr>
                <w:rFonts w:hint="eastAsia"/>
                <w:highlight w:val="none"/>
              </w:rPr>
            </w:pPr>
            <w:r>
              <w:rPr>
                <w:rFonts w:hint="eastAsia"/>
                <w:highlight w:val="none"/>
              </w:rPr>
              <w:t>8、 整机设备教学桌面U盘文件查看窗口支持使用文件浏览器打开U盘，支持进行通道切换，当设备有其他输入源时，可在桌面点击信号源进行输入源切换。</w:t>
            </w:r>
          </w:p>
          <w:p w14:paraId="23C590A8">
            <w:pPr>
              <w:rPr>
                <w:rFonts w:hint="eastAsia"/>
                <w:highlight w:val="none"/>
              </w:rPr>
            </w:pPr>
            <w:r>
              <w:rPr>
                <w:rFonts w:hint="eastAsia"/>
                <w:highlight w:val="none"/>
              </w:rPr>
              <w:t>9、整机设备教学桌面支持进行锁屏操作，整机设备教学桌面支持进行重启、关机操作。</w:t>
            </w:r>
          </w:p>
          <w:p w14:paraId="39295917">
            <w:pPr>
              <w:rPr>
                <w:rFonts w:hint="eastAsia"/>
                <w:highlight w:val="none"/>
              </w:rPr>
            </w:pPr>
            <w:r>
              <w:rPr>
                <w:rFonts w:hint="eastAsia"/>
                <w:highlight w:val="none"/>
              </w:rPr>
              <w:t>▲10、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C27D409">
            <w:pPr>
              <w:rPr>
                <w:rFonts w:hint="eastAsia"/>
                <w:highlight w:val="none"/>
              </w:rPr>
            </w:pPr>
            <w:r>
              <w:rPr>
                <w:rFonts w:hint="eastAsia"/>
                <w:highlight w:val="none"/>
              </w:rPr>
              <w:t>11、整机Windows通道支持文件传输应用，可将手机文件传输到整机上，无需借助第三方网页、第三方应用，传输文件格式支持：pptx、pdf、docx、txt、xlsx、enbx、jpg、png、gif、svg、mp4、rmvb、avi、3gp、wmv、flv、mkv、mp3、wav、wma、ogg、zip。</w:t>
            </w:r>
          </w:p>
          <w:p w14:paraId="3E77C200">
            <w:pPr>
              <w:rPr>
                <w:rFonts w:hint="eastAsia"/>
                <w:highlight w:val="none"/>
              </w:rPr>
            </w:pPr>
            <w:r>
              <w:rPr>
                <w:rFonts w:hint="eastAsia"/>
                <w:highlight w:val="none"/>
              </w:rPr>
              <w:t>12、整机Windows通道支持文件传输应用，支持通过扫码、wifi直联、超声三种方式与手机进行握手连接，实现文件传输功能，Windows 通道支持文件传输应用，传输方式支持公网传输、局域网传输、WiFi 直连传输，接收的文件支持单份删除；接收的文件支持手动全部清空，为防止误清空，全部清空需要经过二次确认。</w:t>
            </w:r>
          </w:p>
          <w:p w14:paraId="15333DEC">
            <w:pPr>
              <w:rPr>
                <w:rFonts w:hint="eastAsia"/>
                <w:highlight w:val="none"/>
              </w:rPr>
            </w:pPr>
            <w:r>
              <w:rPr>
                <w:rFonts w:hint="eastAsia"/>
                <w:highlight w:val="none"/>
              </w:rPr>
              <w:t>13、整机Windows通道支持文件传输应用，支持打开文件所在文件夹，开启该应用后，可自动打开整机热点，并在文件传输应用中显示热点信息，无需手动在设置中查看热点。</w:t>
            </w:r>
          </w:p>
          <w:p w14:paraId="404F729B">
            <w:pPr>
              <w:rPr>
                <w:rFonts w:hint="eastAsia"/>
                <w:highlight w:val="none"/>
              </w:rPr>
            </w:pPr>
            <w:r>
              <w:rPr>
                <w:rFonts w:hint="eastAsia"/>
                <w:highlight w:val="none"/>
              </w:rPr>
              <w:t>▲14、整机设备自带地震预警软件。支持在地震预警页面中获取位置，可以手动进行位置校准。支持在地震预警页面中选择提醒阈值。支持在地震预警界面中开启和关闭地震预警服务。（响应文件中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D54109E">
            <w:pPr>
              <w:rPr>
                <w:rFonts w:hint="eastAsia"/>
                <w:highlight w:val="none"/>
              </w:rPr>
            </w:pPr>
          </w:p>
          <w:p w14:paraId="66183FCD">
            <w:pPr>
              <w:rPr>
                <w:rFonts w:hint="eastAsia"/>
                <w:highlight w:val="none"/>
              </w:rPr>
            </w:pPr>
            <w:r>
              <w:rPr>
                <w:rFonts w:hint="eastAsia"/>
                <w:highlight w:val="none"/>
              </w:rPr>
              <w:t>九、教学备授课软件要求</w:t>
            </w:r>
          </w:p>
          <w:p w14:paraId="50E366C6">
            <w:pPr>
              <w:rPr>
                <w:rFonts w:hint="eastAsia"/>
                <w:highlight w:val="none"/>
              </w:rPr>
            </w:pPr>
            <w:r>
              <w:rPr>
                <w:rFonts w:hint="eastAsia"/>
                <w:highlight w:val="none"/>
              </w:rPr>
              <w:t>（一）整体设计：</w:t>
            </w:r>
          </w:p>
          <w:p w14:paraId="4E6318D2">
            <w:pPr>
              <w:rPr>
                <w:rFonts w:hint="eastAsia"/>
                <w:highlight w:val="none"/>
              </w:rPr>
            </w:pPr>
            <w:r>
              <w:rPr>
                <w:rFonts w:hint="eastAsia"/>
                <w:highlight w:val="none"/>
              </w:rPr>
              <w:t>▲1、支持为教师提供可扩展至100TB的云存储空间，教师可在个人云空间上传存储互动课件、云教案和其他教学资源。支持上传的资源格式有：</w:t>
            </w:r>
          </w:p>
          <w:p w14:paraId="3E195EDF">
            <w:pPr>
              <w:rPr>
                <w:rFonts w:hint="eastAsia"/>
                <w:highlight w:val="none"/>
              </w:rPr>
            </w:pPr>
            <w:r>
              <w:rPr>
                <w:rFonts w:hint="eastAsia"/>
                <w:highlight w:val="none"/>
              </w:rPr>
              <w:t>文档：ppt、pptx、word、pdf、excel；</w:t>
            </w:r>
          </w:p>
          <w:p w14:paraId="199A0A1A">
            <w:pPr>
              <w:rPr>
                <w:rFonts w:hint="eastAsia"/>
                <w:highlight w:val="none"/>
              </w:rPr>
            </w:pPr>
            <w:r>
              <w:rPr>
                <w:rFonts w:hint="eastAsia"/>
                <w:highlight w:val="none"/>
              </w:rPr>
              <w:t>图片：bmp、png、jpg、jpeg、gif；</w:t>
            </w:r>
          </w:p>
          <w:p w14:paraId="47D55EF3">
            <w:pPr>
              <w:rPr>
                <w:rFonts w:hint="eastAsia"/>
                <w:highlight w:val="none"/>
              </w:rPr>
            </w:pPr>
            <w:r>
              <w:rPr>
                <w:rFonts w:hint="eastAsia"/>
                <w:highlight w:val="none"/>
              </w:rPr>
              <w:t>音视频：mp3、wav、wma、ogg、aac、mp4、rmvb、wmv、avi、rm、3gp、mkv、flv、mov、svg、swf。</w:t>
            </w:r>
          </w:p>
          <w:p w14:paraId="5A8DDBC7">
            <w:pPr>
              <w:rPr>
                <w:rFonts w:hint="eastAsia"/>
                <w:highlight w:val="none"/>
              </w:rPr>
            </w:pPr>
            <w:r>
              <w:rPr>
                <w:rFonts w:hint="eastAsia"/>
                <w:highlight w:val="none"/>
              </w:rPr>
              <w:t>2、支持移动调整文件及文件夹的层级，支持对文件进行重命名、删除操作。互动课件与其他教学资源的云空间相互独立；教师可新建课件组或素材文件夹对教学资源进行个性化的分类与标记；多媒体素材库内的素材可插入互动课件，互动课件内的多媒体素材可在课件内直接上传至多媒体素材存储空间，支持教师调用、采集教学素材。</w:t>
            </w:r>
          </w:p>
          <w:p w14:paraId="1D08CE08">
            <w:pPr>
              <w:rPr>
                <w:rFonts w:hint="eastAsia"/>
                <w:highlight w:val="none"/>
              </w:rPr>
            </w:pPr>
            <w:r>
              <w:rPr>
                <w:rFonts w:hint="eastAsia"/>
                <w:highlight w:val="none"/>
              </w:rPr>
              <w:t>3、为使用方全体教师配备个人账号，形成一体的信息化教学账号体系；根据教师账号信息将教师云空间匹配至对应学校、学科校本资源库。支持通过数字账号、微信二维码、硬件密钥方式登录教师个人账号。</w:t>
            </w:r>
          </w:p>
          <w:p w14:paraId="359BE800">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281C3FBB">
            <w:pPr>
              <w:rPr>
                <w:rFonts w:hint="eastAsia"/>
                <w:highlight w:val="none"/>
              </w:rPr>
            </w:pPr>
            <w:r>
              <w:rPr>
                <w:rFonts w:hint="eastAsia"/>
                <w:highlight w:val="none"/>
              </w:rPr>
              <w:t>4、互动课件支持定向分享，分享者可将互动课件、课件组推送至指定接收方账号的云空间，接收方可在云空间接收并打开分享课件。（响应文件中须出具检验结果符合或者优于本项参数的国家认可的第三方认证（检测）机构出具的带有CMA或CNAS标志的检测报告）</w:t>
            </w:r>
          </w:p>
          <w:p w14:paraId="046179B5">
            <w:pPr>
              <w:rPr>
                <w:rFonts w:hint="eastAsia"/>
                <w:highlight w:val="none"/>
              </w:rPr>
            </w:pPr>
            <w:r>
              <w:rPr>
                <w:rFonts w:hint="eastAsia"/>
                <w:highlight w:val="none"/>
              </w:rPr>
              <w:t>互动课件支持开放式云分享，分享者可将互动课件、课件组以公开或加密的web链接和二维码形式进行分享，分享链接可设置访问有效期。（响应文件中须出具检验结果符合或者优于本项参数的国家认可的第三方认证（检测）机构出具的带有CMA或CNAS标志的检测报告）</w:t>
            </w:r>
          </w:p>
          <w:p w14:paraId="68692783">
            <w:pPr>
              <w:rPr>
                <w:rFonts w:hint="eastAsia"/>
                <w:highlight w:val="none"/>
              </w:rPr>
            </w:pPr>
            <w:r>
              <w:rPr>
                <w:rFonts w:hint="eastAsia"/>
                <w:highlight w:val="none"/>
              </w:rPr>
              <w:t>5、提供拼音卡片、古诗词、汉字卡片、中文听写、数学画板、字母卡片、英汉词典、英文听写、化学实验、元素周期、化学方程、物理线图、星球至少20种学科工具，可一键插入课件。学科工具支持教师自主设置在首页显示的功能，且该设置在备课和授课端之间可以同步。（响应文件中须出具检验结果符合或者优于本项参数的国家认可的第三方认证（检测）机构出具的带有CMA或CNAS标志的检测报告）</w:t>
            </w:r>
          </w:p>
          <w:p w14:paraId="60799ED4">
            <w:pPr>
              <w:rPr>
                <w:rFonts w:hint="eastAsia"/>
                <w:highlight w:val="none"/>
              </w:rPr>
            </w:pPr>
            <w:r>
              <w:rPr>
                <w:rFonts w:hint="eastAsia"/>
                <w:highlight w:val="none"/>
              </w:rPr>
              <w:t>▲6、提供互动式教学课件资源，包含学科教育各学段各地区教材版本不少于88个；包含学科教育各学段教材版本全部教学章节、专题教育多个主题教育、特殊教育三大分类不少于160000份的交互动课件。</w:t>
            </w:r>
          </w:p>
          <w:p w14:paraId="14538D3A">
            <w:pPr>
              <w:rPr>
                <w:rFonts w:hint="eastAsia"/>
                <w:highlight w:val="none"/>
              </w:rPr>
            </w:pPr>
            <w:r>
              <w:rPr>
                <w:rFonts w:hint="eastAsia"/>
                <w:highlight w:val="none"/>
              </w:rPr>
              <w:t>7、按照下载量、课件质量、相关性每天动态更新课件列表，提供按章节、主题筛选和关键词搜索，支持模糊搜索。并提供默认排序、最多获取和最新上架三种排序方式。</w:t>
            </w:r>
          </w:p>
          <w:p w14:paraId="0792DEBF">
            <w:pPr>
              <w:rPr>
                <w:rFonts w:hint="eastAsia"/>
                <w:highlight w:val="none"/>
              </w:rPr>
            </w:pPr>
            <w:r>
              <w:rPr>
                <w:rFonts w:hint="eastAsia"/>
                <w:highlight w:val="none"/>
              </w:rPr>
              <w:t>课件支持直接预览并下载，预览时支持拖动课堂活动、形状、几何、文本元素；下载时课件可同步至教师个人云空间；课件支持教师在线评分。</w:t>
            </w:r>
          </w:p>
          <w:p w14:paraId="22C33FD0">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6D15A228">
            <w:pPr>
              <w:rPr>
                <w:rFonts w:hint="eastAsia"/>
                <w:highlight w:val="none"/>
              </w:rPr>
            </w:pPr>
            <w:r>
              <w:rPr>
                <w:rFonts w:hint="eastAsia"/>
                <w:highlight w:val="none"/>
              </w:rPr>
              <w:t>▲8、AI智能备课助手：</w:t>
            </w:r>
          </w:p>
          <w:p w14:paraId="7ADAA7E7">
            <w:pPr>
              <w:rPr>
                <w:rFonts w:hint="eastAsia"/>
                <w:highlight w:val="none"/>
              </w:rPr>
            </w:pPr>
            <w:r>
              <w:rPr>
                <w:rFonts w:hint="eastAsia"/>
                <w:highlight w:val="none"/>
              </w:rPr>
              <w:t>在备课场景中支持搜索课件库课件资源，具有不少于15万份的课件资源，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p>
          <w:p w14:paraId="465EA6C0">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75F7476B">
            <w:pPr>
              <w:rPr>
                <w:rFonts w:hint="eastAsia"/>
                <w:highlight w:val="none"/>
              </w:rPr>
            </w:pPr>
            <w:r>
              <w:rPr>
                <w:rFonts w:hint="eastAsia"/>
                <w:highlight w:val="none"/>
              </w:rPr>
              <w:t>9、采用备授课一体化框架设计，教师可根据教学场景自由切换类PPT界面的备课模式与触控交互教学模式，适用于教室、办公室等不同教学环境。</w:t>
            </w:r>
          </w:p>
          <w:p w14:paraId="5A2FCCA9">
            <w:pPr>
              <w:rPr>
                <w:rFonts w:hint="eastAsia"/>
                <w:highlight w:val="none"/>
              </w:rPr>
            </w:pPr>
            <w:r>
              <w:rPr>
                <w:rFonts w:hint="eastAsia"/>
                <w:highlight w:val="none"/>
              </w:rPr>
              <w:t>10、互动课件内容的编辑修改无需人为保存即可自动同步至云空间，可根据教师需要调整云空间自动同步的时间间隔。本地课件则不会自动同步到云空间以保证数据安全。编辑多份互动课件时，教师可一键将所有处于编辑状态的课件同步到互动课件云空间。</w:t>
            </w:r>
          </w:p>
          <w:p w14:paraId="7DAB0882">
            <w:pPr>
              <w:rPr>
                <w:rFonts w:hint="eastAsia"/>
                <w:highlight w:val="none"/>
              </w:rPr>
            </w:pPr>
            <w:r>
              <w:rPr>
                <w:rFonts w:hint="eastAsia"/>
                <w:highlight w:val="none"/>
              </w:rPr>
              <w:t>▲11、支持PPT的原生解析，教师可将pptx课件转化为互动教学课件，支持单份导入和批量文件夹导入两种导入方式，保留pptx原文件中的文字、图片、表格等对象及动画的可编辑性，并可为课件增加互动教学元素。（响应文件中须出具检验结果符合或者优于本项参数的国家认可的第三方认证（检测）机构出具的带有CMA或CNAS标志的检测报告）</w:t>
            </w:r>
          </w:p>
          <w:p w14:paraId="546B43FD">
            <w:pPr>
              <w:rPr>
                <w:rFonts w:hint="eastAsia"/>
                <w:highlight w:val="none"/>
              </w:rPr>
            </w:pPr>
            <w:r>
              <w:rPr>
                <w:rFonts w:hint="eastAsia"/>
                <w:highlight w:val="none"/>
              </w:rPr>
              <w:t>▲12、支持将互动课件导出为pptx、pdf、H5或web链接。导出的课件支持在多终端(包含windows、Macos、iOS、安卓、国产化系统)进行二次编辑。（响应文件中须出具检验结果符合或者优于本项参数的国家认可的第三方认证（检测）机构出具的带有CMA或CNAS标志的检测报告）</w:t>
            </w:r>
          </w:p>
          <w:p w14:paraId="7FF697A6">
            <w:pPr>
              <w:rPr>
                <w:rFonts w:hint="eastAsia"/>
                <w:highlight w:val="none"/>
              </w:rPr>
            </w:pPr>
            <w:r>
              <w:rPr>
                <w:rFonts w:hint="eastAsia"/>
                <w:highlight w:val="none"/>
              </w:rPr>
              <w:t>13、课件回收站功能：按照删除时间存储已删除课件，支持用户在3天内自主或彻底删除单份/多份/全部已删除课件</w:t>
            </w:r>
          </w:p>
          <w:p w14:paraId="00AFA1FF">
            <w:pPr>
              <w:rPr>
                <w:rFonts w:hint="eastAsia"/>
                <w:highlight w:val="none"/>
              </w:rPr>
            </w:pPr>
            <w:r>
              <w:rPr>
                <w:rFonts w:hint="eastAsia"/>
                <w:highlight w:val="none"/>
              </w:rPr>
              <w:t>14、可自由调节课件画面的显示比例，支持16:9、4：3画面显示比，可适配各类显示设备。</w:t>
            </w:r>
          </w:p>
          <w:p w14:paraId="4151588E">
            <w:pPr>
              <w:rPr>
                <w:rFonts w:hint="eastAsia"/>
                <w:highlight w:val="none"/>
              </w:rPr>
            </w:pPr>
            <w:r>
              <w:rPr>
                <w:rFonts w:hint="eastAsia"/>
                <w:highlight w:val="none"/>
              </w:rPr>
              <w:t>▲15、具备云端静默推送下载功能，无需用户手动下载即可实现应用的在线升级，升级具有信息验证机制。</w:t>
            </w:r>
          </w:p>
          <w:p w14:paraId="058DEA87">
            <w:pPr>
              <w:rPr>
                <w:rFonts w:hint="eastAsia"/>
                <w:highlight w:val="none"/>
              </w:rPr>
            </w:pPr>
            <w:r>
              <w:rPr>
                <w:rFonts w:hint="eastAsia"/>
                <w:highlight w:val="none"/>
              </w:rPr>
              <w:t>▲16、全文快速搜索：支持在课件中通过快捷键(Ctrl+F)调用搜索控件，输入文本即可查找课件内文本框、形状、表格中对应的文本匹配项。（响应文件中须出具检验结果符合或者优于本项参数的国家认可的第三方认证（检测）机构出具的带有CMA或CNAS标志的检测报告）</w:t>
            </w:r>
          </w:p>
          <w:p w14:paraId="06517555">
            <w:pPr>
              <w:rPr>
                <w:rFonts w:hint="eastAsia"/>
                <w:highlight w:val="none"/>
              </w:rPr>
            </w:pPr>
            <w:r>
              <w:rPr>
                <w:rFonts w:hint="eastAsia"/>
                <w:highlight w:val="none"/>
              </w:rPr>
              <w:t>17、胶囊式微课功能内置于交互式课件工具中，支持快速录制胶囊式微课，微课可录制保存音频和课件的互动操作。</w:t>
            </w:r>
          </w:p>
          <w:p w14:paraId="21DA3D9F">
            <w:pPr>
              <w:rPr>
                <w:rFonts w:hint="eastAsia"/>
                <w:highlight w:val="none"/>
              </w:rPr>
            </w:pPr>
            <w:r>
              <w:rPr>
                <w:rFonts w:hint="eastAsia"/>
                <w:highlight w:val="none"/>
              </w:rPr>
              <w:t>（二）基础教学工具</w:t>
            </w:r>
          </w:p>
          <w:p w14:paraId="1688704B">
            <w:pPr>
              <w:rPr>
                <w:rFonts w:hint="eastAsia"/>
                <w:highlight w:val="none"/>
              </w:rPr>
            </w:pPr>
            <w:r>
              <w:rPr>
                <w:rFonts w:hint="eastAsia"/>
                <w:highlight w:val="none"/>
              </w:rPr>
              <w:t>1、内置课堂教学、简约、插画、科技、古风等不少于70个课件主题模板供教师选用，且教师可自定义课件背景。</w:t>
            </w:r>
          </w:p>
          <w:p w14:paraId="2F99273C">
            <w:pPr>
              <w:rPr>
                <w:rFonts w:hint="eastAsia"/>
                <w:highlight w:val="none"/>
              </w:rPr>
            </w:pPr>
            <w:r>
              <w:rPr>
                <w:rFonts w:hint="eastAsia"/>
                <w:highlight w:val="none"/>
              </w:rPr>
              <w:t>2、排版：支持对多对象的叠放层级、对齐方式进行设置，可批量组合、锁定课件对象。对象移动时自动弹出对齐线及等距线辅助排版。</w:t>
            </w:r>
          </w:p>
          <w:p w14:paraId="032FFF56">
            <w:pPr>
              <w:rPr>
                <w:rFonts w:hint="eastAsia"/>
                <w:highlight w:val="none"/>
              </w:rPr>
            </w:pPr>
            <w:r>
              <w:rPr>
                <w:rFonts w:hint="eastAsia"/>
                <w:highlight w:val="none"/>
              </w:rPr>
              <w:t>3、提供截图工具，可对课件内容、桌面内容快速截图，可自由调整截屏范围，截屏内容直接插入课件。</w:t>
            </w:r>
          </w:p>
          <w:p w14:paraId="37D38BBB">
            <w:pPr>
              <w:rPr>
                <w:rFonts w:hint="eastAsia"/>
                <w:highlight w:val="none"/>
              </w:rPr>
            </w:pPr>
            <w:r>
              <w:rPr>
                <w:rFonts w:hint="eastAsia"/>
                <w:highlight w:val="none"/>
              </w:rPr>
              <w:t>4、支持课件内所有的元素对象创建超链接，可链接到对象所在课件的相关页面、网页、文档等。</w:t>
            </w:r>
          </w:p>
          <w:p w14:paraId="6E22E11F">
            <w:pPr>
              <w:rPr>
                <w:rFonts w:hint="eastAsia"/>
                <w:highlight w:val="none"/>
              </w:rPr>
            </w:pPr>
            <w:r>
              <w:rPr>
                <w:rFonts w:hint="eastAsia"/>
                <w:highlight w:val="none"/>
              </w:rPr>
              <w:t>5、文本工具：可插入文本框输入文本并支持文本样式设置：字体、字号、颜色、加粗、倾斜、下划线、上下角标、项目符号。支持段落样式设置：顶部对齐、垂直居中对齐、底端对齐缩进、行高、文本缩进等进行设置。文本、段落的样式支持格式刷快速复制，提升备课效率。预置不少于15种艺术字效果，便于教师调用美化课件。</w:t>
            </w:r>
          </w:p>
          <w:p w14:paraId="58C737AB">
            <w:pPr>
              <w:rPr>
                <w:rFonts w:hint="eastAsia"/>
                <w:highlight w:val="none"/>
              </w:rPr>
            </w:pPr>
            <w:r>
              <w:rPr>
                <w:rFonts w:hint="eastAsia"/>
                <w:highlight w:val="none"/>
              </w:rPr>
              <w:t>6、图形工具：提供直线、箭头、正方形、圆角四边形、平行四边形、圆形、等腰三角形、直角三角形、菱形、梯形、五边形等基本几何图形以及对话框、五角星、大括号、旗子等特殊图形。</w:t>
            </w:r>
          </w:p>
          <w:p w14:paraId="14980B07">
            <w:pPr>
              <w:rPr>
                <w:rFonts w:hint="eastAsia"/>
                <w:highlight w:val="none"/>
              </w:rPr>
            </w:pPr>
            <w:r>
              <w:rPr>
                <w:rFonts w:hint="eastAsia"/>
                <w:highlight w:val="none"/>
              </w:rPr>
              <w:t>7、具备图形自由创作工具，教师可自由绘制复杂的任意多边图形及曲边图形；教师自主创作的图形可存储至个人云空间便于后续使用。</w:t>
            </w:r>
          </w:p>
          <w:p w14:paraId="13AB154D">
            <w:pPr>
              <w:rPr>
                <w:rFonts w:hint="eastAsia"/>
                <w:highlight w:val="none"/>
              </w:rPr>
            </w:pPr>
            <w:r>
              <w:rPr>
                <w:rFonts w:hint="eastAsia"/>
                <w:highlight w:val="none"/>
              </w:rPr>
              <w:t>8、图形具备旋转、镜像克隆、多图形等距对齐等功能，便于教师快速完成图形排版。</w:t>
            </w:r>
          </w:p>
          <w:p w14:paraId="6711DA05">
            <w:pPr>
              <w:rPr>
                <w:rFonts w:hint="eastAsia"/>
                <w:highlight w:val="none"/>
              </w:rPr>
            </w:pPr>
            <w:r>
              <w:rPr>
                <w:rFonts w:hint="eastAsia"/>
                <w:highlight w:val="none"/>
              </w:rPr>
              <w:t>支持对图形样式设置：图形颜色、阴影、倒影、透明度、边框等样式设置；支持图形旋转中心调整。</w:t>
            </w:r>
          </w:p>
          <w:p w14:paraId="56C6BF06">
            <w:pPr>
              <w:rPr>
                <w:rFonts w:hint="eastAsia"/>
                <w:highlight w:val="none"/>
              </w:rPr>
            </w:pPr>
            <w:r>
              <w:rPr>
                <w:rFonts w:hint="eastAsia"/>
                <w:highlight w:val="none"/>
              </w:rPr>
              <w:t>9、图片工具：内置图片处理功能，无需借助专业图片处理软件即可对课件内的图片进行快速抠图，图片主体处理后边缘无明显毛边，且处理后的图片可直接上传至教师云空间供后续复用。</w:t>
            </w:r>
          </w:p>
          <w:p w14:paraId="06F8C412">
            <w:pPr>
              <w:rPr>
                <w:rFonts w:hint="eastAsia"/>
                <w:highlight w:val="none"/>
              </w:rPr>
            </w:pPr>
            <w:r>
              <w:rPr>
                <w:rFonts w:hint="eastAsia"/>
                <w:highlight w:val="none"/>
              </w:rPr>
              <w:t>10、内置图片裁切功能，无需调用截图工具即可直接对课件内的图片进行裁切，裁切面积可自由调整。</w:t>
            </w:r>
          </w:p>
          <w:p w14:paraId="1EFB97FA">
            <w:pPr>
              <w:rPr>
                <w:rFonts w:hint="eastAsia"/>
                <w:highlight w:val="none"/>
              </w:rPr>
            </w:pPr>
            <w:r>
              <w:rPr>
                <w:rFonts w:hint="eastAsia"/>
                <w:highlight w:val="none"/>
              </w:rPr>
              <w:t>11、蒙层工具：可一键为课件文本、图片、形状等对象添加蒙层将其隐藏，授课模式下可通过橡皮擦工具、或手势擦除蒙层展现隐藏内容。</w:t>
            </w:r>
          </w:p>
          <w:p w14:paraId="5099BB9E">
            <w:pPr>
              <w:rPr>
                <w:rFonts w:hint="eastAsia"/>
                <w:highlight w:val="none"/>
              </w:rPr>
            </w:pPr>
            <w:r>
              <w:rPr>
                <w:rFonts w:hint="eastAsia"/>
                <w:highlight w:val="none"/>
              </w:rPr>
              <w:t>12、兼容传统课件制作工具的组合快捷按键，支持如加粗（Ctrl+B）、文字居中（Ctrl+E）等教师熟悉的组合按键，鼠标悬停至功能按键时自动提示组合快捷键，内置组合快捷键数量不少于50个。</w:t>
            </w:r>
          </w:p>
          <w:p w14:paraId="1DFAB640">
            <w:pPr>
              <w:rPr>
                <w:rFonts w:hint="eastAsia"/>
                <w:highlight w:val="none"/>
              </w:rPr>
            </w:pPr>
            <w:r>
              <w:rPr>
                <w:rFonts w:hint="eastAsia"/>
                <w:highlight w:val="none"/>
              </w:rPr>
              <w:t>13、提供页面备注功能，可一键展开/隐藏备注。方便教师备课过程中记录教学研究思路用于教学反思。</w:t>
            </w:r>
          </w:p>
          <w:p w14:paraId="55D53A17">
            <w:pPr>
              <w:rPr>
                <w:rFonts w:hint="eastAsia"/>
                <w:highlight w:val="none"/>
              </w:rPr>
            </w:pPr>
            <w:r>
              <w:rPr>
                <w:rFonts w:hint="eastAsia"/>
                <w:highlight w:val="none"/>
              </w:rPr>
              <w:t>14、备课模式下界面工具菜单支持自定义设置，教师可增减符合自身备课习惯的学科工具，自设工具菜单与教师云空间账号绑定，在任意终端登录教师账号备课自动同步备课工具菜单。</w:t>
            </w:r>
          </w:p>
          <w:p w14:paraId="1AC295D2">
            <w:pPr>
              <w:rPr>
                <w:rFonts w:hint="eastAsia"/>
                <w:highlight w:val="none"/>
              </w:rPr>
            </w:pPr>
            <w:r>
              <w:rPr>
                <w:rFonts w:hint="eastAsia"/>
                <w:highlight w:val="none"/>
              </w:rPr>
              <w:t>15、动画：提供至少30种应用于文本、形状、图片等课件元素的触发动画，可对动画的设置触发条件、动画声效、动画时长、动画延迟和动画方向进行自定义设置。支持对任意课件元素自定义路径动画，可自由绘制动画移动轨迹使课件元素沿轨迹路径进行移动。一个课件元素支持同时设置多组出现、消失、路径动画。</w:t>
            </w:r>
          </w:p>
          <w:p w14:paraId="1DDF4A1D">
            <w:pPr>
              <w:rPr>
                <w:rFonts w:hint="eastAsia"/>
                <w:highlight w:val="none"/>
              </w:rPr>
            </w:pPr>
            <w:r>
              <w:rPr>
                <w:rFonts w:hint="eastAsia"/>
                <w:highlight w:val="none"/>
              </w:rPr>
              <w:t>16、音视频播放组件：支持课件内嵌图片、音视频等多媒体文件，兼容以下格式：mp3、wav、ogg、aac、mp4、rmvb、wmv、3gp、mkv、flv、mov、png、bmp、jpg、jpeg、gif、svg。支持对音频、视频文件进行关键帧标记，可在音、视频进度条任意位置自由设置关键帧播放节点，便于快速定位讲解关键教学内容。</w:t>
            </w:r>
          </w:p>
          <w:p w14:paraId="734CA389">
            <w:pPr>
              <w:rPr>
                <w:rFonts w:hint="eastAsia"/>
                <w:highlight w:val="none"/>
              </w:rPr>
            </w:pPr>
            <w:r>
              <w:rPr>
                <w:rFonts w:hint="eastAsia"/>
                <w:highlight w:val="none"/>
              </w:rPr>
              <w:t>17、提供单次播放、循环播放、跨页面播放和自动播放等播放模式。跨页面播放可设置音频进行部分页面播放和全页面播放。</w:t>
            </w:r>
          </w:p>
          <w:p w14:paraId="23E322C5">
            <w:pPr>
              <w:rPr>
                <w:rFonts w:hint="eastAsia"/>
                <w:highlight w:val="none"/>
              </w:rPr>
            </w:pPr>
            <w:r>
              <w:rPr>
                <w:rFonts w:hint="eastAsia"/>
                <w:highlight w:val="none"/>
              </w:rPr>
              <w:t>18、交互表格工具：具备交互表格功能，课件可自由插入表格，预置不少于5种表格样式，支持边框、底纹设置，自由合并单元格；表格支持自由输入文本，且根据文本内容可一键自动调整行列宽高；表格通过表格首行首列交接处的按键可一键精准增加行列；具备遮罩功能，表格中任一单元格可添加遮罩掩盖单元格内容，授课模式点击即可取消遮罩，便于教师交互式教学</w:t>
            </w:r>
          </w:p>
          <w:p w14:paraId="706E3975">
            <w:pPr>
              <w:rPr>
                <w:rFonts w:hint="eastAsia"/>
                <w:highlight w:val="none"/>
              </w:rPr>
            </w:pPr>
            <w:r>
              <w:rPr>
                <w:rFonts w:hint="eastAsia"/>
                <w:highlight w:val="none"/>
              </w:rPr>
              <w:t>19、学科思维导图工具：内嵌学科思维导图功能，提供思维导图、鱼骨图及组织结构图等知识结构化工具，提供不少于8种预设模板，可自由增删或拖拽编辑知识节点，并支持在节点上插入图片、音频、视频、网页链接、课件页面等教学知识内容，便于建构知识结构；学科思维导图知识点可逐级、逐个展开，导图工具具备归纳总结功能，可将相邻知识节点一键快速归纳，并添加文本、图片、音频、视频等辅助讲解，进行知识点关联发散。思维导图支持自定义连接线、节点样式。</w:t>
            </w:r>
          </w:p>
          <w:p w14:paraId="10BE1FD9">
            <w:pPr>
              <w:rPr>
                <w:rFonts w:hint="eastAsia"/>
                <w:highlight w:val="none"/>
              </w:rPr>
            </w:pPr>
            <w:r>
              <w:rPr>
                <w:rFonts w:hint="eastAsia"/>
                <w:highlight w:val="none"/>
              </w:rPr>
              <w:t>20、图表工具：提供柱状图、扇形图、折线图等互动图表，每类图表预置不少于5种样式，支持图表文字、背景、透明度设置；柱状图、折线图可一键转置互换坐标轴类别；图表支持三维模式旋转展示。</w:t>
            </w:r>
          </w:p>
          <w:p w14:paraId="71CBC384">
            <w:pPr>
              <w:rPr>
                <w:rFonts w:hint="eastAsia"/>
                <w:highlight w:val="none"/>
              </w:rPr>
            </w:pPr>
            <w:r>
              <w:rPr>
                <w:rFonts w:hint="eastAsia"/>
                <w:highlight w:val="none"/>
              </w:rPr>
              <w:t>（三）教学课堂活动：</w:t>
            </w:r>
          </w:p>
          <w:p w14:paraId="4B3CC57A">
            <w:pPr>
              <w:rPr>
                <w:rFonts w:hint="eastAsia"/>
                <w:highlight w:val="none"/>
              </w:rPr>
            </w:pPr>
            <w:r>
              <w:rPr>
                <w:rFonts w:hint="eastAsia"/>
                <w:highlight w:val="none"/>
              </w:rPr>
              <w:t>▲1、课堂互动游戏支持云储存，编辑完成的活动可一键存储至教师云空间，便于在不同课件中直接调用，无需反复编辑。（响应文件中须出具检验结果符合或者优于本项参数的国家认可的第三方认证（检测）机构出具的带有CMA或CNAS标志的检测报告）</w:t>
            </w:r>
          </w:p>
          <w:p w14:paraId="61960213">
            <w:pPr>
              <w:rPr>
                <w:rFonts w:hint="eastAsia"/>
                <w:highlight w:val="none"/>
              </w:rPr>
            </w:pPr>
            <w:r>
              <w:rPr>
                <w:rFonts w:hint="eastAsia"/>
                <w:highlight w:val="none"/>
              </w:rPr>
              <w:t>▲2、AI智能生成课堂活动：具有课堂活动智能填写功能，支持选词填空、判断对错和趣味选择三大课堂活动。</w:t>
            </w:r>
          </w:p>
          <w:p w14:paraId="4CBBD993">
            <w:pPr>
              <w:rPr>
                <w:rFonts w:hint="eastAsia"/>
                <w:highlight w:val="none"/>
              </w:rPr>
            </w:pPr>
            <w:r>
              <w:rPr>
                <w:rFonts w:hint="eastAsia"/>
                <w:highlight w:val="none"/>
              </w:rPr>
              <w:t>3、输入文本后可以一键解析，自动将文本内容结构化填充至题干和正确选项，完成课堂活动的制作。</w:t>
            </w:r>
          </w:p>
          <w:p w14:paraId="57BCE6B1">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6105CBE3">
            <w:pPr>
              <w:rPr>
                <w:rFonts w:hint="eastAsia"/>
                <w:highlight w:val="none"/>
              </w:rPr>
            </w:pPr>
            <w:r>
              <w:rPr>
                <w:rFonts w:hint="eastAsia"/>
                <w:highlight w:val="none"/>
              </w:rPr>
              <w:t>4、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14:paraId="7CB99C4E">
            <w:pPr>
              <w:rPr>
                <w:rFonts w:hint="eastAsia"/>
                <w:highlight w:val="none"/>
              </w:rPr>
            </w:pPr>
            <w:r>
              <w:rPr>
                <w:rFonts w:hint="eastAsia"/>
                <w:highlight w:val="none"/>
              </w:rPr>
              <w:t>▲5、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14:paraId="18A9BFAB">
            <w:pPr>
              <w:rPr>
                <w:rFonts w:hint="eastAsia"/>
                <w:highlight w:val="none"/>
              </w:rPr>
            </w:pPr>
            <w:r>
              <w:rPr>
                <w:rFonts w:hint="eastAsia"/>
                <w:highlight w:val="none"/>
              </w:rPr>
              <w:t>▲6、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14:paraId="7EA23DA2">
            <w:pPr>
              <w:rPr>
                <w:rFonts w:hint="eastAsia"/>
                <w:highlight w:val="none"/>
              </w:rPr>
            </w:pPr>
            <w:r>
              <w:rPr>
                <w:rFonts w:hint="eastAsia"/>
                <w:highlight w:val="none"/>
              </w:rPr>
              <w:t>7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08B057F1">
            <w:pPr>
              <w:rPr>
                <w:rFonts w:hint="eastAsia"/>
                <w:highlight w:val="none"/>
              </w:rPr>
            </w:pPr>
            <w:r>
              <w:rPr>
                <w:rFonts w:hint="eastAsia"/>
                <w:highlight w:val="none"/>
              </w:rPr>
              <w:t>▲8、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479DE53B">
            <w:pPr>
              <w:rPr>
                <w:rFonts w:hint="eastAsia"/>
                <w:highlight w:val="none"/>
              </w:rPr>
            </w:pPr>
            <w:r>
              <w:rPr>
                <w:rFonts w:hint="eastAsia"/>
                <w:highlight w:val="none"/>
              </w:rPr>
              <w:t>9、趣味选择游戏：支持双人或两组学生展开竞争，对选择题选项抢答。支持单选和多选两种类型，提供不少于3种难度、4种游戏模板选择。支持记录和展示学生作答结果，便于课堂知识点对比讲解。</w:t>
            </w:r>
          </w:p>
          <w:p w14:paraId="53F6652D">
            <w:pPr>
              <w:rPr>
                <w:rFonts w:hint="eastAsia"/>
                <w:highlight w:val="none"/>
              </w:rPr>
            </w:pPr>
            <w:r>
              <w:rPr>
                <w:rFonts w:hint="eastAsia"/>
                <w:highlight w:val="none"/>
              </w:rPr>
              <w:t>（四）学科工具和教学资源</w:t>
            </w:r>
          </w:p>
          <w:p w14:paraId="6FF364C8">
            <w:pPr>
              <w:rPr>
                <w:rFonts w:hint="eastAsia"/>
                <w:highlight w:val="none"/>
              </w:rPr>
            </w:pPr>
            <w:r>
              <w:rPr>
                <w:rFonts w:hint="eastAsia"/>
                <w:highlight w:val="none"/>
              </w:rPr>
              <w:t>1、语文工具</w:t>
            </w:r>
          </w:p>
          <w:p w14:paraId="665F6269">
            <w:pPr>
              <w:rPr>
                <w:rFonts w:hint="eastAsia"/>
                <w:highlight w:val="none"/>
              </w:rPr>
            </w:pPr>
            <w:r>
              <w:rPr>
                <w:rFonts w:hint="eastAsia"/>
                <w:highlight w:val="none"/>
              </w:rPr>
              <w:t>1）古诗词：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w:t>
            </w:r>
          </w:p>
          <w:p w14:paraId="226B3B6D">
            <w:pPr>
              <w:rPr>
                <w:rFonts w:hint="eastAsia"/>
                <w:highlight w:val="none"/>
              </w:rPr>
            </w:pPr>
            <w:r>
              <w:rPr>
                <w:rFonts w:hint="eastAsia"/>
                <w:highlight w:val="none"/>
              </w:rPr>
              <w:t>2）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14:paraId="01B3DFD7">
            <w:pPr>
              <w:rPr>
                <w:rFonts w:hint="eastAsia"/>
                <w:highlight w:val="none"/>
              </w:rPr>
            </w:pPr>
            <w:r>
              <w:rPr>
                <w:rFonts w:hint="eastAsia"/>
                <w:highlight w:val="none"/>
              </w:rPr>
              <w:t>3）汉字：具备汉字生字卡不少于5000个，可展示该汉字的部首、读音、笔画顺序、笔画数量等。直观展示汉字读音、部首、笔画数量，笔画书写支持分步展示和连续展示，教师可一次性生成多个汉字生字卡，同步生成数量不少于5个。</w:t>
            </w:r>
          </w:p>
          <w:p w14:paraId="2BBAF0D9">
            <w:pPr>
              <w:rPr>
                <w:rFonts w:hint="eastAsia"/>
                <w:highlight w:val="none"/>
              </w:rPr>
            </w:pPr>
            <w:r>
              <w:rPr>
                <w:rFonts w:hint="eastAsia"/>
                <w:highlight w:val="none"/>
              </w:rPr>
              <w:t>4）拼音：支持在四线三格中自由输入拼音，可选择四声并支持一键点读。有单个字母和连续输入两种方式。</w:t>
            </w:r>
          </w:p>
          <w:p w14:paraId="2579D99C">
            <w:pPr>
              <w:rPr>
                <w:rFonts w:hint="eastAsia"/>
                <w:highlight w:val="none"/>
              </w:rPr>
            </w:pPr>
            <w:r>
              <w:rPr>
                <w:rFonts w:hint="eastAsia"/>
                <w:highlight w:val="none"/>
              </w:rPr>
              <w:t>2、数学工具</w:t>
            </w:r>
          </w:p>
          <w:p w14:paraId="135767DA">
            <w:pPr>
              <w:rPr>
                <w:rFonts w:hint="eastAsia"/>
                <w:highlight w:val="none"/>
              </w:rPr>
            </w:pPr>
            <w:r>
              <w:rPr>
                <w:rFonts w:hint="eastAsia"/>
                <w:highlight w:val="none"/>
              </w:rPr>
              <w:t>▲1）数学函数公式：支持中英文、数学公式的编辑输入，可快速输入方程组、脱式运算，提供不少于70个数学符号及模板；预置不少于40个常用数学公式，无需编辑一键插入。</w:t>
            </w:r>
          </w:p>
          <w:p w14:paraId="0AAC2E3F">
            <w:pPr>
              <w:rPr>
                <w:rFonts w:hint="eastAsia"/>
                <w:highlight w:val="none"/>
              </w:rPr>
            </w:pPr>
            <w:r>
              <w:rPr>
                <w:rFonts w:hint="eastAsia"/>
                <w:highlight w:val="none"/>
              </w:rPr>
              <w:t>2）数学函数图像：可快速生成包含一次函数一次函数、二次函数、幂函数、指数函数、对数函数、三角函数等图像，也可自定义输入函数表达式生成图像；在同一坐标轴上支持同时绘制6个及以上函数表达式。可缩放函数图像与坐标轴，可显示坐标网格，函数图生成后可重新编辑。</w:t>
            </w:r>
          </w:p>
          <w:p w14:paraId="4AAE399B">
            <w:pPr>
              <w:rPr>
                <w:rFonts w:hint="eastAsia"/>
                <w:highlight w:val="none"/>
              </w:rPr>
            </w:pPr>
            <w:r>
              <w:rPr>
                <w:rFonts w:hint="eastAsia"/>
                <w:highlight w:val="none"/>
              </w:rPr>
              <w:t>3、几何工具</w:t>
            </w:r>
          </w:p>
          <w:p w14:paraId="7D3E2D08">
            <w:pPr>
              <w:rPr>
                <w:rFonts w:hint="eastAsia"/>
                <w:highlight w:val="none"/>
              </w:rPr>
            </w:pPr>
            <w:r>
              <w:rPr>
                <w:rFonts w:hint="eastAsia"/>
                <w:highlight w:val="none"/>
              </w:rPr>
              <w:t>1）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14:paraId="68CE87F2">
            <w:pPr>
              <w:rPr>
                <w:rFonts w:hint="eastAsia"/>
                <w:highlight w:val="none"/>
              </w:rPr>
            </w:pPr>
            <w:r>
              <w:rPr>
                <w:rFonts w:hint="eastAsia"/>
                <w:highlight w:val="none"/>
              </w:rPr>
              <w:t>2）可自由绘制长方体、立方体、圆柱体、圆锥等几何图形。任意调节几何体的大小尺寸，支持几何图形按比例放大缩小和通过单独调整长宽高（半径/高）改变几何体大小。</w:t>
            </w:r>
          </w:p>
          <w:p w14:paraId="4B343960">
            <w:pPr>
              <w:rPr>
                <w:rFonts w:hint="eastAsia"/>
                <w:highlight w:val="none"/>
              </w:rPr>
            </w:pPr>
            <w:r>
              <w:rPr>
                <w:rFonts w:hint="eastAsia"/>
                <w:highlight w:val="none"/>
              </w:rPr>
              <w:t>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14:paraId="65915ACA">
            <w:pPr>
              <w:rPr>
                <w:rFonts w:hint="eastAsia"/>
                <w:highlight w:val="none"/>
              </w:rPr>
            </w:pPr>
            <w:r>
              <w:rPr>
                <w:rFonts w:hint="eastAsia"/>
                <w:highlight w:val="none"/>
              </w:rPr>
              <w:t>3）具备几何体智能吸附功能：同类几何体相互靠近时，可智能识别吸附。</w:t>
            </w:r>
          </w:p>
          <w:p w14:paraId="1706781D">
            <w:pPr>
              <w:rPr>
                <w:rFonts w:hint="eastAsia"/>
                <w:highlight w:val="none"/>
              </w:rPr>
            </w:pPr>
            <w:r>
              <w:rPr>
                <w:rFonts w:hint="eastAsia"/>
                <w:highlight w:val="none"/>
              </w:rPr>
              <w:t>4）数学画板：</w:t>
            </w:r>
          </w:p>
          <w:p w14:paraId="3BC3CA5D">
            <w:pPr>
              <w:rPr>
                <w:rFonts w:hint="eastAsia"/>
                <w:highlight w:val="none"/>
              </w:rPr>
            </w:pPr>
            <w:r>
              <w:rPr>
                <w:rFonts w:hint="eastAsia"/>
                <w:highlight w:val="none"/>
              </w:rPr>
              <w:t>①支持课件中插入在线数学画板，授课时一键打开使用。</w:t>
            </w:r>
          </w:p>
          <w:p w14:paraId="0C8AB3A4">
            <w:pPr>
              <w:rPr>
                <w:rFonts w:hint="eastAsia"/>
                <w:highlight w:val="none"/>
              </w:rPr>
            </w:pPr>
            <w:r>
              <w:rPr>
                <w:rFonts w:hint="eastAsia"/>
                <w:highlight w:val="none"/>
              </w:rPr>
              <w:t>②提供不少于500个数学画板资源，按照小学、初中、高中学段数学学科主要知识点分类，便于教师查找使用。</w:t>
            </w:r>
          </w:p>
          <w:p w14:paraId="3E401926">
            <w:pPr>
              <w:rPr>
                <w:rFonts w:hint="eastAsia"/>
                <w:highlight w:val="none"/>
              </w:rPr>
            </w:pPr>
            <w:r>
              <w:rPr>
                <w:rFonts w:hint="eastAsia"/>
                <w:highlight w:val="none"/>
              </w:rPr>
              <w:t>③内置画板课件展示生动直观，可动态展示平面几何的变化：如小学几何四边形，可动态演示四边形的不同形态间的变化；中学函数的平方差公式讲解，可将平方差公式通过图形具象展示其计算原理。</w:t>
            </w:r>
          </w:p>
          <w:p w14:paraId="64F861FE">
            <w:pPr>
              <w:rPr>
                <w:rFonts w:hint="eastAsia"/>
                <w:highlight w:val="none"/>
              </w:rPr>
            </w:pPr>
            <w:r>
              <w:rPr>
                <w:rFonts w:hint="eastAsia"/>
                <w:highlight w:val="none"/>
              </w:rPr>
              <w:t>④提供个人画板供教师自由创作，具备点、线、面等基础元素和线段中点、椭圆焦点、极坐标方程等数十种数学常用工具。创建后可一键将画板无缝嵌入课件。"</w:t>
            </w:r>
          </w:p>
          <w:p w14:paraId="146D1317">
            <w:pPr>
              <w:rPr>
                <w:rFonts w:hint="eastAsia"/>
                <w:highlight w:val="none"/>
              </w:rPr>
            </w:pPr>
            <w:r>
              <w:rPr>
                <w:rFonts w:hint="eastAsia"/>
                <w:highlight w:val="none"/>
              </w:rPr>
              <w:t>▲4、英语工具</w:t>
            </w:r>
          </w:p>
          <w:p w14:paraId="1985C3DD">
            <w:pPr>
              <w:rPr>
                <w:rFonts w:hint="eastAsia"/>
                <w:highlight w:val="none"/>
              </w:rPr>
            </w:pPr>
            <w:r>
              <w:rPr>
                <w:rFonts w:hint="eastAsia"/>
                <w:highlight w:val="none"/>
              </w:rPr>
              <w:t>1）AI智能英语工具：软件内置的AI智能语义分析模块，可对输入的英文文本的拼写、句型、语法进行错误检查，并支持一键纠错。</w:t>
            </w:r>
          </w:p>
          <w:p w14:paraId="088E9C2D">
            <w:pPr>
              <w:rPr>
                <w:rFonts w:hint="eastAsia"/>
                <w:highlight w:val="none"/>
              </w:rPr>
            </w:pPr>
            <w:r>
              <w:rPr>
                <w:rFonts w:hint="eastAsia"/>
                <w:highlight w:val="none"/>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14:paraId="7957D074">
            <w:pPr>
              <w:rPr>
                <w:rFonts w:hint="eastAsia"/>
                <w:highlight w:val="none"/>
              </w:rPr>
            </w:pPr>
            <w:r>
              <w:rPr>
                <w:rFonts w:hint="eastAsia"/>
                <w:highlight w:val="none"/>
              </w:rPr>
              <w:t>▲3）AI音标助手：支持浏览和插入国际音标表，可直接点击发音，支持已整表和单个音标卡片插入。支持智能将字母、单词、句子转写为音标，并可一键插入到备课课件中形成文本。</w:t>
            </w:r>
          </w:p>
          <w:p w14:paraId="29D3A6F9">
            <w:pPr>
              <w:rPr>
                <w:rFonts w:hint="eastAsia"/>
                <w:highlight w:val="none"/>
              </w:rPr>
            </w:pPr>
            <w:r>
              <w:rPr>
                <w:rFonts w:hint="eastAsia"/>
                <w:highlight w:val="none"/>
              </w:rPr>
              <w:t>4）四线三格：配置英语学科四线三格，可直接键入人教版英语辅助教材配套的手写字体。</w:t>
            </w:r>
          </w:p>
          <w:p w14:paraId="273B487B">
            <w:pPr>
              <w:rPr>
                <w:rFonts w:hint="eastAsia"/>
                <w:highlight w:val="none"/>
              </w:rPr>
            </w:pPr>
            <w:r>
              <w:rPr>
                <w:rFonts w:hint="eastAsia"/>
                <w:highlight w:val="none"/>
              </w:rPr>
              <w:t>听写：配置英语学科听写工具，覆盖小初高不少于8000个英语单词，支持自定义选择单词。自定义听写频率和次数，一键生成听写卡；授课模式支持一键开启听写朗读。"</w:t>
            </w:r>
          </w:p>
          <w:p w14:paraId="4C0D5936">
            <w:pPr>
              <w:rPr>
                <w:rFonts w:hint="eastAsia"/>
                <w:highlight w:val="none"/>
              </w:rPr>
            </w:pPr>
            <w:r>
              <w:rPr>
                <w:rFonts w:hint="eastAsia"/>
                <w:highlight w:val="none"/>
              </w:rPr>
              <w:t>5、化学工具</w:t>
            </w:r>
          </w:p>
          <w:p w14:paraId="48B09D05">
            <w:pPr>
              <w:rPr>
                <w:rFonts w:hint="eastAsia"/>
                <w:highlight w:val="none"/>
              </w:rPr>
            </w:pPr>
            <w:r>
              <w:rPr>
                <w:rFonts w:hint="eastAsia"/>
                <w:highlight w:val="none"/>
              </w:rPr>
              <w:t>1）化学方程式编辑器：提供化学方程式快速编辑工具，当输入一个化学元素时，软件界面将自动显示出和该元素相关的多个常用化学反应方程式，可直接选择使用。插入后的化学方程式可重新编辑。</w:t>
            </w:r>
          </w:p>
          <w:p w14:paraId="2F5D0486">
            <w:pPr>
              <w:rPr>
                <w:rFonts w:hint="eastAsia"/>
                <w:highlight w:val="none"/>
              </w:rPr>
            </w:pPr>
            <w:r>
              <w:rPr>
                <w:rFonts w:hint="eastAsia"/>
                <w:highlight w:val="none"/>
              </w:rPr>
              <w:t>6、物理工具</w:t>
            </w:r>
          </w:p>
          <w:p w14:paraId="50AD275F">
            <w:pPr>
              <w:rPr>
                <w:rFonts w:hint="eastAsia"/>
                <w:highlight w:val="none"/>
              </w:rPr>
            </w:pPr>
            <w:r>
              <w:rPr>
                <w:rFonts w:hint="eastAsia"/>
                <w:highlight w:val="none"/>
              </w:rPr>
              <w:t>物理线图：支持自由绘制物理线图，提供元件库和模板库不少于30个组件，支持自动吸附连接线，画布可无限漫游。绘制后的线图可一键插入到备课课件中并支持二次编辑。老师可将常用的线图保存至个人云盘方便二次调用。"</w:t>
            </w:r>
          </w:p>
          <w:p w14:paraId="0D55F2E9">
            <w:pPr>
              <w:rPr>
                <w:rFonts w:hint="eastAsia"/>
                <w:highlight w:val="none"/>
              </w:rPr>
            </w:pPr>
            <w:r>
              <w:rPr>
                <w:rFonts w:hint="eastAsia"/>
                <w:highlight w:val="none"/>
              </w:rPr>
              <w:t>7、地理工具</w:t>
            </w:r>
          </w:p>
          <w:p w14:paraId="1B90F279">
            <w:pPr>
              <w:rPr>
                <w:rFonts w:hint="eastAsia"/>
                <w:highlight w:val="none"/>
              </w:rPr>
            </w:pPr>
            <w:r>
              <w:rPr>
                <w:rFonts w:hint="eastAsia"/>
                <w:highlight w:val="none"/>
              </w:rPr>
              <w:t>1）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w:t>
            </w:r>
          </w:p>
          <w:p w14:paraId="75DBAACA">
            <w:pPr>
              <w:rPr>
                <w:rFonts w:hint="eastAsia"/>
                <w:highlight w:val="none"/>
              </w:rPr>
            </w:pPr>
            <w:r>
              <w:rPr>
                <w:rFonts w:hint="eastAsia"/>
                <w:highlight w:val="none"/>
              </w:rPr>
              <w:t>2）支持地球模型直接进行平面/立体转换，清晰展现地球表面的六大板块、降水分布、气温分布、气候分布、人口分布、表层洋流、陆地自然带、海平面等压线等内容。"</w:t>
            </w:r>
          </w:p>
          <w:p w14:paraId="1B7F4113">
            <w:pPr>
              <w:rPr>
                <w:rFonts w:hint="eastAsia"/>
                <w:highlight w:val="none"/>
              </w:rPr>
            </w:pPr>
            <w:r>
              <w:rPr>
                <w:rFonts w:hint="eastAsia"/>
                <w:highlight w:val="none"/>
              </w:rPr>
              <w:t>8、美术工具：</w:t>
            </w:r>
          </w:p>
          <w:p w14:paraId="451270B9">
            <w:pPr>
              <w:rPr>
                <w:rFonts w:hint="eastAsia"/>
                <w:highlight w:val="none"/>
              </w:rPr>
            </w:pPr>
            <w:r>
              <w:rPr>
                <w:rFonts w:hint="eastAsia"/>
                <w:highlight w:val="none"/>
              </w:rPr>
              <w:t>1）内置专用美术画板工具，提供铅笔、毛笔、油画笔等笔触，具备符合绘画调色教学需求的模拟调色盘，可选择不同颜色混合调色，便于学生理解调色合成过程。"</w:t>
            </w:r>
          </w:p>
          <w:p w14:paraId="5B417F35">
            <w:pPr>
              <w:rPr>
                <w:rFonts w:hint="eastAsia"/>
                <w:highlight w:val="none"/>
              </w:rPr>
            </w:pPr>
            <w:r>
              <w:rPr>
                <w:rFonts w:hint="eastAsia"/>
                <w:highlight w:val="none"/>
              </w:rPr>
              <w:t>9、多学科题库</w:t>
            </w:r>
          </w:p>
          <w:p w14:paraId="08009D71">
            <w:pPr>
              <w:rPr>
                <w:rFonts w:hint="eastAsia"/>
                <w:highlight w:val="none"/>
              </w:rPr>
            </w:pPr>
            <w:r>
              <w:rPr>
                <w:rFonts w:hint="eastAsia"/>
                <w:highlight w:val="none"/>
              </w:rPr>
              <w:t>1）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14:paraId="686109F8">
            <w:pPr>
              <w:rPr>
                <w:rFonts w:hint="eastAsia"/>
                <w:highlight w:val="none"/>
              </w:rPr>
            </w:pPr>
            <w:r>
              <w:rPr>
                <w:rFonts w:hint="eastAsia"/>
                <w:highlight w:val="none"/>
              </w:rPr>
              <w:t>▲2）支持多种格式的试题批量上传，包含.doc、.docx、.png、.jpeg、.jpg等类型，并可自动转换为电子试题，便于老师优质试题的收集使用和作业布置。</w:t>
            </w:r>
          </w:p>
          <w:p w14:paraId="7EF06E31">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626B404C">
            <w:pPr>
              <w:rPr>
                <w:rFonts w:hint="eastAsia"/>
                <w:highlight w:val="none"/>
              </w:rPr>
            </w:pPr>
            <w:r>
              <w:rPr>
                <w:rFonts w:hint="eastAsia"/>
                <w:highlight w:val="none"/>
              </w:rPr>
              <w:t>10、学科微课视频</w:t>
            </w:r>
          </w:p>
          <w:p w14:paraId="77043998">
            <w:pPr>
              <w:rPr>
                <w:rFonts w:hint="eastAsia"/>
                <w:highlight w:val="none"/>
              </w:rPr>
            </w:pPr>
            <w:r>
              <w:rPr>
                <w:rFonts w:hint="eastAsia"/>
                <w:highlight w:val="none"/>
              </w:rPr>
              <w:t>1）多学科微课视频：提供涵盖小学、初中、高中微课程视频。微课内容可在线点播，下载至课件播放。微课视频支持视频关键帧打点标记，播放过程中可一键跳转至标记位置，同时支持一键对视频内容进行截图插入课件。</w:t>
            </w:r>
          </w:p>
          <w:p w14:paraId="59C98A65">
            <w:pPr>
              <w:rPr>
                <w:rFonts w:hint="eastAsia"/>
                <w:highlight w:val="none"/>
              </w:rPr>
            </w:pPr>
            <w:r>
              <w:rPr>
                <w:rFonts w:hint="eastAsia"/>
                <w:highlight w:val="none"/>
              </w:rPr>
              <w:t>▲2）党建微课视频：提供100节党建微课视频，包含革命篇、建设篇、改革篇、复兴篇4个篇章。微课内容可在线点播，下载至课件播放。微课视频支持视频关键帧打点标记，播放过程中可一键跳转至标记位置，同时支持一键对视频内容进行截图插入课件。</w:t>
            </w:r>
          </w:p>
          <w:p w14:paraId="3D9526E7">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5D9F3B67">
            <w:pPr>
              <w:rPr>
                <w:rFonts w:hint="eastAsia"/>
                <w:highlight w:val="none"/>
              </w:rPr>
            </w:pPr>
            <w:r>
              <w:rPr>
                <w:rFonts w:hint="eastAsia"/>
                <w:highlight w:val="none"/>
              </w:rPr>
              <w:t>11、素材库</w:t>
            </w:r>
          </w:p>
          <w:p w14:paraId="500C5C61">
            <w:pPr>
              <w:rPr>
                <w:rFonts w:hint="eastAsia"/>
                <w:highlight w:val="none"/>
              </w:rPr>
            </w:pPr>
            <w:r>
              <w:rPr>
                <w:rFonts w:hint="eastAsia"/>
                <w:highlight w:val="none"/>
              </w:rPr>
              <w:t>▲1）免费备课素材：提供超过500个备课素材，包含人物形象、卡通动物、拟人动物、水果蔬菜13个分类，高清无版权图片，全免费，直接插入备课端进行使用即可。"</w:t>
            </w:r>
          </w:p>
          <w:p w14:paraId="0BB2DBF3">
            <w:pPr>
              <w:rPr>
                <w:rFonts w:hint="eastAsia"/>
                <w:highlight w:val="none"/>
              </w:rPr>
            </w:pPr>
            <w:r>
              <w:rPr>
                <w:rFonts w:hint="eastAsia"/>
                <w:highlight w:val="none"/>
              </w:rPr>
              <w:t>12、仿真实验工具：</w:t>
            </w:r>
          </w:p>
          <w:p w14:paraId="239B9C31">
            <w:pPr>
              <w:rPr>
                <w:rFonts w:hint="eastAsia"/>
                <w:highlight w:val="none"/>
              </w:rPr>
            </w:pPr>
            <w:r>
              <w:rPr>
                <w:rFonts w:hint="eastAsia"/>
                <w:highlight w:val="none"/>
              </w:rPr>
              <w:t>初中理化生：</w:t>
            </w:r>
          </w:p>
          <w:p w14:paraId="2E340AEC">
            <w:pPr>
              <w:rPr>
                <w:rFonts w:hint="eastAsia"/>
                <w:highlight w:val="none"/>
              </w:rPr>
            </w:pPr>
            <w:r>
              <w:rPr>
                <w:rFonts w:hint="eastAsia"/>
                <w:highlight w:val="none"/>
              </w:rPr>
              <w:t>1）所有实验内容都可以支持在实验操作的过程中查看具体的实验内容简介，可查看的内容简介至少应包含：实验目的、实验器材、实验步骤等，方便老师在使用中快速了解具体实验内容，提高老师课堂教学效率。</w:t>
            </w:r>
          </w:p>
          <w:p w14:paraId="3F67EDA3">
            <w:pPr>
              <w:rPr>
                <w:rFonts w:hint="eastAsia"/>
                <w:highlight w:val="none"/>
              </w:rPr>
            </w:pPr>
            <w:r>
              <w:rPr>
                <w:rFonts w:hint="eastAsia"/>
                <w:highlight w:val="none"/>
              </w:rPr>
              <w:t> ▲2）所有学科软件要求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w:t>
            </w:r>
          </w:p>
          <w:p w14:paraId="4B44F138">
            <w:pPr>
              <w:rPr>
                <w:rFonts w:hint="eastAsia"/>
                <w:highlight w:val="none"/>
              </w:rPr>
            </w:pPr>
            <w:r>
              <w:rPr>
                <w:rFonts w:hint="eastAsia"/>
                <w:highlight w:val="none"/>
              </w:rPr>
              <w:t>▲3）所有学科软件要求至少包含实验：托里拆利实验、空气推动塞子时，内能减少、通电螺线管的磁场是什么样的、聚乙烯塑料的热塑性、测定空气中的氧气含量、一氧化碳与氧化铁的反应、氧气的实验室制取和性质、模拟膈肌的运动、膝跳反射、非生物因素对某种动物的影响、观察鸡卵的结构。</w:t>
            </w:r>
          </w:p>
          <w:p w14:paraId="6CF37121">
            <w:pPr>
              <w:rPr>
                <w:rFonts w:hint="eastAsia"/>
                <w:highlight w:val="none"/>
              </w:rPr>
            </w:pPr>
            <w:r>
              <w:rPr>
                <w:rFonts w:hint="eastAsia"/>
                <w:highlight w:val="none"/>
              </w:rPr>
              <w:t>▲4）软件要求对于理科学习中较为抽象的实验原理提供可视化展示，物理中如电流的方向、力的方向、磁场电场等，化学中如：反应装置中物质的量的变化、分子运动的模拟、正在发生的化学反应方程式等。生物中如：人体生理运动中多个器官的同步运动现象等。</w:t>
            </w:r>
          </w:p>
          <w:p w14:paraId="042C74C2">
            <w:pPr>
              <w:rPr>
                <w:rFonts w:hint="eastAsia"/>
                <w:highlight w:val="none"/>
              </w:rPr>
            </w:pPr>
            <w:r>
              <w:rPr>
                <w:rFonts w:hint="eastAsia"/>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28B2E560">
            <w:pPr>
              <w:rPr>
                <w:rFonts w:hint="eastAsia"/>
                <w:highlight w:val="none"/>
              </w:rPr>
            </w:pPr>
            <w:r>
              <w:rPr>
                <w:rFonts w:hint="eastAsia"/>
                <w:highlight w:val="none"/>
              </w:rPr>
              <w:t>6）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w:t>
            </w:r>
          </w:p>
          <w:p w14:paraId="58FDFE0E">
            <w:pPr>
              <w:rPr>
                <w:rFonts w:hint="eastAsia"/>
                <w:highlight w:val="none"/>
              </w:rPr>
            </w:pPr>
            <w:r>
              <w:rPr>
                <w:rFonts w:hint="eastAsia"/>
                <w:highlight w:val="none"/>
              </w:rPr>
              <w:t> ▲7）软件要求提供的全部实验支持在任意视角下对实验进行观察和交互式操作。允许用户在实验操作空间中根据需求自由旋转观察视角，要求所有实验中的模型为3D高精度模型，支持无极放大，实验模型高保真。</w:t>
            </w:r>
          </w:p>
          <w:p w14:paraId="31E1EC26">
            <w:pPr>
              <w:rPr>
                <w:rFonts w:hint="eastAsia"/>
                <w:highlight w:val="none"/>
              </w:rPr>
            </w:pPr>
            <w:r>
              <w:rPr>
                <w:rFonts w:hint="eastAsia"/>
                <w:highlight w:val="none"/>
              </w:rPr>
              <w:t> ▲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24A480EB">
            <w:pPr>
              <w:rPr>
                <w:rFonts w:hint="eastAsia"/>
                <w:highlight w:val="none"/>
              </w:rPr>
            </w:pPr>
            <w:r>
              <w:rPr>
                <w:rFonts w:hint="eastAsia"/>
                <w:highlight w:val="none"/>
              </w:rPr>
              <w:t>9）以上所有软件功能要求在同一软件系统平台中进行操作，方便用户管理、使用。</w:t>
            </w:r>
          </w:p>
          <w:p w14:paraId="45DE4FF2">
            <w:pPr>
              <w:rPr>
                <w:rFonts w:hint="eastAsia"/>
                <w:highlight w:val="none"/>
              </w:rPr>
            </w:pPr>
            <w:r>
              <w:rPr>
                <w:rFonts w:hint="eastAsia"/>
                <w:highlight w:val="none"/>
              </w:rPr>
              <w:t>高中理化生：</w:t>
            </w:r>
          </w:p>
          <w:p w14:paraId="76FDE5D8">
            <w:pPr>
              <w:rPr>
                <w:rFonts w:hint="eastAsia"/>
                <w:highlight w:val="none"/>
              </w:rPr>
            </w:pPr>
            <w:r>
              <w:rPr>
                <w:rFonts w:hint="eastAsia"/>
                <w:highlight w:val="none"/>
              </w:rPr>
              <w:t>1） 要求提供的所有实验内容都可以支持在实验操作的过程中查看具体的实验内容简介，可查看的内容简介至少应包含：实验目的、实验器材、实验步骤等，方便老师在使用中快速了解具体实验内容，提高老师课堂教学效率。</w:t>
            </w:r>
          </w:p>
          <w:p w14:paraId="590896D4">
            <w:pPr>
              <w:rPr>
                <w:rFonts w:hint="eastAsia"/>
                <w:highlight w:val="none"/>
              </w:rPr>
            </w:pPr>
            <w:r>
              <w:rPr>
                <w:rFonts w:hint="eastAsia"/>
                <w:highlight w:val="none"/>
              </w:rPr>
              <w:t>▲2）所有学科软件要求提供的实验内容模块需根据知识点分类。物理需包含：直线运动、牛顿运动定律、力与物体平衡、功和机械能、机械振动机械波、光学、动量、原子物理、曲线运动、电磁学、热学、；化学需包含：化学与技术、化学实验、重要的无机物、物质结构与性质、化学反应原理、化学与生活、有机化学基础、化学基本概念；生物需包含：细胞的分子组成与结构、细胞代谢、细胞的生命历程与遗传的细胞学基础、遗传的分子基础、变异与进化、生命活动的调节、生物与环境、生殖与个体发育。</w:t>
            </w:r>
          </w:p>
          <w:p w14:paraId="4247DF09">
            <w:pPr>
              <w:rPr>
                <w:rFonts w:hint="eastAsia"/>
                <w:highlight w:val="none"/>
              </w:rPr>
            </w:pPr>
            <w:r>
              <w:rPr>
                <w:rFonts w:hint="eastAsia"/>
                <w:highlight w:val="none"/>
              </w:rPr>
              <w:t>▲3）所有学科软件要求至少包含实验：用双缝干涉测量光的波长、渡河问题、观察全反射现象、验证环形电流的磁场方向、示波管原理、铝热反应、铁粉与水蒸气反应、蛋白质的性质——盐析、乙醛的银镜反应、建立减数分裂中染色体变化的模型、绿叶中色素的提取与分离、制作DNA双螺旋结构模型、土壤微生物的分解作用、蛙的个体发育过程。</w:t>
            </w:r>
          </w:p>
          <w:p w14:paraId="2215DFDF">
            <w:pPr>
              <w:rPr>
                <w:rFonts w:hint="eastAsia"/>
                <w:highlight w:val="none"/>
              </w:rPr>
            </w:pPr>
            <w:r>
              <w:rPr>
                <w:rFonts w:hint="eastAsia"/>
                <w:highlight w:val="none"/>
              </w:rPr>
              <w:t>▲4）软件要求对于理科学习中较为抽象的实验原理提供可视化展示，物理中如电流的方向、力的方向、磁场电场等，化学中如：反应装置中物质的量的变化、分子运动的模拟、正在发生的化学反应方程式等。</w:t>
            </w:r>
          </w:p>
          <w:p w14:paraId="13CD2EE5">
            <w:pPr>
              <w:rPr>
                <w:rFonts w:hint="eastAsia"/>
                <w:highlight w:val="none"/>
              </w:rPr>
            </w:pPr>
            <w:r>
              <w:rPr>
                <w:rFonts w:hint="eastAsia"/>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0D2DC6FF">
            <w:pPr>
              <w:rPr>
                <w:rFonts w:hint="eastAsia"/>
                <w:highlight w:val="none"/>
              </w:rPr>
            </w:pPr>
            <w:r>
              <w:rPr>
                <w:rFonts w:hint="eastAsia"/>
                <w:highlight w:val="none"/>
              </w:rPr>
              <w:t>7）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 </w:t>
            </w:r>
          </w:p>
          <w:p w14:paraId="47176497">
            <w:pPr>
              <w:rPr>
                <w:rFonts w:hint="eastAsia"/>
                <w:highlight w:val="none"/>
              </w:rPr>
            </w:pPr>
            <w:r>
              <w:rPr>
                <w:rFonts w:hint="eastAsia"/>
                <w:highlight w:val="none"/>
              </w:rPr>
              <w:t>▲7）软件要求提供的全部实验支持在任意视角下对实验进行观察和交互式操作。允许用户在实验操作空间中根据需求自由旋转观察视角，要求所有实验中的模型为3D高精度模型，支持无极放大，实验模型高保真。</w:t>
            </w:r>
          </w:p>
          <w:p w14:paraId="2B1AD56D">
            <w:pPr>
              <w:rPr>
                <w:rFonts w:hint="eastAsia"/>
                <w:highlight w:val="none"/>
              </w:rPr>
            </w:pPr>
            <w:r>
              <w:rPr>
                <w:rFonts w:hint="eastAsia"/>
                <w:highlight w:val="none"/>
              </w:rPr>
              <w:t>▲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4237917A">
            <w:pPr>
              <w:rPr>
                <w:rFonts w:hint="eastAsia"/>
                <w:highlight w:val="none"/>
              </w:rPr>
            </w:pPr>
            <w:r>
              <w:rPr>
                <w:rFonts w:hint="eastAsia"/>
                <w:highlight w:val="none"/>
              </w:rPr>
              <w:t>8）以上所有软件功能要求在同一软件系统平台中进行操作，方便用户管理、使用。</w:t>
            </w:r>
          </w:p>
          <w:p w14:paraId="0C849662">
            <w:pPr>
              <w:rPr>
                <w:rFonts w:hint="eastAsia"/>
                <w:highlight w:val="none"/>
              </w:rPr>
            </w:pPr>
            <w:r>
              <w:rPr>
                <w:rFonts w:hint="eastAsia"/>
                <w:highlight w:val="none"/>
              </w:rPr>
              <w:t>（五）授课工具</w:t>
            </w:r>
          </w:p>
          <w:p w14:paraId="293D11FC">
            <w:pPr>
              <w:rPr>
                <w:rFonts w:hint="eastAsia"/>
                <w:highlight w:val="none"/>
              </w:rPr>
            </w:pPr>
            <w:r>
              <w:rPr>
                <w:rFonts w:hint="eastAsia"/>
                <w:highlight w:val="none"/>
              </w:rPr>
              <w:t>1、擦除：提供精细点擦除、笔迹全屏清除，手势擦除方式。手势擦除面积可根据教师手掌与屏幕的接触面积自动判定调整擦除面积大小。</w:t>
            </w:r>
          </w:p>
          <w:p w14:paraId="5ACB5DB5">
            <w:pPr>
              <w:rPr>
                <w:rFonts w:hint="eastAsia"/>
                <w:highlight w:val="none"/>
              </w:rPr>
            </w:pPr>
            <w:r>
              <w:rPr>
                <w:rFonts w:hint="eastAsia"/>
                <w:highlight w:val="none"/>
              </w:rPr>
              <w:t>2、提供多种翻页按键布局，翻页按键可分布于屏幕单侧或左右两侧，支持上下翻页、课件页面预览及页面非线性跳转。</w:t>
            </w:r>
          </w:p>
          <w:p w14:paraId="24C1D651">
            <w:pPr>
              <w:rPr>
                <w:rFonts w:hint="eastAsia"/>
                <w:highlight w:val="none"/>
              </w:rPr>
            </w:pPr>
            <w:r>
              <w:rPr>
                <w:rFonts w:hint="eastAsia"/>
                <w:highlight w:val="none"/>
              </w:rPr>
              <w:t>3、板中板：支持授课过程中调用板中板辅助教学，可进行批注、加页及背景色切换；板中板支持插入图片、音视频素材进行独立讲解，不影响课件主画面。板中板可以转换为小窗口，小窗口支持拖动和缩放。</w:t>
            </w:r>
          </w:p>
          <w:p w14:paraId="3883513D">
            <w:pPr>
              <w:rPr>
                <w:rFonts w:hint="eastAsia"/>
                <w:highlight w:val="none"/>
              </w:rPr>
            </w:pPr>
            <w:r>
              <w:rPr>
                <w:rFonts w:hint="eastAsia"/>
                <w:highlight w:val="none"/>
              </w:rPr>
              <w:t>4、书写：支持多人同时书写，可自由调整笔迹颜色及笔触粗细，书写颜色及粗细设置面板支持浮窗模式，可自由调整至白板界面任意位置，便于教师授课使用。</w:t>
            </w:r>
          </w:p>
          <w:p w14:paraId="28D630F2">
            <w:pPr>
              <w:rPr>
                <w:rFonts w:hint="eastAsia"/>
                <w:highlight w:val="none"/>
              </w:rPr>
            </w:pPr>
            <w:r>
              <w:rPr>
                <w:rFonts w:hint="eastAsia"/>
                <w:highlight w:val="none"/>
              </w:rPr>
              <w:t>5、图章笔：提供不少于15种图案样式，可在画布任意位置书写。</w:t>
            </w:r>
          </w:p>
          <w:p w14:paraId="3CBB8B4D">
            <w:pPr>
              <w:rPr>
                <w:rFonts w:hint="eastAsia"/>
                <w:highlight w:val="none"/>
              </w:rPr>
            </w:pPr>
            <w:r>
              <w:rPr>
                <w:rFonts w:hint="eastAsia"/>
                <w:highlight w:val="none"/>
              </w:rPr>
              <w:t>6、放大镜：支持调用放大镜工具进行局部画面放大，可设置放大比例及聚光灯效果。</w:t>
            </w:r>
          </w:p>
          <w:p w14:paraId="7574AB56">
            <w:pPr>
              <w:rPr>
                <w:rFonts w:hint="eastAsia"/>
                <w:highlight w:val="none"/>
              </w:rPr>
            </w:pPr>
            <w:r>
              <w:rPr>
                <w:rFonts w:hint="eastAsia"/>
                <w:highlight w:val="none"/>
              </w:rPr>
              <w:t>7、撤销重做：支持白板操作撤销和重做，防止误操作影响教学。</w:t>
            </w:r>
          </w:p>
          <w:p w14:paraId="4B736C1D">
            <w:pPr>
              <w:rPr>
                <w:rFonts w:hint="eastAsia"/>
                <w:highlight w:val="none"/>
              </w:rPr>
            </w:pPr>
            <w:r>
              <w:rPr>
                <w:rFonts w:hint="eastAsia"/>
                <w:highlight w:val="none"/>
              </w:rPr>
              <w:t>8、尺规工具：提供直尺、三角板、量角器及圆规工具，尺工具支持旋转、伸缩，可实时显示绘制线条长度；圆规工具可更换笔触颜色，模拟真实圆规作图。</w:t>
            </w:r>
          </w:p>
          <w:p w14:paraId="66578123">
            <w:pPr>
              <w:rPr>
                <w:rFonts w:hint="eastAsia"/>
                <w:highlight w:val="none"/>
              </w:rPr>
            </w:pPr>
            <w:r>
              <w:rPr>
                <w:rFonts w:hint="eastAsia"/>
                <w:highlight w:val="none"/>
              </w:rPr>
              <w:t>9、文件导入：授课时可将图片、音频、视频等多媒体文件导入授课界面，系统自动识别外接移动储存设备并优先显示其中的内容。</w:t>
            </w:r>
          </w:p>
          <w:p w14:paraId="29CEBB66">
            <w:pPr>
              <w:rPr>
                <w:rFonts w:hint="eastAsia"/>
                <w:highlight w:val="none"/>
              </w:rPr>
            </w:pPr>
            <w:r>
              <w:rPr>
                <w:rFonts w:hint="eastAsia"/>
                <w:highlight w:val="none"/>
              </w:rPr>
              <w:t>10、文件导出：支持授课时导出课件导出为图片，课件支持多种格式导出。</w:t>
            </w:r>
          </w:p>
          <w:p w14:paraId="0D469D0F">
            <w:pPr>
              <w:rPr>
                <w:rFonts w:hint="eastAsia"/>
                <w:highlight w:val="none"/>
              </w:rPr>
            </w:pPr>
            <w:r>
              <w:rPr>
                <w:rFonts w:hint="eastAsia"/>
                <w:highlight w:val="none"/>
              </w:rPr>
              <w:t>（六）空中在线教学课堂：功能内置于交互式备授课软件中，无需额外安装部署直播软件，可实现语音直播、课件同步、互动工具等远程教学功能</w:t>
            </w:r>
          </w:p>
          <w:p w14:paraId="6516119A">
            <w:pPr>
              <w:rPr>
                <w:rFonts w:hint="eastAsia"/>
                <w:highlight w:val="none"/>
              </w:rPr>
            </w:pPr>
            <w:r>
              <w:rPr>
                <w:rFonts w:hint="eastAsia"/>
                <w:highlight w:val="none"/>
              </w:rPr>
              <w:t>1、一键开课：教师可一键开课生成课程海报；学生扫描课程海报微信二维码即可加入直播课堂，无需额外安装APP。</w:t>
            </w:r>
          </w:p>
          <w:p w14:paraId="2827D8DF">
            <w:pPr>
              <w:rPr>
                <w:rFonts w:hint="eastAsia"/>
                <w:highlight w:val="none"/>
              </w:rPr>
            </w:pPr>
            <w:r>
              <w:rPr>
                <w:rFonts w:hint="eastAsia"/>
                <w:highlight w:val="none"/>
              </w:rPr>
              <w:t>2、文本聊天工具：学生可在直播课堂打字提问、互动，学生提问内容实时传递至教师；</w:t>
            </w:r>
          </w:p>
          <w:p w14:paraId="72F4A1B8">
            <w:pPr>
              <w:rPr>
                <w:rFonts w:hint="eastAsia"/>
                <w:highlight w:val="none"/>
              </w:rPr>
            </w:pPr>
            <w:r>
              <w:rPr>
                <w:rFonts w:hint="eastAsia"/>
                <w:highlight w:val="none"/>
              </w:rPr>
              <w:t>3、互动答题工具：教师根据讲解内容发布答题板供学生选择作答，学生提交答案后系统自动统计正确率和答题详情。</w:t>
            </w:r>
          </w:p>
          <w:p w14:paraId="1D0CEC7A">
            <w:pPr>
              <w:rPr>
                <w:rFonts w:hint="eastAsia"/>
                <w:highlight w:val="none"/>
              </w:rPr>
            </w:pPr>
            <w:r>
              <w:rPr>
                <w:rFonts w:hint="eastAsia"/>
                <w:highlight w:val="none"/>
              </w:rPr>
              <w:t>4、远程互动工具：在直播课堂中，教师可指定授权学生远程互动，学生可在直播的课件画面进行书写、移动、擦除、参与互动活动等，学生操作过程实时同步至班级其他学生，可支持不少于5位学生同时参与远程互动；</w:t>
            </w:r>
          </w:p>
          <w:p w14:paraId="259B72C5">
            <w:pPr>
              <w:rPr>
                <w:rFonts w:hint="eastAsia"/>
                <w:highlight w:val="none"/>
              </w:rPr>
            </w:pPr>
            <w:r>
              <w:rPr>
                <w:rFonts w:hint="eastAsia"/>
                <w:highlight w:val="none"/>
              </w:rPr>
              <w:t>5、课堂奖励工具：直播过程中可向学生发放奖杯，学生在线学习获得的奖杯数量累积统计。</w:t>
            </w:r>
          </w:p>
          <w:p w14:paraId="5144AF49">
            <w:pPr>
              <w:rPr>
                <w:rFonts w:hint="eastAsia"/>
                <w:highlight w:val="none"/>
              </w:rPr>
            </w:pPr>
            <w:r>
              <w:rPr>
                <w:rFonts w:hint="eastAsia"/>
                <w:highlight w:val="none"/>
              </w:rPr>
              <w:t>6、远程考勤管理：直播课程结束后，后台自动统计报名学生名单和学生学习清单。</w:t>
            </w:r>
          </w:p>
          <w:p w14:paraId="648537EC">
            <w:pPr>
              <w:rPr>
                <w:rFonts w:hint="eastAsia"/>
                <w:highlight w:val="none"/>
              </w:rPr>
            </w:pPr>
            <w:r>
              <w:rPr>
                <w:rFonts w:hint="eastAsia"/>
                <w:highlight w:val="none"/>
              </w:rPr>
              <w:t>7、课程回放：课程结束后自动生成直播回放，报名课程的学生可反复学习；回放课程自动保存在云端，支持人工删除。</w:t>
            </w:r>
          </w:p>
          <w:p w14:paraId="31CDD899">
            <w:pPr>
              <w:rPr>
                <w:rFonts w:hint="eastAsia"/>
                <w:highlight w:val="none"/>
              </w:rPr>
            </w:pPr>
          </w:p>
          <w:p w14:paraId="5D5B0450">
            <w:pPr>
              <w:rPr>
                <w:rFonts w:hint="eastAsia"/>
                <w:highlight w:val="none"/>
              </w:rPr>
            </w:pPr>
            <w:r>
              <w:rPr>
                <w:rFonts w:hint="eastAsia"/>
                <w:highlight w:val="none"/>
              </w:rPr>
              <w:t>十、移动端教学备授课平台</w:t>
            </w:r>
          </w:p>
          <w:p w14:paraId="50BC99A4">
            <w:pPr>
              <w:rPr>
                <w:rFonts w:hint="eastAsia"/>
                <w:highlight w:val="none"/>
              </w:rPr>
            </w:pPr>
            <w:r>
              <w:rPr>
                <w:rFonts w:hint="eastAsia"/>
                <w:highlight w:val="none"/>
              </w:rPr>
              <w:t>1、教学系统为教师提供对应的移动应用平台，实现备授课过程多终端多场景一体化。</w:t>
            </w:r>
          </w:p>
          <w:p w14:paraId="3D005D2C">
            <w:pPr>
              <w:rPr>
                <w:rFonts w:hint="eastAsia"/>
                <w:highlight w:val="none"/>
              </w:rPr>
            </w:pPr>
            <w:r>
              <w:rPr>
                <w:rFonts w:hint="eastAsia"/>
                <w:highlight w:val="none"/>
              </w:rPr>
              <w:t>2、移动平台支持识别授课端登录状态，授课端处于登录状态时，移动应用平台自动连接移动端与授课端，无需人为操作。</w:t>
            </w:r>
          </w:p>
          <w:p w14:paraId="518166DB">
            <w:pPr>
              <w:rPr>
                <w:rFonts w:hint="eastAsia"/>
                <w:highlight w:val="none"/>
              </w:rPr>
            </w:pPr>
            <w:r>
              <w:rPr>
                <w:rFonts w:hint="eastAsia"/>
                <w:highlight w:val="none"/>
              </w:rPr>
              <w:t>3、移动平台支持安装在Android 5.0及以上、iOS 9.0及以上系统版本的移动终端。</w:t>
            </w:r>
          </w:p>
          <w:p w14:paraId="36DE7992">
            <w:pPr>
              <w:rPr>
                <w:rFonts w:hint="eastAsia"/>
                <w:highlight w:val="none"/>
              </w:rPr>
            </w:pPr>
            <w:r>
              <w:rPr>
                <w:rFonts w:hint="eastAsia"/>
                <w:highlight w:val="none"/>
              </w:rPr>
              <w:t>4、移动端与授课端通过网络实现账号数据对接互通、远程管控、移动授课，无需部署外接设备。</w:t>
            </w:r>
          </w:p>
          <w:p w14:paraId="13B068D1">
            <w:pPr>
              <w:rPr>
                <w:rFonts w:hint="eastAsia"/>
                <w:highlight w:val="none"/>
              </w:rPr>
            </w:pPr>
            <w:r>
              <w:rPr>
                <w:rFonts w:hint="eastAsia"/>
                <w:highlight w:val="none"/>
              </w:rPr>
              <w:t>5、移动平台与授课端账号数据联通，可在移动端选择个人云空间内任意课件放映，授课端同步显示课件内容。</w:t>
            </w:r>
          </w:p>
          <w:p w14:paraId="4F3BFA32">
            <w:pPr>
              <w:rPr>
                <w:rFonts w:hint="eastAsia"/>
                <w:highlight w:val="none"/>
              </w:rPr>
            </w:pPr>
            <w:r>
              <w:rPr>
                <w:rFonts w:hint="eastAsia"/>
                <w:highlight w:val="none"/>
              </w:rPr>
              <w:t>6、无需局域网环境部署，教师可使用移动端进行课件翻页，课件预览、课件跳页、播放视频、播放课堂活动、展开思维导图。支持横竖屏两种模式。</w:t>
            </w:r>
          </w:p>
          <w:p w14:paraId="02483FF1">
            <w:pPr>
              <w:rPr>
                <w:rFonts w:hint="eastAsia"/>
                <w:highlight w:val="none"/>
              </w:rPr>
            </w:pPr>
            <w:r>
              <w:rPr>
                <w:rFonts w:hint="eastAsia"/>
                <w:highlight w:val="none"/>
              </w:rPr>
              <w:t>7、支持移动端对授课端远程实时同步书写擦除，提供不少于3种笔触粗细和5种笔迹颜色，支持一键清除书写内容。</w:t>
            </w:r>
          </w:p>
          <w:p w14:paraId="18E7C3BC">
            <w:pPr>
              <w:rPr>
                <w:rFonts w:hint="eastAsia"/>
                <w:highlight w:val="none"/>
              </w:rPr>
            </w:pPr>
            <w:r>
              <w:rPr>
                <w:rFonts w:hint="eastAsia"/>
                <w:highlight w:val="none"/>
              </w:rPr>
              <w:t>8、支持调用移动端摄像头拍摄照片并直接插入课件，提供文档、普通和彩图3种拍照模式，适用于不同教学场景。</w:t>
            </w:r>
          </w:p>
          <w:p w14:paraId="29F2FD9F">
            <w:pPr>
              <w:rPr>
                <w:rFonts w:hint="eastAsia"/>
                <w:highlight w:val="none"/>
              </w:rPr>
            </w:pPr>
            <w:r>
              <w:rPr>
                <w:rFonts w:hint="eastAsia"/>
                <w:highlight w:val="none"/>
              </w:rPr>
              <w:t>9、支持上传移动端本地图片，并发上传数量不少于9张。</w:t>
            </w:r>
          </w:p>
          <w:p w14:paraId="1C33DE3D">
            <w:pPr>
              <w:rPr>
                <w:rFonts w:hint="eastAsia"/>
                <w:highlight w:val="none"/>
              </w:rPr>
            </w:pPr>
            <w:r>
              <w:rPr>
                <w:rFonts w:hint="eastAsia"/>
                <w:highlight w:val="none"/>
              </w:rPr>
              <w:t>10、支持NFC一碰投屏或直播。</w:t>
            </w:r>
          </w:p>
          <w:p w14:paraId="3DA02733">
            <w:pPr>
              <w:rPr>
                <w:rFonts w:hint="eastAsia"/>
                <w:highlight w:val="none"/>
              </w:rPr>
            </w:pPr>
            <w:r>
              <w:rPr>
                <w:rFonts w:hint="eastAsia"/>
                <w:highlight w:val="none"/>
              </w:rPr>
              <w:t>11、在局域网环境或无网环境下，可将移动端屏幕实时同步至授课显示端，同屏窗口、全屏显示方式根据移动端界面自动适配。</w:t>
            </w:r>
          </w:p>
          <w:p w14:paraId="0122D0F4">
            <w:pPr>
              <w:rPr>
                <w:rFonts w:hint="eastAsia"/>
                <w:highlight w:val="none"/>
              </w:rPr>
            </w:pPr>
            <w:r>
              <w:rPr>
                <w:rFonts w:hint="eastAsia"/>
                <w:highlight w:val="none"/>
              </w:rPr>
              <w:t>12、在局域网环境或无网环境下提供直播功能，移动端拍摄画面实时同步至授课显示端，直播窗口、全屏显示方式根据移动端拍摄自动适配，直播画质根据网络状况自动调。</w:t>
            </w:r>
          </w:p>
          <w:p w14:paraId="5B73289E">
            <w:pPr>
              <w:rPr>
                <w:rFonts w:hint="eastAsia"/>
                <w:highlight w:val="none"/>
              </w:rPr>
            </w:pPr>
          </w:p>
          <w:p w14:paraId="5E640C81">
            <w:pPr>
              <w:rPr>
                <w:rFonts w:hint="eastAsia"/>
                <w:highlight w:val="none"/>
              </w:rPr>
            </w:pPr>
            <w:r>
              <w:rPr>
                <w:rFonts w:hint="eastAsia"/>
                <w:highlight w:val="none"/>
              </w:rPr>
              <w:t>十一、作业题库</w:t>
            </w:r>
          </w:p>
          <w:p w14:paraId="6D18DED2">
            <w:pPr>
              <w:rPr>
                <w:rFonts w:hint="eastAsia"/>
                <w:highlight w:val="none"/>
              </w:rPr>
            </w:pPr>
            <w:r>
              <w:rPr>
                <w:rFonts w:hint="eastAsia"/>
                <w:highlight w:val="none"/>
              </w:rPr>
              <w:t>1、创建习题：支持选择题、填空题、判断题、解答题多种类型题目的创建，支持匹配知识点，设定题目难度等。通常可用于练习任务，在线小测，客观题自动批改</w:t>
            </w:r>
          </w:p>
          <w:p w14:paraId="503FE41A">
            <w:pPr>
              <w:rPr>
                <w:rFonts w:hint="eastAsia"/>
                <w:highlight w:val="none"/>
              </w:rPr>
            </w:pPr>
            <w:r>
              <w:rPr>
                <w:rFonts w:hint="eastAsia"/>
                <w:highlight w:val="none"/>
              </w:rPr>
              <w:t>2、批量导入习题：支持WORD导出习题，导入后支持对照修改，实时预览，题目可挂靠解析，知识点，可添加题目使用备注。</w:t>
            </w:r>
          </w:p>
          <w:p w14:paraId="0697DB2D">
            <w:pPr>
              <w:rPr>
                <w:rFonts w:hint="eastAsia"/>
                <w:highlight w:val="none"/>
              </w:rPr>
            </w:pPr>
            <w:r>
              <w:rPr>
                <w:rFonts w:hint="eastAsia"/>
                <w:highlight w:val="none"/>
              </w:rPr>
              <w:t>3、习题管理：支持题目按教材章节、难度、题型管理和应用。</w:t>
            </w:r>
          </w:p>
          <w:p w14:paraId="3A002B56">
            <w:pPr>
              <w:rPr>
                <w:rFonts w:hint="eastAsia"/>
                <w:highlight w:val="none"/>
              </w:rPr>
            </w:pPr>
            <w:r>
              <w:rPr>
                <w:rFonts w:hint="eastAsia"/>
                <w:highlight w:val="none"/>
              </w:rPr>
              <w:t>4、习题应用：支持将习题加入作业，并通过布置作业功能发送到使用端。</w:t>
            </w:r>
          </w:p>
          <w:p w14:paraId="6E8C4E7E">
            <w:pPr>
              <w:rPr>
                <w:rFonts w:hint="eastAsia"/>
                <w:highlight w:val="none"/>
              </w:rPr>
            </w:pPr>
            <w:r>
              <w:rPr>
                <w:rFonts w:hint="eastAsia"/>
                <w:highlight w:val="none"/>
              </w:rPr>
              <w:t>5、布置记录：被校内老师布置过的习题会通过作业报告的形式展示布置次数、历史作答正确率，以协助老师判断该题的难度和学生掌握情况。</w:t>
            </w:r>
          </w:p>
          <w:p w14:paraId="3498E825">
            <w:pPr>
              <w:rPr>
                <w:rFonts w:hint="eastAsia"/>
                <w:highlight w:val="none"/>
              </w:rPr>
            </w:pPr>
          </w:p>
          <w:p w14:paraId="5FACBB33">
            <w:pPr>
              <w:rPr>
                <w:rFonts w:hint="eastAsia"/>
                <w:highlight w:val="none"/>
              </w:rPr>
            </w:pPr>
            <w:r>
              <w:rPr>
                <w:rFonts w:hint="eastAsia"/>
                <w:highlight w:val="none"/>
              </w:rPr>
              <w:t>十二、教学研究管理平台</w:t>
            </w:r>
          </w:p>
          <w:p w14:paraId="702B3C8E">
            <w:pPr>
              <w:rPr>
                <w:rFonts w:hint="eastAsia"/>
                <w:highlight w:val="none"/>
              </w:rPr>
            </w:pPr>
            <w:r>
              <w:rPr>
                <w:rFonts w:hint="eastAsia"/>
                <w:highlight w:val="none"/>
              </w:rPr>
              <w:t>▲1、为学校提供教研全流程管理服务，包含教学目标与计划、教学设计、集体备课、听课评课、班级氛围的流程管理和数据分析。管理者在教学检查中可以掌握以教研组、备课组为单位的教学资源和集体备数据，了解老师的教学备课工作。支持查看各年级和学科的教研组的教学资源覆盖情况和集体备课数据。支持以时间、教材进行数据筛选，推动老师的备课进度。支持查看备课组下成员的课程资源和集体备课数据概览，支持查看每位成员在不同教材章节下的课程资源上传/获取情况和集体备课的研讨情况。支持以时间、老师、教材章节进行数据筛选。支持导出备课组下全部成员的课程资源和集体备课数据。（响应文件中须出具检验结果符合或者优于本项参数的国家认可的第三方认证（检测）机构出具的带有CMA或CNAS标志的检测报告）</w:t>
            </w:r>
          </w:p>
          <w:p w14:paraId="7ACDB04C">
            <w:pPr>
              <w:rPr>
                <w:rFonts w:hint="eastAsia"/>
                <w:highlight w:val="none"/>
              </w:rPr>
            </w:pPr>
            <w:r>
              <w:rPr>
                <w:rFonts w:hint="eastAsia"/>
                <w:highlight w:val="none"/>
              </w:rPr>
              <w:t>2、可查看集体备课的开展统计情况及老师参与集体备课的记录。支持以时间、学科进行筛选，支持输入集体备课名称/主备人名称，进行全局搜索。支持查看集体备课名称，主备人、所属学科、年级、参备老师数、稿数、浏览数、评论数、批注数、评论点赞数、集体备课状态和创建时间等数据。管理员可随时查看学校集体备课详情，查看集体备课的详细内容并给予指导评论，同时支持管理员删除集体备课活动和导出集体备课记录数据表格。支持查看以老师维度统计的集体备课记录，查看老师所属学段学科、发起次数、参备次数、评论数、批注数、最近集体备课时间等数据。支持管理员导出教师集体备课记录数据表格。</w:t>
            </w:r>
          </w:p>
          <w:p w14:paraId="3708F676">
            <w:pPr>
              <w:rPr>
                <w:rFonts w:hint="eastAsia"/>
                <w:highlight w:val="none"/>
              </w:rPr>
            </w:pPr>
            <w:r>
              <w:rPr>
                <w:rFonts w:hint="eastAsia"/>
                <w:highlight w:val="none"/>
              </w:rPr>
              <w:t>▲3、可查看课程的评价统计情况及教师对课程的评价记录。支持以时间、评课表、学科进行筛选，支持输入课程名称/老师名称，进行全局搜索。支持查看以课程维度的评价记录，包括课件名称、授课老师、所属学科、本节课的评课人数、总评价平均分及授课时间，通过点击操作“详情”可查看具体评价情况，支持管理员删除评价记录和导出课程评价记录数据表格。点击课程详情可以查看评课报告，可以查看该课程的总分和各板块得分，支持导出为PDF文件。支持查看课程下所有老师的评课表，可以批量导出为Word文件。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表格。支持自定义设置学校专属评课表，系统预置中央电教馆“一师一优课，一课一名师”、“教师通用评课表-评分制”模板供使用。点评支持评分题、主观题等评价及拍照上传图片等功能。支持发布多张评课表，同时开展多学科、多个评课活动。评课表支持在线预览和设置权限，听课老师权限可以选择公开，无需登录/需要登录用户账号/绑定本校且需登录用户账号等选项。（响应文件中须出具检验结果符合或者优于本项参数的国家认可的第三方认证（检测）机构出具的带有CMA或CNAS标志的检测报告）</w:t>
            </w:r>
          </w:p>
          <w:p w14:paraId="2A9243D0">
            <w:pPr>
              <w:rPr>
                <w:rFonts w:hint="eastAsia"/>
                <w:highlight w:val="none"/>
              </w:rPr>
            </w:pPr>
            <w:r>
              <w:rPr>
                <w:rFonts w:hint="eastAsia"/>
                <w:highlight w:val="none"/>
              </w:rPr>
              <w:t>4、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430F5893">
            <w:pPr>
              <w:rPr>
                <w:rFonts w:hint="eastAsia"/>
                <w:highlight w:val="none"/>
              </w:rPr>
            </w:pPr>
            <w:r>
              <w:rPr>
                <w:rFonts w:hint="eastAsia"/>
                <w:highlight w:val="none"/>
              </w:rPr>
              <w:t>▲5、全校听评课数据统一汇总，数据包含全校本月评课节数，本月评课次数，累计评课节数和累计评课次数，了解听评课教研活动的开展情况。支持按评课人数/评课平均分查看全校排行详细数据。支持对不同评课维度得分进行统计，计算平均分并找出评分薄弱项，同时支持查看全校的课程评价记录和得分详情、教师评价记录，并可一键导出Excel表格。支持导出课程的评课报告为PDF文件，支持批量导出课程下所有老师的评课表为Word文件。（响应文件中须出具检验结果符合或者优于本项参数的国家认可的第三方认证（检测）机构出具的带有CMA或CNAS标志的检测报告）</w:t>
            </w:r>
          </w:p>
          <w:p w14:paraId="6DC578B3">
            <w:pPr>
              <w:rPr>
                <w:rFonts w:hint="eastAsia"/>
                <w:highlight w:val="none"/>
              </w:rPr>
            </w:pPr>
            <w:r>
              <w:rPr>
                <w:rFonts w:hint="eastAsia"/>
                <w:highlight w:val="none"/>
              </w:rPr>
              <w:t>▲6、支持管理员在教研数字化管理平台后台移动、删除、重命名教师上传至校本库的课件、教案、微课及多媒体等资源。校本资源库提供学科目录模板/教材目录模板，管理者可搭建校本资源目录框架，以文件夹的形式进行分组，进行各年级学科的资源管理。支持以文件夹的维度进行权限设置，设置某个文件夹仅有权限的部门或者老师可见，同时支持按文件夹的维度进行课件的批量移动、删除。支持树形结构目录，进行资源分类及查找，支持全局资源搜索，按年级、学科筛选资源，支持查找资源后定位到当前资源文件夹。支持查看资源文件夹的创建者，资源的上传作者，更新时间、校本容量等数据。校本资源支持在线预览。管理员可对校本资源进行分类移动，删除或重命名，资源目录在编辑的界面支持同级拖拽移动。（响应文件中须出具检验结果符合或者优于本项参数的国家认可的第三方认证（检测）机构出具的带有CMA或CNAS标志的检测报告）</w:t>
            </w:r>
          </w:p>
          <w:p w14:paraId="494106CF">
            <w:pPr>
              <w:rPr>
                <w:rFonts w:hint="eastAsia"/>
                <w:highlight w:val="none"/>
              </w:rPr>
            </w:pPr>
          </w:p>
          <w:p w14:paraId="218F12CB">
            <w:pPr>
              <w:rPr>
                <w:rFonts w:hint="eastAsia"/>
                <w:highlight w:val="none"/>
              </w:rPr>
            </w:pPr>
            <w:r>
              <w:rPr>
                <w:rFonts w:hint="eastAsia"/>
                <w:highlight w:val="none"/>
              </w:rPr>
              <w:t>十三、无线传屏教学系统</w:t>
            </w:r>
          </w:p>
          <w:p w14:paraId="601D7F24">
            <w:pPr>
              <w:rPr>
                <w:rFonts w:hint="eastAsia"/>
                <w:highlight w:val="none"/>
              </w:rPr>
            </w:pPr>
            <w:r>
              <w:rPr>
                <w:rFonts w:hint="eastAsia"/>
                <w:highlight w:val="none"/>
              </w:rPr>
              <w:t>1、支持操作系统：Win7/Win8/Win8.1/Win10/Mac OS10.10及以上。</w:t>
            </w:r>
          </w:p>
          <w:p w14:paraId="2DD30B17">
            <w:pPr>
              <w:rPr>
                <w:rFonts w:hint="eastAsia"/>
                <w:highlight w:val="none"/>
              </w:rPr>
            </w:pPr>
            <w:r>
              <w:rPr>
                <w:rFonts w:hint="eastAsia"/>
                <w:highlight w:val="none"/>
              </w:rPr>
              <w:t>2、传输延迟≤90ms，帧率达到20fps-30fps。</w:t>
            </w:r>
          </w:p>
          <w:p w14:paraId="663933AA">
            <w:pPr>
              <w:rPr>
                <w:rFonts w:hint="eastAsia"/>
                <w:highlight w:val="none"/>
              </w:rPr>
            </w:pPr>
            <w:r>
              <w:rPr>
                <w:rFonts w:hint="eastAsia"/>
                <w:highlight w:val="none"/>
              </w:rPr>
              <w:t>3、无线传屏软硬件均支持win10系统扩展屏显示。</w:t>
            </w:r>
          </w:p>
          <w:p w14:paraId="1EB6013C">
            <w:pPr>
              <w:rPr>
                <w:rFonts w:hint="eastAsia"/>
                <w:highlight w:val="none"/>
              </w:rPr>
            </w:pPr>
            <w:r>
              <w:rPr>
                <w:rFonts w:hint="eastAsia"/>
                <w:highlight w:val="none"/>
              </w:rPr>
              <w:t>4、可以仅对一个窗口进行无线投屏，其他窗口内容不做展示，保证数据的隐私。</w:t>
            </w:r>
          </w:p>
          <w:p w14:paraId="68B6F461">
            <w:pPr>
              <w:rPr>
                <w:rFonts w:hint="eastAsia"/>
                <w:highlight w:val="none"/>
              </w:rPr>
            </w:pPr>
            <w:r>
              <w:rPr>
                <w:rFonts w:hint="eastAsia"/>
                <w:highlight w:val="none"/>
              </w:rPr>
              <w:t>5、无线传屏视频数据加密，加密方式：国密SM4，保障数据传输安全。</w:t>
            </w:r>
          </w:p>
          <w:p w14:paraId="34F4EC2F">
            <w:pPr>
              <w:rPr>
                <w:rFonts w:hint="eastAsia"/>
                <w:highlight w:val="none"/>
              </w:rPr>
            </w:pPr>
            <w:r>
              <w:rPr>
                <w:rFonts w:hint="eastAsia"/>
                <w:highlight w:val="none"/>
              </w:rPr>
              <w:t>6、软件传屏码可以在整机任何页面进行常显，也可设置取消，方便软件传屏连接。</w:t>
            </w:r>
          </w:p>
          <w:p w14:paraId="3E589456">
            <w:pPr>
              <w:rPr>
                <w:rFonts w:hint="eastAsia"/>
                <w:highlight w:val="none"/>
              </w:rPr>
            </w:pPr>
            <w:r>
              <w:rPr>
                <w:rFonts w:hint="eastAsia"/>
                <w:highlight w:val="none"/>
              </w:rPr>
              <w:t>传屏之后，在屏幕上部中间部分显示工具栏，可以进行基本的操作（具体包括触摸回传控制，勿扰模式，暂停投屏等）</w:t>
            </w:r>
          </w:p>
          <w:p w14:paraId="367D149A">
            <w:pPr>
              <w:rPr>
                <w:rFonts w:hint="eastAsia"/>
                <w:highlight w:val="none"/>
              </w:rPr>
            </w:pPr>
            <w:r>
              <w:rPr>
                <w:rFonts w:hint="eastAsia"/>
                <w:highlight w:val="none"/>
              </w:rPr>
              <w:t>7、传屏开启勿扰模式之后，不允许其他人在进行传屏，沉浸模式，避免在使用过程中，用户经常被其他人传屏顶替掉，造成使用中断。</w:t>
            </w:r>
          </w:p>
          <w:p w14:paraId="5084730F">
            <w:pPr>
              <w:rPr>
                <w:rFonts w:hint="eastAsia"/>
                <w:highlight w:val="none"/>
              </w:rPr>
            </w:pPr>
            <w:r>
              <w:rPr>
                <w:rFonts w:hint="eastAsia"/>
                <w:highlight w:val="none"/>
              </w:rPr>
              <w:t>8、可通过传屏工具栏暂停投屏功能进行画面冻结暂停，投屏电脑可自主进行其他操作，不影响整机的冻结画面内容显示。</w:t>
            </w:r>
          </w:p>
          <w:p w14:paraId="11A8D3D4">
            <w:pPr>
              <w:rPr>
                <w:rFonts w:hint="eastAsia"/>
                <w:highlight w:val="none"/>
              </w:rPr>
            </w:pPr>
            <w:r>
              <w:rPr>
                <w:rFonts w:hint="eastAsia"/>
                <w:highlight w:val="none"/>
              </w:rPr>
              <w:t>9、可通过软件可自动发现近场可投屏的会议设备，选择即可投屏，无需手动配对。</w:t>
            </w:r>
          </w:p>
          <w:p w14:paraId="3CA596DC">
            <w:pPr>
              <w:rPr>
                <w:rFonts w:hint="eastAsia"/>
                <w:highlight w:val="none"/>
              </w:rPr>
            </w:pPr>
          </w:p>
          <w:p w14:paraId="4B9CC697">
            <w:pPr>
              <w:rPr>
                <w:rFonts w:hint="eastAsia"/>
                <w:highlight w:val="none"/>
              </w:rPr>
            </w:pPr>
            <w:r>
              <w:rPr>
                <w:rFonts w:hint="eastAsia"/>
                <w:highlight w:val="none"/>
              </w:rPr>
              <w:t>十四、教学学情分析系统</w:t>
            </w:r>
          </w:p>
          <w:p w14:paraId="35FAB9D1">
            <w:pPr>
              <w:rPr>
                <w:rFonts w:hint="eastAsia"/>
                <w:highlight w:val="none"/>
              </w:rPr>
            </w:pPr>
            <w:r>
              <w:rPr>
                <w:rFonts w:hint="eastAsia"/>
                <w:highlight w:val="none"/>
              </w:rPr>
              <w:t>1、统计考勤：互动反馈系统支持无感考勤功能，学生连接成功后名字可显示在签到列表上，签到列表实时统计已签到人数，并查看未到的人员。</w:t>
            </w:r>
          </w:p>
          <w:p w14:paraId="105A56EA">
            <w:pPr>
              <w:rPr>
                <w:rFonts w:hint="eastAsia"/>
                <w:highlight w:val="none"/>
              </w:rPr>
            </w:pPr>
            <w:r>
              <w:rPr>
                <w:rFonts w:hint="eastAsia"/>
                <w:highlight w:val="none"/>
              </w:rPr>
              <w:t>2、班级创建：支持老师主动创建班级，创建成功后，每次登录教师端即可直接进入班级列表，选择班级进入课堂。</w:t>
            </w:r>
          </w:p>
          <w:p w14:paraId="740B6122">
            <w:pPr>
              <w:rPr>
                <w:rFonts w:hint="eastAsia"/>
                <w:highlight w:val="none"/>
              </w:rPr>
            </w:pPr>
            <w:r>
              <w:rPr>
                <w:rFonts w:hint="eastAsia"/>
                <w:highlight w:val="none"/>
              </w:rPr>
              <w:t>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w:t>
            </w:r>
          </w:p>
          <w:p w14:paraId="39CB8591">
            <w:pPr>
              <w:rPr>
                <w:rFonts w:hint="eastAsia"/>
                <w:highlight w:val="none"/>
              </w:rPr>
            </w:pPr>
            <w:r>
              <w:rPr>
                <w:rFonts w:hint="eastAsia"/>
                <w:highlight w:val="none"/>
              </w:rPr>
              <w:t>4、抢答抽选：互动反馈系统支持抢答、抽选功能，活跃课堂氛围。</w:t>
            </w:r>
          </w:p>
          <w:p w14:paraId="632AA1F1">
            <w:pPr>
              <w:rPr>
                <w:rFonts w:hint="eastAsia"/>
                <w:highlight w:val="none"/>
              </w:rPr>
            </w:pPr>
            <w:r>
              <w:rPr>
                <w:rFonts w:hint="eastAsia"/>
                <w:highlight w:val="none"/>
              </w:rPr>
              <w:t>5、观点云词：互动反馈系统支持主观观点收集功能，支持学生们自主提交不多于200字的观点评论，并自动生成班级关键词云，点击关键词可查看对应学生名单和具体评论信息。</w:t>
            </w:r>
          </w:p>
          <w:p w14:paraId="744EC1A9">
            <w:pPr>
              <w:rPr>
                <w:rFonts w:hint="eastAsia"/>
                <w:highlight w:val="none"/>
              </w:rPr>
            </w:pPr>
            <w:r>
              <w:rPr>
                <w:rFonts w:hint="eastAsia"/>
                <w:highlight w:val="none"/>
              </w:rPr>
              <w:t xml:space="preserve">6、学情报告；互动反馈系统在上课结束后支持实时生成课程报告，课堂报告支持查看签到人数，课堂互动总数，平均参与度，提问个数，支持查看考勤详情，互动详情和提问详情。 </w:t>
            </w:r>
          </w:p>
          <w:p w14:paraId="2FA8B7E2">
            <w:pPr>
              <w:rPr>
                <w:rFonts w:hint="eastAsia"/>
                <w:highlight w:val="none"/>
              </w:rPr>
            </w:pPr>
          </w:p>
          <w:p w14:paraId="402E4627">
            <w:pPr>
              <w:rPr>
                <w:rFonts w:hint="eastAsia"/>
                <w:highlight w:val="none"/>
              </w:rPr>
            </w:pPr>
            <w:r>
              <w:rPr>
                <w:rFonts w:hint="eastAsia"/>
                <w:highlight w:val="none"/>
              </w:rPr>
              <w:t>十五、光能黑板</w:t>
            </w:r>
          </w:p>
          <w:p w14:paraId="5AA45E6D">
            <w:pPr>
              <w:rPr>
                <w:rFonts w:hint="eastAsia"/>
                <w:highlight w:val="none"/>
              </w:rPr>
            </w:pPr>
            <w:r>
              <w:rPr>
                <w:rFonts w:hint="eastAsia"/>
                <w:highlight w:val="none"/>
              </w:rPr>
              <w:t>（一）硬件要求</w:t>
            </w:r>
          </w:p>
          <w:p w14:paraId="4F75D2FD">
            <w:pPr>
              <w:rPr>
                <w:rFonts w:hint="eastAsia"/>
                <w:highlight w:val="none"/>
              </w:rPr>
            </w:pPr>
            <w:r>
              <w:rPr>
                <w:rFonts w:hint="eastAsia"/>
                <w:highlight w:val="none"/>
              </w:rPr>
              <w:t>1、单块光能黑板≥1290（长）*1158（高）mm。每套由两块内板组合。</w:t>
            </w:r>
          </w:p>
          <w:p w14:paraId="17FE96B3">
            <w:pPr>
              <w:rPr>
                <w:rFonts w:hint="eastAsia"/>
                <w:highlight w:val="none"/>
              </w:rPr>
            </w:pPr>
            <w:r>
              <w:rPr>
                <w:rFonts w:hint="eastAsia"/>
                <w:highlight w:val="none"/>
              </w:rPr>
              <w:t>2、采用任何硬度适中的工具均可在板面进行书写，无需专用耗材，消除了粉笔粉尘对师生构成的健康隐患。</w:t>
            </w:r>
          </w:p>
          <w:p w14:paraId="0E1A4B32">
            <w:pPr>
              <w:rPr>
                <w:rFonts w:hint="eastAsia"/>
                <w:highlight w:val="none"/>
              </w:rPr>
            </w:pPr>
            <w:r>
              <w:rPr>
                <w:rFonts w:hint="eastAsia"/>
                <w:highlight w:val="none"/>
              </w:rPr>
              <w:t>▲3、光能黑板应无频闪、无背光，上膜不应产生眩光。板书笔迹可视距离40米，可视角度≥150°，对比度≥150:1。</w:t>
            </w:r>
          </w:p>
          <w:p w14:paraId="758C0EA9">
            <w:pPr>
              <w:rPr>
                <w:rFonts w:hint="eastAsia"/>
                <w:highlight w:val="none"/>
              </w:rPr>
            </w:pPr>
            <w:r>
              <w:rPr>
                <w:rFonts w:hint="eastAsia"/>
                <w:highlight w:val="none"/>
              </w:rPr>
              <w:t>▲4、光能黑板的光泽度不高于30光泽单位。</w:t>
            </w:r>
          </w:p>
          <w:p w14:paraId="5F04BEE7">
            <w:pPr>
              <w:rPr>
                <w:rFonts w:hint="eastAsia"/>
                <w:highlight w:val="none"/>
              </w:rPr>
            </w:pPr>
            <w:r>
              <w:rPr>
                <w:rFonts w:hint="eastAsia"/>
                <w:highlight w:val="none"/>
              </w:rPr>
              <w:t>▲5、书写膜的透光率不低于87%，雾度不高于40%。</w:t>
            </w:r>
          </w:p>
          <w:p w14:paraId="06906DBD">
            <w:pPr>
              <w:rPr>
                <w:rFonts w:hint="eastAsia"/>
                <w:highlight w:val="none"/>
              </w:rPr>
            </w:pPr>
            <w:r>
              <w:rPr>
                <w:rFonts w:hint="eastAsia"/>
                <w:highlight w:val="none"/>
              </w:rPr>
              <w:t>6、一键擦除：按下一键擦除按键，可实现板书的全部擦除，擦除后无明显残留痕迹。</w:t>
            </w:r>
          </w:p>
          <w:p w14:paraId="10A6B1CD">
            <w:pPr>
              <w:rPr>
                <w:rFonts w:hint="eastAsia"/>
                <w:highlight w:val="none"/>
              </w:rPr>
            </w:pPr>
            <w:r>
              <w:rPr>
                <w:rFonts w:hint="eastAsia"/>
                <w:highlight w:val="none"/>
              </w:rPr>
              <w:t>7、局部擦除：可使用板擦和手势对板书进行局部擦除。擦除精度小于10mm*10mm，擦除延时＜60ms。光能板具有独立供电装置，可在液晶屏关机的情况下独立使用，不影响局部擦除功能。</w:t>
            </w:r>
          </w:p>
          <w:p w14:paraId="5DED60DA">
            <w:pPr>
              <w:rPr>
                <w:rFonts w:hint="eastAsia"/>
                <w:highlight w:val="none"/>
              </w:rPr>
            </w:pPr>
            <w:r>
              <w:rPr>
                <w:rFonts w:hint="eastAsia"/>
                <w:highlight w:val="none"/>
              </w:rPr>
              <w:t>8、板内设有电压补偿机制，可以通过手势按压书写板板面的特定位置，控制书写板内部电压高低，以调节擦除灵敏度。</w:t>
            </w:r>
          </w:p>
          <w:p w14:paraId="105BEB9C">
            <w:pPr>
              <w:rPr>
                <w:rFonts w:hint="eastAsia"/>
                <w:highlight w:val="none"/>
              </w:rPr>
            </w:pPr>
            <w:r>
              <w:rPr>
                <w:rFonts w:hint="eastAsia"/>
                <w:highlight w:val="none"/>
              </w:rPr>
              <w:t>▲9、设备内提供的电池组保护电路，符合标准要求，并通过带二次锂电池的设备的充电安全防护。黑板通过恒定力和冲击试验，机械强度符合标准要求。</w:t>
            </w:r>
          </w:p>
          <w:p w14:paraId="7929A689">
            <w:pPr>
              <w:rPr>
                <w:rFonts w:hint="eastAsia"/>
                <w:highlight w:val="none"/>
              </w:rPr>
            </w:pPr>
            <w:r>
              <w:rPr>
                <w:rFonts w:hint="eastAsia"/>
                <w:highlight w:val="none"/>
              </w:rPr>
              <w:t>10、黑板表面具有暗格，用以提供给师生在书写板书时的直线参照，可避免板书歪斜。黑板表面可吸附磁贴、磁扣等教学工具，便于老师教学使用。</w:t>
            </w:r>
          </w:p>
          <w:p w14:paraId="30863FC0">
            <w:pPr>
              <w:rPr>
                <w:rFonts w:hint="eastAsia"/>
                <w:highlight w:val="none"/>
              </w:rPr>
            </w:pPr>
            <w:r>
              <w:rPr>
                <w:rFonts w:hint="eastAsia"/>
                <w:highlight w:val="none"/>
              </w:rPr>
              <w:t>11、光能黑板通过低温-30℃，高温80℃，恒定湿热40℃、95%RH测试，产品外观无变形、损坏等现象，通电运行正常。</w:t>
            </w:r>
          </w:p>
          <w:p w14:paraId="5E8E622F">
            <w:pPr>
              <w:rPr>
                <w:rFonts w:hint="eastAsia"/>
                <w:highlight w:val="none"/>
              </w:rPr>
            </w:pPr>
            <w:r>
              <w:rPr>
                <w:rFonts w:hint="eastAsia"/>
                <w:highlight w:val="none"/>
              </w:rPr>
              <w:t>12、边框采用铝合金材质，坚固耐用，具有较好的耐腐蚀特性。</w:t>
            </w:r>
          </w:p>
          <w:p w14:paraId="2E51AEEB">
            <w:pPr>
              <w:rPr>
                <w:rFonts w:hint="eastAsia"/>
                <w:highlight w:val="none"/>
              </w:rPr>
            </w:pPr>
            <w:r>
              <w:rPr>
                <w:rFonts w:hint="eastAsia"/>
                <w:highlight w:val="none"/>
              </w:rPr>
              <w:t>13、采用一体式按键指示灯，可通过不同颜色、闪烁等方式表示擦除、电量不足等工作状态。每块光能黑板具备DC接口*2和USB接口*2，方便用户使用。</w:t>
            </w:r>
          </w:p>
          <w:p w14:paraId="524CAA43">
            <w:pPr>
              <w:rPr>
                <w:rFonts w:hint="eastAsia"/>
                <w:highlight w:val="none"/>
              </w:rPr>
            </w:pPr>
            <w:r>
              <w:rPr>
                <w:rFonts w:hint="eastAsia"/>
                <w:highlight w:val="none"/>
              </w:rPr>
              <w:t>▲14、光能黑板通过抗电强度1500V试验，无击穿现象，符合GB4943的安全要求。</w:t>
            </w:r>
          </w:p>
          <w:p w14:paraId="2BA10A74">
            <w:pPr>
              <w:rPr>
                <w:rFonts w:hint="eastAsia"/>
                <w:highlight w:val="none"/>
              </w:rPr>
            </w:pPr>
            <w:r>
              <w:rPr>
                <w:rFonts w:hint="eastAsia"/>
                <w:highlight w:val="none"/>
              </w:rPr>
              <w:t>▲15、产品的最大工作电流（瞬间电流）≤1000mA。</w:t>
            </w:r>
          </w:p>
          <w:p w14:paraId="4268D132">
            <w:pPr>
              <w:rPr>
                <w:rFonts w:hint="eastAsia"/>
                <w:highlight w:val="none"/>
              </w:rPr>
            </w:pPr>
            <w:r>
              <w:rPr>
                <w:rFonts w:hint="eastAsia"/>
                <w:highlight w:val="none"/>
              </w:rPr>
              <w:t>16、为让老师能够快速调取交互软件，方便使用功能，光能黑板上应具有实用快捷键。</w:t>
            </w:r>
          </w:p>
          <w:p w14:paraId="1744D10F">
            <w:pPr>
              <w:rPr>
                <w:rFonts w:hint="eastAsia"/>
                <w:highlight w:val="none"/>
              </w:rPr>
            </w:pPr>
            <w:r>
              <w:rPr>
                <w:rFonts w:hint="eastAsia"/>
                <w:highlight w:val="none"/>
              </w:rPr>
              <w:t>（二）软件要求</w:t>
            </w:r>
          </w:p>
          <w:p w14:paraId="075EFD89">
            <w:pPr>
              <w:rPr>
                <w:rFonts w:hint="eastAsia"/>
                <w:highlight w:val="none"/>
              </w:rPr>
            </w:pPr>
            <w:r>
              <w:rPr>
                <w:rFonts w:hint="eastAsia"/>
                <w:highlight w:val="none"/>
              </w:rPr>
              <w:t>1、左、右光能黑板可与触控一体机进行互动，将光能黑板的内容与触控一体机无缝连接，教师在光能黑板上的书写内容可同步显示在触控一体机上。</w:t>
            </w:r>
          </w:p>
          <w:p w14:paraId="7F3883F1">
            <w:pPr>
              <w:rPr>
                <w:rFonts w:hint="eastAsia"/>
                <w:highlight w:val="none"/>
              </w:rPr>
            </w:pPr>
            <w:r>
              <w:rPr>
                <w:rFonts w:hint="eastAsia"/>
                <w:highlight w:val="none"/>
              </w:rPr>
              <w:t>2、为便于老师记忆和操作，板书界面与电脑桌面/PPT课件之间，采用同一个按键来回切换，方便快捷。</w:t>
            </w:r>
          </w:p>
          <w:p w14:paraId="51273C4E">
            <w:pPr>
              <w:rPr>
                <w:rFonts w:hint="eastAsia"/>
                <w:highlight w:val="none"/>
              </w:rPr>
            </w:pPr>
            <w:r>
              <w:rPr>
                <w:rFonts w:hint="eastAsia"/>
                <w:highlight w:val="none"/>
              </w:rPr>
              <w:t>3、光能黑板具有两种书写记录模式，支持单板书写记录内容为一个单页面，也可以支持多板同时书写时记录在一个页面上；</w:t>
            </w:r>
          </w:p>
          <w:p w14:paraId="4922B0EC">
            <w:pPr>
              <w:rPr>
                <w:rFonts w:hint="eastAsia"/>
                <w:highlight w:val="none"/>
              </w:rPr>
            </w:pPr>
            <w:r>
              <w:rPr>
                <w:rFonts w:hint="eastAsia"/>
                <w:highlight w:val="none"/>
              </w:rPr>
              <w:t>4、当不需要板书传输到软件显示界面时，可以使用分屏功能，断开黑板与大屏的传输，使其成为互不影响的多块黑板。</w:t>
            </w:r>
          </w:p>
          <w:p w14:paraId="3B6FF1CD">
            <w:pPr>
              <w:rPr>
                <w:rFonts w:hint="eastAsia"/>
                <w:highlight w:val="none"/>
              </w:rPr>
            </w:pPr>
            <w:r>
              <w:rPr>
                <w:rFonts w:hint="eastAsia"/>
                <w:highlight w:val="none"/>
              </w:rPr>
              <w:t>5、设置不同的软件端笔迹颜色，可实现老师对于教学重点的标识及批注；</w:t>
            </w:r>
          </w:p>
          <w:p w14:paraId="33481538">
            <w:pPr>
              <w:rPr>
                <w:rFonts w:hint="eastAsia"/>
                <w:highlight w:val="none"/>
              </w:rPr>
            </w:pPr>
            <w:r>
              <w:rPr>
                <w:rFonts w:hint="eastAsia"/>
                <w:highlight w:val="none"/>
              </w:rPr>
              <w:t>6、在保存的板书当中进行翻页，查找已经存储的板书内容。</w:t>
            </w:r>
          </w:p>
          <w:p w14:paraId="5DA239E9">
            <w:pPr>
              <w:rPr>
                <w:rFonts w:hint="eastAsia"/>
                <w:highlight w:val="none"/>
              </w:rPr>
            </w:pPr>
            <w:r>
              <w:rPr>
                <w:rFonts w:hint="eastAsia"/>
                <w:highlight w:val="none"/>
              </w:rPr>
              <w:t>7、能直接预览所有存储的板书；</w:t>
            </w:r>
          </w:p>
          <w:p w14:paraId="26A0A8BA">
            <w:pPr>
              <w:rPr>
                <w:rFonts w:hint="eastAsia"/>
                <w:highlight w:val="none"/>
              </w:rPr>
            </w:pPr>
            <w:r>
              <w:rPr>
                <w:rFonts w:hint="eastAsia"/>
                <w:highlight w:val="none"/>
              </w:rPr>
              <w:t>8、黑板的板书即时保存到软件当中，通过翻页可找回并显示，保存时不清除黑板的板书内容。</w:t>
            </w:r>
          </w:p>
          <w:p w14:paraId="796A3826">
            <w:pPr>
              <w:rPr>
                <w:rFonts w:hint="eastAsia"/>
                <w:highlight w:val="none"/>
              </w:rPr>
            </w:pPr>
            <w:r>
              <w:rPr>
                <w:rFonts w:hint="eastAsia"/>
                <w:highlight w:val="none"/>
              </w:rPr>
              <w:t>9、对板书的电子文档进行分享，可以存储在本地PC端，同时生产二维码，便于师生扫码获取。</w:t>
            </w:r>
          </w:p>
          <w:p w14:paraId="2BC9DFFA">
            <w:pPr>
              <w:rPr>
                <w:rFonts w:hint="eastAsia"/>
                <w:highlight w:val="none"/>
              </w:rPr>
            </w:pPr>
            <w:r>
              <w:rPr>
                <w:rFonts w:hint="eastAsia"/>
                <w:highlight w:val="none"/>
              </w:rPr>
              <w:t>10、可以对课堂的板书和讲解进行录制，生成视频文档，利于学生课后复习回放。</w:t>
            </w:r>
          </w:p>
          <w:p w14:paraId="50C19850">
            <w:pPr>
              <w:rPr>
                <w:rFonts w:hint="eastAsia"/>
                <w:highlight w:val="none"/>
              </w:rPr>
            </w:pPr>
          </w:p>
          <w:p w14:paraId="5196069F">
            <w:pPr>
              <w:rPr>
                <w:rFonts w:hint="eastAsia"/>
                <w:highlight w:val="none"/>
              </w:rPr>
            </w:pPr>
            <w:r>
              <w:rPr>
                <w:rFonts w:hint="eastAsia"/>
                <w:highlight w:val="none"/>
              </w:rPr>
              <w:t>十六、售后服务要求</w:t>
            </w:r>
          </w:p>
          <w:p w14:paraId="63C80453">
            <w:pPr>
              <w:rPr>
                <w:rFonts w:hint="eastAsia"/>
                <w:highlight w:val="none"/>
              </w:rPr>
            </w:pPr>
            <w:r>
              <w:rPr>
                <w:rFonts w:hint="eastAsia"/>
                <w:highlight w:val="none"/>
              </w:rPr>
              <w:t>1、全国24小时免费电话保修、二维码扫描保修、区域化驻地技术工程师专线保修；</w:t>
            </w:r>
          </w:p>
          <w:p w14:paraId="4F80BCCD">
            <w:pPr>
              <w:rPr>
                <w:rFonts w:hint="eastAsia"/>
                <w:highlight w:val="none"/>
              </w:rPr>
            </w:pPr>
            <w:r>
              <w:rPr>
                <w:rFonts w:hint="eastAsia"/>
                <w:highlight w:val="none"/>
              </w:rPr>
              <w:t>2、微信售后报修服务：快速输入相关问题及所在区域进行在线保修，贴心服务人员实时在线提供客服专线报修，更好更快的解决售后故障问题带来的使用不便；提供八大模块的问题查询及解决方案，现场完成简单故障的快速修复指导。</w:t>
            </w:r>
          </w:p>
          <w:p w14:paraId="201BD0AC">
            <w:pPr>
              <w:rPr>
                <w:rFonts w:hint="eastAsia" w:ascii="Tahoma" w:hAnsi="Tahoma" w:eastAsia="等线" w:cs="Tahoma"/>
                <w:kern w:val="2"/>
                <w:sz w:val="21"/>
                <w:szCs w:val="24"/>
                <w:highlight w:val="none"/>
                <w:vertAlign w:val="baseline"/>
                <w:lang w:val="en-US" w:eastAsia="zh-CN" w:bidi="ar-SA"/>
              </w:rPr>
            </w:pPr>
            <w:r>
              <w:rPr>
                <w:rFonts w:hint="eastAsia"/>
                <w:highlight w:val="none"/>
              </w:rPr>
              <w:t>3、打“▲”号条款为重要技术参数，投标人必须满足否则中标无效。中标公示期内若有其他投标人质疑情况下，中标单位必须提供与标书技术要求及功能符合的全部样品一套至用户处进行整体性能与标书文件核对，协助质疑答复。</w:t>
            </w:r>
          </w:p>
        </w:tc>
        <w:tc>
          <w:tcPr>
            <w:tcW w:w="736" w:type="dxa"/>
            <w:noWrap w:val="0"/>
            <w:vAlign w:val="center"/>
          </w:tcPr>
          <w:p w14:paraId="17328EA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620BE0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3396" w:type="dxa"/>
            <w:gridSpan w:val="2"/>
            <w:noWrap w:val="0"/>
            <w:vAlign w:val="center"/>
          </w:tcPr>
          <w:p w14:paraId="2FF762EE">
            <w:pPr>
              <w:jc w:val="center"/>
              <w:rPr>
                <w:highlight w:val="none"/>
              </w:rPr>
            </w:pPr>
            <w:r>
              <w:rPr>
                <w:highlight w:val="none"/>
              </w:rPr>
              <w:drawing>
                <wp:inline distT="0" distB="0" distL="114300" distR="114300">
                  <wp:extent cx="1970405" cy="648335"/>
                  <wp:effectExtent l="0" t="0" r="10795" b="1206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4"/>
                          <a:stretch>
                            <a:fillRect/>
                          </a:stretch>
                        </pic:blipFill>
                        <pic:spPr>
                          <a:xfrm>
                            <a:off x="0" y="0"/>
                            <a:ext cx="1970405" cy="648335"/>
                          </a:xfrm>
                          <a:prstGeom prst="rect">
                            <a:avLst/>
                          </a:prstGeom>
                          <a:noFill/>
                          <a:ln>
                            <a:noFill/>
                          </a:ln>
                        </pic:spPr>
                      </pic:pic>
                    </a:graphicData>
                  </a:graphic>
                </wp:inline>
              </w:drawing>
            </w:r>
          </w:p>
        </w:tc>
        <w:tc>
          <w:tcPr>
            <w:tcW w:w="710" w:type="dxa"/>
            <w:gridSpan w:val="2"/>
            <w:noWrap w:val="0"/>
            <w:vAlign w:val="center"/>
          </w:tcPr>
          <w:p w14:paraId="23F7E25A">
            <w:pPr>
              <w:jc w:val="both"/>
              <w:rPr>
                <w:highlight w:val="none"/>
                <w:vertAlign w:val="baseline"/>
              </w:rPr>
            </w:pPr>
          </w:p>
        </w:tc>
      </w:tr>
      <w:tr w14:paraId="15A4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4D2B02">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411EC083">
            <w:pPr>
              <w:jc w:val="center"/>
              <w:rPr>
                <w:rFonts w:hint="eastAsia"/>
                <w:highlight w:val="none"/>
                <w:vertAlign w:val="baseline"/>
              </w:rPr>
            </w:pPr>
            <w:r>
              <w:rPr>
                <w:rFonts w:hint="eastAsia"/>
                <w:highlight w:val="none"/>
                <w:vertAlign w:val="baseline"/>
              </w:rPr>
              <w:t>壁挂式视频展台</w:t>
            </w:r>
          </w:p>
        </w:tc>
        <w:tc>
          <w:tcPr>
            <w:tcW w:w="5928" w:type="dxa"/>
            <w:noWrap w:val="0"/>
            <w:vAlign w:val="center"/>
          </w:tcPr>
          <w:p w14:paraId="6E4D1ED3">
            <w:pPr>
              <w:jc w:val="left"/>
              <w:rPr>
                <w:rFonts w:hint="eastAsia"/>
                <w:highlight w:val="none"/>
                <w:vertAlign w:val="baseline"/>
              </w:rPr>
            </w:pPr>
            <w:r>
              <w:rPr>
                <w:rFonts w:hint="eastAsia"/>
                <w:highlight w:val="none"/>
                <w:vertAlign w:val="baseline"/>
              </w:rPr>
              <w:t>一、硬件要求：</w:t>
            </w:r>
          </w:p>
          <w:p w14:paraId="24B82F7C">
            <w:pPr>
              <w:jc w:val="left"/>
              <w:rPr>
                <w:rFonts w:hint="eastAsia"/>
                <w:highlight w:val="none"/>
                <w:vertAlign w:val="baseline"/>
              </w:rPr>
            </w:pPr>
            <w:r>
              <w:rPr>
                <w:rFonts w:hint="eastAsia"/>
                <w:highlight w:val="none"/>
                <w:vertAlign w:val="baseline"/>
              </w:rPr>
              <w:t>1.采用≥800万像素摄像头；采用 USB电源直接供电，无需额外配置电源适配器；箱内USB连线采用隐藏式设计，箱内无可见连线且USB口下出。</w:t>
            </w:r>
          </w:p>
          <w:p w14:paraId="142A0E2F">
            <w:pPr>
              <w:jc w:val="left"/>
              <w:rPr>
                <w:rFonts w:hint="eastAsia"/>
                <w:highlight w:val="none"/>
                <w:vertAlign w:val="baseline"/>
              </w:rPr>
            </w:pPr>
            <w:r>
              <w:rPr>
                <w:rFonts w:hint="eastAsia"/>
                <w:highlight w:val="none"/>
                <w:vertAlign w:val="baseline"/>
              </w:rPr>
              <w:t>2.A4大小拍摄幅面，1080P动态视频预览达到30帧/秒。</w:t>
            </w:r>
          </w:p>
          <w:p w14:paraId="3FAA88AA">
            <w:pPr>
              <w:jc w:val="left"/>
              <w:rPr>
                <w:rFonts w:hint="eastAsia"/>
                <w:highlight w:val="none"/>
                <w:vertAlign w:val="baseline"/>
              </w:rPr>
            </w:pPr>
            <w:r>
              <w:rPr>
                <w:rFonts w:hint="eastAsia"/>
                <w:highlight w:val="none"/>
                <w:vertAlign w:val="baseline"/>
              </w:rPr>
              <w:t>3.整机采用圆弧式设计，无锐角；托板可承重3kg，同时托板采用磁吸吸附式机构。</w:t>
            </w:r>
          </w:p>
          <w:p w14:paraId="63B925A9">
            <w:pPr>
              <w:jc w:val="left"/>
              <w:rPr>
                <w:rFonts w:hint="eastAsia"/>
                <w:highlight w:val="none"/>
                <w:vertAlign w:val="baseline"/>
              </w:rPr>
            </w:pPr>
            <w:r>
              <w:rPr>
                <w:rFonts w:hint="eastAsia"/>
                <w:highlight w:val="none"/>
                <w:vertAlign w:val="baseline"/>
              </w:rPr>
              <w:t>4.展示托板正上方具备LED补光灯补光灯开关采用触摸按键设计，同时可通过视频展台软件直接控制开关；</w:t>
            </w:r>
          </w:p>
          <w:p w14:paraId="3AD13C11">
            <w:pPr>
              <w:jc w:val="left"/>
              <w:rPr>
                <w:rFonts w:hint="eastAsia"/>
                <w:highlight w:val="none"/>
                <w:vertAlign w:val="baseline"/>
              </w:rPr>
            </w:pPr>
            <w:r>
              <w:rPr>
                <w:rFonts w:hint="eastAsia"/>
                <w:highlight w:val="none"/>
                <w:vertAlign w:val="baseline"/>
              </w:rPr>
              <w:t>5.摄像头支持自动对焦；摄像头部分进行外壳防护等级试验，防护等级达到IP4X级别。</w:t>
            </w:r>
          </w:p>
          <w:p w14:paraId="74BCE88D">
            <w:pPr>
              <w:jc w:val="left"/>
              <w:rPr>
                <w:rFonts w:hint="eastAsia"/>
                <w:highlight w:val="none"/>
                <w:vertAlign w:val="baseline"/>
              </w:rPr>
            </w:pPr>
            <w:r>
              <w:rPr>
                <w:rFonts w:hint="eastAsia"/>
                <w:highlight w:val="none"/>
                <w:vertAlign w:val="baseline"/>
              </w:rPr>
              <w:t>二、软件要求：</w:t>
            </w:r>
          </w:p>
          <w:p w14:paraId="5F4CCCBF">
            <w:pPr>
              <w:jc w:val="left"/>
              <w:rPr>
                <w:rFonts w:hint="eastAsia"/>
                <w:highlight w:val="none"/>
                <w:vertAlign w:val="baseline"/>
              </w:rPr>
            </w:pPr>
            <w:r>
              <w:rPr>
                <w:rFonts w:hint="eastAsia"/>
                <w:highlight w:val="none"/>
                <w:vertAlign w:val="baseline"/>
              </w:rPr>
              <w:t>1.支持对展台画面进行放大、缩小、旋转、自适应、冻结画面等操作。</w:t>
            </w:r>
          </w:p>
          <w:p w14:paraId="0E189AAB">
            <w:pPr>
              <w:jc w:val="left"/>
              <w:rPr>
                <w:rFonts w:hint="eastAsia"/>
                <w:highlight w:val="none"/>
                <w:vertAlign w:val="baseline"/>
              </w:rPr>
            </w:pPr>
            <w:r>
              <w:rPr>
                <w:rFonts w:hint="eastAsia"/>
                <w:highlight w:val="none"/>
                <w:vertAlign w:val="baseline"/>
              </w:rPr>
              <w:t>2.支持展台画面实时批注，预设多种笔划粗细及颜色供选择，且支持对展台画面联同批注内容进行同步缩放、移动。</w:t>
            </w:r>
          </w:p>
          <w:p w14:paraId="2C9B3B0B">
            <w:pPr>
              <w:jc w:val="left"/>
              <w:rPr>
                <w:rFonts w:hint="eastAsia"/>
                <w:highlight w:val="none"/>
                <w:vertAlign w:val="baseline"/>
              </w:rPr>
            </w:pPr>
            <w:r>
              <w:rPr>
                <w:rFonts w:hint="eastAsia"/>
                <w:highlight w:val="none"/>
                <w:vertAlign w:val="baseline"/>
              </w:rPr>
              <w:t>3.支持展台画面拍照截图并进行多图预览，可对任一图片进行全屏显示。</w:t>
            </w:r>
          </w:p>
          <w:p w14:paraId="294CC50A">
            <w:pPr>
              <w:jc w:val="left"/>
              <w:rPr>
                <w:rFonts w:hint="eastAsia"/>
                <w:highlight w:val="none"/>
                <w:vertAlign w:val="baseline"/>
              </w:rPr>
            </w:pPr>
            <w:r>
              <w:rPr>
                <w:rFonts w:hint="eastAsia"/>
                <w:highlight w:val="none"/>
                <w:vertAlign w:val="baseline"/>
              </w:rPr>
              <w:t>4.老师可在一体机或电脑上选择延时拍照功能，支持5秒或10秒延时模式，可调整拍摄内容。</w:t>
            </w:r>
          </w:p>
          <w:p w14:paraId="2162CC15">
            <w:pPr>
              <w:jc w:val="left"/>
              <w:rPr>
                <w:rFonts w:hint="eastAsia"/>
                <w:highlight w:val="none"/>
                <w:vertAlign w:val="baseline"/>
              </w:rPr>
            </w:pPr>
            <w:r>
              <w:rPr>
                <w:rFonts w:hint="eastAsia"/>
                <w:highlight w:val="none"/>
                <w:vertAlign w:val="baseline"/>
              </w:rPr>
              <w:t>5.具备图像增强功能，可自动裁剪背景并增强文字显示，使文档画面更清晰。</w:t>
            </w:r>
          </w:p>
          <w:p w14:paraId="1814657A">
            <w:pPr>
              <w:jc w:val="left"/>
              <w:rPr>
                <w:rFonts w:hint="eastAsia"/>
                <w:highlight w:val="none"/>
                <w:vertAlign w:val="baseline"/>
              </w:rPr>
            </w:pPr>
            <w:r>
              <w:rPr>
                <w:rFonts w:hint="eastAsia"/>
                <w:highlight w:val="none"/>
                <w:vertAlign w:val="baseline"/>
              </w:rPr>
              <w:t>6.可选择图像、文本或动态等多种情景模式，适应不同展示内容。</w:t>
            </w:r>
          </w:p>
          <w:p w14:paraId="41C9D51C">
            <w:pPr>
              <w:jc w:val="left"/>
              <w:rPr>
                <w:rFonts w:hint="eastAsia"/>
                <w:highlight w:val="none"/>
                <w:vertAlign w:val="baseline"/>
              </w:rPr>
            </w:pPr>
            <w:r>
              <w:rPr>
                <w:rFonts w:hint="eastAsia"/>
                <w:highlight w:val="none"/>
                <w:vertAlign w:val="baseline"/>
              </w:rPr>
              <w:t>7.二维码扫码：打开扫一扫功能后，将书本上的二维码放入扫描框内即可自动扫描，并进入系统浏览器获取二维码的链接内容，可获取电子教学资源。</w:t>
            </w:r>
          </w:p>
          <w:p w14:paraId="3C159F00">
            <w:pPr>
              <w:jc w:val="left"/>
              <w:rPr>
                <w:rFonts w:hint="eastAsia"/>
                <w:highlight w:val="none"/>
                <w:vertAlign w:val="baseline"/>
              </w:rPr>
            </w:pPr>
            <w:r>
              <w:rPr>
                <w:rFonts w:hint="eastAsia"/>
                <w:highlight w:val="none"/>
                <w:vertAlign w:val="baseline"/>
              </w:rPr>
              <w:t>8.支持故障自动检测，在软件无法出现展台拍摄画面时，自动出现检测链接，检测“无画面”的原因，并给出引导性解决方案。可判断硬件连接、显卡驱动、摄像头占用、软件版本等问题。</w:t>
            </w:r>
          </w:p>
        </w:tc>
        <w:tc>
          <w:tcPr>
            <w:tcW w:w="736" w:type="dxa"/>
            <w:noWrap w:val="0"/>
            <w:vAlign w:val="center"/>
          </w:tcPr>
          <w:p w14:paraId="243C4E4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6CD5215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54F1F60D">
            <w:pPr>
              <w:jc w:val="center"/>
              <w:rPr>
                <w:highlight w:val="none"/>
              </w:rPr>
            </w:pPr>
            <w:r>
              <w:rPr>
                <w:highlight w:val="none"/>
              </w:rPr>
              <w:drawing>
                <wp:inline distT="0" distB="0" distL="114300" distR="114300">
                  <wp:extent cx="1807845" cy="2016760"/>
                  <wp:effectExtent l="0" t="0" r="8255" b="254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5"/>
                          <a:stretch>
                            <a:fillRect/>
                          </a:stretch>
                        </pic:blipFill>
                        <pic:spPr>
                          <a:xfrm>
                            <a:off x="0" y="0"/>
                            <a:ext cx="1807845" cy="2016760"/>
                          </a:xfrm>
                          <a:prstGeom prst="rect">
                            <a:avLst/>
                          </a:prstGeom>
                          <a:noFill/>
                          <a:ln>
                            <a:noFill/>
                          </a:ln>
                        </pic:spPr>
                      </pic:pic>
                    </a:graphicData>
                  </a:graphic>
                </wp:inline>
              </w:drawing>
            </w:r>
          </w:p>
        </w:tc>
        <w:tc>
          <w:tcPr>
            <w:tcW w:w="710" w:type="dxa"/>
            <w:gridSpan w:val="2"/>
            <w:noWrap w:val="0"/>
            <w:vAlign w:val="center"/>
          </w:tcPr>
          <w:p w14:paraId="51A5BF4A">
            <w:pPr>
              <w:jc w:val="both"/>
              <w:rPr>
                <w:highlight w:val="none"/>
                <w:vertAlign w:val="baseline"/>
              </w:rPr>
            </w:pPr>
          </w:p>
        </w:tc>
      </w:tr>
      <w:tr w14:paraId="774C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5E2446">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7673EFE8">
            <w:pPr>
              <w:jc w:val="center"/>
              <w:rPr>
                <w:rFonts w:hint="eastAsia"/>
                <w:highlight w:val="none"/>
                <w:vertAlign w:val="baseline"/>
              </w:rPr>
            </w:pPr>
            <w:r>
              <w:rPr>
                <w:rFonts w:hint="eastAsia"/>
                <w:highlight w:val="none"/>
                <w:vertAlign w:val="baseline"/>
              </w:rPr>
              <w:t>一体化有源音箱</w:t>
            </w:r>
          </w:p>
        </w:tc>
        <w:tc>
          <w:tcPr>
            <w:tcW w:w="5928" w:type="dxa"/>
            <w:noWrap w:val="0"/>
            <w:vAlign w:val="center"/>
          </w:tcPr>
          <w:p w14:paraId="514E9867">
            <w:pPr>
              <w:jc w:val="left"/>
              <w:rPr>
                <w:rFonts w:hint="eastAsia"/>
                <w:highlight w:val="none"/>
                <w:vertAlign w:val="baseline"/>
              </w:rPr>
            </w:pPr>
            <w:r>
              <w:rPr>
                <w:rFonts w:hint="eastAsia"/>
                <w:highlight w:val="none"/>
                <w:vertAlign w:val="baseline"/>
              </w:rPr>
              <w:t>1.采用功放与有源音箱一体化设计，内置麦克风无线接收模块，帮助教师实现多媒体扩音以及本地扩声功能。</w:t>
            </w:r>
          </w:p>
          <w:p w14:paraId="52A8B4DB">
            <w:pPr>
              <w:jc w:val="left"/>
              <w:rPr>
                <w:rFonts w:hint="eastAsia"/>
                <w:highlight w:val="none"/>
                <w:vertAlign w:val="baseline"/>
              </w:rPr>
            </w:pPr>
            <w:r>
              <w:rPr>
                <w:rFonts w:hint="eastAsia"/>
                <w:highlight w:val="none"/>
                <w:vertAlign w:val="baseline"/>
              </w:rPr>
              <w:t>2.输出额定功率≥ 2x15W。</w:t>
            </w:r>
          </w:p>
          <w:p w14:paraId="52FD0E14">
            <w:pPr>
              <w:jc w:val="left"/>
              <w:rPr>
                <w:rFonts w:hint="eastAsia"/>
                <w:highlight w:val="none"/>
                <w:vertAlign w:val="baseline"/>
              </w:rPr>
            </w:pPr>
            <w:r>
              <w:rPr>
                <w:rFonts w:hint="eastAsia"/>
                <w:highlight w:val="none"/>
                <w:vertAlign w:val="baseline"/>
              </w:rPr>
              <w:t>3.音箱灵敏度≥85dB，1W/1M。</w:t>
            </w:r>
          </w:p>
          <w:p w14:paraId="1870956A">
            <w:pPr>
              <w:jc w:val="left"/>
              <w:rPr>
                <w:rFonts w:hint="eastAsia"/>
                <w:highlight w:val="none"/>
                <w:vertAlign w:val="baseline"/>
              </w:rPr>
            </w:pPr>
            <w:r>
              <w:rPr>
                <w:rFonts w:hint="eastAsia"/>
                <w:highlight w:val="none"/>
                <w:vertAlign w:val="baseline"/>
              </w:rPr>
              <w:t>4.信噪比≥80dB@额定功率、A计权。</w:t>
            </w:r>
          </w:p>
          <w:p w14:paraId="11A847CE">
            <w:pPr>
              <w:jc w:val="left"/>
              <w:rPr>
                <w:rFonts w:hint="eastAsia"/>
                <w:highlight w:val="none"/>
                <w:vertAlign w:val="baseline"/>
              </w:rPr>
            </w:pPr>
            <w:r>
              <w:rPr>
                <w:rFonts w:hint="eastAsia"/>
                <w:highlight w:val="none"/>
                <w:vertAlign w:val="baseline"/>
              </w:rPr>
              <w:t>5.全频喇叭单元尺寸≥5英寸。</w:t>
            </w:r>
          </w:p>
          <w:p w14:paraId="059F929D">
            <w:pPr>
              <w:jc w:val="left"/>
              <w:rPr>
                <w:rFonts w:hint="eastAsia"/>
                <w:highlight w:val="none"/>
                <w:vertAlign w:val="baseline"/>
              </w:rPr>
            </w:pPr>
            <w:r>
              <w:rPr>
                <w:rFonts w:hint="eastAsia"/>
                <w:highlight w:val="none"/>
                <w:vertAlign w:val="baseline"/>
              </w:rPr>
              <w:t>6.THD+N≤1%。</w:t>
            </w:r>
          </w:p>
          <w:p w14:paraId="35B36E90">
            <w:pPr>
              <w:jc w:val="left"/>
              <w:rPr>
                <w:rFonts w:hint="eastAsia"/>
                <w:highlight w:val="none"/>
                <w:vertAlign w:val="baseline"/>
              </w:rPr>
            </w:pPr>
            <w:r>
              <w:rPr>
                <w:rFonts w:hint="eastAsia"/>
                <w:highlight w:val="none"/>
                <w:vertAlign w:val="baseline"/>
              </w:rPr>
              <w:t>7.声频响110Hz-16kHz。</w:t>
            </w:r>
          </w:p>
          <w:p w14:paraId="6FEB8451">
            <w:pPr>
              <w:jc w:val="left"/>
              <w:rPr>
                <w:rFonts w:hint="eastAsia"/>
                <w:highlight w:val="none"/>
                <w:vertAlign w:val="baseline"/>
              </w:rPr>
            </w:pPr>
            <w:r>
              <w:rPr>
                <w:rFonts w:hint="eastAsia"/>
                <w:highlight w:val="none"/>
                <w:vertAlign w:val="baseline"/>
              </w:rPr>
              <w:t>8.距离音箱10米处声压级≥75dB。</w:t>
            </w:r>
          </w:p>
          <w:p w14:paraId="7A6E6664">
            <w:pPr>
              <w:jc w:val="left"/>
              <w:rPr>
                <w:rFonts w:hint="eastAsia"/>
                <w:highlight w:val="none"/>
                <w:vertAlign w:val="baseline"/>
              </w:rPr>
            </w:pPr>
            <w:r>
              <w:rPr>
                <w:rFonts w:hint="eastAsia"/>
                <w:highlight w:val="none"/>
                <w:vertAlign w:val="baseline"/>
              </w:rPr>
              <w:t>9.具备≥1路电源开关、1路LINE IN、1路USB 接口。USB接口可外接U盘设备对音箱固件进行升级。</w:t>
            </w:r>
          </w:p>
          <w:p w14:paraId="60D2F9FE">
            <w:pPr>
              <w:jc w:val="left"/>
              <w:rPr>
                <w:rFonts w:hint="eastAsia"/>
                <w:highlight w:val="none"/>
                <w:vertAlign w:val="baseline"/>
              </w:rPr>
            </w:pPr>
            <w:r>
              <w:rPr>
                <w:rFonts w:hint="eastAsia"/>
                <w:highlight w:val="none"/>
                <w:vertAlign w:val="baseline"/>
              </w:rPr>
              <w:t>10.支持无线麦克风扩音接收，采用Wi-Fi射频2.4GHz与 5GHz双频段传输，有效避免环境中运营商U段（700MHz）的信号干扰。</w:t>
            </w:r>
          </w:p>
          <w:p w14:paraId="3D76F9CA">
            <w:pPr>
              <w:jc w:val="left"/>
              <w:rPr>
                <w:rFonts w:hint="eastAsia"/>
                <w:highlight w:val="none"/>
                <w:vertAlign w:val="baseline"/>
              </w:rPr>
            </w:pPr>
            <w:r>
              <w:rPr>
                <w:rFonts w:hint="eastAsia"/>
                <w:highlight w:val="none"/>
                <w:vertAlign w:val="baseline"/>
              </w:rPr>
              <w:t>11.采用红外对码方式，避免连接到其他教室音箱。可快速完成与教学扩声麦克风对码，无需繁琐操作。</w:t>
            </w:r>
          </w:p>
          <w:p w14:paraId="557D3E93">
            <w:pPr>
              <w:jc w:val="left"/>
              <w:rPr>
                <w:rFonts w:hint="eastAsia"/>
                <w:highlight w:val="none"/>
                <w:vertAlign w:val="baseline"/>
              </w:rPr>
            </w:pPr>
            <w:r>
              <w:rPr>
                <w:rFonts w:hint="eastAsia"/>
                <w:highlight w:val="none"/>
                <w:vertAlign w:val="baseline"/>
              </w:rPr>
              <w:t>12.配置独立音频数字信号处理芯片，支持啸叫抑制功能。</w:t>
            </w:r>
          </w:p>
          <w:p w14:paraId="36BDC3AB">
            <w:pPr>
              <w:jc w:val="left"/>
              <w:rPr>
                <w:rFonts w:hint="eastAsia"/>
                <w:highlight w:val="none"/>
                <w:vertAlign w:val="baseline"/>
              </w:rPr>
            </w:pPr>
            <w:r>
              <w:rPr>
                <w:rFonts w:hint="eastAsia"/>
                <w:highlight w:val="none"/>
                <w:vertAlign w:val="baseline"/>
              </w:rPr>
              <w:t>13.支持蓝牙无线接收，可分享移动设备上的音频。支持密码模式，防止学生连接。</w:t>
            </w:r>
          </w:p>
          <w:p w14:paraId="130EC8FC">
            <w:pPr>
              <w:jc w:val="left"/>
              <w:rPr>
                <w:rFonts w:hint="eastAsia"/>
                <w:highlight w:val="none"/>
                <w:vertAlign w:val="baseline"/>
              </w:rPr>
            </w:pPr>
            <w:r>
              <w:rPr>
                <w:rFonts w:hint="eastAsia"/>
                <w:highlight w:val="none"/>
                <w:vertAlign w:val="baseline"/>
              </w:rPr>
              <w:t>14.支持安卓手机通过蓝牙无线连接音箱，实现控制有源音箱的音量、设置蓝牙名称、设置蓝牙密码等功能，方便教师对音箱的管控。</w:t>
            </w:r>
          </w:p>
          <w:p w14:paraId="620CEB18">
            <w:pPr>
              <w:jc w:val="left"/>
              <w:rPr>
                <w:rFonts w:hint="eastAsia"/>
                <w:highlight w:val="none"/>
                <w:vertAlign w:val="baseline"/>
              </w:rPr>
            </w:pPr>
            <w:r>
              <w:rPr>
                <w:rFonts w:hint="eastAsia"/>
                <w:highlight w:val="none"/>
                <w:vertAlign w:val="baseline"/>
              </w:rPr>
              <w:t>15.支持交互智能平板显示设备通过蓝牙无线连接音箱，实现控制有源音箱的音量的功能。</w:t>
            </w:r>
          </w:p>
          <w:p w14:paraId="365ED329">
            <w:pPr>
              <w:jc w:val="left"/>
              <w:rPr>
                <w:rFonts w:hint="eastAsia"/>
                <w:highlight w:val="none"/>
                <w:vertAlign w:val="baseline"/>
              </w:rPr>
            </w:pPr>
            <w:r>
              <w:rPr>
                <w:rFonts w:hint="eastAsia"/>
                <w:highlight w:val="none"/>
                <w:vertAlign w:val="baseline"/>
              </w:rPr>
              <w:t>16.主音箱与副音箱采用有线连接，保证声音还原度。</w:t>
            </w:r>
          </w:p>
          <w:p w14:paraId="349E22A8">
            <w:pPr>
              <w:jc w:val="left"/>
              <w:rPr>
                <w:rFonts w:hint="eastAsia"/>
                <w:highlight w:val="none"/>
                <w:vertAlign w:val="baseline"/>
              </w:rPr>
            </w:pPr>
            <w:r>
              <w:rPr>
                <w:rFonts w:hint="eastAsia"/>
                <w:highlight w:val="none"/>
                <w:vertAlign w:val="baseline"/>
              </w:rPr>
              <w:t>17.为确保与教室白色墙面一致，音箱采取白色外观设计，更加美观。</w:t>
            </w:r>
          </w:p>
        </w:tc>
        <w:tc>
          <w:tcPr>
            <w:tcW w:w="736" w:type="dxa"/>
            <w:noWrap w:val="0"/>
            <w:vAlign w:val="center"/>
          </w:tcPr>
          <w:p w14:paraId="380AC97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F015C0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对</w:t>
            </w:r>
          </w:p>
        </w:tc>
        <w:tc>
          <w:tcPr>
            <w:tcW w:w="3396" w:type="dxa"/>
            <w:gridSpan w:val="2"/>
            <w:noWrap w:val="0"/>
            <w:vAlign w:val="center"/>
          </w:tcPr>
          <w:p w14:paraId="11C7F30D">
            <w:pPr>
              <w:jc w:val="center"/>
              <w:rPr>
                <w:highlight w:val="none"/>
              </w:rPr>
            </w:pPr>
            <w:r>
              <w:rPr>
                <w:highlight w:val="none"/>
              </w:rPr>
              <w:drawing>
                <wp:inline distT="0" distB="0" distL="114300" distR="114300">
                  <wp:extent cx="1795145" cy="1988185"/>
                  <wp:effectExtent l="0" t="0" r="8255" b="571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26"/>
                          <a:srcRect l="18063" t="10515" r="9288" b="10626"/>
                          <a:stretch>
                            <a:fillRect/>
                          </a:stretch>
                        </pic:blipFill>
                        <pic:spPr>
                          <a:xfrm>
                            <a:off x="0" y="0"/>
                            <a:ext cx="1795145" cy="1988185"/>
                          </a:xfrm>
                          <a:prstGeom prst="rect">
                            <a:avLst/>
                          </a:prstGeom>
                          <a:noFill/>
                          <a:ln>
                            <a:noFill/>
                          </a:ln>
                        </pic:spPr>
                      </pic:pic>
                    </a:graphicData>
                  </a:graphic>
                </wp:inline>
              </w:drawing>
            </w:r>
          </w:p>
        </w:tc>
        <w:tc>
          <w:tcPr>
            <w:tcW w:w="710" w:type="dxa"/>
            <w:gridSpan w:val="2"/>
            <w:noWrap w:val="0"/>
            <w:vAlign w:val="center"/>
          </w:tcPr>
          <w:p w14:paraId="2FA18427">
            <w:pPr>
              <w:jc w:val="both"/>
              <w:rPr>
                <w:highlight w:val="none"/>
                <w:vertAlign w:val="baseline"/>
              </w:rPr>
            </w:pPr>
          </w:p>
        </w:tc>
      </w:tr>
      <w:tr w14:paraId="6399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837D8C">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0ADEF945">
            <w:pPr>
              <w:jc w:val="center"/>
              <w:rPr>
                <w:rFonts w:hint="eastAsia"/>
                <w:highlight w:val="none"/>
                <w:vertAlign w:val="baseline"/>
              </w:rPr>
            </w:pPr>
            <w:r>
              <w:rPr>
                <w:rFonts w:hint="eastAsia"/>
                <w:highlight w:val="none"/>
                <w:vertAlign w:val="baseline"/>
              </w:rPr>
              <w:t>智能翻页笔</w:t>
            </w:r>
          </w:p>
        </w:tc>
        <w:tc>
          <w:tcPr>
            <w:tcW w:w="5928" w:type="dxa"/>
            <w:noWrap w:val="0"/>
            <w:vAlign w:val="center"/>
          </w:tcPr>
          <w:p w14:paraId="5369708B">
            <w:pPr>
              <w:jc w:val="left"/>
              <w:rPr>
                <w:rFonts w:hint="eastAsia"/>
                <w:highlight w:val="none"/>
                <w:vertAlign w:val="baseline"/>
              </w:rPr>
            </w:pPr>
            <w:r>
              <w:rPr>
                <w:rFonts w:hint="eastAsia"/>
                <w:highlight w:val="none"/>
                <w:vertAlign w:val="baseline"/>
              </w:rPr>
              <w:t>1.笔身造型采用圆润一体化笔型设计，表面采用手感漆工艺便于握持；笔身长度≤17cm,笔身直径≤13mm，笔身重量≤18g。</w:t>
            </w:r>
          </w:p>
          <w:p w14:paraId="2C94385E">
            <w:pPr>
              <w:jc w:val="left"/>
              <w:rPr>
                <w:rFonts w:hint="eastAsia"/>
                <w:highlight w:val="none"/>
                <w:vertAlign w:val="baseline"/>
              </w:rPr>
            </w:pPr>
            <w:r>
              <w:rPr>
                <w:rFonts w:hint="eastAsia"/>
                <w:highlight w:val="none"/>
                <w:vertAlign w:val="baseline"/>
              </w:rPr>
              <w:t>2.笔身配置不少于五个按键，具备上下翻页，智能语音，远程聚光灯/放大，书写颜色切换，兼顾触摸书写以及远程操控的握持姿态；</w:t>
            </w:r>
          </w:p>
          <w:p w14:paraId="3FC425D5">
            <w:pPr>
              <w:jc w:val="left"/>
              <w:rPr>
                <w:rFonts w:hint="eastAsia"/>
                <w:highlight w:val="none"/>
                <w:vertAlign w:val="baseline"/>
              </w:rPr>
            </w:pPr>
            <w:r>
              <w:rPr>
                <w:rFonts w:hint="eastAsia"/>
                <w:highlight w:val="none"/>
                <w:vertAlign w:val="baseline"/>
              </w:rPr>
              <w:t>3.采用锥型笔尖设计，直径≤3mm；同时支持电容，红外触控设备书写，书写最小精度2mm；</w:t>
            </w:r>
          </w:p>
          <w:p w14:paraId="4E1957D8">
            <w:pPr>
              <w:jc w:val="left"/>
              <w:rPr>
                <w:rFonts w:hint="eastAsia"/>
                <w:highlight w:val="none"/>
                <w:vertAlign w:val="baseline"/>
              </w:rPr>
            </w:pPr>
            <w:r>
              <w:rPr>
                <w:rFonts w:hint="eastAsia"/>
                <w:highlight w:val="none"/>
                <w:vertAlign w:val="baseline"/>
              </w:rPr>
              <w:t>4.连续书写距离不小于7km；</w:t>
            </w:r>
          </w:p>
          <w:p w14:paraId="4FFDC132">
            <w:pPr>
              <w:jc w:val="left"/>
              <w:rPr>
                <w:rFonts w:hint="eastAsia"/>
                <w:highlight w:val="none"/>
                <w:vertAlign w:val="baseline"/>
              </w:rPr>
            </w:pPr>
            <w:r>
              <w:rPr>
                <w:rFonts w:hint="eastAsia"/>
                <w:highlight w:val="none"/>
                <w:vertAlign w:val="baseline"/>
              </w:rPr>
              <w:t>5.短按上下翻页按键，可实现白板软件/ppt/pdf等文档上下翻页；长按上下翻页按键3s，可实现ppt播放/退出；</w:t>
            </w:r>
          </w:p>
          <w:p w14:paraId="4E2B4DBE">
            <w:pPr>
              <w:jc w:val="left"/>
              <w:rPr>
                <w:rFonts w:hint="eastAsia"/>
                <w:highlight w:val="none"/>
                <w:vertAlign w:val="baseline"/>
              </w:rPr>
            </w:pPr>
            <w:r>
              <w:rPr>
                <w:rFonts w:hint="eastAsia"/>
                <w:highlight w:val="none"/>
                <w:vertAlign w:val="baseline"/>
              </w:rPr>
              <w:t>6.多功能按键：a.短按多功能按键，可实现播放/暂停音视频或flash；b.双击此按键，可实现空鼠/放大镜/聚光灯等功能切换，切换顺序空鼠&gt;放大镜&gt;聚光灯；c.长按此按键即可实现对应功能(空鼠/放大镜/聚光灯)；</w:t>
            </w:r>
          </w:p>
          <w:p w14:paraId="511F2F4B">
            <w:pPr>
              <w:jc w:val="left"/>
              <w:rPr>
                <w:rFonts w:hint="eastAsia"/>
                <w:highlight w:val="none"/>
                <w:vertAlign w:val="baseline"/>
              </w:rPr>
            </w:pPr>
            <w:r>
              <w:rPr>
                <w:rFonts w:hint="eastAsia"/>
                <w:highlight w:val="none"/>
                <w:vertAlign w:val="baseline"/>
              </w:rPr>
              <w:t>7.语音：内置麦克风，支持按键唤醒语音识别功能，避免杂音造成误唤醒；</w:t>
            </w:r>
          </w:p>
          <w:p w14:paraId="27BF5BE6">
            <w:pPr>
              <w:jc w:val="left"/>
              <w:rPr>
                <w:rFonts w:hint="eastAsia"/>
                <w:highlight w:val="none"/>
                <w:vertAlign w:val="baseline"/>
              </w:rPr>
            </w:pPr>
            <w:r>
              <w:rPr>
                <w:rFonts w:hint="eastAsia"/>
                <w:highlight w:val="none"/>
                <w:vertAlign w:val="baseline"/>
              </w:rPr>
              <w:t>8.支持唤醒语音识别时，可直接通过语音打开已安装的应用，可直接通过语音调用网络搜索引擎搜索查询相应资料，可进行语音转写输入，支持语音控制屏幕黑屏、亮屏，音量大小调整，返回桌面，截屏，关机等操作。</w:t>
            </w:r>
          </w:p>
          <w:p w14:paraId="69639F7E">
            <w:pPr>
              <w:jc w:val="left"/>
              <w:rPr>
                <w:rFonts w:hint="eastAsia"/>
                <w:highlight w:val="none"/>
                <w:vertAlign w:val="baseline"/>
              </w:rPr>
            </w:pPr>
            <w:r>
              <w:rPr>
                <w:rFonts w:hint="eastAsia"/>
                <w:highlight w:val="none"/>
                <w:vertAlign w:val="baseline"/>
              </w:rPr>
              <w:t>9.支持白板软件内，通过语音控制：切换书写、擦除、选择模式，最小化返回桌面，打开板中板，清空书写批注等操作；</w:t>
            </w:r>
          </w:p>
          <w:p w14:paraId="54F8C5EA">
            <w:pPr>
              <w:jc w:val="left"/>
              <w:rPr>
                <w:rFonts w:hint="eastAsia"/>
                <w:highlight w:val="none"/>
                <w:vertAlign w:val="baseline"/>
              </w:rPr>
            </w:pPr>
            <w:r>
              <w:rPr>
                <w:rFonts w:hint="eastAsia"/>
                <w:highlight w:val="none"/>
                <w:vertAlign w:val="baseline"/>
              </w:rPr>
              <w:t>10.支持按键调起批注功能，可通过按键实现批注颜色切换，长按按键可实现橡皮擦功能。</w:t>
            </w:r>
          </w:p>
          <w:p w14:paraId="2E17687F">
            <w:pPr>
              <w:jc w:val="left"/>
              <w:rPr>
                <w:rFonts w:hint="eastAsia"/>
                <w:highlight w:val="none"/>
                <w:vertAlign w:val="baseline"/>
              </w:rPr>
            </w:pPr>
            <w:r>
              <w:rPr>
                <w:rFonts w:hint="eastAsia"/>
                <w:highlight w:val="none"/>
                <w:vertAlign w:val="baseline"/>
              </w:rPr>
              <w:t>11.为保障用户在不同场景使用智能笔，支持无线dongle及蓝牙两种连接方式，支持蓝牙5.1协议；</w:t>
            </w:r>
          </w:p>
          <w:p w14:paraId="01324416">
            <w:pPr>
              <w:jc w:val="left"/>
              <w:rPr>
                <w:rFonts w:hint="eastAsia"/>
                <w:highlight w:val="none"/>
                <w:vertAlign w:val="baseline"/>
              </w:rPr>
            </w:pPr>
            <w:r>
              <w:rPr>
                <w:rFonts w:hint="eastAsia"/>
                <w:highlight w:val="none"/>
                <w:vertAlign w:val="baseline"/>
              </w:rPr>
              <w:t>12.无线dongle&amp;蓝牙连接距离≥12m，上下翻页/语音控制/远程批注实现距离≥12m，覆盖标准教室；</w:t>
            </w:r>
          </w:p>
          <w:p w14:paraId="638B2ED5">
            <w:pPr>
              <w:jc w:val="left"/>
              <w:rPr>
                <w:rFonts w:hint="eastAsia"/>
                <w:highlight w:val="none"/>
                <w:vertAlign w:val="baseline"/>
              </w:rPr>
            </w:pPr>
            <w:r>
              <w:rPr>
                <w:rFonts w:hint="eastAsia"/>
                <w:highlight w:val="none"/>
                <w:vertAlign w:val="baseline"/>
              </w:rPr>
              <w:t>13.内置锂电池，支持type-c充电，待机时间≥60h，连续书写时间≥8h，从无电到满电的充电时长≤1小时；</w:t>
            </w:r>
          </w:p>
          <w:p w14:paraId="6DDF4099">
            <w:pPr>
              <w:jc w:val="left"/>
              <w:rPr>
                <w:rFonts w:hint="eastAsia"/>
                <w:highlight w:val="none"/>
                <w:vertAlign w:val="baseline"/>
              </w:rPr>
            </w:pPr>
            <w:r>
              <w:rPr>
                <w:rFonts w:hint="eastAsia"/>
                <w:highlight w:val="none"/>
                <w:vertAlign w:val="baseline"/>
              </w:rPr>
              <w:t>支持智能休眠节电，当设备&gt;5min无人操作时，设备自动进入休眠节电模式；</w:t>
            </w:r>
          </w:p>
        </w:tc>
        <w:tc>
          <w:tcPr>
            <w:tcW w:w="736" w:type="dxa"/>
            <w:noWrap w:val="0"/>
            <w:vAlign w:val="center"/>
          </w:tcPr>
          <w:p w14:paraId="29775AF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65BDD8E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支</w:t>
            </w:r>
          </w:p>
        </w:tc>
        <w:tc>
          <w:tcPr>
            <w:tcW w:w="3396" w:type="dxa"/>
            <w:gridSpan w:val="2"/>
            <w:noWrap w:val="0"/>
            <w:vAlign w:val="center"/>
          </w:tcPr>
          <w:p w14:paraId="66524C1D">
            <w:pPr>
              <w:jc w:val="center"/>
              <w:rPr>
                <w:highlight w:val="none"/>
              </w:rPr>
            </w:pPr>
            <w:r>
              <w:rPr>
                <w:highlight w:val="none"/>
              </w:rPr>
              <w:drawing>
                <wp:inline distT="0" distB="0" distL="114300" distR="114300">
                  <wp:extent cx="691515" cy="1882140"/>
                  <wp:effectExtent l="0" t="0" r="10160" b="698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7"/>
                          <a:stretch>
                            <a:fillRect/>
                          </a:stretch>
                        </pic:blipFill>
                        <pic:spPr>
                          <a:xfrm rot="-5400000">
                            <a:off x="0" y="0"/>
                            <a:ext cx="691515" cy="1882140"/>
                          </a:xfrm>
                          <a:prstGeom prst="rect">
                            <a:avLst/>
                          </a:prstGeom>
                          <a:noFill/>
                          <a:ln>
                            <a:noFill/>
                          </a:ln>
                        </pic:spPr>
                      </pic:pic>
                    </a:graphicData>
                  </a:graphic>
                </wp:inline>
              </w:drawing>
            </w:r>
          </w:p>
        </w:tc>
        <w:tc>
          <w:tcPr>
            <w:tcW w:w="710" w:type="dxa"/>
            <w:gridSpan w:val="2"/>
            <w:noWrap w:val="0"/>
            <w:vAlign w:val="center"/>
          </w:tcPr>
          <w:p w14:paraId="27934A5F">
            <w:pPr>
              <w:jc w:val="both"/>
              <w:rPr>
                <w:highlight w:val="none"/>
                <w:vertAlign w:val="baseline"/>
              </w:rPr>
            </w:pPr>
          </w:p>
        </w:tc>
      </w:tr>
      <w:tr w14:paraId="4400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465D12">
            <w:pPr>
              <w:jc w:val="center"/>
              <w:rPr>
                <w:rFonts w:hint="default"/>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7EC7F56A">
            <w:pPr>
              <w:jc w:val="center"/>
              <w:rPr>
                <w:rFonts w:hint="eastAsia"/>
                <w:highlight w:val="none"/>
                <w:vertAlign w:val="baseline"/>
              </w:rPr>
            </w:pPr>
            <w:r>
              <w:rPr>
                <w:rFonts w:hint="eastAsia"/>
                <w:highlight w:val="none"/>
                <w:vertAlign w:val="baseline"/>
              </w:rPr>
              <w:t>多媒体设备集中管理控制系统</w:t>
            </w:r>
          </w:p>
        </w:tc>
        <w:tc>
          <w:tcPr>
            <w:tcW w:w="5928" w:type="dxa"/>
            <w:noWrap w:val="0"/>
            <w:vAlign w:val="center"/>
          </w:tcPr>
          <w:p w14:paraId="4293AA75">
            <w:pPr>
              <w:jc w:val="left"/>
              <w:rPr>
                <w:rFonts w:hint="eastAsia"/>
                <w:highlight w:val="none"/>
                <w:vertAlign w:val="baseline"/>
              </w:rPr>
            </w:pPr>
            <w:r>
              <w:rPr>
                <w:rFonts w:hint="eastAsia"/>
                <w:highlight w:val="none"/>
                <w:vertAlign w:val="baseline"/>
              </w:rPr>
              <w:t>一、整体设计</w:t>
            </w:r>
          </w:p>
          <w:p w14:paraId="1FD7A749">
            <w:pPr>
              <w:jc w:val="left"/>
              <w:rPr>
                <w:rFonts w:hint="eastAsia"/>
                <w:highlight w:val="none"/>
                <w:vertAlign w:val="baseline"/>
              </w:rPr>
            </w:pPr>
            <w:r>
              <w:rPr>
                <w:rFonts w:hint="eastAsia"/>
                <w:highlight w:val="none"/>
                <w:vertAlign w:val="baseline"/>
              </w:rPr>
              <w:t>1、管理平台采用B/S混合云架构设计，无需本地额外部署服务器等设备，即可支持对教学信息化设备运行数据的监测。</w:t>
            </w:r>
          </w:p>
          <w:p w14:paraId="42FC2553">
            <w:pPr>
              <w:jc w:val="left"/>
              <w:rPr>
                <w:rFonts w:hint="eastAsia"/>
                <w:highlight w:val="none"/>
                <w:vertAlign w:val="baseline"/>
              </w:rPr>
            </w:pPr>
            <w:r>
              <w:rPr>
                <w:rFonts w:hint="eastAsia"/>
                <w:highlight w:val="none"/>
                <w:vertAlign w:val="baseline"/>
              </w:rPr>
              <w:t>2、支持在Windows、Linux、Android、IOS等多种操作系统通过网页浏览器登陆操作，提供多种智能身份识别方式：支持通过账号登录、手机扫码登录等方式。</w:t>
            </w:r>
          </w:p>
          <w:p w14:paraId="5407FC6F">
            <w:pPr>
              <w:jc w:val="left"/>
              <w:rPr>
                <w:rFonts w:hint="eastAsia"/>
                <w:highlight w:val="none"/>
                <w:vertAlign w:val="baseline"/>
              </w:rPr>
            </w:pPr>
            <w:r>
              <w:rPr>
                <w:rFonts w:hint="eastAsia"/>
                <w:highlight w:val="none"/>
                <w:vertAlign w:val="baseline"/>
              </w:rPr>
              <w:t>3、管理平台提供管理员移动管理平台，免安装并支持Android、IOS等多种移动操作系统，便于远程管理及告警信息通知。</w:t>
            </w:r>
          </w:p>
          <w:p w14:paraId="1AB64F11">
            <w:pPr>
              <w:jc w:val="left"/>
              <w:rPr>
                <w:rFonts w:hint="eastAsia"/>
                <w:highlight w:val="none"/>
                <w:vertAlign w:val="baseline"/>
              </w:rPr>
            </w:pPr>
            <w:r>
              <w:rPr>
                <w:rFonts w:hint="eastAsia"/>
                <w:highlight w:val="none"/>
                <w:vertAlign w:val="baseline"/>
              </w:rPr>
              <w:t>二、智能教学设备管理</w:t>
            </w:r>
          </w:p>
          <w:p w14:paraId="4D917757">
            <w:pPr>
              <w:jc w:val="left"/>
              <w:rPr>
                <w:rFonts w:hint="eastAsia"/>
                <w:highlight w:val="none"/>
                <w:vertAlign w:val="baseline"/>
              </w:rPr>
            </w:pPr>
            <w:r>
              <w:rPr>
                <w:rFonts w:hint="eastAsia"/>
                <w:highlight w:val="none"/>
                <w:vertAlign w:val="baseline"/>
              </w:rPr>
              <w:t>1、管理平台为学校提供专属识别代码，可支持交互智能设备在广域网环境下，输入专属代码接入管理平台即可在通过管理平台可开启或关闭指定交互智能设备的任意磁盘分区数据还原（冰点）保护。</w:t>
            </w:r>
          </w:p>
          <w:p w14:paraId="19A95CC8">
            <w:pPr>
              <w:jc w:val="left"/>
              <w:rPr>
                <w:rFonts w:hint="eastAsia"/>
                <w:highlight w:val="none"/>
                <w:vertAlign w:val="baseline"/>
              </w:rPr>
            </w:pPr>
            <w:r>
              <w:rPr>
                <w:rFonts w:hint="eastAsia"/>
                <w:highlight w:val="none"/>
                <w:vertAlign w:val="baseline"/>
              </w:rPr>
              <w:t>2、管理平台实时监控已连接的交互智能设备状态，支持多台设备的略缩预览和单设备全屏查看；可远程监控交互智能设备开关机状态、CPU温度、CPU使用率、硬盘空间、硬盘已使用状况、内存容量、内存使用率、管理软件版本、设备ID。</w:t>
            </w:r>
          </w:p>
          <w:p w14:paraId="6AC4DED9">
            <w:pPr>
              <w:jc w:val="left"/>
              <w:rPr>
                <w:rFonts w:hint="eastAsia"/>
                <w:highlight w:val="none"/>
                <w:vertAlign w:val="baseline"/>
              </w:rPr>
            </w:pPr>
            <w:r>
              <w:rPr>
                <w:rFonts w:hint="eastAsia"/>
                <w:highlight w:val="none"/>
                <w:vertAlign w:val="baseline"/>
              </w:rPr>
              <w:t>3、支持不少于 10 台设备的略缩预览。</w:t>
            </w:r>
          </w:p>
          <w:p w14:paraId="6EE39C34">
            <w:pPr>
              <w:jc w:val="left"/>
              <w:rPr>
                <w:rFonts w:hint="eastAsia"/>
                <w:highlight w:val="none"/>
                <w:vertAlign w:val="baseline"/>
              </w:rPr>
            </w:pPr>
            <w:r>
              <w:rPr>
                <w:rFonts w:hint="eastAsia"/>
                <w:highlight w:val="none"/>
                <w:vertAlign w:val="baseline"/>
              </w:rPr>
              <w:t>4、管理平台可对局域网内的交互智能终端进行远程实时控制，能够监控设备当前运行界面，并远程对设备操作界面进行控制。</w:t>
            </w:r>
          </w:p>
          <w:p w14:paraId="46FAEE54">
            <w:pPr>
              <w:jc w:val="left"/>
              <w:rPr>
                <w:rFonts w:hint="eastAsia"/>
                <w:highlight w:val="none"/>
                <w:vertAlign w:val="baseline"/>
              </w:rPr>
            </w:pPr>
            <w:r>
              <w:rPr>
                <w:rFonts w:hint="eastAsia"/>
                <w:highlight w:val="none"/>
                <w:vertAlign w:val="baseline"/>
              </w:rPr>
              <w:t>5、管理平台可控制连接广域网的交互智能设备整机关机、开机和重启；可批量设定智能设备开关机的执行时间，并支持自定义循环模式（循环操作、定时操作）。</w:t>
            </w:r>
          </w:p>
          <w:p w14:paraId="46A83274">
            <w:pPr>
              <w:jc w:val="left"/>
              <w:rPr>
                <w:rFonts w:hint="eastAsia"/>
                <w:highlight w:val="none"/>
                <w:vertAlign w:val="baseline"/>
              </w:rPr>
            </w:pPr>
            <w:r>
              <w:rPr>
                <w:rFonts w:hint="eastAsia"/>
                <w:highlight w:val="none"/>
                <w:vertAlign w:val="baseline"/>
              </w:rPr>
              <w:t>6、管理平台可远程对选定的交互智能设备推送动态文字滚动公告，可对公告文字的颜色、粗体以及播放次数、推送时间进行设置。</w:t>
            </w:r>
          </w:p>
          <w:p w14:paraId="196D758D">
            <w:pPr>
              <w:jc w:val="left"/>
              <w:rPr>
                <w:rFonts w:hint="eastAsia"/>
                <w:highlight w:val="none"/>
                <w:vertAlign w:val="baseline"/>
              </w:rPr>
            </w:pPr>
            <w:r>
              <w:rPr>
                <w:rFonts w:hint="eastAsia"/>
                <w:highlight w:val="none"/>
                <w:vertAlign w:val="baseline"/>
              </w:rPr>
              <w:t>7、管理平台可远程开启指定交互智能设备倒计日功能并设定倒计日截止日期。</w:t>
            </w:r>
          </w:p>
          <w:p w14:paraId="7E3C6543">
            <w:pPr>
              <w:jc w:val="left"/>
              <w:rPr>
                <w:rFonts w:hint="eastAsia"/>
                <w:highlight w:val="none"/>
                <w:vertAlign w:val="baseline"/>
              </w:rPr>
            </w:pPr>
            <w:r>
              <w:rPr>
                <w:rFonts w:hint="eastAsia"/>
                <w:highlight w:val="none"/>
                <w:vertAlign w:val="baseline"/>
              </w:rPr>
              <w:t>8、管理平台提供巡课值守模式，自动轮循显示所有的交互智能设备使用界面。</w:t>
            </w:r>
          </w:p>
          <w:p w14:paraId="1B21167A">
            <w:pPr>
              <w:jc w:val="left"/>
              <w:rPr>
                <w:rFonts w:hint="eastAsia"/>
                <w:highlight w:val="none"/>
                <w:vertAlign w:val="baseline"/>
              </w:rPr>
            </w:pPr>
            <w:r>
              <w:rPr>
                <w:rFonts w:hint="eastAsia"/>
                <w:highlight w:val="none"/>
                <w:vertAlign w:val="baseline"/>
              </w:rPr>
              <w:t>9、管理平台实时显示交互智能设备异常的告警提示，并同步将异常信息推送至管理员移动端工作平台。</w:t>
            </w:r>
          </w:p>
          <w:p w14:paraId="1C3492E6">
            <w:pPr>
              <w:jc w:val="left"/>
              <w:rPr>
                <w:rFonts w:hint="eastAsia"/>
                <w:highlight w:val="none"/>
                <w:vertAlign w:val="baseline"/>
              </w:rPr>
            </w:pPr>
            <w:r>
              <w:rPr>
                <w:rFonts w:hint="eastAsia"/>
                <w:highlight w:val="none"/>
                <w:vertAlign w:val="baseline"/>
              </w:rPr>
              <w:t>三、音视频直播功能</w:t>
            </w:r>
          </w:p>
          <w:p w14:paraId="0E9BDE58">
            <w:pPr>
              <w:jc w:val="left"/>
              <w:rPr>
                <w:rFonts w:hint="eastAsia"/>
                <w:highlight w:val="none"/>
                <w:vertAlign w:val="baseline"/>
              </w:rPr>
            </w:pPr>
            <w:r>
              <w:rPr>
                <w:rFonts w:hint="eastAsia"/>
                <w:highlight w:val="none"/>
                <w:vertAlign w:val="baseline"/>
              </w:rPr>
              <w:t>1、常见直播时可自动检测当前设备直播环境，并友好提示用户部署环境</w:t>
            </w:r>
          </w:p>
          <w:p w14:paraId="38E880A5">
            <w:pPr>
              <w:jc w:val="left"/>
              <w:rPr>
                <w:rFonts w:hint="eastAsia"/>
                <w:highlight w:val="none"/>
                <w:vertAlign w:val="baseline"/>
              </w:rPr>
            </w:pPr>
            <w:r>
              <w:rPr>
                <w:rFonts w:hint="eastAsia"/>
                <w:highlight w:val="none"/>
                <w:vertAlign w:val="baseline"/>
              </w:rPr>
              <w:t>2、支持不少于6路直播源并行发起直播，提供不少于4种直播模式（桌面直播、桌面+视频直播、视频直播、音频直播）供选择。</w:t>
            </w:r>
          </w:p>
          <w:p w14:paraId="6D6ACC3B">
            <w:pPr>
              <w:jc w:val="left"/>
              <w:rPr>
                <w:rFonts w:hint="eastAsia"/>
                <w:highlight w:val="none"/>
                <w:vertAlign w:val="baseline"/>
              </w:rPr>
            </w:pPr>
            <w:r>
              <w:rPr>
                <w:rFonts w:hint="eastAsia"/>
                <w:highlight w:val="none"/>
                <w:vertAlign w:val="baseline"/>
              </w:rPr>
              <w:t>3、直播方可实时查看直播接收方场所的现场画面，实时了解直播情况。</w:t>
            </w:r>
          </w:p>
          <w:p w14:paraId="55396A83">
            <w:pPr>
              <w:jc w:val="left"/>
              <w:rPr>
                <w:rFonts w:hint="eastAsia"/>
                <w:highlight w:val="none"/>
                <w:vertAlign w:val="baseline"/>
              </w:rPr>
            </w:pPr>
            <w:r>
              <w:rPr>
                <w:rFonts w:hint="eastAsia"/>
                <w:highlight w:val="none"/>
                <w:vertAlign w:val="baseline"/>
              </w:rPr>
              <w:t>4、支持外接麦克风、摄像头进行直播，提供多种画质选择。</w:t>
            </w:r>
          </w:p>
          <w:p w14:paraId="1896631B">
            <w:pPr>
              <w:jc w:val="left"/>
              <w:rPr>
                <w:rFonts w:hint="eastAsia"/>
                <w:highlight w:val="none"/>
                <w:vertAlign w:val="baseline"/>
              </w:rPr>
            </w:pPr>
            <w:r>
              <w:rPr>
                <w:rFonts w:hint="eastAsia"/>
                <w:highlight w:val="none"/>
                <w:vertAlign w:val="baseline"/>
              </w:rPr>
              <w:t>5、支持实时统计显示直播源码率、FPS等数据。</w:t>
            </w:r>
          </w:p>
          <w:p w14:paraId="49EE6E96">
            <w:pPr>
              <w:jc w:val="left"/>
              <w:rPr>
                <w:rFonts w:hint="eastAsia"/>
                <w:highlight w:val="none"/>
                <w:vertAlign w:val="baseline"/>
              </w:rPr>
            </w:pPr>
            <w:r>
              <w:rPr>
                <w:rFonts w:hint="eastAsia"/>
                <w:highlight w:val="none"/>
                <w:vertAlign w:val="baseline"/>
              </w:rPr>
              <w:t>四、安全应用防护</w:t>
            </w:r>
          </w:p>
          <w:p w14:paraId="32B6980B">
            <w:pPr>
              <w:jc w:val="left"/>
              <w:rPr>
                <w:rFonts w:hint="eastAsia"/>
                <w:highlight w:val="none"/>
                <w:vertAlign w:val="baseline"/>
              </w:rPr>
            </w:pPr>
            <w:r>
              <w:rPr>
                <w:rFonts w:hint="eastAsia"/>
                <w:highlight w:val="none"/>
                <w:vertAlign w:val="baseline"/>
              </w:rPr>
              <w:t>1、管理平台可远程对运行状态 下的交互智能设备批量进行本地系统启动盘的冻结、解冻（冰点保护）。冻结的设备重启后会自动还原到冻结前 的状态，即本地系统启动盘 的数据及系统更改会自动恢复至冻结前状态。</w:t>
            </w:r>
          </w:p>
          <w:p w14:paraId="1569D251">
            <w:pPr>
              <w:jc w:val="left"/>
              <w:rPr>
                <w:rFonts w:hint="eastAsia"/>
                <w:highlight w:val="none"/>
                <w:vertAlign w:val="baseline"/>
              </w:rPr>
            </w:pPr>
            <w:r>
              <w:rPr>
                <w:rFonts w:hint="eastAsia"/>
                <w:highlight w:val="none"/>
                <w:vertAlign w:val="baseline"/>
              </w:rPr>
              <w:t>2、管理平台可实时监控开启冰点保护设备数量、安装冰点保护设备数量、磁盘冰冻状态等，并提示冰点风险，方便用户管理一体机系统环境</w:t>
            </w:r>
          </w:p>
          <w:p w14:paraId="4D45E961">
            <w:pPr>
              <w:jc w:val="left"/>
              <w:rPr>
                <w:rFonts w:hint="eastAsia"/>
                <w:highlight w:val="none"/>
                <w:vertAlign w:val="baseline"/>
              </w:rPr>
            </w:pPr>
            <w:r>
              <w:rPr>
                <w:rFonts w:hint="eastAsia"/>
                <w:highlight w:val="none"/>
                <w:vertAlign w:val="baseline"/>
              </w:rPr>
              <w:t>管理平台可开启或关闭指定交互智能设备的任意磁盘分区数据还原（冰点）保护。</w:t>
            </w:r>
          </w:p>
          <w:p w14:paraId="4EE053DC">
            <w:pPr>
              <w:jc w:val="left"/>
              <w:rPr>
                <w:rFonts w:hint="eastAsia"/>
                <w:highlight w:val="none"/>
                <w:vertAlign w:val="baseline"/>
              </w:rPr>
            </w:pPr>
            <w:r>
              <w:rPr>
                <w:rFonts w:hint="eastAsia"/>
                <w:highlight w:val="none"/>
                <w:vertAlign w:val="baseline"/>
              </w:rPr>
              <w:t>3、管理平台可随时查看所有弹窗拦截的设备数和历史拦截的条数。</w:t>
            </w:r>
          </w:p>
          <w:p w14:paraId="3FC99369">
            <w:pPr>
              <w:jc w:val="left"/>
              <w:rPr>
                <w:rFonts w:hint="eastAsia"/>
                <w:highlight w:val="none"/>
                <w:vertAlign w:val="baseline"/>
              </w:rPr>
            </w:pPr>
            <w:r>
              <w:rPr>
                <w:rFonts w:hint="eastAsia"/>
                <w:highlight w:val="none"/>
                <w:vertAlign w:val="baseline"/>
              </w:rPr>
              <w:t>4管理平台可开启或关闭全校所有设备的弹窗拦截功能。</w:t>
            </w:r>
          </w:p>
          <w:p w14:paraId="2BB54470">
            <w:pPr>
              <w:jc w:val="left"/>
              <w:rPr>
                <w:rFonts w:hint="eastAsia"/>
                <w:highlight w:val="none"/>
                <w:vertAlign w:val="baseline"/>
              </w:rPr>
            </w:pPr>
            <w:r>
              <w:rPr>
                <w:rFonts w:hint="eastAsia"/>
                <w:highlight w:val="none"/>
                <w:vertAlign w:val="baseline"/>
              </w:rPr>
              <w:t>5、管理平台可远程批量拦截弹窗，适用于所有关联本学校的交互智能设备。</w:t>
            </w:r>
          </w:p>
          <w:p w14:paraId="0D67451E">
            <w:pPr>
              <w:jc w:val="left"/>
              <w:rPr>
                <w:rFonts w:hint="eastAsia"/>
                <w:highlight w:val="none"/>
                <w:vertAlign w:val="baseline"/>
              </w:rPr>
            </w:pPr>
            <w:r>
              <w:rPr>
                <w:rFonts w:hint="eastAsia"/>
                <w:highlight w:val="none"/>
                <w:vertAlign w:val="baseline"/>
              </w:rPr>
              <w:t>五、多设备接入</w:t>
            </w:r>
          </w:p>
          <w:p w14:paraId="70DAE707">
            <w:pPr>
              <w:jc w:val="left"/>
              <w:rPr>
                <w:rFonts w:hint="eastAsia"/>
                <w:highlight w:val="none"/>
                <w:vertAlign w:val="baseline"/>
              </w:rPr>
            </w:pPr>
            <w:r>
              <w:rPr>
                <w:rFonts w:hint="eastAsia"/>
                <w:highlight w:val="none"/>
                <w:vertAlign w:val="baseline"/>
              </w:rPr>
              <w:t>1、平台支持对全校智慧教室的教学信息化设备进行集中运维管理和策略部署。</w:t>
            </w:r>
          </w:p>
          <w:p w14:paraId="4C9621A1">
            <w:pPr>
              <w:jc w:val="left"/>
              <w:rPr>
                <w:rFonts w:hint="eastAsia"/>
                <w:highlight w:val="none"/>
                <w:vertAlign w:val="baseline"/>
              </w:rPr>
            </w:pPr>
            <w:r>
              <w:rPr>
                <w:rFonts w:hint="eastAsia"/>
                <w:highlight w:val="none"/>
                <w:vertAlign w:val="baseline"/>
              </w:rPr>
              <w:t>2、支持多设备接入，与交互智能教学设备、学生智能终端等教学设备对。</w:t>
            </w:r>
          </w:p>
        </w:tc>
        <w:tc>
          <w:tcPr>
            <w:tcW w:w="736" w:type="dxa"/>
            <w:noWrap w:val="0"/>
            <w:vAlign w:val="center"/>
          </w:tcPr>
          <w:p w14:paraId="4C5A2010">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5D5EB2F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3DDBC944">
            <w:pPr>
              <w:jc w:val="center"/>
              <w:rPr>
                <w:highlight w:val="none"/>
              </w:rPr>
            </w:pPr>
            <w:r>
              <w:rPr>
                <w:highlight w:val="none"/>
              </w:rPr>
              <w:drawing>
                <wp:inline distT="0" distB="0" distL="114300" distR="114300">
                  <wp:extent cx="2005965" cy="1519555"/>
                  <wp:effectExtent l="0" t="0" r="635" b="444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8"/>
                          <a:stretch>
                            <a:fillRect/>
                          </a:stretch>
                        </pic:blipFill>
                        <pic:spPr>
                          <a:xfrm>
                            <a:off x="0" y="0"/>
                            <a:ext cx="2005965" cy="1519555"/>
                          </a:xfrm>
                          <a:prstGeom prst="rect">
                            <a:avLst/>
                          </a:prstGeom>
                          <a:noFill/>
                          <a:ln>
                            <a:noFill/>
                          </a:ln>
                        </pic:spPr>
                      </pic:pic>
                    </a:graphicData>
                  </a:graphic>
                </wp:inline>
              </w:drawing>
            </w:r>
          </w:p>
        </w:tc>
        <w:tc>
          <w:tcPr>
            <w:tcW w:w="710" w:type="dxa"/>
            <w:gridSpan w:val="2"/>
            <w:noWrap w:val="0"/>
            <w:vAlign w:val="center"/>
          </w:tcPr>
          <w:p w14:paraId="5EC92290">
            <w:pPr>
              <w:jc w:val="both"/>
              <w:rPr>
                <w:highlight w:val="none"/>
                <w:vertAlign w:val="baseline"/>
              </w:rPr>
            </w:pPr>
          </w:p>
        </w:tc>
      </w:tr>
      <w:tr w14:paraId="15C1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37B052">
            <w:pPr>
              <w:jc w:val="center"/>
              <w:rPr>
                <w:rFonts w:hint="default"/>
                <w:highlight w:val="none"/>
                <w:vertAlign w:val="baseline"/>
                <w:lang w:val="en-US" w:eastAsia="zh-CN"/>
              </w:rPr>
            </w:pPr>
            <w:r>
              <w:rPr>
                <w:rFonts w:hint="eastAsia"/>
                <w:highlight w:val="none"/>
                <w:vertAlign w:val="baseline"/>
                <w:lang w:val="en-US" w:eastAsia="zh-CN"/>
              </w:rPr>
              <w:t>6</w:t>
            </w:r>
          </w:p>
        </w:tc>
        <w:tc>
          <w:tcPr>
            <w:tcW w:w="1690" w:type="dxa"/>
            <w:noWrap w:val="0"/>
            <w:vAlign w:val="center"/>
          </w:tcPr>
          <w:p w14:paraId="570CD6CB">
            <w:pPr>
              <w:jc w:val="center"/>
              <w:rPr>
                <w:rFonts w:hint="eastAsia"/>
                <w:highlight w:val="none"/>
                <w:vertAlign w:val="baseline"/>
              </w:rPr>
            </w:pPr>
            <w:r>
              <w:rPr>
                <w:rFonts w:hint="eastAsia"/>
                <w:highlight w:val="none"/>
                <w:vertAlign w:val="baseline"/>
              </w:rPr>
              <w:t>全钢老师桌</w:t>
            </w:r>
          </w:p>
        </w:tc>
        <w:tc>
          <w:tcPr>
            <w:tcW w:w="5928" w:type="dxa"/>
            <w:noWrap w:val="0"/>
            <w:vAlign w:val="center"/>
          </w:tcPr>
          <w:p w14:paraId="087A09CF">
            <w:pPr>
              <w:jc w:val="left"/>
              <w:rPr>
                <w:rFonts w:hint="eastAsia"/>
                <w:highlight w:val="none"/>
                <w:vertAlign w:val="baseline"/>
              </w:rPr>
            </w:pPr>
            <w:r>
              <w:rPr>
                <w:rFonts w:hint="eastAsia"/>
                <w:highlight w:val="none"/>
                <w:vertAlign w:val="baseline"/>
              </w:rPr>
              <w:t>规格：≥2400×700×850mm</w:t>
            </w:r>
          </w:p>
          <w:p w14:paraId="08DE2A7E">
            <w:pPr>
              <w:jc w:val="left"/>
              <w:rPr>
                <w:rFonts w:hint="eastAsia"/>
                <w:highlight w:val="none"/>
                <w:vertAlign w:val="baseline"/>
              </w:rPr>
            </w:pPr>
            <w:r>
              <w:rPr>
                <w:rFonts w:hint="eastAsia"/>
                <w:highlight w:val="none"/>
                <w:vertAlign w:val="baseline"/>
              </w:rPr>
              <w:t>★台面采用环保E1级高能板（高能实芯理化板），通体厚度为25mm，板材表面为生物抗菌型净化膜压贴，芯材采用热固树脂与70%可再生森林的软木纤维，中间添加内应力平衡无醛生物胶一体高温高压而成。 台面板具备耐酸碱，耐腐蚀，整体防水之性能。台面的各项功能检测须达到如下要求：</w:t>
            </w:r>
          </w:p>
          <w:p w14:paraId="6BB58339">
            <w:pPr>
              <w:jc w:val="left"/>
              <w:rPr>
                <w:rFonts w:hint="eastAsia"/>
                <w:highlight w:val="none"/>
                <w:vertAlign w:val="baseline"/>
              </w:rPr>
            </w:pPr>
            <w:r>
              <w:rPr>
                <w:rFonts w:hint="eastAsia"/>
                <w:highlight w:val="none"/>
                <w:vertAlign w:val="baseline"/>
              </w:rPr>
              <w:t>1、通过检测：硫酸（98%）、盐酸（37%）、硝酸（65%）、磷酸（85%）等不低于36项化学试剂检测，检测结果达到5级标准。</w:t>
            </w:r>
          </w:p>
          <w:p w14:paraId="4ED6FA0D">
            <w:pPr>
              <w:jc w:val="left"/>
              <w:rPr>
                <w:rFonts w:hint="eastAsia"/>
                <w:highlight w:val="none"/>
                <w:vertAlign w:val="baseline"/>
              </w:rPr>
            </w:pPr>
            <w:r>
              <w:rPr>
                <w:rFonts w:hint="eastAsia"/>
                <w:highlight w:val="none"/>
                <w:vertAlign w:val="baseline"/>
              </w:rPr>
              <w:t>2、通过检测，提供耐沸水性能、抗拉强度、弯曲强度等不低于15项物理性能检测。</w:t>
            </w:r>
          </w:p>
          <w:p w14:paraId="2E539D4C">
            <w:pPr>
              <w:jc w:val="left"/>
              <w:rPr>
                <w:rFonts w:hint="eastAsia"/>
                <w:highlight w:val="none"/>
                <w:vertAlign w:val="baseline"/>
              </w:rPr>
            </w:pPr>
            <w:r>
              <w:rPr>
                <w:rFonts w:hint="eastAsia"/>
                <w:highlight w:val="none"/>
                <w:vertAlign w:val="baseline"/>
              </w:rPr>
              <w:t>3、通过检测, 执行标准GB18580-2017《室内装饰材料人造板及其制品中甲醛释放量》，甲醛释放量小于等于 0.005mg/m3，达到环保E1级标准。</w:t>
            </w:r>
          </w:p>
          <w:p w14:paraId="67E2732B">
            <w:pPr>
              <w:jc w:val="left"/>
              <w:rPr>
                <w:rFonts w:hint="eastAsia"/>
                <w:highlight w:val="none"/>
                <w:vertAlign w:val="baseline"/>
              </w:rPr>
            </w:pPr>
            <w:r>
              <w:rPr>
                <w:rFonts w:hint="eastAsia"/>
                <w:highlight w:val="none"/>
                <w:vertAlign w:val="baseline"/>
              </w:rPr>
              <w:t>4、通过检测，按照国家标准《建筑产品和家具的挥发性有机化合物的测定排放试验室法（ISO 16000-9-2006）》检测,要求总挥发性有机物（苯、二甲苯和TVOC）的释放率&lt;2μg/㎡·h。</w:t>
            </w:r>
          </w:p>
          <w:p w14:paraId="7B942CE3">
            <w:pPr>
              <w:jc w:val="left"/>
              <w:rPr>
                <w:rFonts w:hint="eastAsia"/>
                <w:highlight w:val="none"/>
                <w:vertAlign w:val="baseline"/>
              </w:rPr>
            </w:pPr>
            <w:r>
              <w:rPr>
                <w:rFonts w:hint="eastAsia"/>
                <w:highlight w:val="none"/>
                <w:vertAlign w:val="baseline"/>
              </w:rPr>
              <w:t>5、通过检测，检测依据:JC/T1074-2008《室内空气净化功能涂覆材料净化性能》，提供（生物抗菌型净化）高能板的甲醛净化功能检测报告,要求甲醛净化效率≥30%。</w:t>
            </w:r>
          </w:p>
          <w:p w14:paraId="5867CCFD">
            <w:pPr>
              <w:jc w:val="left"/>
              <w:rPr>
                <w:rFonts w:hint="eastAsia"/>
                <w:highlight w:val="none"/>
                <w:vertAlign w:val="baseline"/>
              </w:rPr>
            </w:pPr>
            <w:r>
              <w:rPr>
                <w:rFonts w:hint="eastAsia"/>
                <w:highlight w:val="none"/>
                <w:vertAlign w:val="baseline"/>
              </w:rPr>
              <w:t>备注：为确保产品质量，需提供具有CMA或CNAS标识的检测报告扫描件。</w:t>
            </w:r>
          </w:p>
          <w:p w14:paraId="6E87E86E">
            <w:pPr>
              <w:jc w:val="left"/>
              <w:rPr>
                <w:rFonts w:hint="eastAsia"/>
                <w:highlight w:val="none"/>
                <w:vertAlign w:val="baseline"/>
              </w:rPr>
            </w:pPr>
            <w:r>
              <w:rPr>
                <w:rFonts w:hint="eastAsia"/>
                <w:highlight w:val="none"/>
                <w:vertAlign w:val="baseline"/>
              </w:rPr>
              <w:t>结构：全钢结构柜体。</w:t>
            </w:r>
          </w:p>
          <w:p w14:paraId="707814B5">
            <w:pPr>
              <w:jc w:val="left"/>
              <w:rPr>
                <w:rFonts w:hint="eastAsia"/>
                <w:highlight w:val="none"/>
                <w:vertAlign w:val="baseline"/>
              </w:rPr>
            </w:pPr>
            <w:r>
              <w:rPr>
                <w:rFonts w:hint="eastAsia"/>
                <w:highlight w:val="none"/>
                <w:vertAlign w:val="baseline"/>
              </w:rPr>
              <w:t>柜体为落地柜式。</w:t>
            </w:r>
          </w:p>
          <w:p w14:paraId="6E6A5D55">
            <w:pPr>
              <w:jc w:val="left"/>
              <w:rPr>
                <w:rFonts w:hint="eastAsia"/>
                <w:highlight w:val="none"/>
                <w:vertAlign w:val="baseline"/>
              </w:rPr>
            </w:pPr>
            <w:r>
              <w:rPr>
                <w:rFonts w:hint="eastAsia"/>
                <w:highlight w:val="none"/>
                <w:vertAlign w:val="baseline"/>
              </w:rPr>
              <w:t>柜体：采用1.0优质一级冷轧钢板（SPCCT）经CNC机压成型，焊接制作，表面经磷化处理、环氧树脂静电粉末涂装处理。</w:t>
            </w:r>
          </w:p>
          <w:p w14:paraId="31067A15">
            <w:pPr>
              <w:jc w:val="left"/>
              <w:rPr>
                <w:rFonts w:hint="eastAsia"/>
                <w:highlight w:val="none"/>
                <w:vertAlign w:val="baseline"/>
              </w:rPr>
            </w:pPr>
            <w:r>
              <w:rPr>
                <w:rFonts w:hint="eastAsia"/>
                <w:highlight w:val="none"/>
                <w:vertAlign w:val="baseline"/>
              </w:rPr>
              <w:t>设置电源专用抽屉位和水槽空位及水电通风管孔。</w:t>
            </w:r>
          </w:p>
          <w:p w14:paraId="406CB643">
            <w:pPr>
              <w:jc w:val="left"/>
              <w:rPr>
                <w:rFonts w:hint="eastAsia"/>
                <w:highlight w:val="none"/>
                <w:vertAlign w:val="baseline"/>
              </w:rPr>
            </w:pPr>
            <w:r>
              <w:rPr>
                <w:rFonts w:hint="eastAsia"/>
                <w:highlight w:val="none"/>
                <w:vertAlign w:val="baseline"/>
              </w:rPr>
              <w:t>侧边空位，配有专门装饰网板加固。</w:t>
            </w:r>
          </w:p>
          <w:p w14:paraId="08E33906">
            <w:pPr>
              <w:jc w:val="left"/>
              <w:rPr>
                <w:rFonts w:hint="eastAsia"/>
                <w:highlight w:val="none"/>
                <w:vertAlign w:val="baseline"/>
              </w:rPr>
            </w:pPr>
            <w:r>
              <w:rPr>
                <w:rFonts w:hint="eastAsia"/>
                <w:highlight w:val="none"/>
                <w:vertAlign w:val="baseline"/>
              </w:rPr>
              <w:t>固定桌脚：ABS注塑专用垫。</w:t>
            </w:r>
          </w:p>
          <w:p w14:paraId="11EA0337">
            <w:pPr>
              <w:jc w:val="left"/>
              <w:rPr>
                <w:rFonts w:hint="eastAsia"/>
                <w:highlight w:val="none"/>
                <w:vertAlign w:val="baseline"/>
              </w:rPr>
            </w:pPr>
            <w:r>
              <w:rPr>
                <w:rFonts w:hint="eastAsia"/>
                <w:highlight w:val="none"/>
                <w:vertAlign w:val="baseline"/>
              </w:rPr>
              <w:t>★全钢老师桌整体通过GB/T 21747-2008 教学实验室设备 实验台（桌）的安全要求及试验方法标准检测，力学性能要求，理化性能要求，甲醛释放量，测试结果符合指标要求。备注：为确保产品质量，需提供具有CMA或CNAS标识的检测报告扫描件。</w:t>
            </w:r>
          </w:p>
        </w:tc>
        <w:tc>
          <w:tcPr>
            <w:tcW w:w="736" w:type="dxa"/>
            <w:noWrap w:val="0"/>
            <w:vAlign w:val="center"/>
          </w:tcPr>
          <w:p w14:paraId="6FEAA65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1D2C3D56">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73B81ABE">
            <w:pPr>
              <w:jc w:val="center"/>
              <w:rPr>
                <w:highlight w:val="none"/>
              </w:rPr>
            </w:pPr>
            <w:r>
              <w:rPr>
                <w:highlight w:val="none"/>
              </w:rPr>
              <w:drawing>
                <wp:inline distT="0" distB="0" distL="114300" distR="114300">
                  <wp:extent cx="1736090" cy="1362710"/>
                  <wp:effectExtent l="0" t="0" r="3810" b="889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8"/>
                          <a:stretch>
                            <a:fillRect/>
                          </a:stretch>
                        </pic:blipFill>
                        <pic:spPr>
                          <a:xfrm>
                            <a:off x="0" y="0"/>
                            <a:ext cx="1736090" cy="1362710"/>
                          </a:xfrm>
                          <a:prstGeom prst="rect">
                            <a:avLst/>
                          </a:prstGeom>
                          <a:noFill/>
                          <a:ln>
                            <a:noFill/>
                          </a:ln>
                        </pic:spPr>
                      </pic:pic>
                    </a:graphicData>
                  </a:graphic>
                </wp:inline>
              </w:drawing>
            </w:r>
          </w:p>
        </w:tc>
        <w:tc>
          <w:tcPr>
            <w:tcW w:w="710" w:type="dxa"/>
            <w:gridSpan w:val="2"/>
            <w:noWrap w:val="0"/>
            <w:vAlign w:val="center"/>
          </w:tcPr>
          <w:p w14:paraId="6045766E">
            <w:pPr>
              <w:jc w:val="both"/>
              <w:rPr>
                <w:highlight w:val="none"/>
                <w:vertAlign w:val="baseline"/>
              </w:rPr>
            </w:pPr>
          </w:p>
        </w:tc>
      </w:tr>
      <w:tr w14:paraId="5BAC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A7017A7">
            <w:pPr>
              <w:jc w:val="center"/>
              <w:rPr>
                <w:rFonts w:hint="default"/>
                <w:highlight w:val="none"/>
                <w:vertAlign w:val="baseline"/>
                <w:lang w:val="en-US" w:eastAsia="zh-CN"/>
              </w:rPr>
            </w:pPr>
            <w:r>
              <w:rPr>
                <w:rFonts w:hint="eastAsia"/>
                <w:highlight w:val="none"/>
                <w:vertAlign w:val="baseline"/>
                <w:lang w:val="en-US" w:eastAsia="zh-CN"/>
              </w:rPr>
              <w:t>7</w:t>
            </w:r>
          </w:p>
        </w:tc>
        <w:tc>
          <w:tcPr>
            <w:tcW w:w="1690" w:type="dxa"/>
            <w:noWrap w:val="0"/>
            <w:vAlign w:val="center"/>
          </w:tcPr>
          <w:p w14:paraId="102C400E">
            <w:pPr>
              <w:jc w:val="center"/>
              <w:rPr>
                <w:rFonts w:hint="eastAsia"/>
                <w:highlight w:val="none"/>
                <w:vertAlign w:val="baseline"/>
              </w:rPr>
            </w:pPr>
            <w:r>
              <w:rPr>
                <w:rFonts w:hint="eastAsia"/>
                <w:highlight w:val="none"/>
                <w:vertAlign w:val="baseline"/>
              </w:rPr>
              <w:t>化验水槽</w:t>
            </w:r>
          </w:p>
        </w:tc>
        <w:tc>
          <w:tcPr>
            <w:tcW w:w="5928" w:type="dxa"/>
            <w:noWrap w:val="0"/>
            <w:vAlign w:val="center"/>
          </w:tcPr>
          <w:p w14:paraId="694AACDF">
            <w:pPr>
              <w:jc w:val="left"/>
              <w:rPr>
                <w:rFonts w:hint="eastAsia"/>
                <w:highlight w:val="none"/>
                <w:vertAlign w:val="baseline"/>
              </w:rPr>
            </w:pPr>
            <w:r>
              <w:rPr>
                <w:rFonts w:hint="eastAsia"/>
                <w:highlight w:val="none"/>
                <w:vertAlign w:val="baseline"/>
              </w:rPr>
              <w:t>1、采用耐腐蚀高密度PP材质，模具一次注塑成型，规格：外径440×330×200mm内径380×270×180mm，水槽厚度≥5 mm。</w:t>
            </w:r>
          </w:p>
          <w:p w14:paraId="39656131">
            <w:pPr>
              <w:jc w:val="left"/>
              <w:rPr>
                <w:rFonts w:hint="eastAsia"/>
                <w:highlight w:val="none"/>
                <w:vertAlign w:val="baseline"/>
              </w:rPr>
            </w:pPr>
            <w:r>
              <w:rPr>
                <w:rFonts w:hint="eastAsia"/>
                <w:highlight w:val="none"/>
                <w:vertAlign w:val="baseline"/>
              </w:rPr>
              <w:t>2、水槽应具有耐酸碱、耐热、耐有机溶剂；排水口应有水封装置。</w:t>
            </w:r>
          </w:p>
          <w:p w14:paraId="3930B09B">
            <w:pPr>
              <w:jc w:val="left"/>
              <w:rPr>
                <w:rFonts w:hint="eastAsia"/>
                <w:highlight w:val="none"/>
                <w:vertAlign w:val="baseline"/>
              </w:rPr>
            </w:pPr>
            <w:r>
              <w:rPr>
                <w:rFonts w:hint="eastAsia"/>
                <w:highlight w:val="none"/>
                <w:vertAlign w:val="baseline"/>
              </w:rPr>
              <w:t>3、水槽应采取台下托底式安装（带支撑托架），水槽与台面间采用防水密封胶封闭，无漏水现象。</w:t>
            </w:r>
          </w:p>
          <w:p w14:paraId="7108FB05">
            <w:pPr>
              <w:jc w:val="left"/>
              <w:rPr>
                <w:rFonts w:hint="eastAsia"/>
                <w:highlight w:val="none"/>
                <w:vertAlign w:val="baseline"/>
              </w:rPr>
            </w:pPr>
            <w:r>
              <w:rPr>
                <w:rFonts w:hint="eastAsia"/>
                <w:highlight w:val="none"/>
                <w:vertAlign w:val="baseline"/>
              </w:rPr>
              <w:t>4、水槽配备的上水、下水均应隐蔽，专用下水管扣，使下水管弯曲成“S”型防臭。</w:t>
            </w:r>
          </w:p>
          <w:p w14:paraId="00E18195">
            <w:pPr>
              <w:jc w:val="left"/>
              <w:rPr>
                <w:rFonts w:hint="eastAsia"/>
                <w:highlight w:val="none"/>
                <w:vertAlign w:val="baseline"/>
              </w:rPr>
            </w:pPr>
            <w:r>
              <w:rPr>
                <w:rFonts w:hint="eastAsia"/>
                <w:highlight w:val="none"/>
                <w:vertAlign w:val="baseline"/>
              </w:rPr>
              <w:t>5、给排水管必须连接可靠，避免因松动脱落造成漏水，引起电源短路，形成安全隐患。</w:t>
            </w:r>
          </w:p>
        </w:tc>
        <w:tc>
          <w:tcPr>
            <w:tcW w:w="736" w:type="dxa"/>
            <w:noWrap w:val="0"/>
            <w:vAlign w:val="center"/>
          </w:tcPr>
          <w:p w14:paraId="1490B9ED">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6EEB3B2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0F7FC5C4">
            <w:pPr>
              <w:jc w:val="center"/>
              <w:rPr>
                <w:highlight w:val="none"/>
              </w:rPr>
            </w:pPr>
            <w:r>
              <w:rPr>
                <w:highlight w:val="none"/>
              </w:rPr>
              <w:drawing>
                <wp:inline distT="0" distB="0" distL="114300" distR="114300">
                  <wp:extent cx="1831340" cy="1236980"/>
                  <wp:effectExtent l="0" t="0" r="10160" b="7620"/>
                  <wp:docPr id="24" name="图片 22" descr="f1f9783d322236caafa985c5a47d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f1f9783d322236caafa985c5a47d76b"/>
                          <pic:cNvPicPr>
                            <a:picLocks noChangeAspect="1"/>
                          </pic:cNvPicPr>
                        </pic:nvPicPr>
                        <pic:blipFill>
                          <a:blip r:embed="rId39"/>
                          <a:stretch>
                            <a:fillRect/>
                          </a:stretch>
                        </pic:blipFill>
                        <pic:spPr>
                          <a:xfrm>
                            <a:off x="0" y="0"/>
                            <a:ext cx="1831340" cy="1236980"/>
                          </a:xfrm>
                          <a:prstGeom prst="rect">
                            <a:avLst/>
                          </a:prstGeom>
                          <a:noFill/>
                          <a:ln>
                            <a:noFill/>
                          </a:ln>
                        </pic:spPr>
                      </pic:pic>
                    </a:graphicData>
                  </a:graphic>
                </wp:inline>
              </w:drawing>
            </w:r>
          </w:p>
        </w:tc>
        <w:tc>
          <w:tcPr>
            <w:tcW w:w="710" w:type="dxa"/>
            <w:gridSpan w:val="2"/>
            <w:noWrap w:val="0"/>
            <w:vAlign w:val="center"/>
          </w:tcPr>
          <w:p w14:paraId="2882B612">
            <w:pPr>
              <w:jc w:val="both"/>
              <w:rPr>
                <w:highlight w:val="none"/>
                <w:vertAlign w:val="baseline"/>
              </w:rPr>
            </w:pPr>
          </w:p>
        </w:tc>
      </w:tr>
      <w:tr w14:paraId="361B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351D2D">
            <w:pPr>
              <w:jc w:val="center"/>
              <w:rPr>
                <w:rFonts w:hint="default"/>
                <w:highlight w:val="none"/>
                <w:vertAlign w:val="baseline"/>
                <w:lang w:val="en-US" w:eastAsia="zh-CN"/>
              </w:rPr>
            </w:pPr>
            <w:r>
              <w:rPr>
                <w:rFonts w:hint="eastAsia"/>
                <w:highlight w:val="none"/>
                <w:vertAlign w:val="baseline"/>
                <w:lang w:val="en-US" w:eastAsia="zh-CN"/>
              </w:rPr>
              <w:t>8</w:t>
            </w:r>
          </w:p>
        </w:tc>
        <w:tc>
          <w:tcPr>
            <w:tcW w:w="1690" w:type="dxa"/>
            <w:noWrap w:val="0"/>
            <w:vAlign w:val="center"/>
          </w:tcPr>
          <w:p w14:paraId="30DCADA2">
            <w:pPr>
              <w:jc w:val="center"/>
              <w:rPr>
                <w:rFonts w:hint="eastAsia"/>
                <w:highlight w:val="none"/>
                <w:vertAlign w:val="baseline"/>
              </w:rPr>
            </w:pPr>
            <w:r>
              <w:rPr>
                <w:rFonts w:hint="eastAsia"/>
                <w:highlight w:val="none"/>
                <w:vertAlign w:val="baseline"/>
              </w:rPr>
              <w:t>三联水嘴</w:t>
            </w:r>
          </w:p>
        </w:tc>
        <w:tc>
          <w:tcPr>
            <w:tcW w:w="5928" w:type="dxa"/>
            <w:noWrap w:val="0"/>
            <w:vAlign w:val="center"/>
          </w:tcPr>
          <w:p w14:paraId="6ABE2886">
            <w:pPr>
              <w:jc w:val="left"/>
              <w:rPr>
                <w:rFonts w:hint="eastAsia"/>
                <w:highlight w:val="none"/>
                <w:vertAlign w:val="baseline"/>
              </w:rPr>
            </w:pPr>
            <w:r>
              <w:rPr>
                <w:rFonts w:hint="eastAsia"/>
                <w:highlight w:val="none"/>
                <w:vertAlign w:val="baseline"/>
              </w:rPr>
              <w:t>1.主体：加厚铜质；</w:t>
            </w:r>
          </w:p>
          <w:p w14:paraId="49D22DE5">
            <w:pPr>
              <w:jc w:val="left"/>
              <w:rPr>
                <w:rFonts w:hint="eastAsia"/>
                <w:highlight w:val="none"/>
                <w:vertAlign w:val="baseline"/>
              </w:rPr>
            </w:pPr>
            <w:r>
              <w:rPr>
                <w:rFonts w:hint="eastAsia"/>
                <w:highlight w:val="none"/>
                <w:vertAlign w:val="baseline"/>
              </w:rPr>
              <w:t>2.涂层：高亮度环氧树脂涂层，耐腐蚀、耐热，防紫外线辐射；</w:t>
            </w:r>
          </w:p>
          <w:p w14:paraId="34A45E5C">
            <w:pPr>
              <w:jc w:val="left"/>
              <w:rPr>
                <w:rFonts w:hint="eastAsia"/>
                <w:highlight w:val="none"/>
                <w:vertAlign w:val="baseline"/>
              </w:rPr>
            </w:pPr>
            <w:r>
              <w:rPr>
                <w:rFonts w:hint="eastAsia"/>
                <w:highlight w:val="none"/>
                <w:vertAlign w:val="baseline"/>
              </w:rPr>
              <w:t>3.陶瓷阀芯90°旋转，使用寿命开关50万次，静态最大耐压20帕；</w:t>
            </w:r>
          </w:p>
          <w:p w14:paraId="288CDD92">
            <w:pPr>
              <w:jc w:val="left"/>
              <w:rPr>
                <w:rFonts w:hint="eastAsia"/>
                <w:highlight w:val="none"/>
                <w:vertAlign w:val="baseline"/>
              </w:rPr>
            </w:pPr>
            <w:r>
              <w:rPr>
                <w:rFonts w:hint="eastAsia"/>
                <w:highlight w:val="none"/>
                <w:vertAlign w:val="baseline"/>
              </w:rPr>
              <w:t>4.经久耐用，不会出现渗水、断裂现象；</w:t>
            </w:r>
          </w:p>
          <w:p w14:paraId="6055A354">
            <w:pPr>
              <w:jc w:val="left"/>
              <w:rPr>
                <w:rFonts w:hint="eastAsia"/>
                <w:highlight w:val="none"/>
                <w:vertAlign w:val="baseline"/>
              </w:rPr>
            </w:pPr>
            <w:r>
              <w:rPr>
                <w:rFonts w:hint="eastAsia"/>
                <w:highlight w:val="none"/>
                <w:vertAlign w:val="baseline"/>
              </w:rPr>
              <w:t>5.鹅颈管可360°旋转；</w:t>
            </w:r>
          </w:p>
          <w:p w14:paraId="0AE5299D">
            <w:pPr>
              <w:jc w:val="left"/>
              <w:rPr>
                <w:rFonts w:hint="eastAsia"/>
                <w:highlight w:val="none"/>
                <w:vertAlign w:val="baseline"/>
              </w:rPr>
            </w:pPr>
            <w:r>
              <w:rPr>
                <w:rFonts w:hint="eastAsia"/>
                <w:highlight w:val="none"/>
                <w:vertAlign w:val="baseline"/>
              </w:rPr>
              <w:t>6.开关旋钮：高密度PP，人体工学设计，手感舒适。</w:t>
            </w:r>
          </w:p>
        </w:tc>
        <w:tc>
          <w:tcPr>
            <w:tcW w:w="736" w:type="dxa"/>
            <w:noWrap w:val="0"/>
            <w:vAlign w:val="center"/>
          </w:tcPr>
          <w:p w14:paraId="14495B90">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CC2E268">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2D0A2ED2">
            <w:pPr>
              <w:jc w:val="center"/>
              <w:rPr>
                <w:highlight w:val="none"/>
              </w:rPr>
            </w:pPr>
            <w:r>
              <w:rPr>
                <w:highlight w:val="none"/>
              </w:rPr>
              <w:drawing>
                <wp:inline distT="0" distB="0" distL="114300" distR="114300">
                  <wp:extent cx="895985" cy="1177290"/>
                  <wp:effectExtent l="0" t="0" r="5715" b="3810"/>
                  <wp:docPr id="28" name="图片 23" descr="6c8cafc84e74aae88a39e97dc7de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6c8cafc84e74aae88a39e97dc7debaa"/>
                          <pic:cNvPicPr>
                            <a:picLocks noChangeAspect="1"/>
                          </pic:cNvPicPr>
                        </pic:nvPicPr>
                        <pic:blipFill>
                          <a:blip r:embed="rId40"/>
                          <a:stretch>
                            <a:fillRect/>
                          </a:stretch>
                        </pic:blipFill>
                        <pic:spPr>
                          <a:xfrm>
                            <a:off x="0" y="0"/>
                            <a:ext cx="895985" cy="1177290"/>
                          </a:xfrm>
                          <a:prstGeom prst="rect">
                            <a:avLst/>
                          </a:prstGeom>
                          <a:noFill/>
                          <a:ln>
                            <a:noFill/>
                          </a:ln>
                        </pic:spPr>
                      </pic:pic>
                    </a:graphicData>
                  </a:graphic>
                </wp:inline>
              </w:drawing>
            </w:r>
          </w:p>
        </w:tc>
        <w:tc>
          <w:tcPr>
            <w:tcW w:w="710" w:type="dxa"/>
            <w:gridSpan w:val="2"/>
            <w:noWrap w:val="0"/>
            <w:vAlign w:val="center"/>
          </w:tcPr>
          <w:p w14:paraId="37643880">
            <w:pPr>
              <w:jc w:val="both"/>
              <w:rPr>
                <w:highlight w:val="none"/>
                <w:vertAlign w:val="baseline"/>
              </w:rPr>
            </w:pPr>
          </w:p>
        </w:tc>
      </w:tr>
      <w:tr w14:paraId="30F1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0ADBEA">
            <w:pPr>
              <w:jc w:val="center"/>
              <w:rPr>
                <w:rFonts w:hint="default"/>
                <w:highlight w:val="none"/>
                <w:vertAlign w:val="baseline"/>
                <w:lang w:val="en-US" w:eastAsia="zh-CN"/>
              </w:rPr>
            </w:pPr>
            <w:r>
              <w:rPr>
                <w:rFonts w:hint="eastAsia"/>
                <w:highlight w:val="none"/>
                <w:vertAlign w:val="baseline"/>
                <w:lang w:val="en-US" w:eastAsia="zh-CN"/>
              </w:rPr>
              <w:t>9</w:t>
            </w:r>
          </w:p>
        </w:tc>
        <w:tc>
          <w:tcPr>
            <w:tcW w:w="1690" w:type="dxa"/>
            <w:noWrap w:val="0"/>
            <w:vAlign w:val="center"/>
          </w:tcPr>
          <w:p w14:paraId="657E508E">
            <w:pPr>
              <w:jc w:val="center"/>
              <w:rPr>
                <w:rFonts w:hint="eastAsia"/>
                <w:highlight w:val="none"/>
                <w:vertAlign w:val="baseline"/>
              </w:rPr>
            </w:pPr>
            <w:r>
              <w:rPr>
                <w:rFonts w:hint="eastAsia"/>
                <w:highlight w:val="none"/>
                <w:vertAlign w:val="baseline"/>
              </w:rPr>
              <w:t>洗眼器</w:t>
            </w:r>
          </w:p>
        </w:tc>
        <w:tc>
          <w:tcPr>
            <w:tcW w:w="5928" w:type="dxa"/>
            <w:noWrap w:val="0"/>
            <w:vAlign w:val="center"/>
          </w:tcPr>
          <w:p w14:paraId="75583A87">
            <w:pPr>
              <w:jc w:val="left"/>
              <w:rPr>
                <w:rFonts w:hint="eastAsia"/>
                <w:highlight w:val="none"/>
                <w:vertAlign w:val="baseline"/>
              </w:rPr>
            </w:pPr>
            <w:r>
              <w:rPr>
                <w:rFonts w:hint="eastAsia"/>
                <w:highlight w:val="none"/>
                <w:vertAlign w:val="baseline"/>
              </w:rPr>
              <w:t>主体：加厚铜质；涂层：高亮度超厚电镀层，耐腐蚀、耐热，防紫外线辐射;喷淋头：软性橡胶，出水经缓压处理呈泡沫状水柱，防止冲伤眼睛。防尘盖：PP材质使用时自动被水冲开；开关：水流开启、水流锁定功能一次完成，方便使用；控水阀：止逆阀，其阀门可自动关闭；</w:t>
            </w:r>
          </w:p>
        </w:tc>
        <w:tc>
          <w:tcPr>
            <w:tcW w:w="736" w:type="dxa"/>
            <w:noWrap w:val="0"/>
            <w:vAlign w:val="center"/>
          </w:tcPr>
          <w:p w14:paraId="5C2780E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04DADA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753008A9">
            <w:pPr>
              <w:jc w:val="center"/>
              <w:rPr>
                <w:highlight w:val="none"/>
              </w:rPr>
            </w:pPr>
            <w:r>
              <w:rPr>
                <w:highlight w:val="none"/>
              </w:rPr>
              <w:drawing>
                <wp:inline distT="0" distB="0" distL="114300" distR="114300">
                  <wp:extent cx="826770" cy="827405"/>
                  <wp:effectExtent l="0" t="0" r="11430" b="10795"/>
                  <wp:docPr id="29" name="图片 24" descr="c04471bdf3dc8704779ca3dc5b3f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c04471bdf3dc8704779ca3dc5b3fa8b"/>
                          <pic:cNvPicPr>
                            <a:picLocks noChangeAspect="1"/>
                          </pic:cNvPicPr>
                        </pic:nvPicPr>
                        <pic:blipFill>
                          <a:blip r:embed="rId41"/>
                          <a:stretch>
                            <a:fillRect/>
                          </a:stretch>
                        </pic:blipFill>
                        <pic:spPr>
                          <a:xfrm>
                            <a:off x="0" y="0"/>
                            <a:ext cx="826770" cy="827405"/>
                          </a:xfrm>
                          <a:prstGeom prst="rect">
                            <a:avLst/>
                          </a:prstGeom>
                          <a:noFill/>
                          <a:ln>
                            <a:noFill/>
                          </a:ln>
                        </pic:spPr>
                      </pic:pic>
                    </a:graphicData>
                  </a:graphic>
                </wp:inline>
              </w:drawing>
            </w:r>
          </w:p>
        </w:tc>
        <w:tc>
          <w:tcPr>
            <w:tcW w:w="710" w:type="dxa"/>
            <w:gridSpan w:val="2"/>
            <w:noWrap w:val="0"/>
            <w:vAlign w:val="center"/>
          </w:tcPr>
          <w:p w14:paraId="1123CE19">
            <w:pPr>
              <w:jc w:val="both"/>
              <w:rPr>
                <w:highlight w:val="none"/>
                <w:vertAlign w:val="baseline"/>
              </w:rPr>
            </w:pPr>
          </w:p>
        </w:tc>
      </w:tr>
      <w:tr w14:paraId="4EBC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2132B3">
            <w:pPr>
              <w:jc w:val="center"/>
              <w:rPr>
                <w:rFonts w:hint="default"/>
                <w:highlight w:val="none"/>
                <w:vertAlign w:val="baseline"/>
                <w:lang w:val="en-US" w:eastAsia="zh-CN"/>
              </w:rPr>
            </w:pPr>
            <w:r>
              <w:rPr>
                <w:rFonts w:hint="eastAsia"/>
                <w:highlight w:val="none"/>
                <w:vertAlign w:val="baseline"/>
                <w:lang w:val="en-US" w:eastAsia="zh-CN"/>
              </w:rPr>
              <w:t>10</w:t>
            </w:r>
          </w:p>
        </w:tc>
        <w:tc>
          <w:tcPr>
            <w:tcW w:w="1690" w:type="dxa"/>
            <w:noWrap w:val="0"/>
            <w:vAlign w:val="center"/>
          </w:tcPr>
          <w:p w14:paraId="0A643C18">
            <w:pPr>
              <w:jc w:val="center"/>
              <w:rPr>
                <w:rFonts w:hint="eastAsia"/>
                <w:highlight w:val="none"/>
                <w:vertAlign w:val="baseline"/>
              </w:rPr>
            </w:pPr>
            <w:r>
              <w:rPr>
                <w:rFonts w:hint="eastAsia"/>
                <w:highlight w:val="none"/>
                <w:vertAlign w:val="baseline"/>
              </w:rPr>
              <w:t>教师电源</w:t>
            </w:r>
          </w:p>
        </w:tc>
        <w:tc>
          <w:tcPr>
            <w:tcW w:w="5928" w:type="dxa"/>
            <w:noWrap w:val="0"/>
            <w:vAlign w:val="center"/>
          </w:tcPr>
          <w:p w14:paraId="761ACFE0">
            <w:pPr>
              <w:jc w:val="left"/>
              <w:rPr>
                <w:rFonts w:hint="eastAsia"/>
                <w:highlight w:val="none"/>
                <w:vertAlign w:val="baseline"/>
              </w:rPr>
            </w:pPr>
            <w:r>
              <w:rPr>
                <w:rFonts w:hint="eastAsia"/>
                <w:highlight w:val="none"/>
                <w:vertAlign w:val="baseline"/>
              </w:rPr>
              <w:t>教师控制台控制区采用7寸触摸屏操作方式。</w:t>
            </w:r>
          </w:p>
          <w:p w14:paraId="3C48CE60">
            <w:pPr>
              <w:jc w:val="left"/>
              <w:rPr>
                <w:rFonts w:hint="eastAsia"/>
                <w:highlight w:val="none"/>
                <w:vertAlign w:val="baseline"/>
              </w:rPr>
            </w:pPr>
            <w:r>
              <w:rPr>
                <w:rFonts w:hint="eastAsia"/>
                <w:highlight w:val="none"/>
                <w:vertAlign w:val="baseline"/>
              </w:rPr>
              <w:t xml:space="preserve">1、采用火线，零线双组开管的漏电保护器，电流63A。                                              </w:t>
            </w:r>
          </w:p>
          <w:p w14:paraId="7EB18E30">
            <w:pPr>
              <w:jc w:val="left"/>
              <w:rPr>
                <w:rFonts w:hint="eastAsia"/>
                <w:highlight w:val="none"/>
                <w:vertAlign w:val="baseline"/>
              </w:rPr>
            </w:pPr>
            <w:r>
              <w:rPr>
                <w:rFonts w:hint="eastAsia"/>
                <w:highlight w:val="none"/>
                <w:vertAlign w:val="baseline"/>
              </w:rPr>
              <w:t>2、采用密码开机管理。具有年月日，时分秒，定时自动动关机功能。</w:t>
            </w:r>
          </w:p>
          <w:p w14:paraId="1FA5FF3E">
            <w:pPr>
              <w:jc w:val="left"/>
              <w:rPr>
                <w:rFonts w:hint="eastAsia"/>
                <w:highlight w:val="none"/>
                <w:vertAlign w:val="baseline"/>
              </w:rPr>
            </w:pPr>
            <w:r>
              <w:rPr>
                <w:rFonts w:hint="eastAsia"/>
                <w:highlight w:val="none"/>
                <w:vertAlign w:val="baseline"/>
              </w:rPr>
              <w:t xml:space="preserve">3、定时关机时间可以教师据任务要求按需设设定。                                </w:t>
            </w:r>
          </w:p>
          <w:p w14:paraId="1952812B">
            <w:pPr>
              <w:jc w:val="left"/>
              <w:rPr>
                <w:rFonts w:hint="eastAsia"/>
                <w:highlight w:val="none"/>
                <w:vertAlign w:val="baseline"/>
              </w:rPr>
            </w:pPr>
            <w:r>
              <w:rPr>
                <w:rFonts w:hint="eastAsia"/>
                <w:highlight w:val="none"/>
                <w:vertAlign w:val="baseline"/>
              </w:rPr>
              <w:t>4、2组国标5孔220V输出插座。</w:t>
            </w:r>
          </w:p>
          <w:p w14:paraId="54E10F84">
            <w:pPr>
              <w:jc w:val="left"/>
              <w:rPr>
                <w:rFonts w:hint="eastAsia"/>
                <w:highlight w:val="none"/>
                <w:vertAlign w:val="baseline"/>
              </w:rPr>
            </w:pPr>
            <w:r>
              <w:rPr>
                <w:rFonts w:hint="eastAsia"/>
                <w:highlight w:val="none"/>
                <w:vertAlign w:val="baseline"/>
              </w:rPr>
              <w:t>5、分4组向学生实验桌输出安全的220V交流电源，具备漏电及过载保护功能。</w:t>
            </w:r>
          </w:p>
          <w:p w14:paraId="1BF9AA28">
            <w:pPr>
              <w:jc w:val="left"/>
              <w:rPr>
                <w:rFonts w:hint="eastAsia"/>
                <w:highlight w:val="none"/>
                <w:vertAlign w:val="baseline"/>
              </w:rPr>
            </w:pPr>
            <w:r>
              <w:rPr>
                <w:rFonts w:hint="eastAsia"/>
                <w:highlight w:val="none"/>
                <w:vertAlign w:val="baseline"/>
              </w:rPr>
              <w:t xml:space="preserve">6、教师可远程控制和锁定学生电源的低压交、直流电压。控制交流0V - 30V，分辨率为1V；直流0V - 30.0V，分辨率为0.1V。分4组控制。                                              </w:t>
            </w:r>
          </w:p>
          <w:p w14:paraId="54419B1C">
            <w:pPr>
              <w:jc w:val="left"/>
              <w:rPr>
                <w:rFonts w:hint="eastAsia"/>
                <w:highlight w:val="none"/>
                <w:vertAlign w:val="baseline"/>
              </w:rPr>
            </w:pPr>
            <w:r>
              <w:rPr>
                <w:rFonts w:hint="eastAsia"/>
                <w:highlight w:val="none"/>
                <w:vertAlign w:val="baseline"/>
              </w:rPr>
              <w:t xml:space="preserve">7、教师自用低压交流电源电压为0V-18V/3A、19V-30V2A，分辩率为1V。具备自动过载保护功能。                  </w:t>
            </w:r>
          </w:p>
          <w:p w14:paraId="017AE20C">
            <w:pPr>
              <w:jc w:val="left"/>
              <w:rPr>
                <w:rFonts w:hint="eastAsia"/>
                <w:highlight w:val="none"/>
                <w:vertAlign w:val="baseline"/>
              </w:rPr>
            </w:pPr>
            <w:r>
              <w:rPr>
                <w:rFonts w:hint="eastAsia"/>
                <w:highlight w:val="none"/>
                <w:vertAlign w:val="baseline"/>
              </w:rPr>
              <w:t>8、教师自用低压直流电源电压为0V-18.0V/2A、18.1V-30.0V/1.5A，分辩率为0.1V。具备自动过载保护功能。</w:t>
            </w:r>
          </w:p>
          <w:p w14:paraId="3557FCD9">
            <w:pPr>
              <w:jc w:val="left"/>
              <w:rPr>
                <w:rFonts w:hint="eastAsia"/>
                <w:highlight w:val="none"/>
                <w:vertAlign w:val="baseline"/>
              </w:rPr>
            </w:pPr>
            <w:r>
              <w:rPr>
                <w:rFonts w:hint="eastAsia"/>
                <w:highlight w:val="none"/>
                <w:vertAlign w:val="baseline"/>
              </w:rPr>
              <w:t xml:space="preserve">9、大电流短时输出。8秒自动关断。                                                           </w:t>
            </w:r>
          </w:p>
          <w:p w14:paraId="793F96D5">
            <w:pPr>
              <w:jc w:val="left"/>
              <w:rPr>
                <w:rFonts w:hint="eastAsia"/>
                <w:highlight w:val="none"/>
                <w:vertAlign w:val="baseline"/>
              </w:rPr>
            </w:pPr>
            <w:r>
              <w:rPr>
                <w:rFonts w:hint="eastAsia"/>
                <w:highlight w:val="none"/>
                <w:vertAlign w:val="baseline"/>
              </w:rPr>
              <w:t>10、直流高压：输出240V或300V的高压，输出电流为100mA,具备过载保护功能。</w:t>
            </w:r>
          </w:p>
        </w:tc>
        <w:tc>
          <w:tcPr>
            <w:tcW w:w="736" w:type="dxa"/>
            <w:noWrap w:val="0"/>
            <w:vAlign w:val="center"/>
          </w:tcPr>
          <w:p w14:paraId="4850D03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834" w:type="dxa"/>
            <w:noWrap w:val="0"/>
            <w:vAlign w:val="center"/>
          </w:tcPr>
          <w:p w14:paraId="5AE7C31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5E91060D">
            <w:pPr>
              <w:jc w:val="center"/>
              <w:rPr>
                <w:highlight w:val="none"/>
              </w:rPr>
            </w:pPr>
            <w:r>
              <w:rPr>
                <w:highlight w:val="none"/>
              </w:rPr>
              <w:drawing>
                <wp:inline distT="0" distB="0" distL="114300" distR="114300">
                  <wp:extent cx="1875155" cy="1206500"/>
                  <wp:effectExtent l="0" t="0" r="4445"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42"/>
                          <a:stretch>
                            <a:fillRect/>
                          </a:stretch>
                        </pic:blipFill>
                        <pic:spPr>
                          <a:xfrm>
                            <a:off x="0" y="0"/>
                            <a:ext cx="1875155" cy="1206500"/>
                          </a:xfrm>
                          <a:prstGeom prst="rect">
                            <a:avLst/>
                          </a:prstGeom>
                          <a:noFill/>
                          <a:ln>
                            <a:noFill/>
                          </a:ln>
                        </pic:spPr>
                      </pic:pic>
                    </a:graphicData>
                  </a:graphic>
                </wp:inline>
              </w:drawing>
            </w:r>
          </w:p>
        </w:tc>
        <w:tc>
          <w:tcPr>
            <w:tcW w:w="710" w:type="dxa"/>
            <w:gridSpan w:val="2"/>
            <w:noWrap w:val="0"/>
            <w:vAlign w:val="center"/>
          </w:tcPr>
          <w:p w14:paraId="0A9A90F6">
            <w:pPr>
              <w:jc w:val="both"/>
              <w:rPr>
                <w:highlight w:val="none"/>
                <w:vertAlign w:val="baseline"/>
              </w:rPr>
            </w:pPr>
          </w:p>
        </w:tc>
      </w:tr>
      <w:tr w14:paraId="731B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C2953F">
            <w:pPr>
              <w:jc w:val="center"/>
              <w:rPr>
                <w:rFonts w:hint="default"/>
                <w:highlight w:val="none"/>
                <w:vertAlign w:val="baseline"/>
                <w:lang w:val="en-US" w:eastAsia="zh-CN"/>
              </w:rPr>
            </w:pPr>
            <w:r>
              <w:rPr>
                <w:rFonts w:hint="eastAsia"/>
                <w:highlight w:val="none"/>
                <w:vertAlign w:val="baseline"/>
                <w:lang w:val="en-US" w:eastAsia="zh-CN"/>
              </w:rPr>
              <w:t>11</w:t>
            </w:r>
          </w:p>
        </w:tc>
        <w:tc>
          <w:tcPr>
            <w:tcW w:w="1690" w:type="dxa"/>
            <w:noWrap w:val="0"/>
            <w:vAlign w:val="center"/>
          </w:tcPr>
          <w:p w14:paraId="2DDDCCFC">
            <w:pPr>
              <w:jc w:val="center"/>
              <w:rPr>
                <w:rFonts w:hint="eastAsia"/>
                <w:highlight w:val="none"/>
                <w:vertAlign w:val="baseline"/>
              </w:rPr>
            </w:pPr>
            <w:r>
              <w:rPr>
                <w:rFonts w:hint="eastAsia"/>
                <w:highlight w:val="none"/>
                <w:vertAlign w:val="baseline"/>
              </w:rPr>
              <w:t>教师椅</w:t>
            </w:r>
          </w:p>
        </w:tc>
        <w:tc>
          <w:tcPr>
            <w:tcW w:w="5928" w:type="dxa"/>
            <w:noWrap w:val="0"/>
            <w:vAlign w:val="center"/>
          </w:tcPr>
          <w:p w14:paraId="138DF244">
            <w:pPr>
              <w:jc w:val="left"/>
              <w:rPr>
                <w:rFonts w:hint="eastAsia"/>
                <w:highlight w:val="none"/>
                <w:vertAlign w:val="baseline"/>
              </w:rPr>
            </w:pPr>
            <w:r>
              <w:rPr>
                <w:rFonts w:hint="eastAsia"/>
                <w:highlight w:val="none"/>
                <w:vertAlign w:val="baseline"/>
              </w:rPr>
              <w:t>规格：≥590×600×960/1060mm</w:t>
            </w:r>
          </w:p>
          <w:p w14:paraId="6C5735D3">
            <w:pPr>
              <w:jc w:val="left"/>
              <w:rPr>
                <w:rFonts w:hint="eastAsia"/>
                <w:highlight w:val="none"/>
                <w:vertAlign w:val="baseline"/>
              </w:rPr>
            </w:pPr>
            <w:r>
              <w:rPr>
                <w:rFonts w:hint="eastAsia"/>
                <w:highlight w:val="none"/>
                <w:vertAlign w:val="baseline"/>
              </w:rPr>
              <w:t>1、靠背：采用塑料尼龙框架，依照人体工程学设计，线条流畅，美观大方。面料采用高密度网布格，阻燃、舒适、回弹性好。</w:t>
            </w:r>
          </w:p>
          <w:p w14:paraId="601066D8">
            <w:pPr>
              <w:jc w:val="left"/>
              <w:rPr>
                <w:rFonts w:hint="eastAsia"/>
                <w:highlight w:val="none"/>
                <w:vertAlign w:val="baseline"/>
              </w:rPr>
            </w:pPr>
            <w:r>
              <w:rPr>
                <w:rFonts w:hint="eastAsia"/>
                <w:highlight w:val="none"/>
                <w:vertAlign w:val="baseline"/>
              </w:rPr>
              <w:t>2、座包：面料采用高密度网格布。内框架基材采用曲木木材，经蒸、压煮、烘干、杀虫、杀菌处理，具有防腐、防虫、防潮等性能。内部填充物采用高密度阻燃一次成型发泡海绵，表面有防腐和防变形保护膜。</w:t>
            </w:r>
          </w:p>
          <w:p w14:paraId="77F1E0E8">
            <w:pPr>
              <w:jc w:val="left"/>
              <w:rPr>
                <w:rFonts w:hint="eastAsia"/>
                <w:highlight w:val="none"/>
                <w:vertAlign w:val="baseline"/>
              </w:rPr>
            </w:pPr>
            <w:r>
              <w:rPr>
                <w:rFonts w:hint="eastAsia"/>
                <w:highlight w:val="none"/>
                <w:vertAlign w:val="baseline"/>
              </w:rPr>
              <w:t>3、扶手：可90°向上翻转，主体采用塑料尼龙框架，软包部分采用高密度阻燃一次成型发泡海绵，表面有防腐和防变形保护膜，外层高密度网格布包裹，可90°向上翻转。</w:t>
            </w:r>
          </w:p>
          <w:p w14:paraId="5E35E020">
            <w:pPr>
              <w:jc w:val="left"/>
              <w:rPr>
                <w:rFonts w:hint="eastAsia"/>
                <w:highlight w:val="none"/>
                <w:vertAlign w:val="baseline"/>
              </w:rPr>
            </w:pPr>
            <w:r>
              <w:rPr>
                <w:rFonts w:hint="eastAsia"/>
                <w:highlight w:val="none"/>
                <w:vertAlign w:val="baseline"/>
              </w:rPr>
              <w:t>4、座包连接托板：蝴蝶型钢制连接托板。</w:t>
            </w:r>
          </w:p>
          <w:p w14:paraId="5FCF11B1">
            <w:pPr>
              <w:jc w:val="left"/>
              <w:rPr>
                <w:rFonts w:hint="eastAsia"/>
                <w:highlight w:val="none"/>
                <w:vertAlign w:val="baseline"/>
              </w:rPr>
            </w:pPr>
            <w:r>
              <w:rPr>
                <w:rFonts w:hint="eastAsia"/>
                <w:highlight w:val="none"/>
                <w:vertAlign w:val="baseline"/>
              </w:rPr>
              <w:t>5、升降杆：气压升降杆，调节行程100mm。</w:t>
            </w:r>
          </w:p>
          <w:p w14:paraId="708AAED7">
            <w:pPr>
              <w:jc w:val="left"/>
              <w:rPr>
                <w:rFonts w:hint="eastAsia"/>
                <w:highlight w:val="none"/>
                <w:vertAlign w:val="baseline"/>
              </w:rPr>
            </w:pPr>
            <w:r>
              <w:rPr>
                <w:rFonts w:hint="eastAsia"/>
                <w:highlight w:val="none"/>
                <w:vertAlign w:val="baseline"/>
              </w:rPr>
              <w:t>6、轮脚：优质塑料尼龙、钢材精心制作，滚动声音更细微，柔韧性更好，能做到防滑、减震、防静电。</w:t>
            </w:r>
          </w:p>
        </w:tc>
        <w:tc>
          <w:tcPr>
            <w:tcW w:w="736" w:type="dxa"/>
            <w:noWrap w:val="0"/>
            <w:vAlign w:val="center"/>
          </w:tcPr>
          <w:p w14:paraId="6C62AA8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2EC9E6B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2BB0F9A0">
            <w:pPr>
              <w:jc w:val="center"/>
              <w:rPr>
                <w:highlight w:val="none"/>
              </w:rPr>
            </w:pPr>
            <w:r>
              <w:rPr>
                <w:highlight w:val="none"/>
              </w:rPr>
              <w:drawing>
                <wp:inline distT="0" distB="0" distL="114300" distR="114300">
                  <wp:extent cx="1718310" cy="2144395"/>
                  <wp:effectExtent l="0" t="0" r="8890" b="1905"/>
                  <wp:docPr id="30" name="图片 26" descr="老师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老师椅"/>
                          <pic:cNvPicPr>
                            <a:picLocks noChangeAspect="1"/>
                          </pic:cNvPicPr>
                        </pic:nvPicPr>
                        <pic:blipFill>
                          <a:blip r:embed="rId31"/>
                          <a:srcRect l="19278" r="20511"/>
                          <a:stretch>
                            <a:fillRect/>
                          </a:stretch>
                        </pic:blipFill>
                        <pic:spPr>
                          <a:xfrm>
                            <a:off x="0" y="0"/>
                            <a:ext cx="1718310" cy="2144395"/>
                          </a:xfrm>
                          <a:prstGeom prst="rect">
                            <a:avLst/>
                          </a:prstGeom>
                          <a:noFill/>
                          <a:ln>
                            <a:noFill/>
                          </a:ln>
                        </pic:spPr>
                      </pic:pic>
                    </a:graphicData>
                  </a:graphic>
                </wp:inline>
              </w:drawing>
            </w:r>
          </w:p>
        </w:tc>
        <w:tc>
          <w:tcPr>
            <w:tcW w:w="710" w:type="dxa"/>
            <w:gridSpan w:val="2"/>
            <w:noWrap w:val="0"/>
            <w:vAlign w:val="center"/>
          </w:tcPr>
          <w:p w14:paraId="119CD56F">
            <w:pPr>
              <w:jc w:val="both"/>
              <w:rPr>
                <w:highlight w:val="none"/>
                <w:vertAlign w:val="baseline"/>
              </w:rPr>
            </w:pPr>
          </w:p>
        </w:tc>
      </w:tr>
      <w:tr w14:paraId="6AD0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4189" w:type="dxa"/>
            <w:gridSpan w:val="9"/>
            <w:noWrap w:val="0"/>
            <w:vAlign w:val="center"/>
          </w:tcPr>
          <w:p w14:paraId="2406AFBB">
            <w:pPr>
              <w:tabs>
                <w:tab w:val="left" w:pos="2066"/>
              </w:tabs>
              <w:jc w:val="both"/>
              <w:rPr>
                <w:rFonts w:hint="eastAsia" w:eastAsia="宋体"/>
                <w:highlight w:val="none"/>
                <w:vertAlign w:val="baseline"/>
                <w:lang w:eastAsia="zh-CN"/>
              </w:rPr>
            </w:pPr>
            <w:r>
              <w:rPr>
                <w:rFonts w:hint="eastAsia"/>
                <w:b/>
                <w:bCs/>
                <w:sz w:val="30"/>
                <w:szCs w:val="30"/>
                <w:highlight w:val="none"/>
                <w:vertAlign w:val="baseline"/>
                <w:lang w:eastAsia="zh-CN"/>
              </w:rPr>
              <w:t>二、学生实验学习区</w:t>
            </w:r>
          </w:p>
        </w:tc>
      </w:tr>
      <w:tr w14:paraId="3DEF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AA1A0C">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084AB6E8">
            <w:pPr>
              <w:jc w:val="center"/>
              <w:rPr>
                <w:rFonts w:hint="eastAsia"/>
                <w:highlight w:val="none"/>
                <w:vertAlign w:val="baseline"/>
              </w:rPr>
            </w:pPr>
            <w:r>
              <w:rPr>
                <w:rFonts w:hint="eastAsia"/>
                <w:highlight w:val="none"/>
                <w:vertAlign w:val="baseline"/>
              </w:rPr>
              <w:t>塑铝学生桌</w:t>
            </w:r>
          </w:p>
        </w:tc>
        <w:tc>
          <w:tcPr>
            <w:tcW w:w="5928" w:type="dxa"/>
            <w:noWrap w:val="0"/>
            <w:vAlign w:val="center"/>
          </w:tcPr>
          <w:p w14:paraId="04C3A659">
            <w:pPr>
              <w:jc w:val="left"/>
              <w:rPr>
                <w:rFonts w:hint="eastAsia"/>
                <w:highlight w:val="none"/>
                <w:vertAlign w:val="baseline"/>
              </w:rPr>
            </w:pPr>
            <w:r>
              <w:rPr>
                <w:rFonts w:hint="eastAsia"/>
                <w:highlight w:val="none"/>
                <w:vertAlign w:val="baseline"/>
              </w:rPr>
              <w:t xml:space="preserve">规格：≥1200×600×780mm </w:t>
            </w:r>
          </w:p>
          <w:p w14:paraId="0FA7A8ED">
            <w:pPr>
              <w:jc w:val="left"/>
              <w:rPr>
                <w:rFonts w:hint="eastAsia"/>
                <w:highlight w:val="none"/>
                <w:vertAlign w:val="baseline"/>
              </w:rPr>
            </w:pPr>
            <w:r>
              <w:rPr>
                <w:rFonts w:hint="eastAsia"/>
                <w:highlight w:val="none"/>
                <w:vertAlign w:val="baseline"/>
              </w:rPr>
              <w:t>▲采用20mm厚无甲醛新型环保陶瓷台面，台面表面为实验室专业耐腐蚀、耐污染、抗冲击釉面。坯体一体实芯，釉面和坯体经高温一体烧结而成。</w:t>
            </w:r>
          </w:p>
          <w:p w14:paraId="208FC3BF">
            <w:pPr>
              <w:jc w:val="left"/>
              <w:rPr>
                <w:rFonts w:hint="eastAsia"/>
                <w:highlight w:val="none"/>
                <w:vertAlign w:val="baseline"/>
              </w:rPr>
            </w:pPr>
            <w:r>
              <w:rPr>
                <w:rFonts w:hint="eastAsia"/>
                <w:highlight w:val="none"/>
                <w:vertAlign w:val="baseline"/>
              </w:rPr>
              <w:t>1、外观要求：参照T/CIQA10-2020的要求，外观为五面坯体，表面釉面为烧成颜色；坯体敲碎后，无空洞、无直径2mm以上气泡、无杂色，为一体实芯坯体；釉面与坯体之间无脱层，釉面与坯体呈一体结构，釉面为烧成颜色，非坯体颜色。</w:t>
            </w:r>
          </w:p>
          <w:p w14:paraId="0AA9CFDA">
            <w:pPr>
              <w:jc w:val="left"/>
              <w:rPr>
                <w:rFonts w:hint="eastAsia"/>
                <w:highlight w:val="none"/>
                <w:vertAlign w:val="baseline"/>
              </w:rPr>
            </w:pPr>
            <w:r>
              <w:rPr>
                <w:rFonts w:hint="eastAsia"/>
                <w:highlight w:val="none"/>
                <w:vertAlign w:val="baseline"/>
              </w:rPr>
              <w:t>2、耐化学腐蚀性能：为保证台面耐化学腐蚀的稳定性，参照T/CIQA10-2020标准，台面耐化学腐蚀性不低于GLA级。</w:t>
            </w:r>
          </w:p>
          <w:p w14:paraId="56501451">
            <w:pPr>
              <w:jc w:val="left"/>
              <w:rPr>
                <w:rFonts w:hint="eastAsia"/>
                <w:highlight w:val="none"/>
                <w:vertAlign w:val="baseline"/>
              </w:rPr>
            </w:pPr>
            <w:r>
              <w:rPr>
                <w:rFonts w:hint="eastAsia"/>
                <w:highlight w:val="none"/>
                <w:vertAlign w:val="baseline"/>
              </w:rPr>
              <w:t>3、抗冲击性能：为保证台面使用的安全性，参照T/CIQA10-2020标准，台面抗冲击性（恢复系数）不低于0.849。</w:t>
            </w:r>
          </w:p>
          <w:p w14:paraId="1325B69B">
            <w:pPr>
              <w:jc w:val="left"/>
              <w:rPr>
                <w:rFonts w:hint="eastAsia"/>
                <w:highlight w:val="none"/>
                <w:vertAlign w:val="baseline"/>
              </w:rPr>
            </w:pPr>
            <w:r>
              <w:rPr>
                <w:rFonts w:hint="eastAsia"/>
                <w:highlight w:val="none"/>
                <w:vertAlign w:val="baseline"/>
              </w:rPr>
              <w:t>4、防潮要求：为保证台面防潮、防霉的性能，参照GB/T4100-2015（陶瓷砖）附录G标准，台面吸水率测试平均值≤0.05％。</w:t>
            </w:r>
          </w:p>
          <w:p w14:paraId="05E5C7D4">
            <w:pPr>
              <w:jc w:val="left"/>
              <w:rPr>
                <w:rFonts w:hint="eastAsia"/>
                <w:highlight w:val="none"/>
                <w:vertAlign w:val="baseline"/>
              </w:rPr>
            </w:pPr>
            <w:r>
              <w:rPr>
                <w:rFonts w:hint="eastAsia"/>
                <w:highlight w:val="none"/>
                <w:vertAlign w:val="baseline"/>
              </w:rPr>
              <w:t>5、放射性核素限量要求：参照GB6566-2010《建筑材料放射性核素限量》标准，检测结果：内照射指数≤0.4。</w:t>
            </w:r>
          </w:p>
          <w:p w14:paraId="23C4488A">
            <w:pPr>
              <w:jc w:val="left"/>
              <w:rPr>
                <w:rFonts w:hint="eastAsia"/>
                <w:highlight w:val="none"/>
                <w:vertAlign w:val="baseline"/>
              </w:rPr>
            </w:pPr>
            <w:r>
              <w:rPr>
                <w:rFonts w:hint="eastAsia"/>
                <w:highlight w:val="none"/>
                <w:vertAlign w:val="baseline"/>
              </w:rPr>
              <w:t>6、颜色稳定性：为保证台面的美观度，参照GB/T17657-2022标准,耐光色牢度不低于4级。</w:t>
            </w:r>
          </w:p>
          <w:p w14:paraId="76EEEDD5">
            <w:pPr>
              <w:jc w:val="left"/>
              <w:rPr>
                <w:rFonts w:hint="eastAsia"/>
                <w:highlight w:val="none"/>
                <w:vertAlign w:val="baseline"/>
              </w:rPr>
            </w:pPr>
            <w:r>
              <w:rPr>
                <w:rFonts w:hint="eastAsia"/>
                <w:highlight w:val="none"/>
                <w:vertAlign w:val="baseline"/>
              </w:rPr>
              <w:t>备注：为确保产品质量，需提供具有CMA或CNAS标识的检测报告扫描件。</w:t>
            </w:r>
          </w:p>
          <w:p w14:paraId="20D695CB">
            <w:pPr>
              <w:jc w:val="left"/>
              <w:rPr>
                <w:rFonts w:hint="eastAsia"/>
                <w:highlight w:val="none"/>
                <w:vertAlign w:val="baseline"/>
              </w:rPr>
            </w:pPr>
            <w:r>
              <w:rPr>
                <w:rFonts w:hint="eastAsia"/>
                <w:highlight w:val="none"/>
                <w:vertAlign w:val="baseline"/>
              </w:rPr>
              <w:t>结构：新型塑铝结构，学生位镂空式，符合人体工程学设计，美观大方。</w:t>
            </w:r>
          </w:p>
          <w:p w14:paraId="12475912">
            <w:pPr>
              <w:jc w:val="left"/>
              <w:rPr>
                <w:rFonts w:hint="eastAsia"/>
                <w:highlight w:val="none"/>
                <w:vertAlign w:val="baseline"/>
              </w:rPr>
            </w:pPr>
            <w:r>
              <w:rPr>
                <w:rFonts w:hint="eastAsia"/>
                <w:highlight w:val="none"/>
                <w:vertAlign w:val="baseline"/>
              </w:rPr>
              <w:t>主框架工字型结构：</w:t>
            </w:r>
          </w:p>
          <w:p w14:paraId="19159E2E">
            <w:pPr>
              <w:jc w:val="left"/>
              <w:rPr>
                <w:rFonts w:hint="eastAsia"/>
                <w:highlight w:val="none"/>
                <w:vertAlign w:val="baseline"/>
              </w:rPr>
            </w:pPr>
            <w:r>
              <w:rPr>
                <w:rFonts w:hint="eastAsia"/>
                <w:highlight w:val="none"/>
                <w:vertAlign w:val="baseline"/>
              </w:rPr>
              <w:t>桌身：由桌腿、立柱、前横梁、中横梁、后横梁组成。</w:t>
            </w:r>
          </w:p>
          <w:p w14:paraId="5C2B8C1A">
            <w:pPr>
              <w:jc w:val="left"/>
              <w:rPr>
                <w:rFonts w:hint="eastAsia"/>
                <w:highlight w:val="none"/>
                <w:vertAlign w:val="baseline"/>
              </w:rPr>
            </w:pPr>
            <w:r>
              <w:rPr>
                <w:rFonts w:hint="eastAsia"/>
                <w:highlight w:val="none"/>
                <w:vertAlign w:val="baseline"/>
              </w:rPr>
              <w:t>桌腿：采用工字型压铸铝一次成型，材料表面经高压静电喷涂环氧树脂防护层，耐酸碱，耐腐蚀处理。</w:t>
            </w:r>
          </w:p>
          <w:p w14:paraId="213E89CE">
            <w:pPr>
              <w:jc w:val="left"/>
              <w:rPr>
                <w:rFonts w:hint="eastAsia"/>
                <w:highlight w:val="none"/>
                <w:vertAlign w:val="baseline"/>
              </w:rPr>
            </w:pPr>
            <w:r>
              <w:rPr>
                <w:rFonts w:hint="eastAsia"/>
                <w:highlight w:val="none"/>
                <w:vertAlign w:val="baseline"/>
              </w:rPr>
              <w:t>上腿规格：≥590×50×95mm，壁厚2.5mm。</w:t>
            </w:r>
          </w:p>
          <w:p w14:paraId="08694490">
            <w:pPr>
              <w:jc w:val="left"/>
              <w:rPr>
                <w:rFonts w:hint="eastAsia"/>
                <w:highlight w:val="none"/>
                <w:vertAlign w:val="baseline"/>
              </w:rPr>
            </w:pPr>
            <w:r>
              <w:rPr>
                <w:rFonts w:hint="eastAsia"/>
                <w:highlight w:val="none"/>
                <w:vertAlign w:val="baseline"/>
              </w:rPr>
              <w:t>下腿规格：≥540×50×95mm，壁厚2.5mm。</w:t>
            </w:r>
          </w:p>
          <w:p w14:paraId="632978BF">
            <w:pPr>
              <w:jc w:val="left"/>
              <w:rPr>
                <w:rFonts w:hint="eastAsia"/>
                <w:highlight w:val="none"/>
                <w:vertAlign w:val="baseline"/>
              </w:rPr>
            </w:pPr>
            <w:r>
              <w:rPr>
                <w:rFonts w:hint="eastAsia"/>
                <w:highlight w:val="none"/>
                <w:vertAlign w:val="baseline"/>
              </w:rPr>
              <w:t>立柱：≥580×43×110mm，壁厚1.5mm。</w:t>
            </w:r>
          </w:p>
          <w:p w14:paraId="70E7BA6B">
            <w:pPr>
              <w:jc w:val="left"/>
              <w:rPr>
                <w:rFonts w:hint="eastAsia"/>
                <w:highlight w:val="none"/>
                <w:vertAlign w:val="baseline"/>
              </w:rPr>
            </w:pPr>
            <w:r>
              <w:rPr>
                <w:rFonts w:hint="eastAsia"/>
                <w:highlight w:val="none"/>
                <w:vertAlign w:val="baseline"/>
              </w:rPr>
              <w:t>前横梁：≥1070×40×30mm，壁厚1.0mm。</w:t>
            </w:r>
          </w:p>
          <w:p w14:paraId="00C11556">
            <w:pPr>
              <w:jc w:val="left"/>
              <w:rPr>
                <w:rFonts w:hint="eastAsia"/>
                <w:highlight w:val="none"/>
                <w:vertAlign w:val="baseline"/>
              </w:rPr>
            </w:pPr>
            <w:r>
              <w:rPr>
                <w:rFonts w:hint="eastAsia"/>
                <w:highlight w:val="none"/>
                <w:vertAlign w:val="baseline"/>
              </w:rPr>
              <w:t>中横梁：≥1070×30×25mm，壁厚1.0mm。</w:t>
            </w:r>
          </w:p>
          <w:p w14:paraId="2963E431">
            <w:pPr>
              <w:jc w:val="left"/>
              <w:rPr>
                <w:rFonts w:hint="eastAsia"/>
                <w:highlight w:val="none"/>
                <w:vertAlign w:val="baseline"/>
              </w:rPr>
            </w:pPr>
            <w:r>
              <w:rPr>
                <w:rFonts w:hint="eastAsia"/>
                <w:highlight w:val="none"/>
                <w:vertAlign w:val="baseline"/>
              </w:rPr>
              <w:t>后横梁：≥1070×40×85mm，壁厚1.0mm。高出台面≥45mm，可有效防止实验过程中物品的掉落。</w:t>
            </w:r>
          </w:p>
          <w:p w14:paraId="3FE40A34">
            <w:pPr>
              <w:jc w:val="left"/>
              <w:rPr>
                <w:rFonts w:hint="eastAsia"/>
                <w:highlight w:val="none"/>
                <w:vertAlign w:val="baseline"/>
              </w:rPr>
            </w:pPr>
            <w:r>
              <w:rPr>
                <w:rFonts w:hint="eastAsia"/>
                <w:highlight w:val="none"/>
                <w:vertAlign w:val="baseline"/>
              </w:rPr>
              <w:t>大横梁：≥1090×80×20mm，壁厚1.0mm。</w:t>
            </w:r>
          </w:p>
          <w:p w14:paraId="4EFFF985">
            <w:pPr>
              <w:jc w:val="left"/>
              <w:rPr>
                <w:rFonts w:hint="eastAsia"/>
                <w:highlight w:val="none"/>
                <w:vertAlign w:val="baseline"/>
              </w:rPr>
            </w:pPr>
            <w:r>
              <w:rPr>
                <w:rFonts w:hint="eastAsia"/>
                <w:highlight w:val="none"/>
                <w:vertAlign w:val="baseline"/>
              </w:rPr>
              <w:t>材料均采用优质铝镁合金材料，材料表面经高压静电喷涂环氧树脂防护层，耐酸碱，耐腐蚀处理。</w:t>
            </w:r>
          </w:p>
          <w:p w14:paraId="5717C6D4">
            <w:pPr>
              <w:jc w:val="left"/>
              <w:rPr>
                <w:rFonts w:hint="eastAsia"/>
                <w:highlight w:val="none"/>
                <w:vertAlign w:val="baseline"/>
              </w:rPr>
            </w:pPr>
            <w:r>
              <w:rPr>
                <w:rFonts w:hint="eastAsia"/>
                <w:highlight w:val="none"/>
                <w:vertAlign w:val="baseline"/>
              </w:rPr>
              <w:t>书包斗：外规格：≥430×340×160mm，采用PP材料，大型模具一次性注塑成型,上面设计有可悬挂凳子的圆形孔，镂空造型，造型时尚。</w:t>
            </w:r>
          </w:p>
          <w:p w14:paraId="060BA929">
            <w:pPr>
              <w:jc w:val="left"/>
              <w:rPr>
                <w:rFonts w:hint="eastAsia"/>
                <w:highlight w:val="none"/>
                <w:vertAlign w:val="baseline"/>
              </w:rPr>
            </w:pPr>
            <w:r>
              <w:rPr>
                <w:rFonts w:hint="eastAsia"/>
                <w:highlight w:val="none"/>
                <w:vertAlign w:val="baseline"/>
              </w:rPr>
              <w:t>▲塑铝学生桌整体通过GB/T 3325-2017金属家具通用技术条件检测，外观性能要求，安全性能要求，金属喷漆涂层要求，桌类稳定性要求。测试结果符合指标要求。备注：为确保产品质量，需提供具有CMA或CNAS标识的检测报告扫描件。</w:t>
            </w:r>
          </w:p>
          <w:p w14:paraId="275BE5F5">
            <w:pPr>
              <w:jc w:val="left"/>
              <w:rPr>
                <w:rFonts w:hint="eastAsia"/>
                <w:highlight w:val="none"/>
                <w:vertAlign w:val="baseline"/>
              </w:rPr>
            </w:pPr>
            <w:r>
              <w:rPr>
                <w:rFonts w:hint="eastAsia"/>
                <w:highlight w:val="none"/>
                <w:vertAlign w:val="baseline"/>
              </w:rPr>
              <w:t>▲塑铝学生桌整体通过GB/T 21747-2008 教学实验室设备 实验台（桌）的安全要求及试验方法标准检测，力学性能要求，理化性能要求，甲醛释放量。备注：为确保产品质量，需提供具有CMA或CNAS标识的检测报告扫描件。</w:t>
            </w:r>
          </w:p>
          <w:p w14:paraId="7BD7ECEF">
            <w:pPr>
              <w:jc w:val="left"/>
              <w:rPr>
                <w:rFonts w:hint="eastAsia"/>
                <w:highlight w:val="none"/>
                <w:vertAlign w:val="baseline"/>
              </w:rPr>
            </w:pPr>
            <w:r>
              <w:rPr>
                <w:rFonts w:hint="eastAsia"/>
                <w:highlight w:val="none"/>
                <w:vertAlign w:val="baseline"/>
              </w:rPr>
              <w:t>▲ABS电源盒整体通过GB/T 32487-2016 塑料家具通用技术条件检测，塑料件外观要求，塑料件理化性能，有害物质限量。测试结果符合指标要求。备注：为确保产品质量，需提供具有CMA或CNAS标识的检测报告扫描件。</w:t>
            </w:r>
          </w:p>
          <w:p w14:paraId="61C89C2B">
            <w:pPr>
              <w:jc w:val="left"/>
              <w:rPr>
                <w:rFonts w:hint="eastAsia"/>
                <w:highlight w:val="none"/>
                <w:vertAlign w:val="baseline"/>
              </w:rPr>
            </w:pPr>
            <w:r>
              <w:rPr>
                <w:rFonts w:hint="eastAsia"/>
                <w:highlight w:val="none"/>
                <w:vertAlign w:val="baseline"/>
              </w:rPr>
              <w:t>▲书包斗整体通过GB/T 32487-2016 塑料家具通用技术条件检测，塑料件外观要求，塑料件理化性能，有害物质限量。测试结果符合指标要求。备注：为确保产品质量，需提供具有CMA或CNAS标识的检测报告扫描件。</w:t>
            </w:r>
          </w:p>
        </w:tc>
        <w:tc>
          <w:tcPr>
            <w:tcW w:w="736" w:type="dxa"/>
            <w:noWrap w:val="0"/>
            <w:vAlign w:val="center"/>
          </w:tcPr>
          <w:p w14:paraId="7A7F526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28</w:t>
            </w:r>
          </w:p>
        </w:tc>
        <w:tc>
          <w:tcPr>
            <w:tcW w:w="834" w:type="dxa"/>
            <w:noWrap w:val="0"/>
            <w:vAlign w:val="center"/>
          </w:tcPr>
          <w:p w14:paraId="5F434AFB">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73D5ACCA">
            <w:pPr>
              <w:jc w:val="center"/>
              <w:rPr>
                <w:highlight w:val="none"/>
              </w:rPr>
            </w:pPr>
            <w:r>
              <w:rPr>
                <w:highlight w:val="none"/>
              </w:rPr>
              <w:drawing>
                <wp:inline distT="0" distB="0" distL="114300" distR="114300">
                  <wp:extent cx="1654810" cy="1297940"/>
                  <wp:effectExtent l="0" t="0" r="8890" b="10160"/>
                  <wp:docPr id="15" name="图片 27" descr="C:/Users/Administrator/AppData/Local/Temp/picturecompress_202204211421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C:/Users/Administrator/AppData/Local/Temp/picturecompress_20220421142137/output_1.jpgoutput_1"/>
                          <pic:cNvPicPr>
                            <a:picLocks noChangeAspect="1"/>
                          </pic:cNvPicPr>
                        </pic:nvPicPr>
                        <pic:blipFill>
                          <a:blip r:embed="rId43"/>
                          <a:srcRect l="22823" t="37802" r="30302" b="6773"/>
                          <a:stretch>
                            <a:fillRect/>
                          </a:stretch>
                        </pic:blipFill>
                        <pic:spPr>
                          <a:xfrm>
                            <a:off x="0" y="0"/>
                            <a:ext cx="1654810" cy="1297940"/>
                          </a:xfrm>
                          <a:prstGeom prst="rect">
                            <a:avLst/>
                          </a:prstGeom>
                          <a:noFill/>
                          <a:ln>
                            <a:noFill/>
                          </a:ln>
                        </pic:spPr>
                      </pic:pic>
                    </a:graphicData>
                  </a:graphic>
                </wp:inline>
              </w:drawing>
            </w:r>
          </w:p>
        </w:tc>
        <w:tc>
          <w:tcPr>
            <w:tcW w:w="710" w:type="dxa"/>
            <w:gridSpan w:val="2"/>
            <w:noWrap w:val="0"/>
            <w:vAlign w:val="center"/>
          </w:tcPr>
          <w:p w14:paraId="614F7305">
            <w:pPr>
              <w:jc w:val="both"/>
              <w:rPr>
                <w:highlight w:val="none"/>
                <w:vertAlign w:val="baseline"/>
              </w:rPr>
            </w:pPr>
          </w:p>
        </w:tc>
      </w:tr>
      <w:tr w14:paraId="05B8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1BED7E3">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694B80A1">
            <w:pPr>
              <w:jc w:val="center"/>
              <w:rPr>
                <w:rFonts w:hint="eastAsia"/>
                <w:highlight w:val="none"/>
                <w:vertAlign w:val="baseline"/>
              </w:rPr>
            </w:pPr>
            <w:r>
              <w:rPr>
                <w:rFonts w:hint="eastAsia"/>
                <w:highlight w:val="none"/>
                <w:vertAlign w:val="baseline"/>
              </w:rPr>
              <w:t>柜体箱</w:t>
            </w:r>
          </w:p>
        </w:tc>
        <w:tc>
          <w:tcPr>
            <w:tcW w:w="5928" w:type="dxa"/>
            <w:noWrap w:val="0"/>
            <w:vAlign w:val="center"/>
          </w:tcPr>
          <w:p w14:paraId="555632CF">
            <w:pPr>
              <w:jc w:val="left"/>
              <w:rPr>
                <w:rFonts w:hint="eastAsia"/>
                <w:highlight w:val="none"/>
                <w:vertAlign w:val="baseline"/>
              </w:rPr>
            </w:pPr>
            <w:r>
              <w:rPr>
                <w:rFonts w:hint="eastAsia"/>
                <w:highlight w:val="none"/>
                <w:vertAlign w:val="baseline"/>
              </w:rPr>
              <w:t xml:space="preserve">规格：≥宽360≥深230×高730mm，采用环保型ABS工程塑料注塑成型。电缆线、通风管等管线均布置于箱体内部，避免管线外露，确保使用的安全。  </w:t>
            </w:r>
          </w:p>
          <w:p w14:paraId="54308768">
            <w:pPr>
              <w:jc w:val="left"/>
              <w:rPr>
                <w:rFonts w:hint="eastAsia"/>
                <w:highlight w:val="none"/>
                <w:vertAlign w:val="baseline"/>
              </w:rPr>
            </w:pPr>
            <w:r>
              <w:rPr>
                <w:rFonts w:hint="eastAsia"/>
                <w:highlight w:val="none"/>
                <w:vertAlign w:val="baseline"/>
              </w:rPr>
              <w:t>▲柜体箱整体通过GB/T 32487-2016 塑料家具通用技术条件检测，塑料件外观要求，塑料件理化性能，有害物质限量。测试结果符合指标要求。备注：为确保产品质量，需提供具有CMA或CNAS标识的检测报告扫描件。</w:t>
            </w:r>
          </w:p>
        </w:tc>
        <w:tc>
          <w:tcPr>
            <w:tcW w:w="736" w:type="dxa"/>
            <w:noWrap w:val="0"/>
            <w:vAlign w:val="center"/>
          </w:tcPr>
          <w:p w14:paraId="6A6455F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28</w:t>
            </w:r>
          </w:p>
        </w:tc>
        <w:tc>
          <w:tcPr>
            <w:tcW w:w="834" w:type="dxa"/>
            <w:noWrap w:val="0"/>
            <w:vAlign w:val="center"/>
          </w:tcPr>
          <w:p w14:paraId="49C1125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47654350">
            <w:pPr>
              <w:jc w:val="center"/>
              <w:rPr>
                <w:highlight w:val="none"/>
              </w:rPr>
            </w:pPr>
            <w:r>
              <w:rPr>
                <w:highlight w:val="none"/>
              </w:rPr>
              <w:drawing>
                <wp:inline distT="0" distB="0" distL="114300" distR="114300">
                  <wp:extent cx="751840" cy="1229360"/>
                  <wp:effectExtent l="0" t="0" r="10160" b="2540"/>
                  <wp:docPr id="34" name="图片 28" descr="C:/Users/ADMINI~1/AppData/Local/Temp/picturescale_20200507133714/output_20200507133715.jpgoutput_2020050713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C:/Users/ADMINI~1/AppData/Local/Temp/picturescale_20200507133714/output_20200507133715.jpgoutput_20200507133715"/>
                          <pic:cNvPicPr>
                            <a:picLocks noChangeAspect="1"/>
                          </pic:cNvPicPr>
                        </pic:nvPicPr>
                        <pic:blipFill>
                          <a:blip r:embed="rId33"/>
                          <a:srcRect l="32996" t="19778" r="38208" b="10178"/>
                          <a:stretch>
                            <a:fillRect/>
                          </a:stretch>
                        </pic:blipFill>
                        <pic:spPr>
                          <a:xfrm>
                            <a:off x="0" y="0"/>
                            <a:ext cx="751840" cy="1229360"/>
                          </a:xfrm>
                          <a:prstGeom prst="rect">
                            <a:avLst/>
                          </a:prstGeom>
                          <a:noFill/>
                          <a:ln>
                            <a:noFill/>
                          </a:ln>
                        </pic:spPr>
                      </pic:pic>
                    </a:graphicData>
                  </a:graphic>
                </wp:inline>
              </w:drawing>
            </w:r>
          </w:p>
        </w:tc>
        <w:tc>
          <w:tcPr>
            <w:tcW w:w="710" w:type="dxa"/>
            <w:gridSpan w:val="2"/>
            <w:noWrap w:val="0"/>
            <w:vAlign w:val="center"/>
          </w:tcPr>
          <w:p w14:paraId="3DDFC451">
            <w:pPr>
              <w:jc w:val="both"/>
              <w:rPr>
                <w:highlight w:val="none"/>
                <w:vertAlign w:val="baseline"/>
              </w:rPr>
            </w:pPr>
          </w:p>
        </w:tc>
      </w:tr>
      <w:tr w14:paraId="7EC8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E84147">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5B855369">
            <w:pPr>
              <w:jc w:val="center"/>
              <w:rPr>
                <w:rFonts w:hint="eastAsia"/>
                <w:highlight w:val="none"/>
                <w:vertAlign w:val="baseline"/>
              </w:rPr>
            </w:pPr>
            <w:r>
              <w:rPr>
                <w:rFonts w:hint="eastAsia"/>
                <w:highlight w:val="none"/>
                <w:vertAlign w:val="baseline"/>
              </w:rPr>
              <w:t>学生电源</w:t>
            </w:r>
          </w:p>
        </w:tc>
        <w:tc>
          <w:tcPr>
            <w:tcW w:w="5928" w:type="dxa"/>
            <w:noWrap w:val="0"/>
            <w:vAlign w:val="center"/>
          </w:tcPr>
          <w:p w14:paraId="625988CB">
            <w:pPr>
              <w:jc w:val="left"/>
              <w:rPr>
                <w:rFonts w:hint="eastAsia"/>
                <w:highlight w:val="none"/>
                <w:vertAlign w:val="baseline"/>
              </w:rPr>
            </w:pPr>
            <w:r>
              <w:rPr>
                <w:rFonts w:hint="eastAsia"/>
                <w:highlight w:val="none"/>
                <w:vertAlign w:val="baseline"/>
              </w:rPr>
              <w:t xml:space="preserve">需采用ABS塑料壳体，开合方便、面板贴膜、文字符号清晰正确。面板上安装五孔插座≥1个，学生用电源设开关机键、多圈电位器、调压旋钮、数显表头。  </w:t>
            </w:r>
          </w:p>
          <w:p w14:paraId="542E21B7">
            <w:pPr>
              <w:jc w:val="left"/>
              <w:rPr>
                <w:rFonts w:hint="eastAsia"/>
                <w:highlight w:val="none"/>
                <w:vertAlign w:val="baseline"/>
              </w:rPr>
            </w:pPr>
            <w:r>
              <w:rPr>
                <w:rFonts w:hint="eastAsia"/>
                <w:highlight w:val="none"/>
                <w:vertAlign w:val="baseline"/>
              </w:rPr>
              <w:t>学生用电源参数：</w:t>
            </w:r>
          </w:p>
          <w:p w14:paraId="0024F778">
            <w:pPr>
              <w:jc w:val="left"/>
              <w:rPr>
                <w:rFonts w:hint="eastAsia"/>
                <w:highlight w:val="none"/>
                <w:vertAlign w:val="baseline"/>
              </w:rPr>
            </w:pPr>
            <w:r>
              <w:rPr>
                <w:rFonts w:hint="eastAsia"/>
                <w:highlight w:val="none"/>
                <w:vertAlign w:val="baseline"/>
              </w:rPr>
              <w:t>1.直流稳压输出：1.5V～9V，每0.1V步进调整；</w:t>
            </w:r>
          </w:p>
          <w:p w14:paraId="1CE13F42">
            <w:pPr>
              <w:jc w:val="left"/>
              <w:rPr>
                <w:rFonts w:hint="eastAsia"/>
                <w:highlight w:val="none"/>
                <w:vertAlign w:val="baseline"/>
              </w:rPr>
            </w:pPr>
            <w:r>
              <w:rPr>
                <w:rFonts w:hint="eastAsia"/>
                <w:highlight w:val="none"/>
                <w:vertAlign w:val="baseline"/>
              </w:rPr>
              <w:t>2.额定电流：1.5A，满载时纹波电压：≤0.1%U标；</w:t>
            </w:r>
          </w:p>
          <w:p w14:paraId="2F4ABA38">
            <w:pPr>
              <w:jc w:val="left"/>
              <w:rPr>
                <w:rFonts w:hint="eastAsia"/>
                <w:highlight w:val="none"/>
                <w:vertAlign w:val="baseline"/>
              </w:rPr>
            </w:pPr>
            <w:r>
              <w:rPr>
                <w:rFonts w:hint="eastAsia"/>
                <w:highlight w:val="none"/>
                <w:vertAlign w:val="baseline"/>
              </w:rPr>
              <w:t>3.电压显示：2位数显，可显示0.1V；</w:t>
            </w:r>
          </w:p>
          <w:p w14:paraId="57B85C63">
            <w:pPr>
              <w:jc w:val="left"/>
              <w:rPr>
                <w:rFonts w:hint="eastAsia"/>
                <w:highlight w:val="none"/>
                <w:vertAlign w:val="baseline"/>
              </w:rPr>
            </w:pPr>
            <w:r>
              <w:rPr>
                <w:rFonts w:hint="eastAsia"/>
                <w:highlight w:val="none"/>
                <w:vertAlign w:val="baseline"/>
              </w:rPr>
              <w:t>4.过载保护：当输出超过额定电流或短路时能自动延时关断。并能启动不大于额定电流的白炽灯；</w:t>
            </w:r>
          </w:p>
          <w:p w14:paraId="61C69ED1">
            <w:pPr>
              <w:jc w:val="left"/>
              <w:rPr>
                <w:rFonts w:hint="eastAsia"/>
                <w:highlight w:val="none"/>
                <w:vertAlign w:val="baseline"/>
              </w:rPr>
            </w:pPr>
            <w:r>
              <w:rPr>
                <w:rFonts w:hint="eastAsia"/>
                <w:highlight w:val="none"/>
                <w:vertAlign w:val="baseline"/>
              </w:rPr>
              <w:t>5.电源输入：AC110V～240V，50Hz±2.5Hz。</w:t>
            </w:r>
          </w:p>
        </w:tc>
        <w:tc>
          <w:tcPr>
            <w:tcW w:w="736" w:type="dxa"/>
            <w:noWrap w:val="0"/>
            <w:vAlign w:val="center"/>
          </w:tcPr>
          <w:p w14:paraId="0AC02CB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28 </w:t>
            </w:r>
          </w:p>
        </w:tc>
        <w:tc>
          <w:tcPr>
            <w:tcW w:w="834" w:type="dxa"/>
            <w:noWrap w:val="0"/>
            <w:vAlign w:val="center"/>
          </w:tcPr>
          <w:p w14:paraId="350846C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73AB10B4">
            <w:pPr>
              <w:jc w:val="center"/>
              <w:rPr>
                <w:highlight w:val="none"/>
              </w:rPr>
            </w:pPr>
            <w:r>
              <w:rPr>
                <w:highlight w:val="none"/>
              </w:rPr>
              <w:drawing>
                <wp:inline distT="0" distB="0" distL="114300" distR="114300">
                  <wp:extent cx="1024255" cy="1837690"/>
                  <wp:effectExtent l="0" t="0" r="3810" b="4445"/>
                  <wp:docPr id="68" name="图片 29" descr="4e656d0e8443a86e04023e3eb0a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descr="4e656d0e8443a86e04023e3eb0a1439"/>
                          <pic:cNvPicPr>
                            <a:picLocks noChangeAspect="1"/>
                          </pic:cNvPicPr>
                        </pic:nvPicPr>
                        <pic:blipFill>
                          <a:blip r:embed="rId44"/>
                          <a:stretch>
                            <a:fillRect/>
                          </a:stretch>
                        </pic:blipFill>
                        <pic:spPr>
                          <a:xfrm rot="5400000">
                            <a:off x="0" y="0"/>
                            <a:ext cx="1024255" cy="1837690"/>
                          </a:xfrm>
                          <a:prstGeom prst="rect">
                            <a:avLst/>
                          </a:prstGeom>
                          <a:noFill/>
                          <a:ln>
                            <a:noFill/>
                          </a:ln>
                        </pic:spPr>
                      </pic:pic>
                    </a:graphicData>
                  </a:graphic>
                </wp:inline>
              </w:drawing>
            </w:r>
          </w:p>
        </w:tc>
        <w:tc>
          <w:tcPr>
            <w:tcW w:w="710" w:type="dxa"/>
            <w:gridSpan w:val="2"/>
            <w:noWrap w:val="0"/>
            <w:vAlign w:val="center"/>
          </w:tcPr>
          <w:p w14:paraId="6564D83F">
            <w:pPr>
              <w:jc w:val="both"/>
              <w:rPr>
                <w:highlight w:val="none"/>
                <w:vertAlign w:val="baseline"/>
              </w:rPr>
            </w:pPr>
          </w:p>
        </w:tc>
      </w:tr>
      <w:tr w14:paraId="4528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FEFC93">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48AC0F43">
            <w:pPr>
              <w:jc w:val="center"/>
              <w:rPr>
                <w:rFonts w:hint="eastAsia"/>
                <w:highlight w:val="none"/>
                <w:vertAlign w:val="baseline"/>
              </w:rPr>
            </w:pPr>
            <w:r>
              <w:rPr>
                <w:rFonts w:hint="eastAsia"/>
                <w:highlight w:val="none"/>
                <w:vertAlign w:val="baseline"/>
              </w:rPr>
              <w:t>学生凳</w:t>
            </w:r>
          </w:p>
        </w:tc>
        <w:tc>
          <w:tcPr>
            <w:tcW w:w="5928" w:type="dxa"/>
            <w:noWrap w:val="0"/>
            <w:vAlign w:val="center"/>
          </w:tcPr>
          <w:p w14:paraId="00D2C35B">
            <w:pPr>
              <w:jc w:val="left"/>
              <w:rPr>
                <w:rFonts w:hint="eastAsia"/>
                <w:highlight w:val="none"/>
                <w:vertAlign w:val="baseline"/>
              </w:rPr>
            </w:pPr>
            <w:r>
              <w:rPr>
                <w:rFonts w:hint="eastAsia"/>
                <w:highlight w:val="none"/>
                <w:vertAlign w:val="baseline"/>
              </w:rPr>
              <w:t>1、规格：≥320×430～480mm；</w:t>
            </w:r>
          </w:p>
          <w:p w14:paraId="0E5ACE0F">
            <w:pPr>
              <w:jc w:val="left"/>
              <w:rPr>
                <w:rFonts w:hint="eastAsia"/>
                <w:highlight w:val="none"/>
                <w:vertAlign w:val="baseline"/>
              </w:rPr>
            </w:pPr>
            <w:r>
              <w:rPr>
                <w:rFonts w:hint="eastAsia"/>
                <w:highlight w:val="none"/>
                <w:vertAlign w:val="baseline"/>
              </w:rPr>
              <w:t>2、凳面：凳面直径≥320mm，采用环保型PP改性塑料注塑成型；表面细纹咬花,防滑不发光；</w:t>
            </w:r>
          </w:p>
          <w:p w14:paraId="116A9082">
            <w:pPr>
              <w:jc w:val="left"/>
              <w:rPr>
                <w:rFonts w:hint="eastAsia"/>
                <w:highlight w:val="none"/>
                <w:vertAlign w:val="baseline"/>
              </w:rPr>
            </w:pPr>
            <w:r>
              <w:rPr>
                <w:rFonts w:hint="eastAsia"/>
                <w:highlight w:val="none"/>
                <w:vertAlign w:val="baseline"/>
              </w:rPr>
              <w:t>3、凳脚材质：4个凳脚采用≥20×40×1.2mm椭圆形无缝钢管模具一次成型,全圆满焊完成,结构牢固,经高温粉体烤漆处理,长时间使用也不会产生表面烤漆剥落现象；</w:t>
            </w:r>
          </w:p>
          <w:p w14:paraId="305B2964">
            <w:pPr>
              <w:jc w:val="left"/>
              <w:rPr>
                <w:rFonts w:hint="eastAsia"/>
                <w:highlight w:val="none"/>
                <w:vertAlign w:val="baseline"/>
              </w:rPr>
            </w:pPr>
            <w:r>
              <w:rPr>
                <w:rFonts w:hint="eastAsia"/>
                <w:highlight w:val="none"/>
                <w:vertAlign w:val="baseline"/>
              </w:rPr>
              <w:t>4、凳脚弧度：凳脚需带有弧度,整体美观大方；</w:t>
            </w:r>
          </w:p>
          <w:p w14:paraId="624B7ED4">
            <w:pPr>
              <w:jc w:val="left"/>
              <w:rPr>
                <w:rFonts w:hint="eastAsia"/>
                <w:highlight w:val="none"/>
                <w:vertAlign w:val="baseline"/>
              </w:rPr>
            </w:pPr>
            <w:r>
              <w:rPr>
                <w:rFonts w:hint="eastAsia"/>
                <w:highlight w:val="none"/>
                <w:vertAlign w:val="baseline"/>
              </w:rPr>
              <w:t>5、方形托盘厚度2mm边长160×160mm，以保证凳面稳固性；</w:t>
            </w:r>
          </w:p>
          <w:p w14:paraId="10F195B0">
            <w:pPr>
              <w:jc w:val="left"/>
              <w:rPr>
                <w:rFonts w:hint="eastAsia"/>
                <w:highlight w:val="none"/>
                <w:vertAlign w:val="baseline"/>
              </w:rPr>
            </w:pPr>
            <w:r>
              <w:rPr>
                <w:rFonts w:hint="eastAsia"/>
                <w:highlight w:val="none"/>
                <w:vertAlign w:val="baseline"/>
              </w:rPr>
              <w:t>6、脚垫：采用PP加耐磨纤维质塑料,实心倒勾式一体注塑成型；</w:t>
            </w:r>
          </w:p>
          <w:p w14:paraId="1C40E5C5">
            <w:pPr>
              <w:jc w:val="left"/>
              <w:rPr>
                <w:rFonts w:hint="eastAsia"/>
                <w:highlight w:val="none"/>
                <w:vertAlign w:val="baseline"/>
              </w:rPr>
            </w:pPr>
            <w:r>
              <w:rPr>
                <w:rFonts w:hint="eastAsia"/>
                <w:highlight w:val="none"/>
                <w:vertAlign w:val="baseline"/>
              </w:rPr>
              <w:t>7、凳子可螺旋升降,升降到一定高度后要有固定不旋转装置并且升到最高时凳面不可脱落。</w:t>
            </w:r>
          </w:p>
          <w:p w14:paraId="311899C7">
            <w:pPr>
              <w:jc w:val="left"/>
              <w:rPr>
                <w:rFonts w:hint="eastAsia"/>
                <w:highlight w:val="none"/>
                <w:vertAlign w:val="baseline"/>
              </w:rPr>
            </w:pPr>
            <w:r>
              <w:rPr>
                <w:rFonts w:hint="eastAsia"/>
                <w:highlight w:val="none"/>
                <w:vertAlign w:val="baseline"/>
              </w:rPr>
              <w:t>▲学生凳整体通过GB/T 3325-2017金属家具通用技术条件检测，外观要求，结构安全，金属喷漆涂层，椅凳类强度和耐久度。测试结果符合指标要求。备注：为确保产品质量，需提供具有CMA或CNAS标识的检测报告扫描件。</w:t>
            </w:r>
          </w:p>
        </w:tc>
        <w:tc>
          <w:tcPr>
            <w:tcW w:w="736" w:type="dxa"/>
            <w:noWrap w:val="0"/>
            <w:vAlign w:val="center"/>
          </w:tcPr>
          <w:p w14:paraId="58B1C47F">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56</w:t>
            </w:r>
          </w:p>
        </w:tc>
        <w:tc>
          <w:tcPr>
            <w:tcW w:w="834" w:type="dxa"/>
            <w:noWrap w:val="0"/>
            <w:vAlign w:val="center"/>
          </w:tcPr>
          <w:p w14:paraId="1EE6469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3551F8B0">
            <w:pPr>
              <w:jc w:val="center"/>
              <w:rPr>
                <w:highlight w:val="none"/>
              </w:rPr>
            </w:pPr>
            <w:r>
              <w:rPr>
                <w:highlight w:val="none"/>
              </w:rPr>
              <w:drawing>
                <wp:inline distT="0" distB="0" distL="114300" distR="114300">
                  <wp:extent cx="1335405" cy="1779905"/>
                  <wp:effectExtent l="0" t="0" r="10795" b="10795"/>
                  <wp:docPr id="53" name="图片 30" descr="C:/Users/ADMINI~1/AppData/Local/Temp/picturescale_20200507133838/output_20200507133839.jpgoutput_202005071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descr="C:/Users/ADMINI~1/AppData/Local/Temp/picturescale_20200507133838/output_20200507133839.jpgoutput_20200507133839"/>
                          <pic:cNvPicPr>
                            <a:picLocks noChangeAspect="1"/>
                          </pic:cNvPicPr>
                        </pic:nvPicPr>
                        <pic:blipFill>
                          <a:blip r:embed="rId35"/>
                          <a:srcRect l="34471" t="25737" r="37437" b="17764"/>
                          <a:stretch>
                            <a:fillRect/>
                          </a:stretch>
                        </pic:blipFill>
                        <pic:spPr>
                          <a:xfrm>
                            <a:off x="0" y="0"/>
                            <a:ext cx="1335405" cy="1779905"/>
                          </a:xfrm>
                          <a:prstGeom prst="rect">
                            <a:avLst/>
                          </a:prstGeom>
                          <a:noFill/>
                          <a:ln>
                            <a:noFill/>
                          </a:ln>
                        </pic:spPr>
                      </pic:pic>
                    </a:graphicData>
                  </a:graphic>
                </wp:inline>
              </w:drawing>
            </w:r>
          </w:p>
        </w:tc>
        <w:tc>
          <w:tcPr>
            <w:tcW w:w="710" w:type="dxa"/>
            <w:gridSpan w:val="2"/>
            <w:noWrap w:val="0"/>
            <w:vAlign w:val="center"/>
          </w:tcPr>
          <w:p w14:paraId="144FD759">
            <w:pPr>
              <w:jc w:val="both"/>
              <w:rPr>
                <w:highlight w:val="none"/>
                <w:vertAlign w:val="baseline"/>
              </w:rPr>
            </w:pPr>
          </w:p>
        </w:tc>
      </w:tr>
      <w:tr w14:paraId="0C0A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522748">
            <w:pPr>
              <w:jc w:val="center"/>
              <w:rPr>
                <w:rFonts w:hint="default"/>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1FD435E3">
            <w:pPr>
              <w:jc w:val="center"/>
              <w:rPr>
                <w:rFonts w:hint="eastAsia"/>
                <w:highlight w:val="none"/>
                <w:vertAlign w:val="baseline"/>
              </w:rPr>
            </w:pPr>
            <w:r>
              <w:rPr>
                <w:rFonts w:hint="eastAsia"/>
                <w:highlight w:val="none"/>
                <w:vertAlign w:val="baseline"/>
              </w:rPr>
              <w:t>水槽柜</w:t>
            </w:r>
          </w:p>
        </w:tc>
        <w:tc>
          <w:tcPr>
            <w:tcW w:w="5928" w:type="dxa"/>
            <w:noWrap w:val="0"/>
            <w:vAlign w:val="center"/>
          </w:tcPr>
          <w:p w14:paraId="6A641222">
            <w:pPr>
              <w:jc w:val="left"/>
              <w:rPr>
                <w:rFonts w:hint="eastAsia"/>
                <w:highlight w:val="none"/>
                <w:vertAlign w:val="baseline"/>
              </w:rPr>
            </w:pPr>
            <w:r>
              <w:rPr>
                <w:rFonts w:hint="eastAsia"/>
                <w:highlight w:val="none"/>
                <w:vertAlign w:val="baseline"/>
              </w:rPr>
              <w:t>规格：≥450*600*810mm/1120mm</w:t>
            </w:r>
          </w:p>
          <w:p w14:paraId="55525BF8">
            <w:pPr>
              <w:jc w:val="left"/>
              <w:rPr>
                <w:rFonts w:hint="eastAsia"/>
                <w:highlight w:val="none"/>
                <w:vertAlign w:val="baseline"/>
              </w:rPr>
            </w:pPr>
            <w:r>
              <w:rPr>
                <w:rFonts w:hint="eastAsia"/>
                <w:highlight w:val="none"/>
                <w:vertAlign w:val="baseline"/>
              </w:rPr>
              <w:t>1、壁挂式实验室专用水嘴。铜质陶瓷芯阀，表面经环氧树脂喷涂处理，出水嘴拆卸。</w:t>
            </w:r>
          </w:p>
          <w:p w14:paraId="2F242EDE">
            <w:pPr>
              <w:jc w:val="left"/>
              <w:rPr>
                <w:rFonts w:hint="eastAsia"/>
                <w:highlight w:val="none"/>
                <w:vertAlign w:val="baseline"/>
              </w:rPr>
            </w:pPr>
            <w:r>
              <w:rPr>
                <w:rFonts w:hint="eastAsia"/>
                <w:highlight w:val="none"/>
                <w:vertAlign w:val="baseline"/>
              </w:rPr>
              <w:t xml:space="preserve">2、下水系统：采用PP材质专用连接管，配有防虹吸，防阻塞装置。                            </w:t>
            </w:r>
          </w:p>
          <w:p w14:paraId="1E7F1FA7">
            <w:pPr>
              <w:jc w:val="left"/>
              <w:rPr>
                <w:rFonts w:hint="eastAsia"/>
                <w:highlight w:val="none"/>
                <w:vertAlign w:val="baseline"/>
              </w:rPr>
            </w:pPr>
            <w:r>
              <w:rPr>
                <w:rFonts w:hint="eastAsia"/>
                <w:highlight w:val="none"/>
                <w:vertAlign w:val="baseline"/>
              </w:rPr>
              <w:t>3、结构：榫卯连接结构并合理布局加强筋，加强筋并起到定位作用，使用产品自身力量相互连接，产品不变形，不扭曲。同时水槽柜底部为模具一体成型，加固水槽柜的强度。</w:t>
            </w:r>
          </w:p>
          <w:p w14:paraId="66A81A62">
            <w:pPr>
              <w:jc w:val="left"/>
              <w:rPr>
                <w:rFonts w:hint="eastAsia"/>
                <w:highlight w:val="none"/>
                <w:vertAlign w:val="baseline"/>
              </w:rPr>
            </w:pPr>
            <w:r>
              <w:rPr>
                <w:rFonts w:hint="eastAsia"/>
                <w:highlight w:val="none"/>
                <w:vertAlign w:val="baseline"/>
              </w:rPr>
              <w:t>4、水槽柜上部多功能平台，搭配专用水嘴和滴水板，方便学生在实验时放置烧杯、量筒等工具。</w:t>
            </w:r>
          </w:p>
          <w:p w14:paraId="4D62ADEB">
            <w:pPr>
              <w:jc w:val="left"/>
              <w:rPr>
                <w:rFonts w:hint="eastAsia"/>
                <w:highlight w:val="none"/>
                <w:vertAlign w:val="baseline"/>
              </w:rPr>
            </w:pPr>
            <w:r>
              <w:rPr>
                <w:rFonts w:hint="eastAsia"/>
                <w:highlight w:val="none"/>
                <w:vertAlign w:val="baseline"/>
              </w:rPr>
              <w:t>5、门板：前部密闭设计，梯形结构搭配装饰条，后门配有可打开式检修门，隐藏式一体扣手，合页采用尼龙塑料铰链，高强度耐磨，防水、永不生锈。</w:t>
            </w:r>
          </w:p>
          <w:p w14:paraId="3B8D41EE">
            <w:pPr>
              <w:jc w:val="left"/>
              <w:rPr>
                <w:rFonts w:hint="eastAsia"/>
                <w:highlight w:val="none"/>
                <w:vertAlign w:val="baseline"/>
              </w:rPr>
            </w:pPr>
            <w:r>
              <w:rPr>
                <w:rFonts w:hint="eastAsia"/>
                <w:highlight w:val="none"/>
                <w:vertAlign w:val="baseline"/>
              </w:rPr>
              <w:t>6、水槽采用生物抗菌型塑料，塑料注塑模一次性成型，耐强酸强碱耐＜80℃有机溶剂并耐150℃以下高温，外型简约美观。具有净化空气作用同时释放一定浓度负氧离子。产品可以去除空气中的甲醛、甲苯等有毒有害物质，改善室内空气质量，确保房间内空气质量达到国家环保检测标准。为了保证产品质量，需要提供生物抗菌型塑料甲醛、甲苯去除率检测报告:</w:t>
            </w:r>
          </w:p>
          <w:p w14:paraId="59A14B02">
            <w:pPr>
              <w:jc w:val="left"/>
              <w:rPr>
                <w:rFonts w:hint="eastAsia"/>
                <w:highlight w:val="none"/>
                <w:vertAlign w:val="baseline"/>
              </w:rPr>
            </w:pPr>
            <w:r>
              <w:rPr>
                <w:rFonts w:hint="eastAsia"/>
                <w:highlight w:val="none"/>
                <w:vertAlign w:val="baseline"/>
              </w:rPr>
              <w:t>▲（1）依据QB/T 2761-2006《室内空气净化产品净化效果测定方法》检测：甲醛去除率≥80%；备注：为确保产品质量，需提供具有CMA或CNAS标识的检测报告扫描件。</w:t>
            </w:r>
          </w:p>
          <w:p w14:paraId="29A45D94">
            <w:pPr>
              <w:jc w:val="left"/>
              <w:rPr>
                <w:rFonts w:hint="eastAsia"/>
                <w:highlight w:val="none"/>
                <w:vertAlign w:val="baseline"/>
              </w:rPr>
            </w:pPr>
            <w:r>
              <w:rPr>
                <w:rFonts w:hint="eastAsia"/>
                <w:highlight w:val="none"/>
                <w:vertAlign w:val="baseline"/>
              </w:rPr>
              <w:t>▲（2）依据QB/T 2761-2006《室内空气净化产品净化效果测定方法》检测：甲苯去除率≥25%。备注：为确保产品质量，需提供具有CMA或CNAS标识的检测报告扫描件。</w:t>
            </w:r>
          </w:p>
        </w:tc>
        <w:tc>
          <w:tcPr>
            <w:tcW w:w="736" w:type="dxa"/>
            <w:noWrap w:val="0"/>
            <w:vAlign w:val="center"/>
          </w:tcPr>
          <w:p w14:paraId="5AF0673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14</w:t>
            </w:r>
          </w:p>
        </w:tc>
        <w:tc>
          <w:tcPr>
            <w:tcW w:w="834" w:type="dxa"/>
            <w:noWrap w:val="0"/>
            <w:vAlign w:val="center"/>
          </w:tcPr>
          <w:p w14:paraId="42F8B220">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24BDC377">
            <w:pPr>
              <w:jc w:val="center"/>
              <w:rPr>
                <w:highlight w:val="none"/>
              </w:rPr>
            </w:pPr>
            <w:r>
              <w:rPr>
                <w:highlight w:val="none"/>
              </w:rPr>
              <w:drawing>
                <wp:inline distT="0" distB="0" distL="114300" distR="114300">
                  <wp:extent cx="1755775" cy="1754505"/>
                  <wp:effectExtent l="0" t="0" r="9525" b="10795"/>
                  <wp:docPr id="73" name="图片 31" descr="水槽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descr="水槽柜2"/>
                          <pic:cNvPicPr>
                            <a:picLocks noChangeAspect="1"/>
                          </pic:cNvPicPr>
                        </pic:nvPicPr>
                        <pic:blipFill>
                          <a:blip r:embed="rId45"/>
                          <a:stretch>
                            <a:fillRect/>
                          </a:stretch>
                        </pic:blipFill>
                        <pic:spPr>
                          <a:xfrm>
                            <a:off x="0" y="0"/>
                            <a:ext cx="1755775" cy="1754505"/>
                          </a:xfrm>
                          <a:prstGeom prst="rect">
                            <a:avLst/>
                          </a:prstGeom>
                          <a:noFill/>
                          <a:ln>
                            <a:noFill/>
                          </a:ln>
                        </pic:spPr>
                      </pic:pic>
                    </a:graphicData>
                  </a:graphic>
                </wp:inline>
              </w:drawing>
            </w:r>
          </w:p>
        </w:tc>
        <w:tc>
          <w:tcPr>
            <w:tcW w:w="710" w:type="dxa"/>
            <w:gridSpan w:val="2"/>
            <w:noWrap w:val="0"/>
            <w:vAlign w:val="center"/>
          </w:tcPr>
          <w:p w14:paraId="5603A7D0">
            <w:pPr>
              <w:jc w:val="both"/>
              <w:rPr>
                <w:highlight w:val="none"/>
                <w:vertAlign w:val="baseline"/>
              </w:rPr>
            </w:pPr>
          </w:p>
        </w:tc>
      </w:tr>
      <w:tr w14:paraId="1654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479" w:type="dxa"/>
            <w:gridSpan w:val="7"/>
            <w:noWrap w:val="0"/>
            <w:vAlign w:val="center"/>
          </w:tcPr>
          <w:p w14:paraId="32AA0C73">
            <w:pPr>
              <w:jc w:val="left"/>
              <w:rPr>
                <w:highlight w:val="none"/>
              </w:rPr>
            </w:pPr>
            <w:r>
              <w:rPr>
                <w:rFonts w:hint="eastAsia"/>
                <w:b/>
                <w:bCs/>
                <w:sz w:val="30"/>
                <w:szCs w:val="30"/>
                <w:highlight w:val="none"/>
              </w:rPr>
              <w:t>三、通风设备</w:t>
            </w:r>
          </w:p>
        </w:tc>
        <w:tc>
          <w:tcPr>
            <w:tcW w:w="710" w:type="dxa"/>
            <w:gridSpan w:val="2"/>
            <w:noWrap w:val="0"/>
            <w:vAlign w:val="center"/>
          </w:tcPr>
          <w:p w14:paraId="4728960C">
            <w:pPr>
              <w:jc w:val="both"/>
              <w:rPr>
                <w:highlight w:val="none"/>
                <w:vertAlign w:val="baseline"/>
              </w:rPr>
            </w:pPr>
          </w:p>
        </w:tc>
      </w:tr>
      <w:tr w14:paraId="74DB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47B541">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461CC787">
            <w:pPr>
              <w:jc w:val="center"/>
              <w:rPr>
                <w:rFonts w:hint="eastAsia"/>
                <w:highlight w:val="none"/>
                <w:vertAlign w:val="baseline"/>
              </w:rPr>
            </w:pPr>
            <w:r>
              <w:rPr>
                <w:rFonts w:hint="eastAsia"/>
                <w:highlight w:val="none"/>
                <w:vertAlign w:val="baseline"/>
              </w:rPr>
              <w:t>万向吸风罩</w:t>
            </w:r>
          </w:p>
        </w:tc>
        <w:tc>
          <w:tcPr>
            <w:tcW w:w="5928" w:type="dxa"/>
            <w:noWrap w:val="0"/>
            <w:vAlign w:val="center"/>
          </w:tcPr>
          <w:p w14:paraId="7961FF37">
            <w:pPr>
              <w:jc w:val="left"/>
              <w:rPr>
                <w:rFonts w:hint="eastAsia"/>
                <w:highlight w:val="none"/>
                <w:vertAlign w:val="baseline"/>
              </w:rPr>
            </w:pPr>
            <w:r>
              <w:rPr>
                <w:rFonts w:hint="eastAsia"/>
                <w:highlight w:val="none"/>
                <w:vertAlign w:val="baseline"/>
              </w:rPr>
              <w:t>1、关节：采用高密度PP/PC材质，可360°旋转调节方向，易拆卸、重组及清洗。</w:t>
            </w:r>
          </w:p>
          <w:p w14:paraId="7842B4AF">
            <w:pPr>
              <w:jc w:val="left"/>
              <w:rPr>
                <w:rFonts w:hint="eastAsia"/>
                <w:highlight w:val="none"/>
                <w:vertAlign w:val="baseline"/>
              </w:rPr>
            </w:pPr>
            <w:r>
              <w:rPr>
                <w:rFonts w:hint="eastAsia"/>
                <w:highlight w:val="none"/>
                <w:vertAlign w:val="baseline"/>
              </w:rPr>
              <w:t>2、关节密封圈：采用不易老化的高密度橡胶。</w:t>
            </w:r>
          </w:p>
          <w:p w14:paraId="1CF645A3">
            <w:pPr>
              <w:jc w:val="left"/>
              <w:rPr>
                <w:rFonts w:hint="eastAsia"/>
                <w:highlight w:val="none"/>
                <w:vertAlign w:val="baseline"/>
              </w:rPr>
            </w:pPr>
            <w:r>
              <w:rPr>
                <w:rFonts w:hint="eastAsia"/>
                <w:highlight w:val="none"/>
                <w:vertAlign w:val="baseline"/>
              </w:rPr>
              <w:t>3、关节连接杆/支撑弹簧：304不锈钢材质。</w:t>
            </w:r>
          </w:p>
          <w:p w14:paraId="7DDED1A5">
            <w:pPr>
              <w:jc w:val="left"/>
              <w:rPr>
                <w:rFonts w:hint="eastAsia"/>
                <w:highlight w:val="none"/>
                <w:vertAlign w:val="baseline"/>
              </w:rPr>
            </w:pPr>
            <w:r>
              <w:rPr>
                <w:rFonts w:hint="eastAsia"/>
                <w:highlight w:val="none"/>
                <w:vertAlign w:val="baseline"/>
              </w:rPr>
              <w:t>4、关节松紧旋钮：高密度PP/PC材质，内嵌不锈钢轴承，与关节连接杆锁合。</w:t>
            </w:r>
          </w:p>
          <w:p w14:paraId="1A0384D1">
            <w:pPr>
              <w:jc w:val="left"/>
              <w:rPr>
                <w:rFonts w:hint="eastAsia"/>
                <w:highlight w:val="none"/>
                <w:vertAlign w:val="baseline"/>
              </w:rPr>
            </w:pPr>
            <w:r>
              <w:rPr>
                <w:rFonts w:hint="eastAsia"/>
                <w:highlight w:val="none"/>
                <w:vertAlign w:val="baseline"/>
              </w:rPr>
              <w:t>5、气流调节阀：方便的手动调节外部阀门旋钮，控制进入的气体流量。</w:t>
            </w:r>
          </w:p>
          <w:p w14:paraId="791D9F46">
            <w:pPr>
              <w:jc w:val="left"/>
              <w:rPr>
                <w:rFonts w:hint="eastAsia"/>
                <w:highlight w:val="none"/>
                <w:vertAlign w:val="baseline"/>
              </w:rPr>
            </w:pPr>
            <w:r>
              <w:rPr>
                <w:rFonts w:hint="eastAsia"/>
                <w:highlight w:val="none"/>
                <w:vertAlign w:val="baseline"/>
              </w:rPr>
              <w:t>6、拱形/杯型集气罩：∅375/200mm，高密度PP/PC材质</w:t>
            </w:r>
          </w:p>
          <w:p w14:paraId="214D963A">
            <w:pPr>
              <w:jc w:val="left"/>
              <w:rPr>
                <w:rFonts w:hint="eastAsia"/>
                <w:highlight w:val="none"/>
                <w:vertAlign w:val="baseline"/>
              </w:rPr>
            </w:pPr>
            <w:r>
              <w:rPr>
                <w:rFonts w:hint="eastAsia"/>
                <w:highlight w:val="none"/>
                <w:vertAlign w:val="baseline"/>
              </w:rPr>
              <w:t>7、伸缩导管：∅75mm，PVC/PC材质</w:t>
            </w:r>
          </w:p>
          <w:p w14:paraId="163BE539">
            <w:pPr>
              <w:jc w:val="left"/>
              <w:rPr>
                <w:rFonts w:hint="eastAsia"/>
                <w:highlight w:val="none"/>
                <w:vertAlign w:val="baseline"/>
              </w:rPr>
            </w:pPr>
            <w:r>
              <w:rPr>
                <w:rFonts w:hint="eastAsia"/>
                <w:highlight w:val="none"/>
                <w:vertAlign w:val="baseline"/>
              </w:rPr>
              <w:t>8、标配固定底座：高密度PP/PC材质，模具注塑成型，牢度强，不脱底。</w:t>
            </w:r>
          </w:p>
          <w:p w14:paraId="7929B1A0">
            <w:pPr>
              <w:jc w:val="left"/>
              <w:rPr>
                <w:rFonts w:hint="eastAsia"/>
                <w:highlight w:val="none"/>
                <w:vertAlign w:val="baseline"/>
              </w:rPr>
            </w:pPr>
            <w:r>
              <w:rPr>
                <w:rFonts w:hint="eastAsia"/>
                <w:highlight w:val="none"/>
                <w:vertAlign w:val="baseline"/>
              </w:rPr>
              <w:t>注：万向吸风罩整体通过GB/T32487-2016《塑料家具通用技术条件》检测，塑料件理化性能检测，耐冷热循环、硬度测试。测试结果符合指标要求。提供第三方法定检测机构出具的检测报告，并加盖制造商鲜章。</w:t>
            </w:r>
          </w:p>
        </w:tc>
        <w:tc>
          <w:tcPr>
            <w:tcW w:w="736" w:type="dxa"/>
            <w:noWrap w:val="0"/>
            <w:vAlign w:val="center"/>
          </w:tcPr>
          <w:p w14:paraId="7904B8EF">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29</w:t>
            </w:r>
          </w:p>
        </w:tc>
        <w:tc>
          <w:tcPr>
            <w:tcW w:w="834" w:type="dxa"/>
            <w:noWrap w:val="0"/>
            <w:vAlign w:val="center"/>
          </w:tcPr>
          <w:p w14:paraId="3A959C0D">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3F8A4648">
            <w:pPr>
              <w:jc w:val="center"/>
              <w:rPr>
                <w:highlight w:val="none"/>
              </w:rPr>
            </w:pPr>
            <w:r>
              <w:rPr>
                <w:highlight w:val="none"/>
              </w:rPr>
              <w:drawing>
                <wp:inline distT="0" distB="0" distL="114300" distR="114300">
                  <wp:extent cx="1659255" cy="1272540"/>
                  <wp:effectExtent l="0" t="0" r="4445" b="10160"/>
                  <wp:docPr id="7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2"/>
                          <pic:cNvPicPr>
                            <a:picLocks noChangeAspect="1"/>
                          </pic:cNvPicPr>
                        </pic:nvPicPr>
                        <pic:blipFill>
                          <a:blip r:embed="rId46"/>
                          <a:srcRect r="21053"/>
                          <a:stretch>
                            <a:fillRect/>
                          </a:stretch>
                        </pic:blipFill>
                        <pic:spPr>
                          <a:xfrm>
                            <a:off x="0" y="0"/>
                            <a:ext cx="1659255" cy="1272540"/>
                          </a:xfrm>
                          <a:prstGeom prst="rect">
                            <a:avLst/>
                          </a:prstGeom>
                          <a:noFill/>
                          <a:ln>
                            <a:noFill/>
                          </a:ln>
                        </pic:spPr>
                      </pic:pic>
                    </a:graphicData>
                  </a:graphic>
                </wp:inline>
              </w:drawing>
            </w:r>
          </w:p>
        </w:tc>
        <w:tc>
          <w:tcPr>
            <w:tcW w:w="710" w:type="dxa"/>
            <w:gridSpan w:val="2"/>
            <w:noWrap w:val="0"/>
            <w:vAlign w:val="center"/>
          </w:tcPr>
          <w:p w14:paraId="785949BF">
            <w:pPr>
              <w:jc w:val="both"/>
              <w:rPr>
                <w:highlight w:val="none"/>
                <w:vertAlign w:val="baseline"/>
              </w:rPr>
            </w:pPr>
          </w:p>
        </w:tc>
      </w:tr>
      <w:tr w14:paraId="7436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trPr>
        <w:tc>
          <w:tcPr>
            <w:tcW w:w="895" w:type="dxa"/>
            <w:noWrap w:val="0"/>
            <w:vAlign w:val="center"/>
          </w:tcPr>
          <w:p w14:paraId="3DC8EDC0">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5123FC99">
            <w:pPr>
              <w:jc w:val="center"/>
              <w:rPr>
                <w:rFonts w:hint="eastAsia"/>
                <w:highlight w:val="none"/>
                <w:vertAlign w:val="baseline"/>
              </w:rPr>
            </w:pPr>
            <w:r>
              <w:rPr>
                <w:rFonts w:hint="eastAsia"/>
                <w:highlight w:val="none"/>
                <w:vertAlign w:val="baseline"/>
              </w:rPr>
              <w:t>离心风机</w:t>
            </w:r>
          </w:p>
        </w:tc>
        <w:tc>
          <w:tcPr>
            <w:tcW w:w="5928" w:type="dxa"/>
            <w:noWrap w:val="0"/>
            <w:vAlign w:val="center"/>
          </w:tcPr>
          <w:p w14:paraId="4809647C">
            <w:pPr>
              <w:jc w:val="left"/>
              <w:rPr>
                <w:rFonts w:hint="eastAsia"/>
                <w:highlight w:val="none"/>
                <w:vertAlign w:val="baseline"/>
              </w:rPr>
            </w:pPr>
            <w:r>
              <w:rPr>
                <w:rFonts w:hint="eastAsia"/>
                <w:highlight w:val="none"/>
                <w:vertAlign w:val="baseline"/>
              </w:rPr>
              <w:t>通风风机采用蜗牛式塑料离心风机，pp材质，变频调速，具有噪声低，吸力强等优点。防腐塑料离心风机，电机转数为0～1450转/min，风量0～16500m³/H，风压116～80mmHg，最大风速下实现换气次数不低于10次/小时以上，毒气排污率≥97%，电机功率5.5KW，通风消声器采用一体成型内置隔音棉等隔音装置，确保室外通负噪声小于50分贝，风机和消声器连接处采用柔性材质，消除因震动引起的微量错位对通风的影响。</w:t>
            </w:r>
          </w:p>
        </w:tc>
        <w:tc>
          <w:tcPr>
            <w:tcW w:w="736" w:type="dxa"/>
            <w:noWrap w:val="0"/>
            <w:vAlign w:val="center"/>
          </w:tcPr>
          <w:p w14:paraId="3776652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3EC82FC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5F7308F2">
            <w:pPr>
              <w:jc w:val="center"/>
              <w:rPr>
                <w:highlight w:val="none"/>
              </w:rPr>
            </w:pPr>
            <w:r>
              <w:rPr>
                <w:highlight w:val="none"/>
              </w:rPr>
              <w:drawing>
                <wp:inline distT="0" distB="0" distL="114300" distR="114300">
                  <wp:extent cx="1312545" cy="990600"/>
                  <wp:effectExtent l="0" t="0" r="8255" b="0"/>
                  <wp:docPr id="46" name="图片 33" descr="293ddcb4fd83e6ba60d55632da00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descr="293ddcb4fd83e6ba60d55632da00ca6"/>
                          <pic:cNvPicPr>
                            <a:picLocks noChangeAspect="1"/>
                          </pic:cNvPicPr>
                        </pic:nvPicPr>
                        <pic:blipFill>
                          <a:blip r:embed="rId47"/>
                          <a:stretch>
                            <a:fillRect/>
                          </a:stretch>
                        </pic:blipFill>
                        <pic:spPr>
                          <a:xfrm>
                            <a:off x="0" y="0"/>
                            <a:ext cx="1312545" cy="990600"/>
                          </a:xfrm>
                          <a:prstGeom prst="rect">
                            <a:avLst/>
                          </a:prstGeom>
                          <a:noFill/>
                          <a:ln>
                            <a:noFill/>
                          </a:ln>
                        </pic:spPr>
                      </pic:pic>
                    </a:graphicData>
                  </a:graphic>
                </wp:inline>
              </w:drawing>
            </w:r>
          </w:p>
        </w:tc>
        <w:tc>
          <w:tcPr>
            <w:tcW w:w="710" w:type="dxa"/>
            <w:gridSpan w:val="2"/>
            <w:noWrap w:val="0"/>
            <w:vAlign w:val="center"/>
          </w:tcPr>
          <w:p w14:paraId="1A44E242">
            <w:pPr>
              <w:jc w:val="both"/>
              <w:rPr>
                <w:highlight w:val="none"/>
                <w:vertAlign w:val="baseline"/>
              </w:rPr>
            </w:pPr>
          </w:p>
        </w:tc>
      </w:tr>
      <w:tr w14:paraId="4668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12F410">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1762A9EF">
            <w:pPr>
              <w:jc w:val="center"/>
              <w:rPr>
                <w:rFonts w:hint="eastAsia"/>
                <w:highlight w:val="none"/>
                <w:vertAlign w:val="baseline"/>
              </w:rPr>
            </w:pPr>
            <w:r>
              <w:rPr>
                <w:rFonts w:hint="eastAsia"/>
                <w:highlight w:val="none"/>
                <w:vertAlign w:val="baseline"/>
              </w:rPr>
              <w:t>风机变频控制器</w:t>
            </w:r>
          </w:p>
        </w:tc>
        <w:tc>
          <w:tcPr>
            <w:tcW w:w="5928" w:type="dxa"/>
            <w:noWrap w:val="0"/>
            <w:vAlign w:val="center"/>
          </w:tcPr>
          <w:p w14:paraId="06EF554A">
            <w:pPr>
              <w:jc w:val="left"/>
              <w:rPr>
                <w:rFonts w:hint="eastAsia"/>
                <w:highlight w:val="none"/>
                <w:vertAlign w:val="baseline"/>
              </w:rPr>
            </w:pPr>
            <w:r>
              <w:rPr>
                <w:rFonts w:hint="eastAsia"/>
                <w:highlight w:val="none"/>
                <w:vertAlign w:val="baseline"/>
              </w:rPr>
              <w:t>1、适配多种电机功率；</w:t>
            </w:r>
          </w:p>
          <w:p w14:paraId="0767C65B">
            <w:pPr>
              <w:jc w:val="left"/>
              <w:rPr>
                <w:rFonts w:hint="eastAsia"/>
                <w:highlight w:val="none"/>
                <w:vertAlign w:val="baseline"/>
              </w:rPr>
            </w:pPr>
            <w:r>
              <w:rPr>
                <w:rFonts w:hint="eastAsia"/>
                <w:highlight w:val="none"/>
                <w:vertAlign w:val="baseline"/>
              </w:rPr>
              <w:t>2、输出：AC 0～380V 13A；</w:t>
            </w:r>
          </w:p>
          <w:p w14:paraId="45FEF37C">
            <w:pPr>
              <w:jc w:val="left"/>
              <w:rPr>
                <w:rFonts w:hint="eastAsia"/>
                <w:highlight w:val="none"/>
                <w:vertAlign w:val="baseline"/>
              </w:rPr>
            </w:pPr>
            <w:r>
              <w:rPr>
                <w:rFonts w:hint="eastAsia"/>
                <w:highlight w:val="none"/>
                <w:vertAlign w:val="baseline"/>
              </w:rPr>
              <w:t>3、控制方式：V/F控制、开环矢量控制（SVC）；</w:t>
            </w:r>
          </w:p>
          <w:p w14:paraId="57AB2EF0">
            <w:pPr>
              <w:jc w:val="left"/>
              <w:rPr>
                <w:rFonts w:hint="eastAsia"/>
                <w:highlight w:val="none"/>
                <w:vertAlign w:val="baseline"/>
              </w:rPr>
            </w:pPr>
            <w:r>
              <w:rPr>
                <w:rFonts w:hint="eastAsia"/>
                <w:highlight w:val="none"/>
                <w:vertAlign w:val="baseline"/>
              </w:rPr>
              <w:t>4、过载能力：150%额定电流60s；180%额定电流3s；</w:t>
            </w:r>
          </w:p>
          <w:p w14:paraId="5CEDFC2D">
            <w:pPr>
              <w:jc w:val="left"/>
              <w:rPr>
                <w:rFonts w:hint="eastAsia"/>
                <w:highlight w:val="none"/>
                <w:vertAlign w:val="baseline"/>
              </w:rPr>
            </w:pPr>
            <w:r>
              <w:rPr>
                <w:rFonts w:hint="eastAsia"/>
                <w:highlight w:val="none"/>
                <w:vertAlign w:val="baseline"/>
              </w:rPr>
              <w:t>5、控制电源+24V：最大输出电流300mA；</w:t>
            </w:r>
          </w:p>
          <w:p w14:paraId="34159035">
            <w:pPr>
              <w:jc w:val="left"/>
              <w:rPr>
                <w:rFonts w:hint="eastAsia"/>
                <w:highlight w:val="none"/>
                <w:vertAlign w:val="baseline"/>
              </w:rPr>
            </w:pPr>
            <w:r>
              <w:rPr>
                <w:rFonts w:hint="eastAsia"/>
                <w:highlight w:val="none"/>
                <w:vertAlign w:val="baseline"/>
              </w:rPr>
              <w:t>6、运行方式：键盘、端子、RS485通讯；</w:t>
            </w:r>
          </w:p>
          <w:p w14:paraId="18ED6D67">
            <w:pPr>
              <w:jc w:val="left"/>
              <w:rPr>
                <w:rFonts w:hint="eastAsia"/>
                <w:highlight w:val="none"/>
                <w:vertAlign w:val="baseline"/>
              </w:rPr>
            </w:pPr>
            <w:r>
              <w:rPr>
                <w:rFonts w:hint="eastAsia"/>
                <w:highlight w:val="none"/>
                <w:vertAlign w:val="baseline"/>
              </w:rPr>
              <w:t>7、可实现紧急停机，转速跟踪，定长、定距离控制，可实现计数控制、摆频控制；</w:t>
            </w:r>
          </w:p>
          <w:p w14:paraId="2B3287FF">
            <w:pPr>
              <w:jc w:val="left"/>
              <w:rPr>
                <w:rFonts w:hint="eastAsia"/>
                <w:highlight w:val="none"/>
                <w:vertAlign w:val="baseline"/>
              </w:rPr>
            </w:pPr>
            <w:r>
              <w:rPr>
                <w:rFonts w:hint="eastAsia"/>
                <w:highlight w:val="none"/>
                <w:vertAlign w:val="baseline"/>
              </w:rPr>
              <w:t>8、可显示运行信息、错误信息。具备过流、过压、模块故障保护、欠压、过热、过载、外部故障保护、EEPROM故障保护、接地保护、缺相等变频器保护及报警功能；</w:t>
            </w:r>
          </w:p>
          <w:p w14:paraId="175ECAAF">
            <w:pPr>
              <w:jc w:val="left"/>
              <w:rPr>
                <w:rFonts w:hint="eastAsia"/>
                <w:highlight w:val="none"/>
                <w:vertAlign w:val="baseline"/>
              </w:rPr>
            </w:pPr>
            <w:r>
              <w:rPr>
                <w:rFonts w:hint="eastAsia"/>
                <w:highlight w:val="none"/>
                <w:vertAlign w:val="baseline"/>
              </w:rPr>
              <w:t>9、能适应-10℃～40℃的使用环境温度和 -20℃～65℃储存温度，最大90%RH不结露的环境湿度。要求能适应高度1000m以下，振动5.9m/秒²(=0.6g)以下使用环境；</w:t>
            </w:r>
          </w:p>
          <w:p w14:paraId="3373C3A3">
            <w:pPr>
              <w:jc w:val="left"/>
              <w:rPr>
                <w:rFonts w:hint="eastAsia"/>
                <w:highlight w:val="none"/>
                <w:vertAlign w:val="baseline"/>
              </w:rPr>
            </w:pPr>
            <w:r>
              <w:rPr>
                <w:rFonts w:hint="eastAsia"/>
                <w:highlight w:val="none"/>
                <w:vertAlign w:val="baseline"/>
              </w:rPr>
              <w:t>10、冷却方式采用强制风冷。</w:t>
            </w:r>
          </w:p>
        </w:tc>
        <w:tc>
          <w:tcPr>
            <w:tcW w:w="736" w:type="dxa"/>
            <w:noWrap w:val="0"/>
            <w:vAlign w:val="center"/>
          </w:tcPr>
          <w:p w14:paraId="15E68043">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1208A58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409EC1B0">
            <w:pPr>
              <w:jc w:val="center"/>
              <w:rPr>
                <w:highlight w:val="none"/>
              </w:rPr>
            </w:pPr>
            <w:r>
              <w:rPr>
                <w:highlight w:val="none"/>
              </w:rPr>
              <w:drawing>
                <wp:inline distT="0" distB="0" distL="114300" distR="114300">
                  <wp:extent cx="1341120" cy="1994535"/>
                  <wp:effectExtent l="0" t="0" r="5080" b="12065"/>
                  <wp:docPr id="48" name="图片 34" descr="9400ef676f1172eebfa32a1f03f1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descr="9400ef676f1172eebfa32a1f03f10f3"/>
                          <pic:cNvPicPr>
                            <a:picLocks noChangeAspect="1"/>
                          </pic:cNvPicPr>
                        </pic:nvPicPr>
                        <pic:blipFill>
                          <a:blip r:embed="rId48"/>
                          <a:stretch>
                            <a:fillRect/>
                          </a:stretch>
                        </pic:blipFill>
                        <pic:spPr>
                          <a:xfrm>
                            <a:off x="0" y="0"/>
                            <a:ext cx="1341120" cy="1994535"/>
                          </a:xfrm>
                          <a:prstGeom prst="rect">
                            <a:avLst/>
                          </a:prstGeom>
                          <a:noFill/>
                          <a:ln>
                            <a:noFill/>
                          </a:ln>
                        </pic:spPr>
                      </pic:pic>
                    </a:graphicData>
                  </a:graphic>
                </wp:inline>
              </w:drawing>
            </w:r>
          </w:p>
        </w:tc>
        <w:tc>
          <w:tcPr>
            <w:tcW w:w="710" w:type="dxa"/>
            <w:gridSpan w:val="2"/>
            <w:noWrap w:val="0"/>
            <w:vAlign w:val="center"/>
          </w:tcPr>
          <w:p w14:paraId="60BEC603">
            <w:pPr>
              <w:jc w:val="both"/>
              <w:rPr>
                <w:highlight w:val="none"/>
                <w:vertAlign w:val="baseline"/>
              </w:rPr>
            </w:pPr>
          </w:p>
        </w:tc>
      </w:tr>
      <w:tr w14:paraId="11B7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479" w:type="dxa"/>
            <w:gridSpan w:val="7"/>
            <w:noWrap w:val="0"/>
            <w:vAlign w:val="center"/>
          </w:tcPr>
          <w:p w14:paraId="2F129DC8">
            <w:pPr>
              <w:jc w:val="left"/>
              <w:rPr>
                <w:highlight w:val="none"/>
              </w:rPr>
            </w:pPr>
            <w:r>
              <w:rPr>
                <w:rFonts w:hint="eastAsia"/>
                <w:b/>
                <w:bCs/>
                <w:sz w:val="30"/>
                <w:szCs w:val="30"/>
                <w:highlight w:val="none"/>
              </w:rPr>
              <w:t>四、安装附件部分</w:t>
            </w:r>
          </w:p>
        </w:tc>
        <w:tc>
          <w:tcPr>
            <w:tcW w:w="710" w:type="dxa"/>
            <w:gridSpan w:val="2"/>
            <w:noWrap w:val="0"/>
            <w:vAlign w:val="center"/>
          </w:tcPr>
          <w:p w14:paraId="449502F6">
            <w:pPr>
              <w:jc w:val="both"/>
              <w:rPr>
                <w:highlight w:val="none"/>
                <w:vertAlign w:val="baseline"/>
              </w:rPr>
            </w:pPr>
          </w:p>
        </w:tc>
      </w:tr>
      <w:tr w14:paraId="505C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B10EE8">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7A1C272F">
            <w:pPr>
              <w:jc w:val="center"/>
              <w:rPr>
                <w:rFonts w:hint="eastAsia"/>
                <w:highlight w:val="none"/>
                <w:vertAlign w:val="baseline"/>
              </w:rPr>
            </w:pPr>
            <w:r>
              <w:rPr>
                <w:rFonts w:hint="eastAsia"/>
                <w:highlight w:val="none"/>
                <w:vertAlign w:val="baseline"/>
              </w:rPr>
              <w:t>电源布线耗材</w:t>
            </w:r>
          </w:p>
        </w:tc>
        <w:tc>
          <w:tcPr>
            <w:tcW w:w="5928" w:type="dxa"/>
            <w:noWrap w:val="0"/>
            <w:vAlign w:val="center"/>
          </w:tcPr>
          <w:p w14:paraId="2C0E9053">
            <w:pPr>
              <w:jc w:val="left"/>
              <w:rPr>
                <w:rFonts w:hint="eastAsia"/>
                <w:highlight w:val="none"/>
                <w:vertAlign w:val="baseline"/>
              </w:rPr>
            </w:pPr>
            <w:r>
              <w:rPr>
                <w:rFonts w:hint="eastAsia"/>
                <w:highlight w:val="none"/>
                <w:vertAlign w:val="baseline"/>
              </w:rPr>
              <w:t>预埋耗材：电源主线采用4mm²优质多芯铜质护套线，电源支线采用2.5mm²、1.5mm²优质多芯铜质护套线；选用Ф25PVC阻燃线管预埋或采用PVC线槽明敷；</w:t>
            </w:r>
          </w:p>
        </w:tc>
        <w:tc>
          <w:tcPr>
            <w:tcW w:w="736" w:type="dxa"/>
            <w:noWrap w:val="0"/>
            <w:vAlign w:val="center"/>
          </w:tcPr>
          <w:p w14:paraId="2F834D58">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19028FE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60620C43">
            <w:pPr>
              <w:jc w:val="center"/>
              <w:rPr>
                <w:highlight w:val="none"/>
              </w:rPr>
            </w:pPr>
          </w:p>
        </w:tc>
        <w:tc>
          <w:tcPr>
            <w:tcW w:w="710" w:type="dxa"/>
            <w:gridSpan w:val="2"/>
            <w:noWrap w:val="0"/>
            <w:vAlign w:val="center"/>
          </w:tcPr>
          <w:p w14:paraId="031AA77A">
            <w:pPr>
              <w:jc w:val="both"/>
              <w:rPr>
                <w:highlight w:val="none"/>
                <w:vertAlign w:val="baseline"/>
              </w:rPr>
            </w:pPr>
          </w:p>
        </w:tc>
      </w:tr>
      <w:tr w14:paraId="6C47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948761">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584F08F5">
            <w:pPr>
              <w:jc w:val="center"/>
              <w:rPr>
                <w:rFonts w:hint="eastAsia"/>
                <w:highlight w:val="none"/>
                <w:vertAlign w:val="baseline"/>
              </w:rPr>
            </w:pPr>
            <w:r>
              <w:rPr>
                <w:rFonts w:hint="eastAsia"/>
                <w:highlight w:val="none"/>
                <w:vertAlign w:val="baseline"/>
              </w:rPr>
              <w:t>风机布线耗材</w:t>
            </w:r>
          </w:p>
        </w:tc>
        <w:tc>
          <w:tcPr>
            <w:tcW w:w="5928" w:type="dxa"/>
            <w:noWrap w:val="0"/>
            <w:vAlign w:val="center"/>
          </w:tcPr>
          <w:p w14:paraId="0EFA8DF1">
            <w:pPr>
              <w:jc w:val="left"/>
              <w:rPr>
                <w:rFonts w:hint="eastAsia"/>
                <w:highlight w:val="none"/>
                <w:vertAlign w:val="baseline"/>
              </w:rPr>
            </w:pPr>
            <w:r>
              <w:rPr>
                <w:rFonts w:hint="eastAsia"/>
                <w:highlight w:val="none"/>
                <w:vertAlign w:val="baseline"/>
              </w:rPr>
              <w:t>风机专用线电源主线需采用4mm²国标BV塑铜线铺设经教师电源控制台至风机。</w:t>
            </w:r>
          </w:p>
        </w:tc>
        <w:tc>
          <w:tcPr>
            <w:tcW w:w="736" w:type="dxa"/>
            <w:noWrap w:val="0"/>
            <w:vAlign w:val="center"/>
          </w:tcPr>
          <w:p w14:paraId="1F84D40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59EC8D9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4B0AD21D">
            <w:pPr>
              <w:jc w:val="center"/>
              <w:rPr>
                <w:highlight w:val="none"/>
              </w:rPr>
            </w:pPr>
          </w:p>
        </w:tc>
        <w:tc>
          <w:tcPr>
            <w:tcW w:w="710" w:type="dxa"/>
            <w:gridSpan w:val="2"/>
            <w:noWrap w:val="0"/>
            <w:vAlign w:val="center"/>
          </w:tcPr>
          <w:p w14:paraId="561BE08A">
            <w:pPr>
              <w:jc w:val="both"/>
              <w:rPr>
                <w:highlight w:val="none"/>
                <w:vertAlign w:val="baseline"/>
              </w:rPr>
            </w:pPr>
          </w:p>
        </w:tc>
      </w:tr>
      <w:tr w14:paraId="68E0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3F73D1">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5B218C0C">
            <w:pPr>
              <w:jc w:val="center"/>
              <w:rPr>
                <w:rFonts w:hint="eastAsia"/>
                <w:highlight w:val="none"/>
                <w:vertAlign w:val="baseline"/>
              </w:rPr>
            </w:pPr>
            <w:r>
              <w:rPr>
                <w:rFonts w:hint="eastAsia"/>
                <w:highlight w:val="none"/>
                <w:vertAlign w:val="baseline"/>
              </w:rPr>
              <w:t>室内风管及配件</w:t>
            </w:r>
          </w:p>
        </w:tc>
        <w:tc>
          <w:tcPr>
            <w:tcW w:w="5928" w:type="dxa"/>
            <w:noWrap w:val="0"/>
            <w:vAlign w:val="center"/>
          </w:tcPr>
          <w:p w14:paraId="22F8AC6D">
            <w:pPr>
              <w:jc w:val="left"/>
              <w:rPr>
                <w:rFonts w:hint="eastAsia"/>
                <w:highlight w:val="none"/>
                <w:vertAlign w:val="baseline"/>
              </w:rPr>
            </w:pPr>
            <w:r>
              <w:rPr>
                <w:rFonts w:hint="eastAsia"/>
                <w:highlight w:val="none"/>
                <w:vertAlign w:val="baseline"/>
              </w:rPr>
              <w:t>1、主通风管规格：采用φ200mm的PVC成品管道；</w:t>
            </w:r>
          </w:p>
          <w:p w14:paraId="09BC2FFB">
            <w:pPr>
              <w:jc w:val="left"/>
              <w:rPr>
                <w:rFonts w:hint="eastAsia"/>
                <w:highlight w:val="none"/>
                <w:vertAlign w:val="baseline"/>
              </w:rPr>
            </w:pPr>
            <w:r>
              <w:rPr>
                <w:rFonts w:hint="eastAsia"/>
                <w:highlight w:val="none"/>
                <w:vertAlign w:val="baseline"/>
              </w:rPr>
              <w:t>2、支管道规格：采用φ110mm的PVC成品管道（实际管径视现场情况需适当调整）；</w:t>
            </w:r>
          </w:p>
          <w:p w14:paraId="0AB1AE12">
            <w:pPr>
              <w:jc w:val="left"/>
              <w:rPr>
                <w:rFonts w:hint="eastAsia"/>
                <w:highlight w:val="none"/>
                <w:vertAlign w:val="baseline"/>
              </w:rPr>
            </w:pPr>
            <w:r>
              <w:rPr>
                <w:rFonts w:hint="eastAsia"/>
                <w:highlight w:val="none"/>
                <w:vertAlign w:val="baseline"/>
              </w:rPr>
              <w:t>3、管道配件：管道三通、弯头、变径、直接；</w:t>
            </w:r>
          </w:p>
        </w:tc>
        <w:tc>
          <w:tcPr>
            <w:tcW w:w="736" w:type="dxa"/>
            <w:noWrap w:val="0"/>
            <w:vAlign w:val="center"/>
          </w:tcPr>
          <w:p w14:paraId="08D7BAC0">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4F05F00B">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25AEA579">
            <w:pPr>
              <w:jc w:val="center"/>
              <w:rPr>
                <w:highlight w:val="none"/>
              </w:rPr>
            </w:pPr>
          </w:p>
        </w:tc>
        <w:tc>
          <w:tcPr>
            <w:tcW w:w="710" w:type="dxa"/>
            <w:gridSpan w:val="2"/>
            <w:noWrap w:val="0"/>
            <w:vAlign w:val="center"/>
          </w:tcPr>
          <w:p w14:paraId="6BAB9833">
            <w:pPr>
              <w:jc w:val="both"/>
              <w:rPr>
                <w:highlight w:val="none"/>
                <w:vertAlign w:val="baseline"/>
              </w:rPr>
            </w:pPr>
          </w:p>
        </w:tc>
      </w:tr>
      <w:tr w14:paraId="01F5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693AD6">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2AAB7E26">
            <w:pPr>
              <w:jc w:val="center"/>
              <w:rPr>
                <w:rFonts w:hint="eastAsia"/>
                <w:highlight w:val="none"/>
                <w:vertAlign w:val="baseline"/>
              </w:rPr>
            </w:pPr>
            <w:r>
              <w:rPr>
                <w:rFonts w:hint="eastAsia"/>
                <w:highlight w:val="none"/>
                <w:vertAlign w:val="baseline"/>
              </w:rPr>
              <w:t>室外风管及配件</w:t>
            </w:r>
          </w:p>
        </w:tc>
        <w:tc>
          <w:tcPr>
            <w:tcW w:w="5928" w:type="dxa"/>
            <w:noWrap w:val="0"/>
            <w:vAlign w:val="center"/>
          </w:tcPr>
          <w:p w14:paraId="67B22F27">
            <w:pPr>
              <w:jc w:val="left"/>
              <w:rPr>
                <w:rFonts w:hint="eastAsia"/>
                <w:highlight w:val="none"/>
                <w:vertAlign w:val="baseline"/>
              </w:rPr>
            </w:pPr>
            <w:r>
              <w:rPr>
                <w:rFonts w:hint="eastAsia"/>
                <w:highlight w:val="none"/>
                <w:vertAlign w:val="baseline"/>
              </w:rPr>
              <w:t>1、主通风管规格：采用φ200mm～φ400mm的PVC成品管道（根据现场情况选择）；</w:t>
            </w:r>
          </w:p>
          <w:p w14:paraId="3710C35D">
            <w:pPr>
              <w:jc w:val="left"/>
              <w:rPr>
                <w:rFonts w:hint="eastAsia"/>
                <w:highlight w:val="none"/>
                <w:vertAlign w:val="baseline"/>
              </w:rPr>
            </w:pPr>
            <w:r>
              <w:rPr>
                <w:rFonts w:hint="eastAsia"/>
                <w:highlight w:val="none"/>
                <w:vertAlign w:val="baseline"/>
              </w:rPr>
              <w:t>2、管道配件：管道三通、弯头、变径、直接；</w:t>
            </w:r>
          </w:p>
          <w:p w14:paraId="5BD0D5BB">
            <w:pPr>
              <w:jc w:val="left"/>
              <w:rPr>
                <w:rFonts w:hint="eastAsia"/>
                <w:highlight w:val="none"/>
                <w:vertAlign w:val="baseline"/>
              </w:rPr>
            </w:pPr>
            <w:r>
              <w:rPr>
                <w:rFonts w:hint="eastAsia"/>
                <w:highlight w:val="none"/>
                <w:vertAlign w:val="baseline"/>
              </w:rPr>
              <w:t>3、安装附件：固定铁卡，每4米风管用一个铁卡固定。</w:t>
            </w:r>
          </w:p>
        </w:tc>
        <w:tc>
          <w:tcPr>
            <w:tcW w:w="736" w:type="dxa"/>
            <w:noWrap w:val="0"/>
            <w:vAlign w:val="center"/>
          </w:tcPr>
          <w:p w14:paraId="52D2F37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6D861F3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4254701A">
            <w:pPr>
              <w:jc w:val="center"/>
              <w:rPr>
                <w:highlight w:val="none"/>
              </w:rPr>
            </w:pPr>
          </w:p>
        </w:tc>
        <w:tc>
          <w:tcPr>
            <w:tcW w:w="710" w:type="dxa"/>
            <w:gridSpan w:val="2"/>
            <w:noWrap w:val="0"/>
            <w:vAlign w:val="center"/>
          </w:tcPr>
          <w:p w14:paraId="292182E8">
            <w:pPr>
              <w:jc w:val="both"/>
              <w:rPr>
                <w:highlight w:val="none"/>
                <w:vertAlign w:val="baseline"/>
              </w:rPr>
            </w:pPr>
          </w:p>
        </w:tc>
      </w:tr>
      <w:tr w14:paraId="45C4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869F25">
            <w:pPr>
              <w:jc w:val="center"/>
              <w:rPr>
                <w:rFonts w:hint="default"/>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1FADAF32">
            <w:pPr>
              <w:jc w:val="center"/>
              <w:rPr>
                <w:rFonts w:hint="eastAsia"/>
                <w:highlight w:val="none"/>
                <w:vertAlign w:val="baseline"/>
              </w:rPr>
            </w:pPr>
            <w:r>
              <w:rPr>
                <w:rFonts w:hint="eastAsia"/>
                <w:highlight w:val="none"/>
                <w:vertAlign w:val="baseline"/>
              </w:rPr>
              <w:t>给/排水管道</w:t>
            </w:r>
          </w:p>
        </w:tc>
        <w:tc>
          <w:tcPr>
            <w:tcW w:w="5928" w:type="dxa"/>
            <w:noWrap w:val="0"/>
            <w:vAlign w:val="center"/>
          </w:tcPr>
          <w:p w14:paraId="72BC0D09">
            <w:pPr>
              <w:jc w:val="left"/>
              <w:rPr>
                <w:rFonts w:hint="eastAsia"/>
                <w:highlight w:val="none"/>
                <w:vertAlign w:val="baseline"/>
              </w:rPr>
            </w:pPr>
            <w:r>
              <w:rPr>
                <w:rFonts w:hint="eastAsia"/>
                <w:highlight w:val="none"/>
                <w:vertAlign w:val="baseline"/>
              </w:rPr>
              <w:t>1、给水：进水管为国标Ф25的PPR材质水管；</w:t>
            </w:r>
          </w:p>
          <w:p w14:paraId="1CD1D91B">
            <w:pPr>
              <w:jc w:val="left"/>
              <w:rPr>
                <w:rFonts w:hint="eastAsia"/>
                <w:highlight w:val="none"/>
                <w:vertAlign w:val="baseline"/>
              </w:rPr>
            </w:pPr>
            <w:r>
              <w:rPr>
                <w:rFonts w:hint="eastAsia"/>
                <w:highlight w:val="none"/>
                <w:vertAlign w:val="baseline"/>
              </w:rPr>
              <w:t>2、排水：采用Ф50的国标优质UPVC专用排水管；</w:t>
            </w:r>
          </w:p>
          <w:p w14:paraId="75EBF886">
            <w:pPr>
              <w:jc w:val="left"/>
              <w:rPr>
                <w:rFonts w:hint="eastAsia"/>
                <w:highlight w:val="none"/>
                <w:vertAlign w:val="baseline"/>
              </w:rPr>
            </w:pPr>
            <w:r>
              <w:rPr>
                <w:rFonts w:hint="eastAsia"/>
                <w:highlight w:val="none"/>
                <w:vertAlign w:val="baseline"/>
              </w:rPr>
              <w:t xml:space="preserve">2、配件：开关阀门，外丝连接件、PVC胶水等。 </w:t>
            </w:r>
          </w:p>
        </w:tc>
        <w:tc>
          <w:tcPr>
            <w:tcW w:w="736" w:type="dxa"/>
            <w:noWrap w:val="0"/>
            <w:vAlign w:val="center"/>
          </w:tcPr>
          <w:p w14:paraId="187EFF4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5EBF3E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0530F8D5">
            <w:pPr>
              <w:jc w:val="center"/>
              <w:rPr>
                <w:highlight w:val="none"/>
              </w:rPr>
            </w:pPr>
          </w:p>
        </w:tc>
        <w:tc>
          <w:tcPr>
            <w:tcW w:w="710" w:type="dxa"/>
            <w:gridSpan w:val="2"/>
            <w:noWrap w:val="0"/>
            <w:vAlign w:val="center"/>
          </w:tcPr>
          <w:p w14:paraId="1D59B1C7">
            <w:pPr>
              <w:jc w:val="both"/>
              <w:rPr>
                <w:highlight w:val="none"/>
                <w:vertAlign w:val="baseline"/>
              </w:rPr>
            </w:pPr>
          </w:p>
        </w:tc>
      </w:tr>
      <w:tr w14:paraId="7CEA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B38F8B">
            <w:pPr>
              <w:jc w:val="center"/>
              <w:rPr>
                <w:rFonts w:hint="default"/>
                <w:highlight w:val="none"/>
                <w:vertAlign w:val="baseline"/>
                <w:lang w:val="en-US" w:eastAsia="zh-CN"/>
              </w:rPr>
            </w:pPr>
            <w:r>
              <w:rPr>
                <w:rFonts w:hint="eastAsia"/>
                <w:highlight w:val="none"/>
                <w:vertAlign w:val="baseline"/>
                <w:lang w:val="en-US" w:eastAsia="zh-CN"/>
              </w:rPr>
              <w:t>6</w:t>
            </w:r>
          </w:p>
        </w:tc>
        <w:tc>
          <w:tcPr>
            <w:tcW w:w="1690" w:type="dxa"/>
            <w:noWrap w:val="0"/>
            <w:vAlign w:val="center"/>
          </w:tcPr>
          <w:p w14:paraId="45F3C124">
            <w:pPr>
              <w:jc w:val="center"/>
              <w:rPr>
                <w:rFonts w:hint="eastAsia"/>
                <w:highlight w:val="none"/>
                <w:vertAlign w:val="baseline"/>
              </w:rPr>
            </w:pPr>
            <w:r>
              <w:rPr>
                <w:rFonts w:hint="eastAsia"/>
                <w:highlight w:val="none"/>
                <w:vertAlign w:val="baseline"/>
              </w:rPr>
              <w:t>天花板装饰</w:t>
            </w:r>
          </w:p>
        </w:tc>
        <w:tc>
          <w:tcPr>
            <w:tcW w:w="5928" w:type="dxa"/>
            <w:noWrap w:val="0"/>
            <w:vAlign w:val="center"/>
          </w:tcPr>
          <w:p w14:paraId="142CAF34">
            <w:pPr>
              <w:jc w:val="left"/>
              <w:rPr>
                <w:rFonts w:hint="eastAsia"/>
                <w:highlight w:val="none"/>
                <w:vertAlign w:val="baseline"/>
              </w:rPr>
            </w:pPr>
            <w:r>
              <w:rPr>
                <w:rFonts w:hint="eastAsia"/>
                <w:highlight w:val="none"/>
                <w:vertAlign w:val="baseline"/>
              </w:rPr>
              <w:t>采用铝条对天面进行装饰，遮挡排风管等换气管件。</w:t>
            </w:r>
          </w:p>
        </w:tc>
        <w:tc>
          <w:tcPr>
            <w:tcW w:w="736" w:type="dxa"/>
            <w:noWrap w:val="0"/>
            <w:vAlign w:val="center"/>
          </w:tcPr>
          <w:p w14:paraId="2B9D92F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3D6EAD56">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项</w:t>
            </w:r>
          </w:p>
        </w:tc>
        <w:tc>
          <w:tcPr>
            <w:tcW w:w="3396" w:type="dxa"/>
            <w:gridSpan w:val="2"/>
            <w:noWrap w:val="0"/>
            <w:vAlign w:val="center"/>
          </w:tcPr>
          <w:p w14:paraId="68813803">
            <w:pPr>
              <w:jc w:val="center"/>
              <w:rPr>
                <w:highlight w:val="none"/>
              </w:rPr>
            </w:pPr>
          </w:p>
        </w:tc>
        <w:tc>
          <w:tcPr>
            <w:tcW w:w="710" w:type="dxa"/>
            <w:gridSpan w:val="2"/>
            <w:noWrap w:val="0"/>
            <w:vAlign w:val="center"/>
          </w:tcPr>
          <w:p w14:paraId="02CC949B">
            <w:pPr>
              <w:jc w:val="both"/>
              <w:rPr>
                <w:highlight w:val="none"/>
                <w:vertAlign w:val="baseline"/>
              </w:rPr>
            </w:pPr>
          </w:p>
        </w:tc>
      </w:tr>
      <w:tr w14:paraId="30C1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0498B8">
            <w:pPr>
              <w:jc w:val="center"/>
              <w:rPr>
                <w:rFonts w:hint="default"/>
                <w:highlight w:val="none"/>
                <w:vertAlign w:val="baseline"/>
                <w:lang w:val="en-US" w:eastAsia="zh-CN"/>
              </w:rPr>
            </w:pPr>
            <w:r>
              <w:rPr>
                <w:rFonts w:hint="eastAsia"/>
                <w:highlight w:val="none"/>
                <w:vertAlign w:val="baseline"/>
                <w:lang w:val="en-US" w:eastAsia="zh-CN"/>
              </w:rPr>
              <w:t>7</w:t>
            </w:r>
          </w:p>
        </w:tc>
        <w:tc>
          <w:tcPr>
            <w:tcW w:w="1690" w:type="dxa"/>
            <w:noWrap w:val="0"/>
            <w:vAlign w:val="center"/>
          </w:tcPr>
          <w:p w14:paraId="2B7345DD">
            <w:pPr>
              <w:jc w:val="center"/>
              <w:rPr>
                <w:rFonts w:hint="eastAsia"/>
                <w:highlight w:val="none"/>
                <w:vertAlign w:val="baseline"/>
              </w:rPr>
            </w:pPr>
            <w:r>
              <w:rPr>
                <w:rFonts w:hint="eastAsia"/>
                <w:highlight w:val="none"/>
                <w:vertAlign w:val="baseline"/>
              </w:rPr>
              <w:t>安装及调试</w:t>
            </w:r>
          </w:p>
        </w:tc>
        <w:tc>
          <w:tcPr>
            <w:tcW w:w="5928" w:type="dxa"/>
            <w:noWrap w:val="0"/>
            <w:vAlign w:val="center"/>
          </w:tcPr>
          <w:p w14:paraId="288A755E">
            <w:pPr>
              <w:jc w:val="left"/>
              <w:rPr>
                <w:rFonts w:hint="eastAsia"/>
                <w:highlight w:val="none"/>
                <w:vertAlign w:val="baseline"/>
              </w:rPr>
            </w:pPr>
            <w:r>
              <w:rPr>
                <w:rFonts w:hint="eastAsia"/>
                <w:highlight w:val="none"/>
                <w:vertAlign w:val="baseline"/>
              </w:rPr>
              <w:t>设备安装及调试（含开槽预埋线路）。</w:t>
            </w:r>
          </w:p>
        </w:tc>
        <w:tc>
          <w:tcPr>
            <w:tcW w:w="736" w:type="dxa"/>
            <w:noWrap w:val="0"/>
            <w:vAlign w:val="center"/>
          </w:tcPr>
          <w:p w14:paraId="39E4D8B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A0745AF">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61DB9333">
            <w:pPr>
              <w:jc w:val="center"/>
              <w:rPr>
                <w:highlight w:val="none"/>
              </w:rPr>
            </w:pPr>
          </w:p>
        </w:tc>
        <w:tc>
          <w:tcPr>
            <w:tcW w:w="710" w:type="dxa"/>
            <w:gridSpan w:val="2"/>
            <w:noWrap w:val="0"/>
            <w:vAlign w:val="center"/>
          </w:tcPr>
          <w:p w14:paraId="35D2C13A">
            <w:pPr>
              <w:jc w:val="both"/>
              <w:rPr>
                <w:highlight w:val="none"/>
                <w:vertAlign w:val="baseline"/>
              </w:rPr>
            </w:pPr>
          </w:p>
        </w:tc>
      </w:tr>
      <w:tr w14:paraId="184C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4189" w:type="dxa"/>
            <w:gridSpan w:val="9"/>
            <w:noWrap w:val="0"/>
            <w:vAlign w:val="center"/>
          </w:tcPr>
          <w:p w14:paraId="651F0400">
            <w:pPr>
              <w:jc w:val="center"/>
              <w:rPr>
                <w:highlight w:val="none"/>
                <w:vertAlign w:val="baseline"/>
              </w:rPr>
            </w:pPr>
            <w:r>
              <w:rPr>
                <w:rFonts w:hint="eastAsia"/>
                <w:b/>
                <w:bCs/>
                <w:sz w:val="36"/>
                <w:szCs w:val="36"/>
                <w:highlight w:val="none"/>
                <w:vertAlign w:val="baseline"/>
              </w:rPr>
              <w:t>化学准备室</w:t>
            </w:r>
          </w:p>
        </w:tc>
      </w:tr>
      <w:tr w14:paraId="3334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95" w:type="dxa"/>
            <w:noWrap w:val="0"/>
            <w:vAlign w:val="center"/>
          </w:tcPr>
          <w:p w14:paraId="5DAC20ED">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32B715D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735600CB">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25650E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6C9DB3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4662BE9E">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1FD84E2D">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463E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9" w:type="dxa"/>
            <w:gridSpan w:val="9"/>
            <w:noWrap w:val="0"/>
            <w:vAlign w:val="center"/>
          </w:tcPr>
          <w:p w14:paraId="4BF7A1CF">
            <w:pPr>
              <w:jc w:val="both"/>
              <w:rPr>
                <w:highlight w:val="none"/>
                <w:vertAlign w:val="baseline"/>
              </w:rPr>
            </w:pPr>
          </w:p>
        </w:tc>
      </w:tr>
      <w:tr w14:paraId="4F80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1BD16A">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5205A506">
            <w:pPr>
              <w:jc w:val="center"/>
              <w:rPr>
                <w:rFonts w:hint="eastAsia"/>
                <w:highlight w:val="none"/>
                <w:vertAlign w:val="baseline"/>
              </w:rPr>
            </w:pPr>
            <w:r>
              <w:rPr>
                <w:rFonts w:hint="eastAsia"/>
                <w:highlight w:val="none"/>
                <w:vertAlign w:val="baseline"/>
              </w:rPr>
              <w:t>准备台</w:t>
            </w:r>
          </w:p>
        </w:tc>
        <w:tc>
          <w:tcPr>
            <w:tcW w:w="5928" w:type="dxa"/>
            <w:noWrap w:val="0"/>
            <w:vAlign w:val="center"/>
          </w:tcPr>
          <w:p w14:paraId="74737D40">
            <w:pPr>
              <w:jc w:val="left"/>
              <w:rPr>
                <w:rFonts w:hint="eastAsia"/>
                <w:highlight w:val="none"/>
                <w:vertAlign w:val="baseline"/>
              </w:rPr>
            </w:pPr>
            <w:r>
              <w:rPr>
                <w:rFonts w:hint="eastAsia"/>
                <w:highlight w:val="none"/>
                <w:vertAlign w:val="baseline"/>
              </w:rPr>
              <w:t xml:space="preserve">规格：≥2400×1200×780mm                                                              </w:t>
            </w:r>
          </w:p>
          <w:p w14:paraId="43EA6E71">
            <w:pPr>
              <w:jc w:val="left"/>
              <w:rPr>
                <w:rFonts w:hint="eastAsia"/>
                <w:highlight w:val="none"/>
                <w:vertAlign w:val="baseline"/>
              </w:rPr>
            </w:pPr>
            <w:r>
              <w:rPr>
                <w:rFonts w:hint="eastAsia"/>
                <w:highlight w:val="none"/>
                <w:vertAlign w:val="baseline"/>
              </w:rPr>
              <w:t>▲采用板厚为12.7mm实芯理化板，抗腐蚀抗菌、净醛、耐磨防火、耐烟酌抗污。台面板各项功能必须达到如下要求：</w:t>
            </w:r>
          </w:p>
          <w:p w14:paraId="05B76A04">
            <w:pPr>
              <w:jc w:val="left"/>
              <w:rPr>
                <w:rFonts w:hint="eastAsia"/>
                <w:highlight w:val="none"/>
                <w:vertAlign w:val="baseline"/>
              </w:rPr>
            </w:pPr>
            <w:r>
              <w:rPr>
                <w:rFonts w:hint="eastAsia"/>
                <w:highlight w:val="none"/>
                <w:vertAlign w:val="baseline"/>
              </w:rPr>
              <w:t>1、化学性能检测：参照GB/T17657-2022《人造板及饰面人造板理化性能试验方法》检测标准：盐酸（37%）、硝酸（65%）、硫酸（98%）等不低于138项酸碱测试，测试结果为5级，提供耐腐蚀检验报告；</w:t>
            </w:r>
          </w:p>
          <w:p w14:paraId="48320EDF">
            <w:pPr>
              <w:jc w:val="left"/>
              <w:rPr>
                <w:rFonts w:hint="eastAsia"/>
                <w:highlight w:val="none"/>
                <w:vertAlign w:val="baseline"/>
              </w:rPr>
            </w:pPr>
            <w:r>
              <w:rPr>
                <w:rFonts w:hint="eastAsia"/>
                <w:highlight w:val="none"/>
                <w:vertAlign w:val="baseline"/>
              </w:rPr>
              <w:t>2、物理性能检测：参照GB/T17657-2022《人造板及饰面人造板理化性能试验方法》检测标准：握螺钉力≥5290N、含水率≤0.1%、24h吸水率≤0.1%、密度≥1.53g/cm3、表面耐龟裂性能≥5级、表面耐湿热性能≥五级、耐光色牢度性能&gt;4级、色泽稳定性能、漆膜硬度&gt;9H、表面耐磨性能≥1200r等不低于16项物理性能测试提供物理性能检验报告；</w:t>
            </w:r>
          </w:p>
          <w:p w14:paraId="71B32D8E">
            <w:pPr>
              <w:jc w:val="left"/>
              <w:rPr>
                <w:rFonts w:hint="eastAsia"/>
                <w:highlight w:val="none"/>
                <w:vertAlign w:val="baseline"/>
              </w:rPr>
            </w:pPr>
            <w:r>
              <w:rPr>
                <w:rFonts w:hint="eastAsia"/>
                <w:highlight w:val="none"/>
                <w:vertAlign w:val="baseline"/>
              </w:rPr>
              <w:t>3、甲醛释放量检测：检测依据GB 18580-2017《室内装饰装修材料人造板及其制品中甲醛释放限量》检测，检测结果为未检出；</w:t>
            </w:r>
          </w:p>
          <w:p w14:paraId="4C0AF2BB">
            <w:pPr>
              <w:jc w:val="left"/>
              <w:rPr>
                <w:rFonts w:hint="eastAsia"/>
                <w:highlight w:val="none"/>
                <w:vertAlign w:val="baseline"/>
              </w:rPr>
            </w:pPr>
            <w:r>
              <w:rPr>
                <w:rFonts w:hint="eastAsia"/>
                <w:highlight w:val="none"/>
                <w:vertAlign w:val="baseline"/>
              </w:rPr>
              <w:t>4、抗菌性能检测及防霉性能检测:依据JC/T2039-2010《抗菌防霉木质装饰板》，提供大肠杆菌、金黄色葡萄球菌、肺炎克雷佰氏菌、鼠伤寒沙门氏菌、表皮葡萄球菌、铜绿假单胞菌、宋内志贺氏菌、白色葡萄球菌、粪肠球菌、耐甲氧西林金黄色葡萄球菌、单增细胞增生李斯特氏菌、变化考克氏菌、乙型溶血性链球群等13种菌种检测，而且抗菌率≥99.99%；依据JC/T2039-2010《抗菌防霉木质装饰板》，提供黑曲霉、土曲霉、宛氏拟青霉、绳状青霉、出芽短梗霉、球毛壳霉等6种霉菌检测，而且防霉等级为0级；</w:t>
            </w:r>
          </w:p>
          <w:p w14:paraId="5BBCE31E">
            <w:pPr>
              <w:jc w:val="left"/>
              <w:rPr>
                <w:rFonts w:hint="eastAsia"/>
                <w:highlight w:val="none"/>
                <w:vertAlign w:val="baseline"/>
              </w:rPr>
            </w:pPr>
            <w:r>
              <w:rPr>
                <w:rFonts w:hint="eastAsia"/>
                <w:highlight w:val="none"/>
                <w:vertAlign w:val="baseline"/>
              </w:rPr>
              <w:t>5、抗老化性检测：检测依据GB/T24508-2020，表面无开裂、无鼓泡、无粉化，提供相关检测报告；</w:t>
            </w:r>
          </w:p>
          <w:p w14:paraId="5772F178">
            <w:pPr>
              <w:jc w:val="left"/>
              <w:rPr>
                <w:rFonts w:hint="eastAsia"/>
                <w:highlight w:val="none"/>
                <w:vertAlign w:val="baseline"/>
              </w:rPr>
            </w:pPr>
            <w:r>
              <w:rPr>
                <w:rFonts w:hint="eastAsia"/>
                <w:highlight w:val="none"/>
                <w:vertAlign w:val="baseline"/>
              </w:rPr>
              <w:t>6、重金属检测：检测依据GB18584-2001《室内装饰装修材料木家具中有害物质限量》，检测内容为可溶性铅、可溶性镉、可溶性铬、可溶性汞，检测结果均为合格；</w:t>
            </w:r>
          </w:p>
          <w:p w14:paraId="134ED8D3">
            <w:pPr>
              <w:jc w:val="left"/>
              <w:rPr>
                <w:rFonts w:hint="eastAsia"/>
                <w:highlight w:val="none"/>
                <w:vertAlign w:val="baseline"/>
              </w:rPr>
            </w:pPr>
            <w:r>
              <w:rPr>
                <w:rFonts w:hint="eastAsia"/>
                <w:highlight w:val="none"/>
                <w:vertAlign w:val="baseline"/>
              </w:rPr>
              <w:t>7、燃烧性能检测：检测依据GB8624-2012《建筑材料及制品燃烧性能分级》,检测内容包括燃烧增长速率指数：FIGRA0.2MJW/s≤120，60s内焰尖高度：Fsmm≤150，60s内无燃烧滴落物引燃滤纸现象,,检测结果达到B1级;产烟特性等级S2级，燃烧滴落物/微粒等级d0级；</w:t>
            </w:r>
          </w:p>
          <w:p w14:paraId="436D5360">
            <w:pPr>
              <w:jc w:val="left"/>
              <w:rPr>
                <w:rFonts w:hint="eastAsia"/>
                <w:highlight w:val="none"/>
                <w:vertAlign w:val="baseline"/>
              </w:rPr>
            </w:pPr>
            <w:r>
              <w:rPr>
                <w:rFonts w:hint="eastAsia"/>
                <w:highlight w:val="none"/>
                <w:vertAlign w:val="baseline"/>
              </w:rPr>
              <w:t>8、环保性能检测：依据QB/T 2761-2006 《室内空气净化产品净化效果测定方法》检测，甲醛去除率≥50%；</w:t>
            </w:r>
          </w:p>
          <w:p w14:paraId="7C42FF95">
            <w:pPr>
              <w:jc w:val="left"/>
              <w:rPr>
                <w:rFonts w:hint="eastAsia"/>
                <w:highlight w:val="none"/>
                <w:vertAlign w:val="baseline"/>
              </w:rPr>
            </w:pPr>
            <w:r>
              <w:rPr>
                <w:rFonts w:hint="eastAsia"/>
                <w:highlight w:val="none"/>
                <w:vertAlign w:val="baseline"/>
              </w:rPr>
              <w:t>9、环保性能检测：依据QB/T 2761-2006 《室内空气净化产品净化效果测定方法》检测，甲苯去除率≥20%；</w:t>
            </w:r>
          </w:p>
          <w:p w14:paraId="25999E63">
            <w:pPr>
              <w:jc w:val="left"/>
              <w:rPr>
                <w:rFonts w:hint="eastAsia"/>
                <w:highlight w:val="none"/>
                <w:vertAlign w:val="baseline"/>
              </w:rPr>
            </w:pPr>
            <w:r>
              <w:rPr>
                <w:rFonts w:hint="eastAsia"/>
                <w:highlight w:val="none"/>
                <w:vertAlign w:val="baseline"/>
              </w:rPr>
              <w:t>备注：为确保产品质量，需提供具有CMA或CNAS标识的检测报告扫描件并加盖制造商公章；</w:t>
            </w:r>
          </w:p>
          <w:p w14:paraId="1F1C366A">
            <w:pPr>
              <w:jc w:val="left"/>
              <w:rPr>
                <w:rFonts w:hint="eastAsia"/>
                <w:highlight w:val="none"/>
                <w:vertAlign w:val="baseline"/>
              </w:rPr>
            </w:pPr>
            <w:r>
              <w:rPr>
                <w:rFonts w:hint="eastAsia"/>
                <w:highlight w:val="none"/>
                <w:vertAlign w:val="baseline"/>
              </w:rPr>
              <w:t>结构：新型塑铝结构，学生位镂空式，符合人体工程学设计，美观大方；</w:t>
            </w:r>
          </w:p>
          <w:p w14:paraId="532E154A">
            <w:pPr>
              <w:jc w:val="left"/>
              <w:rPr>
                <w:rFonts w:hint="eastAsia"/>
                <w:highlight w:val="none"/>
                <w:vertAlign w:val="baseline"/>
              </w:rPr>
            </w:pPr>
            <w:r>
              <w:rPr>
                <w:rFonts w:hint="eastAsia"/>
                <w:highlight w:val="none"/>
                <w:vertAlign w:val="baseline"/>
              </w:rPr>
              <w:t>由4张工字桌组合而成，主框架工字型结构：</w:t>
            </w:r>
          </w:p>
          <w:p w14:paraId="6E766055">
            <w:pPr>
              <w:jc w:val="left"/>
              <w:rPr>
                <w:rFonts w:hint="eastAsia"/>
                <w:highlight w:val="none"/>
                <w:vertAlign w:val="baseline"/>
              </w:rPr>
            </w:pPr>
            <w:r>
              <w:rPr>
                <w:rFonts w:hint="eastAsia"/>
                <w:highlight w:val="none"/>
                <w:vertAlign w:val="baseline"/>
              </w:rPr>
              <w:t>桌身：由桌腿、立柱、前横梁/中横梁，大横梁组成；</w:t>
            </w:r>
          </w:p>
          <w:p w14:paraId="1AC542BC">
            <w:pPr>
              <w:jc w:val="left"/>
              <w:rPr>
                <w:rFonts w:hint="eastAsia"/>
                <w:highlight w:val="none"/>
                <w:vertAlign w:val="baseline"/>
              </w:rPr>
            </w:pPr>
            <w:r>
              <w:rPr>
                <w:rFonts w:hint="eastAsia"/>
                <w:highlight w:val="none"/>
                <w:vertAlign w:val="baseline"/>
              </w:rPr>
              <w:t>桌腿：采用工字型压铸铝一次成型，材料表面经高压静电喷涂环氧树脂防护层，耐酸碱，耐腐蚀处理；</w:t>
            </w:r>
          </w:p>
          <w:p w14:paraId="31ADF8E9">
            <w:pPr>
              <w:jc w:val="left"/>
              <w:rPr>
                <w:rFonts w:hint="eastAsia"/>
                <w:highlight w:val="none"/>
                <w:vertAlign w:val="baseline"/>
              </w:rPr>
            </w:pPr>
            <w:r>
              <w:rPr>
                <w:rFonts w:hint="eastAsia"/>
                <w:highlight w:val="none"/>
                <w:vertAlign w:val="baseline"/>
              </w:rPr>
              <w:t>上腿规格：≥590×50×95mm，壁厚2.5mm；</w:t>
            </w:r>
          </w:p>
          <w:p w14:paraId="1971EE1C">
            <w:pPr>
              <w:jc w:val="left"/>
              <w:rPr>
                <w:rFonts w:hint="eastAsia"/>
                <w:highlight w:val="none"/>
                <w:vertAlign w:val="baseline"/>
              </w:rPr>
            </w:pPr>
            <w:r>
              <w:rPr>
                <w:rFonts w:hint="eastAsia"/>
                <w:highlight w:val="none"/>
                <w:vertAlign w:val="baseline"/>
              </w:rPr>
              <w:t>下腿规格：≥540×50×95mm，壁厚2.5mm；</w:t>
            </w:r>
          </w:p>
          <w:p w14:paraId="49F7ADF6">
            <w:pPr>
              <w:jc w:val="left"/>
              <w:rPr>
                <w:rFonts w:hint="eastAsia"/>
                <w:highlight w:val="none"/>
                <w:vertAlign w:val="baseline"/>
              </w:rPr>
            </w:pPr>
            <w:r>
              <w:rPr>
                <w:rFonts w:hint="eastAsia"/>
                <w:highlight w:val="none"/>
                <w:vertAlign w:val="baseline"/>
              </w:rPr>
              <w:t>立柱：≥580×43mm，壁厚1.5mm；</w:t>
            </w:r>
          </w:p>
          <w:p w14:paraId="2F7F054F">
            <w:pPr>
              <w:jc w:val="left"/>
              <w:rPr>
                <w:rFonts w:hint="eastAsia"/>
                <w:highlight w:val="none"/>
                <w:vertAlign w:val="baseline"/>
              </w:rPr>
            </w:pPr>
            <w:r>
              <w:rPr>
                <w:rFonts w:hint="eastAsia"/>
                <w:highlight w:val="none"/>
                <w:vertAlign w:val="baseline"/>
              </w:rPr>
              <w:t>前横梁：≥40×30mm，壁厚1.0mm；</w:t>
            </w:r>
          </w:p>
          <w:p w14:paraId="61A04FD3">
            <w:pPr>
              <w:jc w:val="left"/>
              <w:rPr>
                <w:rFonts w:hint="eastAsia"/>
                <w:highlight w:val="none"/>
                <w:vertAlign w:val="baseline"/>
              </w:rPr>
            </w:pPr>
            <w:r>
              <w:rPr>
                <w:rFonts w:hint="eastAsia"/>
                <w:highlight w:val="none"/>
                <w:vertAlign w:val="baseline"/>
              </w:rPr>
              <w:t>中横梁：≥30×25mm，壁厚1.0mm；</w:t>
            </w:r>
          </w:p>
          <w:p w14:paraId="64BBEE9F">
            <w:pPr>
              <w:jc w:val="left"/>
              <w:rPr>
                <w:rFonts w:hint="eastAsia"/>
                <w:highlight w:val="none"/>
                <w:vertAlign w:val="baseline"/>
              </w:rPr>
            </w:pPr>
            <w:r>
              <w:rPr>
                <w:rFonts w:hint="eastAsia"/>
                <w:highlight w:val="none"/>
                <w:vertAlign w:val="baseline"/>
              </w:rPr>
              <w:t>大横梁：≥80×20mm，壁厚1.0mm；</w:t>
            </w:r>
          </w:p>
          <w:p w14:paraId="68E47988">
            <w:pPr>
              <w:jc w:val="left"/>
              <w:rPr>
                <w:rFonts w:hint="eastAsia"/>
                <w:highlight w:val="none"/>
                <w:vertAlign w:val="baseline"/>
              </w:rPr>
            </w:pPr>
            <w:r>
              <w:rPr>
                <w:rFonts w:hint="eastAsia"/>
                <w:highlight w:val="none"/>
                <w:vertAlign w:val="baseline"/>
              </w:rPr>
              <w:t>材料均采用优质铝镁合金材料，材料表面经高压静电喷涂环氧树脂防护层，耐酸碱，耐腐蚀处理；</w:t>
            </w:r>
          </w:p>
          <w:p w14:paraId="4F293528">
            <w:pPr>
              <w:jc w:val="left"/>
              <w:rPr>
                <w:rFonts w:hint="eastAsia"/>
                <w:highlight w:val="none"/>
                <w:vertAlign w:val="baseline"/>
              </w:rPr>
            </w:pPr>
            <w:r>
              <w:rPr>
                <w:rFonts w:hint="eastAsia"/>
                <w:highlight w:val="none"/>
                <w:vertAlign w:val="baseline"/>
              </w:rPr>
              <w:t>书包斗：外规格：≥430×340×160mm，采用PP材料，大型模具一次性注塑成型,上面设计有可悬挂凳子的圆形孔，镂空造型，造型时尚；</w:t>
            </w:r>
          </w:p>
          <w:p w14:paraId="64ADA62B">
            <w:pPr>
              <w:jc w:val="left"/>
              <w:rPr>
                <w:rFonts w:hint="eastAsia"/>
                <w:highlight w:val="none"/>
                <w:vertAlign w:val="baseline"/>
              </w:rPr>
            </w:pPr>
            <w:r>
              <w:rPr>
                <w:rFonts w:hint="eastAsia"/>
                <w:highlight w:val="none"/>
                <w:vertAlign w:val="baseline"/>
              </w:rPr>
              <w:t>产品特点：零甲醛、零污染、易擦洗、耐老化、环保、回收率高。</w:t>
            </w:r>
          </w:p>
        </w:tc>
        <w:tc>
          <w:tcPr>
            <w:tcW w:w="736" w:type="dxa"/>
            <w:noWrap w:val="0"/>
            <w:vAlign w:val="center"/>
          </w:tcPr>
          <w:p w14:paraId="12E641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32D379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60EB64E6">
            <w:pPr>
              <w:jc w:val="center"/>
              <w:rPr>
                <w:highlight w:val="none"/>
              </w:rPr>
            </w:pPr>
            <w:r>
              <w:rPr>
                <w:highlight w:val="none"/>
              </w:rPr>
              <w:drawing>
                <wp:inline distT="0" distB="0" distL="114300" distR="114300">
                  <wp:extent cx="1792605" cy="1437005"/>
                  <wp:effectExtent l="0" t="0" r="10795" b="10795"/>
                  <wp:docPr id="19" name="图片 3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R"/>
                          <pic:cNvPicPr>
                            <a:picLocks noChangeAspect="1"/>
                          </pic:cNvPicPr>
                        </pic:nvPicPr>
                        <pic:blipFill>
                          <a:blip r:embed="rId36"/>
                          <a:stretch>
                            <a:fillRect/>
                          </a:stretch>
                        </pic:blipFill>
                        <pic:spPr>
                          <a:xfrm>
                            <a:off x="0" y="0"/>
                            <a:ext cx="1792605" cy="1437005"/>
                          </a:xfrm>
                          <a:prstGeom prst="rect">
                            <a:avLst/>
                          </a:prstGeom>
                          <a:noFill/>
                          <a:ln>
                            <a:noFill/>
                          </a:ln>
                        </pic:spPr>
                      </pic:pic>
                    </a:graphicData>
                  </a:graphic>
                </wp:inline>
              </w:drawing>
            </w:r>
          </w:p>
        </w:tc>
        <w:tc>
          <w:tcPr>
            <w:tcW w:w="710" w:type="dxa"/>
            <w:gridSpan w:val="2"/>
            <w:noWrap w:val="0"/>
            <w:vAlign w:val="center"/>
          </w:tcPr>
          <w:p w14:paraId="493546C0">
            <w:pPr>
              <w:jc w:val="both"/>
              <w:rPr>
                <w:highlight w:val="none"/>
                <w:vertAlign w:val="baseline"/>
              </w:rPr>
            </w:pPr>
          </w:p>
        </w:tc>
      </w:tr>
      <w:tr w14:paraId="05FE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7D801F6">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55D9D266">
            <w:pPr>
              <w:jc w:val="center"/>
              <w:rPr>
                <w:rFonts w:hint="eastAsia"/>
                <w:highlight w:val="none"/>
                <w:vertAlign w:val="baseline"/>
              </w:rPr>
            </w:pPr>
            <w:r>
              <w:rPr>
                <w:rFonts w:hint="eastAsia"/>
                <w:highlight w:val="none"/>
                <w:vertAlign w:val="baseline"/>
              </w:rPr>
              <w:t>水槽柜</w:t>
            </w:r>
          </w:p>
        </w:tc>
        <w:tc>
          <w:tcPr>
            <w:tcW w:w="5928" w:type="dxa"/>
            <w:noWrap w:val="0"/>
            <w:vAlign w:val="center"/>
          </w:tcPr>
          <w:p w14:paraId="657A5A2A">
            <w:pPr>
              <w:jc w:val="left"/>
              <w:rPr>
                <w:rFonts w:hint="eastAsia"/>
                <w:highlight w:val="none"/>
                <w:vertAlign w:val="baseline"/>
              </w:rPr>
            </w:pPr>
            <w:r>
              <w:rPr>
                <w:rFonts w:hint="eastAsia"/>
                <w:highlight w:val="none"/>
                <w:vertAlign w:val="baseline"/>
              </w:rPr>
              <w:t>规格：≥450*600*810mm/1120mm</w:t>
            </w:r>
          </w:p>
          <w:p w14:paraId="26FF2CFC">
            <w:pPr>
              <w:jc w:val="left"/>
              <w:rPr>
                <w:rFonts w:hint="eastAsia"/>
                <w:highlight w:val="none"/>
                <w:vertAlign w:val="baseline"/>
              </w:rPr>
            </w:pPr>
            <w:r>
              <w:rPr>
                <w:rFonts w:hint="eastAsia"/>
                <w:highlight w:val="none"/>
                <w:vertAlign w:val="baseline"/>
              </w:rPr>
              <w:t>1、壁挂式实验室专用水嘴。铜质陶瓷芯阀，表面经环氧树脂喷涂处理，出水嘴拆卸。</w:t>
            </w:r>
          </w:p>
          <w:p w14:paraId="66CC4765">
            <w:pPr>
              <w:jc w:val="left"/>
              <w:rPr>
                <w:rFonts w:hint="eastAsia"/>
                <w:highlight w:val="none"/>
                <w:vertAlign w:val="baseline"/>
              </w:rPr>
            </w:pPr>
            <w:r>
              <w:rPr>
                <w:rFonts w:hint="eastAsia"/>
                <w:highlight w:val="none"/>
                <w:vertAlign w:val="baseline"/>
              </w:rPr>
              <w:t xml:space="preserve">2、下水系统：采用PP材质专用连接管，配有防虹吸，防阻塞装置。                            </w:t>
            </w:r>
          </w:p>
          <w:p w14:paraId="5C1FF50D">
            <w:pPr>
              <w:jc w:val="left"/>
              <w:rPr>
                <w:rFonts w:hint="eastAsia"/>
                <w:highlight w:val="none"/>
                <w:vertAlign w:val="baseline"/>
              </w:rPr>
            </w:pPr>
            <w:r>
              <w:rPr>
                <w:rFonts w:hint="eastAsia"/>
                <w:highlight w:val="none"/>
                <w:vertAlign w:val="baseline"/>
              </w:rPr>
              <w:t>3、结构：榫卯连接结构并合理布局加强筋，加强筋并起到定位作用，使用产品自身力量相互连接，产品不变形，不扭曲。同时水槽柜底部为模具一体成型，加固水槽柜的强度。</w:t>
            </w:r>
          </w:p>
          <w:p w14:paraId="0BC64EC0">
            <w:pPr>
              <w:jc w:val="left"/>
              <w:rPr>
                <w:rFonts w:hint="eastAsia"/>
                <w:highlight w:val="none"/>
                <w:vertAlign w:val="baseline"/>
              </w:rPr>
            </w:pPr>
            <w:r>
              <w:rPr>
                <w:rFonts w:hint="eastAsia"/>
                <w:highlight w:val="none"/>
                <w:vertAlign w:val="baseline"/>
              </w:rPr>
              <w:t>4、水槽柜上部多功能平台，搭配专用水嘴和滴水板，方便学生在实验时放置烧杯、量筒等工具。</w:t>
            </w:r>
          </w:p>
          <w:p w14:paraId="03047726">
            <w:pPr>
              <w:jc w:val="left"/>
              <w:rPr>
                <w:rFonts w:hint="eastAsia"/>
                <w:highlight w:val="none"/>
                <w:vertAlign w:val="baseline"/>
              </w:rPr>
            </w:pPr>
            <w:r>
              <w:rPr>
                <w:rFonts w:hint="eastAsia"/>
                <w:highlight w:val="none"/>
                <w:vertAlign w:val="baseline"/>
              </w:rPr>
              <w:t>5、门板：前部密闭设计，梯形结构搭配装饰条，后门配有可打开式检修门，隐藏式一体扣手，合页采用尼龙塑料铰链，高强度耐磨，防水、永不生锈。</w:t>
            </w:r>
          </w:p>
          <w:p w14:paraId="61488E7B">
            <w:pPr>
              <w:jc w:val="left"/>
              <w:rPr>
                <w:rFonts w:hint="eastAsia"/>
                <w:highlight w:val="none"/>
                <w:vertAlign w:val="baseline"/>
              </w:rPr>
            </w:pPr>
            <w:r>
              <w:rPr>
                <w:rFonts w:hint="eastAsia"/>
                <w:highlight w:val="none"/>
                <w:vertAlign w:val="baseline"/>
              </w:rPr>
              <w:t>6、水槽采用生物抗菌型塑料，塑料注塑模一次性成型，耐强酸强碱耐＜80℃有机溶剂并耐150℃以下高温，外型简约美观。具有净化空气作用同时释放一定浓度负氧离子。产品可以去除空气中的甲醛、甲苯等有毒有害物质，改善室内空气质量，确保房间内空气质量达到国家环保检测标准。为了保证产品质量，需要提供生物抗菌型塑料甲醛、甲苯去除率检测报告:</w:t>
            </w:r>
          </w:p>
          <w:p w14:paraId="19E5292E">
            <w:pPr>
              <w:jc w:val="left"/>
              <w:rPr>
                <w:rFonts w:hint="eastAsia"/>
                <w:highlight w:val="none"/>
                <w:vertAlign w:val="baseline"/>
              </w:rPr>
            </w:pPr>
            <w:r>
              <w:rPr>
                <w:rFonts w:hint="eastAsia"/>
                <w:highlight w:val="none"/>
                <w:vertAlign w:val="baseline"/>
              </w:rPr>
              <w:t>▲（1）依据QB/T 2761-2006《室内空气净化产品净化效果测定方法》检测：甲醛去除率≥80%；备注：为确保产品质量，需提供具有CMA或CNAS标识的检测报告扫描件。</w:t>
            </w:r>
          </w:p>
          <w:p w14:paraId="0CF591B2">
            <w:pPr>
              <w:jc w:val="left"/>
              <w:rPr>
                <w:rFonts w:hint="eastAsia"/>
                <w:highlight w:val="none"/>
                <w:vertAlign w:val="baseline"/>
              </w:rPr>
            </w:pPr>
            <w:r>
              <w:rPr>
                <w:rFonts w:hint="eastAsia"/>
                <w:highlight w:val="none"/>
                <w:vertAlign w:val="baseline"/>
              </w:rPr>
              <w:t>▲（2）依据QB/T 2761-2006《室内空气净化产品净化效果测定方法》检测：甲苯去除率≥25%。备注：为确保产品质量，需提供具有CMA或CNAS标识的检测报告扫描件。</w:t>
            </w:r>
          </w:p>
        </w:tc>
        <w:tc>
          <w:tcPr>
            <w:tcW w:w="736" w:type="dxa"/>
            <w:noWrap w:val="0"/>
            <w:vAlign w:val="center"/>
          </w:tcPr>
          <w:p w14:paraId="0331E22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512987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6B473BF5">
            <w:pPr>
              <w:jc w:val="center"/>
              <w:rPr>
                <w:highlight w:val="none"/>
              </w:rPr>
            </w:pPr>
            <w:r>
              <w:rPr>
                <w:highlight w:val="none"/>
              </w:rPr>
              <w:drawing>
                <wp:inline distT="0" distB="0" distL="114300" distR="114300">
                  <wp:extent cx="1732280" cy="1725295"/>
                  <wp:effectExtent l="0" t="0" r="7620" b="1905"/>
                  <wp:docPr id="49" name="图片 36" descr="水槽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水槽柜2"/>
                          <pic:cNvPicPr>
                            <a:picLocks noChangeAspect="1"/>
                          </pic:cNvPicPr>
                        </pic:nvPicPr>
                        <pic:blipFill>
                          <a:blip r:embed="rId45"/>
                          <a:stretch>
                            <a:fillRect/>
                          </a:stretch>
                        </pic:blipFill>
                        <pic:spPr>
                          <a:xfrm>
                            <a:off x="0" y="0"/>
                            <a:ext cx="1732280" cy="1725295"/>
                          </a:xfrm>
                          <a:prstGeom prst="rect">
                            <a:avLst/>
                          </a:prstGeom>
                          <a:noFill/>
                          <a:ln>
                            <a:noFill/>
                          </a:ln>
                        </pic:spPr>
                      </pic:pic>
                    </a:graphicData>
                  </a:graphic>
                </wp:inline>
              </w:drawing>
            </w:r>
          </w:p>
        </w:tc>
        <w:tc>
          <w:tcPr>
            <w:tcW w:w="710" w:type="dxa"/>
            <w:gridSpan w:val="2"/>
            <w:noWrap w:val="0"/>
            <w:vAlign w:val="center"/>
          </w:tcPr>
          <w:p w14:paraId="4979B4B9">
            <w:pPr>
              <w:jc w:val="both"/>
              <w:rPr>
                <w:highlight w:val="none"/>
                <w:vertAlign w:val="baseline"/>
              </w:rPr>
            </w:pPr>
          </w:p>
        </w:tc>
      </w:tr>
      <w:tr w14:paraId="4131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53CCAE">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42852063">
            <w:pPr>
              <w:jc w:val="center"/>
              <w:rPr>
                <w:rFonts w:hint="eastAsia"/>
                <w:highlight w:val="none"/>
                <w:vertAlign w:val="baseline"/>
              </w:rPr>
            </w:pPr>
            <w:r>
              <w:rPr>
                <w:rFonts w:hint="eastAsia"/>
                <w:highlight w:val="none"/>
                <w:vertAlign w:val="baseline"/>
              </w:rPr>
              <w:t>药品柜</w:t>
            </w:r>
          </w:p>
        </w:tc>
        <w:tc>
          <w:tcPr>
            <w:tcW w:w="5928" w:type="dxa"/>
            <w:noWrap w:val="0"/>
            <w:vAlign w:val="center"/>
          </w:tcPr>
          <w:p w14:paraId="72F6163A">
            <w:pPr>
              <w:jc w:val="left"/>
              <w:rPr>
                <w:rFonts w:hint="eastAsia"/>
                <w:highlight w:val="none"/>
                <w:vertAlign w:val="baseline"/>
              </w:rPr>
            </w:pPr>
            <w:r>
              <w:rPr>
                <w:rFonts w:hint="eastAsia"/>
                <w:highlight w:val="none"/>
                <w:vertAlign w:val="baseline"/>
              </w:rPr>
              <w:t>规格：≥1000×500×2000mm</w:t>
            </w:r>
          </w:p>
          <w:p w14:paraId="07E13E15">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3DA0BB6A">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3A8FB5D1">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5EE95DB3">
            <w:pPr>
              <w:jc w:val="left"/>
              <w:rPr>
                <w:rFonts w:hint="eastAsia"/>
                <w:highlight w:val="none"/>
                <w:vertAlign w:val="baseline"/>
              </w:rPr>
            </w:pPr>
            <w:r>
              <w:rPr>
                <w:rFonts w:hint="eastAsia"/>
                <w:highlight w:val="none"/>
                <w:vertAlign w:val="baseline"/>
              </w:rPr>
              <w:t>4、层板：上柜配置阶梯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3EC9F942">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510A9FA7">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3115853D">
            <w:pPr>
              <w:jc w:val="left"/>
              <w:rPr>
                <w:rFonts w:hint="eastAsia"/>
                <w:highlight w:val="none"/>
                <w:vertAlign w:val="baseline"/>
              </w:rPr>
            </w:pPr>
            <w:r>
              <w:rPr>
                <w:rFonts w:hint="eastAsia"/>
                <w:highlight w:val="none"/>
                <w:vertAlign w:val="baseline"/>
              </w:rPr>
              <w:t>7、螺丝：不锈钢304材质。</w:t>
            </w:r>
          </w:p>
          <w:p w14:paraId="0C570030">
            <w:pPr>
              <w:jc w:val="left"/>
              <w:rPr>
                <w:rFonts w:hint="eastAsia"/>
                <w:highlight w:val="none"/>
                <w:vertAlign w:val="baseline"/>
              </w:rPr>
            </w:pPr>
            <w:r>
              <w:rPr>
                <w:rFonts w:hint="eastAsia"/>
                <w:highlight w:val="none"/>
                <w:vertAlign w:val="baseline"/>
              </w:rPr>
              <w:t>备注：可以用于各种腐蚀性化学品的储藏，如硫酸、盐酸、硝酸、乙酸、硫磺酸等。</w:t>
            </w:r>
          </w:p>
        </w:tc>
        <w:tc>
          <w:tcPr>
            <w:tcW w:w="736" w:type="dxa"/>
            <w:noWrap w:val="0"/>
            <w:vAlign w:val="center"/>
          </w:tcPr>
          <w:p w14:paraId="7E68B0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834" w:type="dxa"/>
            <w:noWrap w:val="0"/>
            <w:vAlign w:val="center"/>
          </w:tcPr>
          <w:p w14:paraId="7D82C9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1A68D1A9">
            <w:pPr>
              <w:jc w:val="center"/>
              <w:rPr>
                <w:highlight w:val="none"/>
              </w:rPr>
            </w:pPr>
            <w:r>
              <w:rPr>
                <w:highlight w:val="none"/>
              </w:rPr>
              <w:drawing>
                <wp:inline distT="0" distB="0" distL="114300" distR="114300">
                  <wp:extent cx="1779270" cy="2637790"/>
                  <wp:effectExtent l="0" t="0" r="11430" b="3810"/>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pic:cNvPicPr>
                        </pic:nvPicPr>
                        <pic:blipFill>
                          <a:blip r:embed="rId37"/>
                          <a:stretch>
                            <a:fillRect/>
                          </a:stretch>
                        </pic:blipFill>
                        <pic:spPr>
                          <a:xfrm>
                            <a:off x="0" y="0"/>
                            <a:ext cx="1779270" cy="2637790"/>
                          </a:xfrm>
                          <a:prstGeom prst="rect">
                            <a:avLst/>
                          </a:prstGeom>
                          <a:noFill/>
                          <a:ln>
                            <a:noFill/>
                          </a:ln>
                        </pic:spPr>
                      </pic:pic>
                    </a:graphicData>
                  </a:graphic>
                </wp:inline>
              </w:drawing>
            </w:r>
          </w:p>
        </w:tc>
        <w:tc>
          <w:tcPr>
            <w:tcW w:w="710" w:type="dxa"/>
            <w:gridSpan w:val="2"/>
            <w:noWrap w:val="0"/>
            <w:vAlign w:val="center"/>
          </w:tcPr>
          <w:p w14:paraId="4CFEC745">
            <w:pPr>
              <w:jc w:val="both"/>
              <w:rPr>
                <w:highlight w:val="none"/>
                <w:vertAlign w:val="baseline"/>
              </w:rPr>
            </w:pPr>
          </w:p>
        </w:tc>
      </w:tr>
      <w:tr w14:paraId="6E52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95AB8F5">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3D14E841">
            <w:pPr>
              <w:jc w:val="center"/>
              <w:rPr>
                <w:rFonts w:hint="eastAsia"/>
                <w:highlight w:val="none"/>
                <w:vertAlign w:val="baseline"/>
              </w:rPr>
            </w:pPr>
            <w:r>
              <w:rPr>
                <w:rFonts w:hint="eastAsia"/>
                <w:highlight w:val="none"/>
                <w:vertAlign w:val="baseline"/>
              </w:rPr>
              <w:t>仪器柜</w:t>
            </w:r>
          </w:p>
        </w:tc>
        <w:tc>
          <w:tcPr>
            <w:tcW w:w="5928" w:type="dxa"/>
            <w:noWrap w:val="0"/>
            <w:vAlign w:val="center"/>
          </w:tcPr>
          <w:p w14:paraId="6A91EB33">
            <w:pPr>
              <w:jc w:val="left"/>
              <w:rPr>
                <w:rFonts w:hint="eastAsia"/>
                <w:highlight w:val="none"/>
                <w:vertAlign w:val="baseline"/>
              </w:rPr>
            </w:pPr>
            <w:r>
              <w:rPr>
                <w:rFonts w:hint="eastAsia"/>
                <w:highlight w:val="none"/>
                <w:vertAlign w:val="baseline"/>
              </w:rPr>
              <w:t>规格：≥1000×500×2000mm</w:t>
            </w:r>
          </w:p>
          <w:p w14:paraId="38D31ECE">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70D31B2C">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46CFD6E2">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380E802F">
            <w:pPr>
              <w:jc w:val="left"/>
              <w:rPr>
                <w:rFonts w:hint="eastAsia"/>
                <w:highlight w:val="none"/>
                <w:vertAlign w:val="baseline"/>
              </w:rPr>
            </w:pPr>
            <w:r>
              <w:rPr>
                <w:rFonts w:hint="eastAsia"/>
                <w:highlight w:val="none"/>
                <w:vertAlign w:val="baseline"/>
              </w:rPr>
              <w:t>4、层板：上柜配置两块活动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3AA223C1">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367DE85D">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08ABC321">
            <w:pPr>
              <w:jc w:val="left"/>
              <w:rPr>
                <w:rFonts w:hint="eastAsia"/>
                <w:highlight w:val="none"/>
                <w:vertAlign w:val="baseline"/>
              </w:rPr>
            </w:pPr>
            <w:r>
              <w:rPr>
                <w:rFonts w:hint="eastAsia"/>
                <w:highlight w:val="none"/>
                <w:vertAlign w:val="baseline"/>
              </w:rPr>
              <w:t>7、螺丝：不锈钢304材质。</w:t>
            </w:r>
          </w:p>
          <w:p w14:paraId="0E5920F8">
            <w:pPr>
              <w:jc w:val="left"/>
              <w:rPr>
                <w:rFonts w:hint="eastAsia"/>
                <w:highlight w:val="none"/>
                <w:vertAlign w:val="baseline"/>
              </w:rPr>
            </w:pPr>
            <w:r>
              <w:rPr>
                <w:rFonts w:hint="eastAsia"/>
                <w:highlight w:val="none"/>
                <w:vertAlign w:val="baseline"/>
              </w:rPr>
              <w:t>▲仪器柜整体通过GB/T 32487-2016 塑料家具通用技术条件检测，柜类强度和耐久性，塑料件外观，理化性能，有害物质限量。测试结果符合指标要求。备注：为确保产品质量，需提供具有CMA或CNAS标识的检测报告扫描件。</w:t>
            </w:r>
          </w:p>
        </w:tc>
        <w:tc>
          <w:tcPr>
            <w:tcW w:w="736" w:type="dxa"/>
            <w:noWrap w:val="0"/>
            <w:vAlign w:val="center"/>
          </w:tcPr>
          <w:p w14:paraId="2C5076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834" w:type="dxa"/>
            <w:noWrap w:val="0"/>
            <w:vAlign w:val="center"/>
          </w:tcPr>
          <w:p w14:paraId="0D13A5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541EAAFC">
            <w:pPr>
              <w:jc w:val="center"/>
              <w:rPr>
                <w:highlight w:val="none"/>
              </w:rPr>
            </w:pPr>
            <w:r>
              <w:rPr>
                <w:highlight w:val="none"/>
              </w:rPr>
              <w:drawing>
                <wp:inline distT="0" distB="0" distL="114300" distR="114300">
                  <wp:extent cx="1812290" cy="2713355"/>
                  <wp:effectExtent l="0" t="0" r="3810" b="444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pic:cNvPicPr>
                        </pic:nvPicPr>
                        <pic:blipFill>
                          <a:blip r:embed="rId37"/>
                          <a:stretch>
                            <a:fillRect/>
                          </a:stretch>
                        </pic:blipFill>
                        <pic:spPr>
                          <a:xfrm>
                            <a:off x="0" y="0"/>
                            <a:ext cx="1812290" cy="2713355"/>
                          </a:xfrm>
                          <a:prstGeom prst="rect">
                            <a:avLst/>
                          </a:prstGeom>
                          <a:noFill/>
                          <a:ln>
                            <a:noFill/>
                          </a:ln>
                        </pic:spPr>
                      </pic:pic>
                    </a:graphicData>
                  </a:graphic>
                </wp:inline>
              </w:drawing>
            </w:r>
          </w:p>
        </w:tc>
        <w:tc>
          <w:tcPr>
            <w:tcW w:w="710" w:type="dxa"/>
            <w:gridSpan w:val="2"/>
            <w:noWrap w:val="0"/>
            <w:vAlign w:val="center"/>
          </w:tcPr>
          <w:p w14:paraId="69991582">
            <w:pPr>
              <w:jc w:val="both"/>
              <w:rPr>
                <w:highlight w:val="none"/>
                <w:vertAlign w:val="baseline"/>
              </w:rPr>
            </w:pPr>
          </w:p>
        </w:tc>
      </w:tr>
      <w:tr w14:paraId="5CE6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3479" w:type="dxa"/>
            <w:gridSpan w:val="7"/>
            <w:noWrap w:val="0"/>
            <w:vAlign w:val="center"/>
          </w:tcPr>
          <w:p w14:paraId="677DDEED">
            <w:pPr>
              <w:jc w:val="left"/>
              <w:rPr>
                <w:highlight w:val="none"/>
              </w:rPr>
            </w:pPr>
            <w:r>
              <w:rPr>
                <w:rFonts w:hint="eastAsia"/>
                <w:b/>
                <w:bCs/>
                <w:sz w:val="30"/>
                <w:szCs w:val="30"/>
                <w:highlight w:val="none"/>
              </w:rPr>
              <w:t>二、安装附件部分</w:t>
            </w:r>
          </w:p>
        </w:tc>
        <w:tc>
          <w:tcPr>
            <w:tcW w:w="710" w:type="dxa"/>
            <w:gridSpan w:val="2"/>
            <w:noWrap w:val="0"/>
            <w:vAlign w:val="center"/>
          </w:tcPr>
          <w:p w14:paraId="77EB8A2C">
            <w:pPr>
              <w:jc w:val="both"/>
              <w:rPr>
                <w:highlight w:val="none"/>
                <w:vertAlign w:val="baseline"/>
              </w:rPr>
            </w:pPr>
          </w:p>
        </w:tc>
      </w:tr>
      <w:tr w14:paraId="628E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96BF98">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166F836E">
            <w:pPr>
              <w:jc w:val="center"/>
              <w:rPr>
                <w:rFonts w:hint="eastAsia"/>
                <w:highlight w:val="none"/>
                <w:vertAlign w:val="baseline"/>
              </w:rPr>
            </w:pPr>
            <w:r>
              <w:rPr>
                <w:rFonts w:hint="eastAsia"/>
                <w:highlight w:val="none"/>
                <w:vertAlign w:val="baseline"/>
              </w:rPr>
              <w:t>给/排水设备</w:t>
            </w:r>
          </w:p>
        </w:tc>
        <w:tc>
          <w:tcPr>
            <w:tcW w:w="5928" w:type="dxa"/>
            <w:noWrap w:val="0"/>
            <w:vAlign w:val="center"/>
          </w:tcPr>
          <w:p w14:paraId="276AC1FD">
            <w:pPr>
              <w:jc w:val="left"/>
              <w:rPr>
                <w:rFonts w:hint="eastAsia"/>
                <w:highlight w:val="none"/>
                <w:vertAlign w:val="baseline"/>
              </w:rPr>
            </w:pPr>
            <w:r>
              <w:rPr>
                <w:rFonts w:hint="eastAsia"/>
                <w:highlight w:val="none"/>
                <w:vertAlign w:val="baseline"/>
              </w:rPr>
              <w:t>1、给水：上水管和进水管为国标Ф25的PPR材质水管；</w:t>
            </w:r>
          </w:p>
          <w:p w14:paraId="2C47B21B">
            <w:pPr>
              <w:jc w:val="left"/>
              <w:rPr>
                <w:rFonts w:hint="eastAsia"/>
                <w:highlight w:val="none"/>
                <w:vertAlign w:val="baseline"/>
              </w:rPr>
            </w:pPr>
            <w:r>
              <w:rPr>
                <w:rFonts w:hint="eastAsia"/>
                <w:highlight w:val="none"/>
                <w:vertAlign w:val="baseline"/>
              </w:rPr>
              <w:t>2、排水：采用Ф50的国标优质UPVC专用排水管；</w:t>
            </w:r>
          </w:p>
          <w:p w14:paraId="16847339">
            <w:pPr>
              <w:jc w:val="left"/>
              <w:rPr>
                <w:rFonts w:hint="eastAsia"/>
                <w:highlight w:val="none"/>
                <w:vertAlign w:val="baseline"/>
              </w:rPr>
            </w:pPr>
            <w:r>
              <w:rPr>
                <w:rFonts w:hint="eastAsia"/>
                <w:highlight w:val="none"/>
                <w:vertAlign w:val="baseline"/>
              </w:rPr>
              <w:t>2、配件：开关阀门，外丝连接件、PVC胶水等。</w:t>
            </w:r>
          </w:p>
        </w:tc>
        <w:tc>
          <w:tcPr>
            <w:tcW w:w="736" w:type="dxa"/>
            <w:noWrap w:val="0"/>
            <w:vAlign w:val="center"/>
          </w:tcPr>
          <w:p w14:paraId="23B0CB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35539C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01EE0879">
            <w:pPr>
              <w:jc w:val="center"/>
              <w:rPr>
                <w:highlight w:val="none"/>
              </w:rPr>
            </w:pPr>
          </w:p>
        </w:tc>
        <w:tc>
          <w:tcPr>
            <w:tcW w:w="710" w:type="dxa"/>
            <w:gridSpan w:val="2"/>
            <w:noWrap w:val="0"/>
            <w:vAlign w:val="center"/>
          </w:tcPr>
          <w:p w14:paraId="0711028D">
            <w:pPr>
              <w:jc w:val="both"/>
              <w:rPr>
                <w:highlight w:val="none"/>
                <w:vertAlign w:val="baseline"/>
              </w:rPr>
            </w:pPr>
          </w:p>
        </w:tc>
      </w:tr>
      <w:tr w14:paraId="5A49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7FB3B7">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72619B96">
            <w:pPr>
              <w:jc w:val="center"/>
              <w:rPr>
                <w:rFonts w:hint="eastAsia"/>
                <w:highlight w:val="none"/>
                <w:vertAlign w:val="baseline"/>
              </w:rPr>
            </w:pPr>
            <w:r>
              <w:rPr>
                <w:rFonts w:hint="eastAsia"/>
                <w:highlight w:val="none"/>
                <w:vertAlign w:val="baseline"/>
              </w:rPr>
              <w:t>安装及调试</w:t>
            </w:r>
          </w:p>
        </w:tc>
        <w:tc>
          <w:tcPr>
            <w:tcW w:w="5928" w:type="dxa"/>
            <w:noWrap w:val="0"/>
            <w:vAlign w:val="center"/>
          </w:tcPr>
          <w:p w14:paraId="5450CB4E">
            <w:pPr>
              <w:jc w:val="left"/>
              <w:rPr>
                <w:rFonts w:hint="eastAsia"/>
                <w:highlight w:val="none"/>
                <w:vertAlign w:val="baseline"/>
              </w:rPr>
            </w:pPr>
            <w:r>
              <w:rPr>
                <w:rFonts w:hint="eastAsia"/>
                <w:highlight w:val="none"/>
                <w:vertAlign w:val="baseline"/>
              </w:rPr>
              <w:t>设备安装及调试。</w:t>
            </w:r>
          </w:p>
        </w:tc>
        <w:tc>
          <w:tcPr>
            <w:tcW w:w="736" w:type="dxa"/>
            <w:noWrap w:val="0"/>
            <w:vAlign w:val="center"/>
          </w:tcPr>
          <w:p w14:paraId="09477E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274842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55A18596">
            <w:pPr>
              <w:jc w:val="center"/>
              <w:rPr>
                <w:highlight w:val="none"/>
              </w:rPr>
            </w:pPr>
          </w:p>
        </w:tc>
        <w:tc>
          <w:tcPr>
            <w:tcW w:w="710" w:type="dxa"/>
            <w:gridSpan w:val="2"/>
            <w:noWrap w:val="0"/>
            <w:vAlign w:val="center"/>
          </w:tcPr>
          <w:p w14:paraId="515740EE">
            <w:pPr>
              <w:jc w:val="both"/>
              <w:rPr>
                <w:highlight w:val="none"/>
                <w:vertAlign w:val="baseline"/>
              </w:rPr>
            </w:pPr>
          </w:p>
        </w:tc>
      </w:tr>
      <w:tr w14:paraId="669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4189" w:type="dxa"/>
            <w:gridSpan w:val="9"/>
            <w:noWrap w:val="0"/>
            <w:vAlign w:val="center"/>
          </w:tcPr>
          <w:p w14:paraId="003DC19D">
            <w:pPr>
              <w:jc w:val="center"/>
              <w:rPr>
                <w:highlight w:val="none"/>
                <w:vertAlign w:val="baseline"/>
              </w:rPr>
            </w:pPr>
            <w:r>
              <w:rPr>
                <w:rFonts w:hint="eastAsia"/>
                <w:b/>
                <w:bCs/>
                <w:sz w:val="36"/>
                <w:szCs w:val="36"/>
                <w:highlight w:val="none"/>
                <w:vertAlign w:val="baseline"/>
              </w:rPr>
              <w:t>化学仪器室</w:t>
            </w:r>
          </w:p>
        </w:tc>
      </w:tr>
      <w:tr w14:paraId="208D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95" w:type="dxa"/>
            <w:noWrap w:val="0"/>
            <w:vAlign w:val="center"/>
          </w:tcPr>
          <w:p w14:paraId="3C5B5EB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58E36C3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0AAC5458">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2D215F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57A2D5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4D477137">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3E85E81E">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0DA2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4189" w:type="dxa"/>
            <w:gridSpan w:val="9"/>
            <w:noWrap w:val="0"/>
            <w:vAlign w:val="center"/>
          </w:tcPr>
          <w:p w14:paraId="58C37423">
            <w:pPr>
              <w:jc w:val="both"/>
              <w:rPr>
                <w:highlight w:val="none"/>
                <w:vertAlign w:val="baseline"/>
              </w:rPr>
            </w:pPr>
            <w:r>
              <w:rPr>
                <w:rFonts w:hint="eastAsia"/>
                <w:b/>
                <w:bCs/>
                <w:sz w:val="30"/>
                <w:szCs w:val="30"/>
                <w:highlight w:val="none"/>
                <w:vertAlign w:val="baseline"/>
              </w:rPr>
              <w:t>一、仪器室设备</w:t>
            </w:r>
          </w:p>
        </w:tc>
      </w:tr>
      <w:tr w14:paraId="7247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A5E75D">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2A0B4BAD">
            <w:pPr>
              <w:jc w:val="center"/>
              <w:rPr>
                <w:rFonts w:hint="eastAsia"/>
                <w:highlight w:val="none"/>
                <w:vertAlign w:val="baseline"/>
              </w:rPr>
            </w:pPr>
            <w:r>
              <w:rPr>
                <w:rFonts w:hint="eastAsia"/>
                <w:highlight w:val="none"/>
                <w:vertAlign w:val="baseline"/>
              </w:rPr>
              <w:t>仪器柜</w:t>
            </w:r>
          </w:p>
        </w:tc>
        <w:tc>
          <w:tcPr>
            <w:tcW w:w="5928" w:type="dxa"/>
            <w:noWrap w:val="0"/>
            <w:vAlign w:val="center"/>
          </w:tcPr>
          <w:p w14:paraId="4BC440A1">
            <w:pPr>
              <w:jc w:val="left"/>
              <w:rPr>
                <w:rFonts w:hint="eastAsia"/>
                <w:highlight w:val="none"/>
                <w:vertAlign w:val="baseline"/>
              </w:rPr>
            </w:pPr>
            <w:r>
              <w:rPr>
                <w:rFonts w:hint="eastAsia"/>
                <w:highlight w:val="none"/>
                <w:vertAlign w:val="baseline"/>
              </w:rPr>
              <w:t>规格：≥1000×500×2000mm</w:t>
            </w:r>
          </w:p>
          <w:p w14:paraId="57709BBE">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4D7733E0">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42CE1CA7">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3D203646">
            <w:pPr>
              <w:jc w:val="left"/>
              <w:rPr>
                <w:rFonts w:hint="eastAsia"/>
                <w:highlight w:val="none"/>
                <w:vertAlign w:val="baseline"/>
              </w:rPr>
            </w:pPr>
            <w:r>
              <w:rPr>
                <w:rFonts w:hint="eastAsia"/>
                <w:highlight w:val="none"/>
                <w:vertAlign w:val="baseline"/>
              </w:rPr>
              <w:t>4、层板：上柜配置两块活动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750CBEB5">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01D9C209">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37D27465">
            <w:pPr>
              <w:jc w:val="left"/>
              <w:rPr>
                <w:rFonts w:hint="eastAsia"/>
                <w:highlight w:val="none"/>
                <w:vertAlign w:val="baseline"/>
              </w:rPr>
            </w:pPr>
            <w:r>
              <w:rPr>
                <w:rFonts w:hint="eastAsia"/>
                <w:highlight w:val="none"/>
                <w:vertAlign w:val="baseline"/>
              </w:rPr>
              <w:t>7、螺丝：不锈钢304材质。</w:t>
            </w:r>
          </w:p>
          <w:p w14:paraId="50FC5223">
            <w:pPr>
              <w:jc w:val="left"/>
              <w:rPr>
                <w:rFonts w:hint="eastAsia"/>
                <w:highlight w:val="none"/>
                <w:vertAlign w:val="baseline"/>
              </w:rPr>
            </w:pPr>
            <w:r>
              <w:rPr>
                <w:rFonts w:hint="eastAsia"/>
                <w:highlight w:val="none"/>
                <w:vertAlign w:val="baseline"/>
              </w:rPr>
              <w:t>▲仪器柜整体通过GB/T 32487-2016 塑料家具通用技术条件检测，柜类强度和耐久性，塑料件外观，理化性能，有害物质限量。测试结果符合指标要求。备注：为确保产品质量，需提供具有CMA或CNAS标识的检测报告扫描件。</w:t>
            </w:r>
          </w:p>
        </w:tc>
        <w:tc>
          <w:tcPr>
            <w:tcW w:w="736" w:type="dxa"/>
            <w:noWrap w:val="0"/>
            <w:vAlign w:val="center"/>
          </w:tcPr>
          <w:p w14:paraId="0711B1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834" w:type="dxa"/>
            <w:noWrap w:val="0"/>
            <w:vAlign w:val="center"/>
          </w:tcPr>
          <w:p w14:paraId="6DF725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753E03F1">
            <w:pPr>
              <w:jc w:val="center"/>
              <w:rPr>
                <w:highlight w:val="none"/>
              </w:rPr>
            </w:pPr>
            <w:r>
              <w:rPr>
                <w:highlight w:val="none"/>
              </w:rPr>
              <w:drawing>
                <wp:inline distT="0" distB="0" distL="114300" distR="114300">
                  <wp:extent cx="1243330" cy="1870710"/>
                  <wp:effectExtent l="0" t="0" r="1270" b="8890"/>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pic:cNvPicPr>
                            <a:picLocks noChangeAspect="1"/>
                          </pic:cNvPicPr>
                        </pic:nvPicPr>
                        <pic:blipFill>
                          <a:blip r:embed="rId37"/>
                          <a:stretch>
                            <a:fillRect/>
                          </a:stretch>
                        </pic:blipFill>
                        <pic:spPr>
                          <a:xfrm>
                            <a:off x="0" y="0"/>
                            <a:ext cx="1243330" cy="1870710"/>
                          </a:xfrm>
                          <a:prstGeom prst="rect">
                            <a:avLst/>
                          </a:prstGeom>
                          <a:noFill/>
                          <a:ln>
                            <a:noFill/>
                          </a:ln>
                        </pic:spPr>
                      </pic:pic>
                    </a:graphicData>
                  </a:graphic>
                </wp:inline>
              </w:drawing>
            </w:r>
          </w:p>
        </w:tc>
        <w:tc>
          <w:tcPr>
            <w:tcW w:w="710" w:type="dxa"/>
            <w:gridSpan w:val="2"/>
            <w:noWrap w:val="0"/>
            <w:vAlign w:val="center"/>
          </w:tcPr>
          <w:p w14:paraId="0C46BFCF">
            <w:pPr>
              <w:jc w:val="both"/>
              <w:rPr>
                <w:highlight w:val="none"/>
                <w:vertAlign w:val="baseline"/>
              </w:rPr>
            </w:pPr>
          </w:p>
        </w:tc>
      </w:tr>
      <w:tr w14:paraId="4485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189" w:type="dxa"/>
            <w:gridSpan w:val="9"/>
            <w:noWrap w:val="0"/>
            <w:vAlign w:val="center"/>
          </w:tcPr>
          <w:p w14:paraId="53F54240">
            <w:pPr>
              <w:jc w:val="both"/>
              <w:rPr>
                <w:highlight w:val="none"/>
                <w:vertAlign w:val="baseline"/>
              </w:rPr>
            </w:pPr>
            <w:r>
              <w:rPr>
                <w:rFonts w:hint="eastAsia"/>
                <w:b/>
                <w:bCs/>
                <w:sz w:val="30"/>
                <w:szCs w:val="30"/>
                <w:highlight w:val="none"/>
                <w:vertAlign w:val="baseline"/>
              </w:rPr>
              <w:t>二、安装附件部分</w:t>
            </w:r>
          </w:p>
        </w:tc>
      </w:tr>
      <w:tr w14:paraId="3210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217389">
            <w:pPr>
              <w:jc w:val="center"/>
              <w:rPr>
                <w:rFonts w:hint="eastAsia"/>
                <w:highlight w:val="none"/>
                <w:vertAlign w:val="baseline"/>
                <w:lang w:val="en-US" w:eastAsia="zh-CN"/>
              </w:rPr>
            </w:pPr>
          </w:p>
        </w:tc>
        <w:tc>
          <w:tcPr>
            <w:tcW w:w="1690" w:type="dxa"/>
            <w:noWrap w:val="0"/>
            <w:vAlign w:val="center"/>
          </w:tcPr>
          <w:p w14:paraId="640552AD">
            <w:pPr>
              <w:jc w:val="center"/>
              <w:rPr>
                <w:rFonts w:hint="eastAsia"/>
                <w:highlight w:val="none"/>
                <w:vertAlign w:val="baseline"/>
              </w:rPr>
            </w:pPr>
            <w:r>
              <w:rPr>
                <w:rFonts w:hint="eastAsia"/>
                <w:highlight w:val="none"/>
                <w:vertAlign w:val="baseline"/>
              </w:rPr>
              <w:t>安装及调试</w:t>
            </w:r>
          </w:p>
        </w:tc>
        <w:tc>
          <w:tcPr>
            <w:tcW w:w="5928" w:type="dxa"/>
            <w:noWrap w:val="0"/>
            <w:vAlign w:val="center"/>
          </w:tcPr>
          <w:p w14:paraId="35A1197F">
            <w:pPr>
              <w:jc w:val="left"/>
              <w:rPr>
                <w:rFonts w:hint="eastAsia"/>
                <w:highlight w:val="none"/>
                <w:vertAlign w:val="baseline"/>
              </w:rPr>
            </w:pPr>
            <w:r>
              <w:rPr>
                <w:rFonts w:hint="eastAsia"/>
                <w:highlight w:val="none"/>
                <w:vertAlign w:val="baseline"/>
              </w:rPr>
              <w:t>设备安装及调试。</w:t>
            </w:r>
          </w:p>
        </w:tc>
        <w:tc>
          <w:tcPr>
            <w:tcW w:w="736" w:type="dxa"/>
            <w:noWrap w:val="0"/>
            <w:vAlign w:val="center"/>
          </w:tcPr>
          <w:p w14:paraId="6D337E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41A6DA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627049CE">
            <w:pPr>
              <w:jc w:val="center"/>
              <w:rPr>
                <w:highlight w:val="none"/>
              </w:rPr>
            </w:pPr>
          </w:p>
        </w:tc>
        <w:tc>
          <w:tcPr>
            <w:tcW w:w="710" w:type="dxa"/>
            <w:gridSpan w:val="2"/>
            <w:noWrap w:val="0"/>
            <w:vAlign w:val="center"/>
          </w:tcPr>
          <w:p w14:paraId="42DDBD89">
            <w:pPr>
              <w:jc w:val="both"/>
              <w:rPr>
                <w:highlight w:val="none"/>
                <w:vertAlign w:val="baseline"/>
              </w:rPr>
            </w:pPr>
          </w:p>
        </w:tc>
      </w:tr>
      <w:tr w14:paraId="1F72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4189" w:type="dxa"/>
            <w:gridSpan w:val="9"/>
            <w:noWrap w:val="0"/>
            <w:vAlign w:val="center"/>
          </w:tcPr>
          <w:p w14:paraId="6B755C18">
            <w:pPr>
              <w:jc w:val="center"/>
              <w:rPr>
                <w:highlight w:val="none"/>
                <w:vertAlign w:val="baseline"/>
              </w:rPr>
            </w:pPr>
            <w:r>
              <w:rPr>
                <w:rFonts w:hint="eastAsia"/>
                <w:b/>
                <w:bCs/>
                <w:sz w:val="36"/>
                <w:szCs w:val="36"/>
                <w:highlight w:val="none"/>
                <w:vertAlign w:val="baseline"/>
              </w:rPr>
              <w:t>化学危险品室</w:t>
            </w:r>
          </w:p>
        </w:tc>
      </w:tr>
      <w:tr w14:paraId="3296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95" w:type="dxa"/>
            <w:noWrap w:val="0"/>
            <w:vAlign w:val="center"/>
          </w:tcPr>
          <w:p w14:paraId="68C7872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537165B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4FE54660">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342FE4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4893D7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02958E1C">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3B9443DF">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14C4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189" w:type="dxa"/>
            <w:gridSpan w:val="9"/>
            <w:noWrap w:val="0"/>
            <w:vAlign w:val="center"/>
          </w:tcPr>
          <w:p w14:paraId="1B592A64">
            <w:pPr>
              <w:jc w:val="both"/>
              <w:rPr>
                <w:highlight w:val="none"/>
                <w:vertAlign w:val="baseline"/>
              </w:rPr>
            </w:pPr>
            <w:r>
              <w:rPr>
                <w:rFonts w:hint="eastAsia"/>
                <w:b/>
                <w:bCs/>
                <w:sz w:val="30"/>
                <w:szCs w:val="30"/>
                <w:highlight w:val="none"/>
                <w:vertAlign w:val="baseline"/>
              </w:rPr>
              <w:t>一、危险品室设备</w:t>
            </w:r>
          </w:p>
        </w:tc>
      </w:tr>
      <w:tr w14:paraId="6694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E538D17">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205765FC">
            <w:pPr>
              <w:jc w:val="center"/>
              <w:rPr>
                <w:rFonts w:hint="eastAsia"/>
                <w:highlight w:val="none"/>
                <w:vertAlign w:val="baseline"/>
              </w:rPr>
            </w:pPr>
            <w:r>
              <w:rPr>
                <w:rFonts w:hint="eastAsia"/>
                <w:highlight w:val="none"/>
                <w:vertAlign w:val="baseline"/>
              </w:rPr>
              <w:t>危险品储存柜</w:t>
            </w:r>
          </w:p>
        </w:tc>
        <w:tc>
          <w:tcPr>
            <w:tcW w:w="5928" w:type="dxa"/>
            <w:noWrap w:val="0"/>
            <w:vAlign w:val="center"/>
          </w:tcPr>
          <w:p w14:paraId="542737D3">
            <w:pPr>
              <w:jc w:val="left"/>
              <w:rPr>
                <w:rFonts w:hint="eastAsia"/>
                <w:highlight w:val="none"/>
                <w:vertAlign w:val="baseline"/>
              </w:rPr>
            </w:pPr>
            <w:r>
              <w:rPr>
                <w:rFonts w:hint="eastAsia"/>
                <w:highlight w:val="none"/>
                <w:vertAlign w:val="baseline"/>
              </w:rPr>
              <w:t>1、规格：≥1850×850×500mm；</w:t>
            </w:r>
          </w:p>
          <w:p w14:paraId="59CA5B7A">
            <w:pPr>
              <w:jc w:val="left"/>
              <w:rPr>
                <w:rFonts w:hint="eastAsia"/>
                <w:highlight w:val="none"/>
                <w:vertAlign w:val="baseline"/>
              </w:rPr>
            </w:pPr>
            <w:r>
              <w:rPr>
                <w:rFonts w:hint="eastAsia"/>
                <w:highlight w:val="none"/>
                <w:vertAlign w:val="baseline"/>
              </w:rPr>
              <w:t>2、外壳体全部采用≥1.2mm的镀锌钢板，柜体底座采用≥2.0mm的镀锌钢板,柜壁为双层结构，内外表面经酸洗磷化环氧树脂粉末喷涂，烘热固化处理；</w:t>
            </w:r>
          </w:p>
          <w:p w14:paraId="19EE0AD9">
            <w:pPr>
              <w:jc w:val="left"/>
              <w:rPr>
                <w:rFonts w:hint="eastAsia"/>
                <w:highlight w:val="none"/>
                <w:vertAlign w:val="baseline"/>
              </w:rPr>
            </w:pPr>
            <w:r>
              <w:rPr>
                <w:rFonts w:hint="eastAsia"/>
                <w:highlight w:val="none"/>
                <w:vertAlign w:val="baseline"/>
              </w:rPr>
              <w:t>3、柜体内胆（上，下、左、右内衬板）全部采用塑料板；柜体的底板中部有Φ10mm漏液孔，漏液孔上面盖上60目金属网；柜体底部设h≥145mm黄沙(防倒）挡板，柜体内部最下层留有可以存放不少于120mm厚黄沙的填埋腔，用于埋放金属钠、黄磷（白磷）等的易燃物品；</w:t>
            </w:r>
          </w:p>
          <w:p w14:paraId="1D964435">
            <w:pPr>
              <w:jc w:val="left"/>
              <w:rPr>
                <w:rFonts w:hint="eastAsia"/>
                <w:highlight w:val="none"/>
                <w:vertAlign w:val="baseline"/>
              </w:rPr>
            </w:pPr>
            <w:r>
              <w:rPr>
                <w:rFonts w:hint="eastAsia"/>
                <w:highlight w:val="none"/>
                <w:vertAlign w:val="baseline"/>
              </w:rPr>
              <w:t>4、柜中部有3个三层阶梯式的塑料活动搁板，每层阶梯板外延边有≥3mm高的积液盘；下层搁板外沿镶装有≥48.5×16.5mmPVC一次成型护栏, 护栏中间嵌有（警示红 ，警示蓝，警示黄）≥0.5mm厚度的装饰条，可区分碱性，酸性药品和易燃品的存放；每个搁板靠背板处有一排导风口，阶梯高度≥50mm（包括积液盘的高度）；</w:t>
            </w:r>
          </w:p>
          <w:p w14:paraId="1BB05804">
            <w:pPr>
              <w:jc w:val="left"/>
              <w:rPr>
                <w:rFonts w:hint="eastAsia"/>
                <w:highlight w:val="none"/>
                <w:vertAlign w:val="baseline"/>
              </w:rPr>
            </w:pPr>
            <w:r>
              <w:rPr>
                <w:rFonts w:hint="eastAsia"/>
                <w:highlight w:val="none"/>
                <w:vertAlign w:val="baseline"/>
              </w:rPr>
              <w:t>5、柜体填充具有保温隔热作用的材料；</w:t>
            </w:r>
          </w:p>
          <w:p w14:paraId="3B042D17">
            <w:pPr>
              <w:jc w:val="left"/>
              <w:rPr>
                <w:rFonts w:hint="eastAsia"/>
                <w:highlight w:val="none"/>
                <w:vertAlign w:val="baseline"/>
              </w:rPr>
            </w:pPr>
            <w:r>
              <w:rPr>
                <w:rFonts w:hint="eastAsia"/>
                <w:highlight w:val="none"/>
                <w:vertAlign w:val="baseline"/>
              </w:rPr>
              <w:t>6、柜体门与柜体之间安装防火膨胀密封件，密封件应符合GB 16807-2009的要求；（柜体门与柜体之间应安装环保热膨胀密封条；当温度为150℃-180℃时密封条局部膨胀，温度达到750℃时密封条全部膨胀，膨胀比例为1:5，以保证储存药品的安全性。）</w:t>
            </w:r>
          </w:p>
          <w:p w14:paraId="7A69CD4A">
            <w:pPr>
              <w:jc w:val="left"/>
              <w:rPr>
                <w:rFonts w:hint="eastAsia"/>
                <w:highlight w:val="none"/>
                <w:vertAlign w:val="baseline"/>
              </w:rPr>
            </w:pPr>
            <w:r>
              <w:rPr>
                <w:rFonts w:hint="eastAsia"/>
                <w:highlight w:val="none"/>
                <w:vertAlign w:val="baseline"/>
              </w:rPr>
              <w:t>7、存储柜上安装的磁锁、机械密码锁等机械锁应符合GA/T 73的要求；电子密码锁 符合GB 10409—2001中5.4的要求。</w:t>
            </w:r>
          </w:p>
          <w:p w14:paraId="5A358B75">
            <w:pPr>
              <w:jc w:val="left"/>
              <w:rPr>
                <w:rFonts w:hint="eastAsia"/>
                <w:highlight w:val="none"/>
                <w:vertAlign w:val="baseline"/>
              </w:rPr>
            </w:pPr>
            <w:r>
              <w:rPr>
                <w:rFonts w:hint="eastAsia"/>
                <w:highlight w:val="none"/>
                <w:vertAlign w:val="baseline"/>
              </w:rPr>
              <w:t>8、柜体底部设置90×50×145mm进风口及可调风阀，可调风阀旋转灵活，并能控制风量大小；柜体应设置通风口，通风口最大风速应不小于0.5m/s；应有配有微电脑定时时控开关，能根据用户设定的时间自动打开和关闭风机，电源开关应有指示灯指示风机是否正常工作，可自动和手动控制；通风管道口径宜采用Φ160mm，通风管应耐高温、阻燃、耐腐蚀，符合JGJ 141的要求；</w:t>
            </w:r>
          </w:p>
          <w:p w14:paraId="5DE10165">
            <w:pPr>
              <w:jc w:val="left"/>
              <w:rPr>
                <w:rFonts w:hint="eastAsia"/>
                <w:highlight w:val="none"/>
                <w:vertAlign w:val="baseline"/>
              </w:rPr>
            </w:pPr>
            <w:r>
              <w:rPr>
                <w:rFonts w:hint="eastAsia"/>
                <w:highlight w:val="none"/>
                <w:vertAlign w:val="baseline"/>
              </w:rPr>
              <w:t>9、柜底装有四个移动轮，便于毒害品储存柜移动；前轮后有2个手动调节罗杆，方便毒害品储存柜定位；</w:t>
            </w:r>
          </w:p>
          <w:p w14:paraId="003684D4">
            <w:pPr>
              <w:jc w:val="left"/>
              <w:rPr>
                <w:rFonts w:hint="eastAsia"/>
                <w:highlight w:val="none"/>
                <w:vertAlign w:val="baseline"/>
              </w:rPr>
            </w:pPr>
            <w:r>
              <w:rPr>
                <w:rFonts w:hint="eastAsia"/>
                <w:highlight w:val="none"/>
                <w:vertAlign w:val="baseline"/>
              </w:rPr>
              <w:t>10、柜顶部中间有Φ150mm出风口，柜顶风口内置一个AC220V、50HZ、0.18A轴流风机，最大风量326m³/h、转速2550转/min、环境温度（-10～+70）℃，控制开关设置柜体顶部的右上角，当风机开机前要把柜门下面中间的进风口推置打开状态；</w:t>
            </w:r>
          </w:p>
          <w:p w14:paraId="29BB6830">
            <w:pPr>
              <w:jc w:val="left"/>
              <w:rPr>
                <w:rFonts w:hint="eastAsia"/>
                <w:highlight w:val="none"/>
                <w:vertAlign w:val="baseline"/>
              </w:rPr>
            </w:pPr>
            <w:r>
              <w:rPr>
                <w:rFonts w:hint="eastAsia"/>
                <w:highlight w:val="none"/>
                <w:vertAlign w:val="baseline"/>
              </w:rPr>
              <w:t xml:space="preserve">11、柜体顶上应配置温湿度控制器，对柜内相对温湿度实时监控，数字显示设定和测量值，柜内的温湿度如超过设定的测量值即时报警提示；电源AC220V±10％50HZ,温度启控0～99.9℃（用户设定），湿度启控0～99.9％RH（用户设定）；电源 符合GB 10409-2001中5.5的要求； </w:t>
            </w:r>
          </w:p>
          <w:p w14:paraId="2CD25B6E">
            <w:pPr>
              <w:jc w:val="left"/>
              <w:rPr>
                <w:rFonts w:hint="eastAsia"/>
                <w:highlight w:val="none"/>
                <w:vertAlign w:val="baseline"/>
              </w:rPr>
            </w:pPr>
            <w:r>
              <w:rPr>
                <w:rFonts w:hint="eastAsia"/>
                <w:highlight w:val="none"/>
                <w:vertAlign w:val="baseline"/>
              </w:rPr>
              <w:t>12、 附加装置 应符合GB 10409-2001中5.6的要求；</w:t>
            </w:r>
          </w:p>
          <w:p w14:paraId="5C9DDE0A">
            <w:pPr>
              <w:jc w:val="left"/>
              <w:rPr>
                <w:rFonts w:hint="eastAsia"/>
                <w:highlight w:val="none"/>
                <w:vertAlign w:val="baseline"/>
              </w:rPr>
            </w:pPr>
            <w:r>
              <w:rPr>
                <w:rFonts w:hint="eastAsia"/>
                <w:highlight w:val="none"/>
                <w:vertAlign w:val="baseline"/>
              </w:rPr>
              <w:t>13、 柜体抗破坏要求 符合GB 10409-2001中5.7条A1类防盗保险柜的要求；</w:t>
            </w:r>
          </w:p>
          <w:p w14:paraId="23141418">
            <w:pPr>
              <w:jc w:val="left"/>
              <w:rPr>
                <w:rFonts w:hint="eastAsia"/>
                <w:highlight w:val="none"/>
                <w:vertAlign w:val="baseline"/>
              </w:rPr>
            </w:pPr>
            <w:r>
              <w:rPr>
                <w:rFonts w:hint="eastAsia"/>
                <w:highlight w:val="none"/>
                <w:vertAlign w:val="baseline"/>
              </w:rPr>
              <w:t>14、 特殊安全性要求 机械锁钥匙、电子密码锁密码应由两人分别保管，开启时两人应同时在场。</w:t>
            </w:r>
          </w:p>
        </w:tc>
        <w:tc>
          <w:tcPr>
            <w:tcW w:w="736" w:type="dxa"/>
            <w:noWrap w:val="0"/>
            <w:vAlign w:val="center"/>
          </w:tcPr>
          <w:p w14:paraId="5887CF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34" w:type="dxa"/>
            <w:noWrap w:val="0"/>
            <w:vAlign w:val="center"/>
          </w:tcPr>
          <w:p w14:paraId="39BC40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3396" w:type="dxa"/>
            <w:gridSpan w:val="2"/>
            <w:noWrap w:val="0"/>
            <w:vAlign w:val="center"/>
          </w:tcPr>
          <w:p w14:paraId="78B43CDF">
            <w:pPr>
              <w:jc w:val="center"/>
              <w:rPr>
                <w:highlight w:val="none"/>
              </w:rPr>
            </w:pPr>
            <w:r>
              <w:rPr>
                <w:highlight w:val="none"/>
              </w:rPr>
              <w:drawing>
                <wp:inline distT="0" distB="0" distL="114300" distR="114300">
                  <wp:extent cx="1805305" cy="1739265"/>
                  <wp:effectExtent l="0" t="0" r="0" b="0"/>
                  <wp:docPr id="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pic:cNvPicPr>
                            <a:picLocks noChangeAspect="1"/>
                          </pic:cNvPicPr>
                        </pic:nvPicPr>
                        <pic:blipFill>
                          <a:blip r:embed="rId49"/>
                          <a:stretch>
                            <a:fillRect/>
                          </a:stretch>
                        </pic:blipFill>
                        <pic:spPr>
                          <a:xfrm>
                            <a:off x="0" y="0"/>
                            <a:ext cx="1805305" cy="1739265"/>
                          </a:xfrm>
                          <a:prstGeom prst="rect">
                            <a:avLst/>
                          </a:prstGeom>
                          <a:noFill/>
                          <a:ln>
                            <a:noFill/>
                          </a:ln>
                        </pic:spPr>
                      </pic:pic>
                    </a:graphicData>
                  </a:graphic>
                </wp:inline>
              </w:drawing>
            </w:r>
          </w:p>
        </w:tc>
        <w:tc>
          <w:tcPr>
            <w:tcW w:w="710" w:type="dxa"/>
            <w:gridSpan w:val="2"/>
            <w:noWrap w:val="0"/>
            <w:vAlign w:val="center"/>
          </w:tcPr>
          <w:p w14:paraId="6D1F2AC2">
            <w:pPr>
              <w:jc w:val="both"/>
              <w:rPr>
                <w:highlight w:val="none"/>
                <w:vertAlign w:val="baseline"/>
              </w:rPr>
            </w:pPr>
          </w:p>
        </w:tc>
      </w:tr>
      <w:tr w14:paraId="49E9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B452CD1">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2BAE64C3">
            <w:pPr>
              <w:jc w:val="center"/>
              <w:rPr>
                <w:rFonts w:hint="eastAsia"/>
                <w:highlight w:val="none"/>
                <w:vertAlign w:val="baseline"/>
              </w:rPr>
            </w:pPr>
            <w:r>
              <w:rPr>
                <w:rFonts w:hint="eastAsia"/>
                <w:highlight w:val="none"/>
                <w:vertAlign w:val="baseline"/>
              </w:rPr>
              <w:t>易燃品储存柜</w:t>
            </w:r>
          </w:p>
        </w:tc>
        <w:tc>
          <w:tcPr>
            <w:tcW w:w="5928" w:type="dxa"/>
            <w:noWrap w:val="0"/>
            <w:vAlign w:val="center"/>
          </w:tcPr>
          <w:p w14:paraId="346E7B5A">
            <w:pPr>
              <w:jc w:val="left"/>
              <w:rPr>
                <w:rFonts w:hint="eastAsia"/>
                <w:highlight w:val="none"/>
                <w:vertAlign w:val="baseline"/>
              </w:rPr>
            </w:pPr>
            <w:r>
              <w:rPr>
                <w:rFonts w:hint="eastAsia"/>
                <w:highlight w:val="none"/>
                <w:vertAlign w:val="baseline"/>
              </w:rPr>
              <w:t>1、规格：≥1850×850×500mm；</w:t>
            </w:r>
          </w:p>
          <w:p w14:paraId="4DBA11B1">
            <w:pPr>
              <w:jc w:val="left"/>
              <w:rPr>
                <w:rFonts w:hint="eastAsia"/>
                <w:highlight w:val="none"/>
                <w:vertAlign w:val="baseline"/>
              </w:rPr>
            </w:pPr>
            <w:r>
              <w:rPr>
                <w:rFonts w:hint="eastAsia"/>
                <w:highlight w:val="none"/>
                <w:vertAlign w:val="baseline"/>
              </w:rPr>
              <w:t>2、外壳体全部采用≥1.2mm的镀锌钢板，柜体底座采用≥2.0mm的镀锌钢板,柜壁为双层结构，内外表面经酸洗磷化环氧树脂粉末喷涂，烘热固化处理；</w:t>
            </w:r>
          </w:p>
          <w:p w14:paraId="2A787171">
            <w:pPr>
              <w:jc w:val="left"/>
              <w:rPr>
                <w:rFonts w:hint="eastAsia"/>
                <w:highlight w:val="none"/>
                <w:vertAlign w:val="baseline"/>
              </w:rPr>
            </w:pPr>
            <w:r>
              <w:rPr>
                <w:rFonts w:hint="eastAsia"/>
                <w:highlight w:val="none"/>
                <w:vertAlign w:val="baseline"/>
              </w:rPr>
              <w:t>3、柜体内胆（上，下、左、右内衬板）全部采用塑料板；柜体的底板中部有Φ10mm漏液孔，漏液孔上面盖上60目金属网；柜体底部设h≥145mm黄沙(防倒）挡板，柜体内部最下层留有可以存放不少于120mm厚黄沙的填埋腔，用于埋放金属钠、黄磷（白磷）等的易燃物品；</w:t>
            </w:r>
          </w:p>
          <w:p w14:paraId="5A1B5679">
            <w:pPr>
              <w:jc w:val="left"/>
              <w:rPr>
                <w:rFonts w:hint="eastAsia"/>
                <w:highlight w:val="none"/>
                <w:vertAlign w:val="baseline"/>
              </w:rPr>
            </w:pPr>
            <w:r>
              <w:rPr>
                <w:rFonts w:hint="eastAsia"/>
                <w:highlight w:val="none"/>
                <w:vertAlign w:val="baseline"/>
              </w:rPr>
              <w:t>4、柜中部有3个三层阶梯式的塑料活动搁板，每层阶梯板外延边有≥3mm高的积液盘；下层搁板外沿镶装有≥48.5×16.5mmPVC一次成型护栏, 护栏中间嵌有（警示红 ，警示蓝，警示黄）≥0.5mm厚度的装饰条，可区分碱性，酸性药品和易燃品的存放；每个搁板靠背板处有一排导风口，阶梯高度≥50mm（包括积液盘的高度）；</w:t>
            </w:r>
          </w:p>
          <w:p w14:paraId="2603CCB0">
            <w:pPr>
              <w:jc w:val="left"/>
              <w:rPr>
                <w:rFonts w:hint="eastAsia"/>
                <w:highlight w:val="none"/>
                <w:vertAlign w:val="baseline"/>
              </w:rPr>
            </w:pPr>
            <w:r>
              <w:rPr>
                <w:rFonts w:hint="eastAsia"/>
                <w:highlight w:val="none"/>
                <w:vertAlign w:val="baseline"/>
              </w:rPr>
              <w:t>5、柜体填充具有保温隔热作用的材料；</w:t>
            </w:r>
          </w:p>
          <w:p w14:paraId="64B5E1E5">
            <w:pPr>
              <w:jc w:val="left"/>
              <w:rPr>
                <w:rFonts w:hint="eastAsia"/>
                <w:highlight w:val="none"/>
                <w:vertAlign w:val="baseline"/>
              </w:rPr>
            </w:pPr>
            <w:r>
              <w:rPr>
                <w:rFonts w:hint="eastAsia"/>
                <w:highlight w:val="none"/>
                <w:vertAlign w:val="baseline"/>
              </w:rPr>
              <w:t>6、柜体门与柜体之间安装防火膨胀密封件，密封件应符合GB 16807-2009的要求；（柜体门与柜体之间应安装环保热膨胀密封条；当温度为150℃-180℃时密封条局部膨胀，温度达到750℃时密封条全部膨胀，膨胀比例为1:5，以保证储存药品的安全性。）</w:t>
            </w:r>
          </w:p>
          <w:p w14:paraId="4D8653E9">
            <w:pPr>
              <w:jc w:val="left"/>
              <w:rPr>
                <w:rFonts w:hint="eastAsia"/>
                <w:highlight w:val="none"/>
                <w:vertAlign w:val="baseline"/>
              </w:rPr>
            </w:pPr>
            <w:r>
              <w:rPr>
                <w:rFonts w:hint="eastAsia"/>
                <w:highlight w:val="none"/>
                <w:vertAlign w:val="baseline"/>
              </w:rPr>
              <w:t>7、存储柜上安装的磁锁、机械密码锁等机械锁应符合GA/T 73的要求；电子密码锁 符合GB 10409—2001中5.4的要求；</w:t>
            </w:r>
          </w:p>
          <w:p w14:paraId="417E2045">
            <w:pPr>
              <w:jc w:val="left"/>
              <w:rPr>
                <w:rFonts w:hint="eastAsia"/>
                <w:highlight w:val="none"/>
                <w:vertAlign w:val="baseline"/>
              </w:rPr>
            </w:pPr>
            <w:r>
              <w:rPr>
                <w:rFonts w:hint="eastAsia"/>
                <w:highlight w:val="none"/>
                <w:vertAlign w:val="baseline"/>
              </w:rPr>
              <w:t>8、柜体底部设置90×50×145mm进风口及可调风阀，可调风阀旋转灵活，并能控制风量大小；柜体应设置通风口，通风口最大风速应不小于0.5m/s；应有配有微电脑定时时控开关，能根据用户设定的时间自动打开和关闭风机，电源开关应有指示灯指示风机是否正常工作，可自动和手动控制；通风管道口径宜采用Φ160mm，通风管应耐高温、阻燃、耐腐蚀，符合JGJ 141的要求；</w:t>
            </w:r>
          </w:p>
          <w:p w14:paraId="613120F7">
            <w:pPr>
              <w:jc w:val="left"/>
              <w:rPr>
                <w:rFonts w:hint="eastAsia"/>
                <w:highlight w:val="none"/>
                <w:vertAlign w:val="baseline"/>
              </w:rPr>
            </w:pPr>
            <w:r>
              <w:rPr>
                <w:rFonts w:hint="eastAsia"/>
                <w:highlight w:val="none"/>
                <w:vertAlign w:val="baseline"/>
              </w:rPr>
              <w:t>9、柜底装有四个移动轮，便于毒害品储存柜移动；前轮后有2个手动调节罗杆，方便毒害品储存柜定位；</w:t>
            </w:r>
          </w:p>
          <w:p w14:paraId="0E2FE6B7">
            <w:pPr>
              <w:jc w:val="left"/>
              <w:rPr>
                <w:rFonts w:hint="eastAsia"/>
                <w:highlight w:val="none"/>
                <w:vertAlign w:val="baseline"/>
              </w:rPr>
            </w:pPr>
            <w:r>
              <w:rPr>
                <w:rFonts w:hint="eastAsia"/>
                <w:highlight w:val="none"/>
                <w:vertAlign w:val="baseline"/>
              </w:rPr>
              <w:t>10、柜顶部中间有Φ150mm出风口，柜顶风口内置一个AC220V、50HZ、0.18A轴流风机，最大风量326m³/h、转速2550转/min、环境温度（-10～+70）℃，控制开关设置柜体顶部的右上角，当风机开机前要把柜门下面中间的进风口推置打开状态；</w:t>
            </w:r>
          </w:p>
          <w:p w14:paraId="34EE7141">
            <w:pPr>
              <w:jc w:val="left"/>
              <w:rPr>
                <w:rFonts w:hint="eastAsia"/>
                <w:highlight w:val="none"/>
                <w:vertAlign w:val="baseline"/>
              </w:rPr>
            </w:pPr>
            <w:r>
              <w:rPr>
                <w:rFonts w:hint="eastAsia"/>
                <w:highlight w:val="none"/>
                <w:vertAlign w:val="baseline"/>
              </w:rPr>
              <w:t xml:space="preserve">11、柜体顶上应配置温湿度控制器，对柜内相对温湿度实时监控，数字显示设定和测量值，柜内的温湿度如超过设定的测量值即时报警提示；电源AC220V±10％50HZ,温度启控0～99.9℃（用户设定），湿度启控0～99.9％RH（用户设定）；电源 符合GB 10409-2001中5.5的要求； </w:t>
            </w:r>
          </w:p>
          <w:p w14:paraId="4B0CDE40">
            <w:pPr>
              <w:jc w:val="left"/>
              <w:rPr>
                <w:rFonts w:hint="eastAsia"/>
                <w:highlight w:val="none"/>
                <w:vertAlign w:val="baseline"/>
              </w:rPr>
            </w:pPr>
            <w:r>
              <w:rPr>
                <w:rFonts w:hint="eastAsia"/>
                <w:highlight w:val="none"/>
                <w:vertAlign w:val="baseline"/>
              </w:rPr>
              <w:t>12、 附加装置 应符合GB 10409-2001中5.6的要求；</w:t>
            </w:r>
          </w:p>
          <w:p w14:paraId="0D6662AD">
            <w:pPr>
              <w:jc w:val="left"/>
              <w:rPr>
                <w:rFonts w:hint="eastAsia"/>
                <w:highlight w:val="none"/>
                <w:vertAlign w:val="baseline"/>
              </w:rPr>
            </w:pPr>
            <w:r>
              <w:rPr>
                <w:rFonts w:hint="eastAsia"/>
                <w:highlight w:val="none"/>
                <w:vertAlign w:val="baseline"/>
              </w:rPr>
              <w:t>13、 柜体抗破坏要求 符合GB 10409-2001中5.7条A1类防盗保险柜的要求；</w:t>
            </w:r>
          </w:p>
          <w:p w14:paraId="0534C136">
            <w:pPr>
              <w:jc w:val="left"/>
              <w:rPr>
                <w:rFonts w:hint="eastAsia"/>
                <w:highlight w:val="none"/>
                <w:vertAlign w:val="baseline"/>
              </w:rPr>
            </w:pPr>
            <w:r>
              <w:rPr>
                <w:rFonts w:hint="eastAsia"/>
                <w:highlight w:val="none"/>
                <w:vertAlign w:val="baseline"/>
              </w:rPr>
              <w:t>14、 特殊安全性要求 机械锁钥匙、电子密码锁密码应由两人分别保管，开启时两人应同时在场。</w:t>
            </w:r>
          </w:p>
        </w:tc>
        <w:tc>
          <w:tcPr>
            <w:tcW w:w="736" w:type="dxa"/>
            <w:noWrap w:val="0"/>
            <w:vAlign w:val="center"/>
          </w:tcPr>
          <w:p w14:paraId="0A8F2E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34" w:type="dxa"/>
            <w:noWrap w:val="0"/>
            <w:vAlign w:val="center"/>
          </w:tcPr>
          <w:p w14:paraId="741F7E4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3396" w:type="dxa"/>
            <w:gridSpan w:val="2"/>
            <w:noWrap w:val="0"/>
            <w:vAlign w:val="center"/>
          </w:tcPr>
          <w:p w14:paraId="7C3B6084">
            <w:pPr>
              <w:jc w:val="center"/>
              <w:rPr>
                <w:highlight w:val="none"/>
              </w:rPr>
            </w:pPr>
            <w:r>
              <w:rPr>
                <w:highlight w:val="none"/>
              </w:rPr>
              <w:drawing>
                <wp:inline distT="0" distB="0" distL="114300" distR="114300">
                  <wp:extent cx="1693545" cy="1586230"/>
                  <wp:effectExtent l="0" t="0" r="0" b="0"/>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pic:cNvPicPr>
                            <a:picLocks noChangeAspect="1"/>
                          </pic:cNvPicPr>
                        </pic:nvPicPr>
                        <pic:blipFill>
                          <a:blip r:embed="rId49"/>
                          <a:stretch>
                            <a:fillRect/>
                          </a:stretch>
                        </pic:blipFill>
                        <pic:spPr>
                          <a:xfrm>
                            <a:off x="0" y="0"/>
                            <a:ext cx="1693545" cy="1586230"/>
                          </a:xfrm>
                          <a:prstGeom prst="rect">
                            <a:avLst/>
                          </a:prstGeom>
                          <a:noFill/>
                          <a:ln>
                            <a:noFill/>
                          </a:ln>
                        </pic:spPr>
                      </pic:pic>
                    </a:graphicData>
                  </a:graphic>
                </wp:inline>
              </w:drawing>
            </w:r>
          </w:p>
        </w:tc>
        <w:tc>
          <w:tcPr>
            <w:tcW w:w="710" w:type="dxa"/>
            <w:gridSpan w:val="2"/>
            <w:noWrap w:val="0"/>
            <w:vAlign w:val="center"/>
          </w:tcPr>
          <w:p w14:paraId="4E960D00">
            <w:pPr>
              <w:jc w:val="both"/>
              <w:rPr>
                <w:highlight w:val="none"/>
                <w:vertAlign w:val="baseline"/>
              </w:rPr>
            </w:pPr>
          </w:p>
        </w:tc>
      </w:tr>
      <w:tr w14:paraId="7F61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38C243">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6EC2F929">
            <w:pPr>
              <w:jc w:val="center"/>
              <w:rPr>
                <w:rFonts w:hint="eastAsia"/>
                <w:highlight w:val="none"/>
                <w:vertAlign w:val="baseline"/>
              </w:rPr>
            </w:pPr>
            <w:r>
              <w:rPr>
                <w:rFonts w:hint="eastAsia"/>
                <w:highlight w:val="none"/>
                <w:vertAlign w:val="baseline"/>
              </w:rPr>
              <w:t>通风柜</w:t>
            </w:r>
          </w:p>
        </w:tc>
        <w:tc>
          <w:tcPr>
            <w:tcW w:w="5928" w:type="dxa"/>
            <w:noWrap w:val="0"/>
            <w:vAlign w:val="center"/>
          </w:tcPr>
          <w:p w14:paraId="2CF6ADD9">
            <w:pPr>
              <w:jc w:val="left"/>
              <w:rPr>
                <w:rFonts w:hint="eastAsia"/>
                <w:highlight w:val="none"/>
                <w:vertAlign w:val="baseline"/>
              </w:rPr>
            </w:pPr>
            <w:r>
              <w:rPr>
                <w:rFonts w:hint="eastAsia"/>
                <w:highlight w:val="none"/>
                <w:vertAlign w:val="baseline"/>
              </w:rPr>
              <w:t>≥1500*850*2350mmT1型通风柜主体全钢1.0～1.2mm厚钢板均可生产，表面环氧树脂粉末静电喷涂，高温固化，耐腐蚀，防酸碱。内衬板、导流板5mm厚抗倍特板，门玻璃5mm厚钢化玻璃，PP一字拉手，玻璃两侧PP夹条包裹。台面12.7mm厚（国产）实芯理化板台面。水路单口七字水龙头（桌面式）或摇控水阀电路液晶控制面板，10A多功能五孔插座或16A三孔插座，LED灯。配件110度普通铰链，地脚10mm大尼龙可调地脚。</w:t>
            </w:r>
          </w:p>
        </w:tc>
        <w:tc>
          <w:tcPr>
            <w:tcW w:w="736" w:type="dxa"/>
            <w:noWrap w:val="0"/>
            <w:vAlign w:val="center"/>
          </w:tcPr>
          <w:p w14:paraId="54ABEF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34" w:type="dxa"/>
            <w:noWrap w:val="0"/>
            <w:vAlign w:val="center"/>
          </w:tcPr>
          <w:p w14:paraId="1F2CB5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3396" w:type="dxa"/>
            <w:gridSpan w:val="2"/>
            <w:noWrap w:val="0"/>
            <w:vAlign w:val="center"/>
          </w:tcPr>
          <w:p w14:paraId="44232B89">
            <w:pPr>
              <w:jc w:val="center"/>
              <w:rPr>
                <w:highlight w:val="none"/>
              </w:rPr>
            </w:pPr>
            <w:r>
              <w:rPr>
                <w:highlight w:val="none"/>
              </w:rPr>
              <w:drawing>
                <wp:inline distT="0" distB="0" distL="114300" distR="114300">
                  <wp:extent cx="734695" cy="970280"/>
                  <wp:effectExtent l="0" t="0" r="1905" b="7620"/>
                  <wp:docPr id="66" name="图片 42" descr="~6%3Z5~)QKOA{{2QV_F[Q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descr="~6%3Z5~)QKOA{{2QV_F[QGH"/>
                          <pic:cNvPicPr>
                            <a:picLocks noChangeAspect="1"/>
                          </pic:cNvPicPr>
                        </pic:nvPicPr>
                        <pic:blipFill>
                          <a:blip r:embed="rId50"/>
                          <a:stretch>
                            <a:fillRect/>
                          </a:stretch>
                        </pic:blipFill>
                        <pic:spPr>
                          <a:xfrm>
                            <a:off x="0" y="0"/>
                            <a:ext cx="734695" cy="970280"/>
                          </a:xfrm>
                          <a:prstGeom prst="rect">
                            <a:avLst/>
                          </a:prstGeom>
                          <a:noFill/>
                          <a:ln>
                            <a:noFill/>
                          </a:ln>
                        </pic:spPr>
                      </pic:pic>
                    </a:graphicData>
                  </a:graphic>
                </wp:inline>
              </w:drawing>
            </w:r>
          </w:p>
        </w:tc>
        <w:tc>
          <w:tcPr>
            <w:tcW w:w="710" w:type="dxa"/>
            <w:gridSpan w:val="2"/>
            <w:noWrap w:val="0"/>
            <w:vAlign w:val="center"/>
          </w:tcPr>
          <w:p w14:paraId="406926A5">
            <w:pPr>
              <w:jc w:val="both"/>
              <w:rPr>
                <w:highlight w:val="none"/>
                <w:vertAlign w:val="baseline"/>
              </w:rPr>
            </w:pPr>
          </w:p>
        </w:tc>
      </w:tr>
      <w:tr w14:paraId="73DC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085357">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17BABDA0">
            <w:pPr>
              <w:jc w:val="center"/>
              <w:rPr>
                <w:rFonts w:hint="eastAsia"/>
                <w:highlight w:val="none"/>
                <w:vertAlign w:val="baseline"/>
              </w:rPr>
            </w:pPr>
            <w:r>
              <w:rPr>
                <w:rFonts w:hint="eastAsia"/>
                <w:highlight w:val="none"/>
                <w:vertAlign w:val="baseline"/>
              </w:rPr>
              <w:t>药品柜</w:t>
            </w:r>
          </w:p>
        </w:tc>
        <w:tc>
          <w:tcPr>
            <w:tcW w:w="5928" w:type="dxa"/>
            <w:noWrap w:val="0"/>
            <w:vAlign w:val="center"/>
          </w:tcPr>
          <w:p w14:paraId="27FABA7D">
            <w:pPr>
              <w:jc w:val="left"/>
              <w:rPr>
                <w:rFonts w:hint="eastAsia"/>
                <w:highlight w:val="none"/>
                <w:vertAlign w:val="baseline"/>
              </w:rPr>
            </w:pPr>
            <w:r>
              <w:rPr>
                <w:rFonts w:hint="eastAsia"/>
                <w:highlight w:val="none"/>
                <w:vertAlign w:val="baseline"/>
              </w:rPr>
              <w:t>规格：≥1000×500×2000mm</w:t>
            </w:r>
          </w:p>
          <w:p w14:paraId="5FE73265">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3BB2C52F">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583F3BB8">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5807F805">
            <w:pPr>
              <w:jc w:val="left"/>
              <w:rPr>
                <w:rFonts w:hint="eastAsia"/>
                <w:highlight w:val="none"/>
                <w:vertAlign w:val="baseline"/>
              </w:rPr>
            </w:pPr>
            <w:r>
              <w:rPr>
                <w:rFonts w:hint="eastAsia"/>
                <w:highlight w:val="none"/>
                <w:vertAlign w:val="baseline"/>
              </w:rPr>
              <w:t>4、层板：上柜配置阶梯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5104A4DF">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3EE2D1A2">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4B7F421B">
            <w:pPr>
              <w:jc w:val="left"/>
              <w:rPr>
                <w:rFonts w:hint="eastAsia"/>
                <w:highlight w:val="none"/>
                <w:vertAlign w:val="baseline"/>
              </w:rPr>
            </w:pPr>
            <w:r>
              <w:rPr>
                <w:rFonts w:hint="eastAsia"/>
                <w:highlight w:val="none"/>
                <w:vertAlign w:val="baseline"/>
              </w:rPr>
              <w:t>7、螺丝：不锈钢304材质。</w:t>
            </w:r>
          </w:p>
          <w:p w14:paraId="64F8994E">
            <w:pPr>
              <w:jc w:val="left"/>
              <w:rPr>
                <w:rFonts w:hint="eastAsia"/>
                <w:highlight w:val="none"/>
                <w:vertAlign w:val="baseline"/>
              </w:rPr>
            </w:pPr>
            <w:r>
              <w:rPr>
                <w:rFonts w:hint="eastAsia"/>
                <w:highlight w:val="none"/>
                <w:vertAlign w:val="baseline"/>
              </w:rPr>
              <w:t>备注：可以用于各种腐蚀性化学品的储藏，如硫酸、盐酸、硝酸、乙酸、硫磺酸等。</w:t>
            </w:r>
          </w:p>
        </w:tc>
        <w:tc>
          <w:tcPr>
            <w:tcW w:w="736" w:type="dxa"/>
            <w:noWrap w:val="0"/>
            <w:vAlign w:val="center"/>
          </w:tcPr>
          <w:p w14:paraId="3539FB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834" w:type="dxa"/>
            <w:noWrap w:val="0"/>
            <w:vAlign w:val="center"/>
          </w:tcPr>
          <w:p w14:paraId="051F3A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3396" w:type="dxa"/>
            <w:gridSpan w:val="2"/>
            <w:noWrap w:val="0"/>
            <w:vAlign w:val="center"/>
          </w:tcPr>
          <w:p w14:paraId="12A5F1BE">
            <w:pPr>
              <w:jc w:val="center"/>
              <w:rPr>
                <w:highlight w:val="none"/>
              </w:rPr>
            </w:pPr>
            <w:r>
              <w:rPr>
                <w:highlight w:val="none"/>
              </w:rPr>
              <w:drawing>
                <wp:inline distT="0" distB="0" distL="114300" distR="114300">
                  <wp:extent cx="1697355" cy="2538730"/>
                  <wp:effectExtent l="0" t="0" r="4445" b="1270"/>
                  <wp:docPr id="5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3"/>
                          <pic:cNvPicPr>
                            <a:picLocks noChangeAspect="1"/>
                          </pic:cNvPicPr>
                        </pic:nvPicPr>
                        <pic:blipFill>
                          <a:blip r:embed="rId37"/>
                          <a:stretch>
                            <a:fillRect/>
                          </a:stretch>
                        </pic:blipFill>
                        <pic:spPr>
                          <a:xfrm>
                            <a:off x="0" y="0"/>
                            <a:ext cx="1697355" cy="2538730"/>
                          </a:xfrm>
                          <a:prstGeom prst="rect">
                            <a:avLst/>
                          </a:prstGeom>
                          <a:noFill/>
                          <a:ln>
                            <a:noFill/>
                          </a:ln>
                        </pic:spPr>
                      </pic:pic>
                    </a:graphicData>
                  </a:graphic>
                </wp:inline>
              </w:drawing>
            </w:r>
          </w:p>
        </w:tc>
        <w:tc>
          <w:tcPr>
            <w:tcW w:w="710" w:type="dxa"/>
            <w:gridSpan w:val="2"/>
            <w:noWrap w:val="0"/>
            <w:vAlign w:val="center"/>
          </w:tcPr>
          <w:p w14:paraId="79EF8469">
            <w:pPr>
              <w:jc w:val="both"/>
              <w:rPr>
                <w:highlight w:val="none"/>
                <w:vertAlign w:val="baseline"/>
              </w:rPr>
            </w:pPr>
          </w:p>
        </w:tc>
      </w:tr>
      <w:tr w14:paraId="1CDA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4189" w:type="dxa"/>
            <w:gridSpan w:val="9"/>
            <w:noWrap w:val="0"/>
            <w:vAlign w:val="center"/>
          </w:tcPr>
          <w:p w14:paraId="3126CFE8">
            <w:pPr>
              <w:jc w:val="both"/>
              <w:rPr>
                <w:highlight w:val="none"/>
                <w:vertAlign w:val="baseline"/>
              </w:rPr>
            </w:pPr>
            <w:r>
              <w:rPr>
                <w:rFonts w:hint="eastAsia"/>
                <w:b/>
                <w:bCs/>
                <w:sz w:val="30"/>
                <w:szCs w:val="30"/>
                <w:highlight w:val="none"/>
                <w:vertAlign w:val="baseline"/>
              </w:rPr>
              <w:t>二、通风设备</w:t>
            </w:r>
          </w:p>
        </w:tc>
      </w:tr>
      <w:tr w14:paraId="0B5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4A10D0">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3D18DC97">
            <w:pPr>
              <w:jc w:val="center"/>
              <w:rPr>
                <w:rFonts w:hint="eastAsia"/>
                <w:highlight w:val="none"/>
                <w:vertAlign w:val="baseline"/>
              </w:rPr>
            </w:pPr>
            <w:r>
              <w:rPr>
                <w:rFonts w:hint="eastAsia"/>
                <w:highlight w:val="none"/>
                <w:vertAlign w:val="baseline"/>
              </w:rPr>
              <w:t>轴流风机</w:t>
            </w:r>
          </w:p>
        </w:tc>
        <w:tc>
          <w:tcPr>
            <w:tcW w:w="5928" w:type="dxa"/>
            <w:noWrap w:val="0"/>
            <w:vAlign w:val="center"/>
          </w:tcPr>
          <w:p w14:paraId="59F881DA">
            <w:pPr>
              <w:jc w:val="left"/>
              <w:rPr>
                <w:rFonts w:hint="eastAsia"/>
                <w:highlight w:val="none"/>
                <w:vertAlign w:val="baseline"/>
              </w:rPr>
            </w:pPr>
            <w:r>
              <w:rPr>
                <w:rFonts w:hint="eastAsia"/>
                <w:highlight w:val="none"/>
                <w:vertAlign w:val="baseline"/>
              </w:rPr>
              <w:t>110W轴流风机</w:t>
            </w:r>
          </w:p>
        </w:tc>
        <w:tc>
          <w:tcPr>
            <w:tcW w:w="736" w:type="dxa"/>
            <w:noWrap w:val="0"/>
            <w:vAlign w:val="center"/>
          </w:tcPr>
          <w:p w14:paraId="6ABFBD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34" w:type="dxa"/>
            <w:noWrap w:val="0"/>
            <w:vAlign w:val="center"/>
          </w:tcPr>
          <w:p w14:paraId="09C6EE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3396" w:type="dxa"/>
            <w:gridSpan w:val="2"/>
            <w:noWrap w:val="0"/>
            <w:vAlign w:val="center"/>
          </w:tcPr>
          <w:p w14:paraId="06FC4244">
            <w:pPr>
              <w:jc w:val="center"/>
              <w:rPr>
                <w:highlight w:val="none"/>
              </w:rPr>
            </w:pPr>
          </w:p>
        </w:tc>
        <w:tc>
          <w:tcPr>
            <w:tcW w:w="710" w:type="dxa"/>
            <w:gridSpan w:val="2"/>
            <w:noWrap w:val="0"/>
            <w:vAlign w:val="center"/>
          </w:tcPr>
          <w:p w14:paraId="0A7B55F8">
            <w:pPr>
              <w:jc w:val="both"/>
              <w:rPr>
                <w:highlight w:val="none"/>
                <w:vertAlign w:val="baseline"/>
              </w:rPr>
            </w:pPr>
          </w:p>
        </w:tc>
      </w:tr>
      <w:tr w14:paraId="5555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0E76BE">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53B8AE9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t>电源布线耗材</w:t>
            </w:r>
          </w:p>
        </w:tc>
        <w:tc>
          <w:tcPr>
            <w:tcW w:w="5928" w:type="dxa"/>
            <w:noWrap w:val="0"/>
            <w:vAlign w:val="center"/>
          </w:tcPr>
          <w:p w14:paraId="2A6ECC1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t>地面以上连接线外部配有防火耐高温套管。</w:t>
            </w:r>
          </w:p>
        </w:tc>
        <w:tc>
          <w:tcPr>
            <w:tcW w:w="736" w:type="dxa"/>
            <w:noWrap w:val="0"/>
            <w:vAlign w:val="center"/>
          </w:tcPr>
          <w:p w14:paraId="19CC45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34" w:type="dxa"/>
            <w:noWrap w:val="0"/>
            <w:vAlign w:val="center"/>
          </w:tcPr>
          <w:p w14:paraId="62983AF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室</w:t>
            </w:r>
          </w:p>
        </w:tc>
        <w:tc>
          <w:tcPr>
            <w:tcW w:w="3396" w:type="dxa"/>
            <w:gridSpan w:val="2"/>
            <w:noWrap w:val="0"/>
            <w:vAlign w:val="center"/>
          </w:tcPr>
          <w:p w14:paraId="0B9025A9">
            <w:pPr>
              <w:jc w:val="center"/>
              <w:rPr>
                <w:highlight w:val="none"/>
              </w:rPr>
            </w:pPr>
          </w:p>
        </w:tc>
        <w:tc>
          <w:tcPr>
            <w:tcW w:w="710" w:type="dxa"/>
            <w:gridSpan w:val="2"/>
            <w:noWrap w:val="0"/>
            <w:vAlign w:val="center"/>
          </w:tcPr>
          <w:p w14:paraId="1FEB2656">
            <w:pPr>
              <w:jc w:val="both"/>
              <w:rPr>
                <w:highlight w:val="none"/>
                <w:vertAlign w:val="baseline"/>
              </w:rPr>
            </w:pPr>
          </w:p>
        </w:tc>
      </w:tr>
      <w:tr w14:paraId="443F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E86CEC">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63B3772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t>通风管道</w:t>
            </w:r>
          </w:p>
        </w:tc>
        <w:tc>
          <w:tcPr>
            <w:tcW w:w="5928" w:type="dxa"/>
            <w:noWrap w:val="0"/>
            <w:vAlign w:val="center"/>
          </w:tcPr>
          <w:p w14:paraId="2B32643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t>1、主通风管规格：采用φ200mm的PVC成品管道；</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2、支管道规格：采用φ110mm的PVC成品管道（实际管径视现场情况需适当调整）；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3、管道配件：管道三通、弯头、变径、直接。</w:t>
            </w:r>
          </w:p>
        </w:tc>
        <w:tc>
          <w:tcPr>
            <w:tcW w:w="736" w:type="dxa"/>
            <w:noWrap w:val="0"/>
            <w:vAlign w:val="center"/>
          </w:tcPr>
          <w:p w14:paraId="15D1E4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34" w:type="dxa"/>
            <w:noWrap w:val="0"/>
            <w:vAlign w:val="center"/>
          </w:tcPr>
          <w:p w14:paraId="4FA9A1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3396" w:type="dxa"/>
            <w:gridSpan w:val="2"/>
            <w:noWrap w:val="0"/>
            <w:vAlign w:val="center"/>
          </w:tcPr>
          <w:p w14:paraId="775B5602">
            <w:pPr>
              <w:jc w:val="center"/>
              <w:rPr>
                <w:highlight w:val="none"/>
              </w:rPr>
            </w:pPr>
          </w:p>
        </w:tc>
        <w:tc>
          <w:tcPr>
            <w:tcW w:w="710" w:type="dxa"/>
            <w:gridSpan w:val="2"/>
            <w:noWrap w:val="0"/>
            <w:vAlign w:val="center"/>
          </w:tcPr>
          <w:p w14:paraId="45EC9EC3">
            <w:pPr>
              <w:jc w:val="both"/>
              <w:rPr>
                <w:highlight w:val="none"/>
                <w:vertAlign w:val="baseline"/>
              </w:rPr>
            </w:pPr>
          </w:p>
        </w:tc>
      </w:tr>
      <w:tr w14:paraId="188A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0B1085">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7EFC030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t>安装及调试</w:t>
            </w:r>
          </w:p>
        </w:tc>
        <w:tc>
          <w:tcPr>
            <w:tcW w:w="5928" w:type="dxa"/>
            <w:noWrap w:val="0"/>
            <w:vAlign w:val="center"/>
          </w:tcPr>
          <w:p w14:paraId="65A0405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t>设备安装及调试。</w:t>
            </w:r>
          </w:p>
        </w:tc>
        <w:tc>
          <w:tcPr>
            <w:tcW w:w="736" w:type="dxa"/>
            <w:noWrap w:val="0"/>
            <w:vAlign w:val="center"/>
          </w:tcPr>
          <w:p w14:paraId="1FFC0C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34" w:type="dxa"/>
            <w:noWrap w:val="0"/>
            <w:vAlign w:val="center"/>
          </w:tcPr>
          <w:p w14:paraId="7117D8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室</w:t>
            </w:r>
          </w:p>
        </w:tc>
        <w:tc>
          <w:tcPr>
            <w:tcW w:w="3396" w:type="dxa"/>
            <w:gridSpan w:val="2"/>
            <w:noWrap w:val="0"/>
            <w:vAlign w:val="center"/>
          </w:tcPr>
          <w:p w14:paraId="34E9F298">
            <w:pPr>
              <w:jc w:val="center"/>
              <w:rPr>
                <w:highlight w:val="none"/>
              </w:rPr>
            </w:pPr>
          </w:p>
        </w:tc>
        <w:tc>
          <w:tcPr>
            <w:tcW w:w="710" w:type="dxa"/>
            <w:gridSpan w:val="2"/>
            <w:noWrap w:val="0"/>
            <w:vAlign w:val="center"/>
          </w:tcPr>
          <w:p w14:paraId="2E1249E1">
            <w:pPr>
              <w:jc w:val="both"/>
              <w:rPr>
                <w:highlight w:val="none"/>
                <w:vertAlign w:val="baseline"/>
              </w:rPr>
            </w:pPr>
          </w:p>
        </w:tc>
      </w:tr>
      <w:tr w14:paraId="5E31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4189" w:type="dxa"/>
            <w:gridSpan w:val="9"/>
            <w:noWrap w:val="0"/>
            <w:vAlign w:val="center"/>
          </w:tcPr>
          <w:p w14:paraId="3AC8A6B8">
            <w:pPr>
              <w:jc w:val="center"/>
              <w:rPr>
                <w:highlight w:val="none"/>
                <w:vertAlign w:val="baseline"/>
              </w:rPr>
            </w:pPr>
            <w:r>
              <w:rPr>
                <w:rFonts w:hint="eastAsia"/>
                <w:b/>
                <w:bCs/>
                <w:sz w:val="36"/>
                <w:szCs w:val="36"/>
                <w:highlight w:val="none"/>
                <w:vertAlign w:val="baseline"/>
              </w:rPr>
              <w:t>生物实验室</w:t>
            </w:r>
          </w:p>
        </w:tc>
      </w:tr>
      <w:tr w14:paraId="2B9E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895" w:type="dxa"/>
            <w:noWrap w:val="0"/>
            <w:vAlign w:val="center"/>
          </w:tcPr>
          <w:p w14:paraId="41FED94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4934BA6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1635EBC2">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011EA9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5FE68D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4FE9A9A9">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24C6D581">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6D96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189" w:type="dxa"/>
            <w:gridSpan w:val="9"/>
            <w:noWrap w:val="0"/>
            <w:vAlign w:val="center"/>
          </w:tcPr>
          <w:p w14:paraId="7E770CE7">
            <w:pPr>
              <w:jc w:val="both"/>
              <w:rPr>
                <w:highlight w:val="none"/>
                <w:vertAlign w:val="baseline"/>
              </w:rPr>
            </w:pPr>
            <w:r>
              <w:rPr>
                <w:rFonts w:hint="eastAsia"/>
                <w:b/>
                <w:bCs/>
                <w:sz w:val="30"/>
                <w:szCs w:val="30"/>
                <w:highlight w:val="none"/>
                <w:vertAlign w:val="baseline"/>
              </w:rPr>
              <w:t>一、教师控制演示区</w:t>
            </w:r>
          </w:p>
        </w:tc>
      </w:tr>
      <w:tr w14:paraId="4850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531DB3">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7BD5C814">
            <w:pPr>
              <w:jc w:val="center"/>
              <w:rPr>
                <w:rFonts w:hint="eastAsia"/>
                <w:highlight w:val="none"/>
                <w:vertAlign w:val="baseline"/>
              </w:rPr>
            </w:pPr>
            <w:r>
              <w:rPr>
                <w:rFonts w:hint="eastAsia"/>
                <w:highlight w:val="none"/>
                <w:vertAlign w:val="baseline"/>
              </w:rPr>
              <w:t>86英寸</w:t>
            </w:r>
            <w:r>
              <w:rPr>
                <w:rFonts w:hint="eastAsia"/>
                <w:highlight w:val="none"/>
                <w:vertAlign w:val="baseline"/>
                <w:lang w:val="en-US" w:eastAsia="zh-CN"/>
              </w:rPr>
              <w:t>教学交互智能互联平板</w:t>
            </w:r>
          </w:p>
        </w:tc>
        <w:tc>
          <w:tcPr>
            <w:tcW w:w="5928" w:type="dxa"/>
            <w:shd w:val="clear" w:color="auto" w:fill="auto"/>
            <w:noWrap w:val="0"/>
            <w:vAlign w:val="top"/>
          </w:tcPr>
          <w:p w14:paraId="5E155902">
            <w:pPr>
              <w:rPr>
                <w:rFonts w:hint="eastAsia"/>
                <w:highlight w:val="none"/>
              </w:rPr>
            </w:pPr>
            <w:r>
              <w:rPr>
                <w:rFonts w:hint="eastAsia"/>
                <w:highlight w:val="none"/>
              </w:rPr>
              <w:t>一、教师教研集体备课</w:t>
            </w:r>
          </w:p>
          <w:p w14:paraId="1A488B32">
            <w:pPr>
              <w:rPr>
                <w:rFonts w:hint="eastAsia"/>
                <w:highlight w:val="none"/>
              </w:rPr>
            </w:pPr>
            <w:r>
              <w:rPr>
                <w:rFonts w:hint="eastAsia"/>
                <w:highlight w:val="none"/>
              </w:rPr>
              <w:t>▲1、校本资源库：支持实现校本资源共建共享。</w:t>
            </w:r>
          </w:p>
          <w:p w14:paraId="18B60FD6">
            <w:pPr>
              <w:rPr>
                <w:rFonts w:hint="eastAsia"/>
                <w:highlight w:val="none"/>
              </w:rPr>
            </w:pPr>
            <w:r>
              <w:rPr>
                <w:rFonts w:hint="eastAsia"/>
                <w:highlight w:val="none"/>
              </w:rPr>
              <w:t>①资源上传：支持上传课件、教案、胶囊及多媒体文件，其中多媒体资源类型与格式包括：文档：doc、docx、pdf、ppt、pptx、xlsx、xls；图片：bmp、jpg、png、jpeg、gif；视频：mp4、webm；音频：wav、mp3、ogg；</w:t>
            </w:r>
          </w:p>
          <w:p w14:paraId="0396BC5E">
            <w:pPr>
              <w:rPr>
                <w:rFonts w:hint="eastAsia"/>
                <w:highlight w:val="none"/>
              </w:rPr>
            </w:pPr>
            <w:r>
              <w:rPr>
                <w:rFonts w:hint="eastAsia"/>
                <w:highlight w:val="none"/>
              </w:rPr>
              <w:t>②批量上传：支持课件、教案、胶囊以文件夹的形式批量上传。</w:t>
            </w:r>
          </w:p>
          <w:p w14:paraId="5817240F">
            <w:pPr>
              <w:rPr>
                <w:rFonts w:hint="eastAsia"/>
                <w:highlight w:val="none"/>
              </w:rPr>
            </w:pPr>
            <w:r>
              <w:rPr>
                <w:rFonts w:hint="eastAsia"/>
                <w:highlight w:val="none"/>
              </w:rPr>
              <w:t>③资源搜索：支持树形结构目录，可进行资源分类及查找，支持全局资源搜索，按年级、学科筛选资源，支持查找资源后定位到当前资源文件夹。</w:t>
            </w:r>
          </w:p>
          <w:p w14:paraId="295D708B">
            <w:pPr>
              <w:rPr>
                <w:rFonts w:hint="eastAsia"/>
                <w:highlight w:val="none"/>
              </w:rPr>
            </w:pPr>
            <w:r>
              <w:rPr>
                <w:rFonts w:hint="eastAsia"/>
                <w:highlight w:val="none"/>
              </w:rPr>
              <w:t>④查看及预览：支持查看资源文件夹的创建者，资源的上传作者，更新时间数据。校本资源支持在线预览。支持切换列表模式/宫格模式查看资源。</w:t>
            </w:r>
          </w:p>
          <w:p w14:paraId="5778BDAD">
            <w:pPr>
              <w:rPr>
                <w:rFonts w:hint="eastAsia"/>
                <w:highlight w:val="none"/>
              </w:rPr>
            </w:pPr>
            <w:r>
              <w:rPr>
                <w:rFonts w:hint="eastAsia"/>
                <w:highlight w:val="none"/>
              </w:rPr>
              <w:t>⑤资源管理：支持教师对本人上传的校本资源进行分类移动，删除或重命名。</w:t>
            </w:r>
          </w:p>
          <w:p w14:paraId="5E36FEF3">
            <w:pPr>
              <w:rPr>
                <w:rFonts w:hint="eastAsia"/>
                <w:highlight w:val="none"/>
              </w:rPr>
            </w:pPr>
            <w:r>
              <w:rPr>
                <w:rFonts w:hint="eastAsia"/>
                <w:highlight w:val="none"/>
              </w:rPr>
              <w:t>⑥备课应用：在交互式备授课软件中，支持获取校本多媒体资源到本地查看，也可选择插入校本资源库中的多媒体资源，实现校内资源的共建共享。</w:t>
            </w:r>
          </w:p>
          <w:p w14:paraId="58744BE7">
            <w:pPr>
              <w:rPr>
                <w:rFonts w:hint="eastAsia"/>
                <w:highlight w:val="none"/>
              </w:rPr>
            </w:pPr>
            <w:r>
              <w:rPr>
                <w:rFonts w:hint="eastAsia"/>
                <w:highlight w:val="none"/>
              </w:rPr>
              <w:t>▲2、集体备课：支持实现信息化集体备课。</w:t>
            </w:r>
          </w:p>
          <w:p w14:paraId="6D7AE70A">
            <w:pPr>
              <w:rPr>
                <w:rFonts w:hint="eastAsia"/>
                <w:highlight w:val="none"/>
              </w:rPr>
            </w:pPr>
            <w:r>
              <w:rPr>
                <w:rFonts w:hint="eastAsia"/>
                <w:highlight w:val="none"/>
              </w:rPr>
              <w:t>①发起集备：支持选择教案、课件、胶囊资源上传发起集备研讨，支持设置多重访问权限，通过手机号搜索即可邀请外校老师，可用于跨校教研场景。</w:t>
            </w:r>
          </w:p>
          <w:p w14:paraId="0A9707D2">
            <w:pPr>
              <w:rPr>
                <w:rFonts w:hint="eastAsia"/>
                <w:highlight w:val="none"/>
              </w:rPr>
            </w:pPr>
            <w:r>
              <w:rPr>
                <w:rFonts w:hint="eastAsia"/>
                <w:highlight w:val="none"/>
              </w:rPr>
              <w:t>②进入集备：支持搜索集备名称/老师昵称、或按照学科/学段/年级/教材章节、我参与的/我发起的几个维度进行筛选查看，支持电脑端进入集备页面。</w:t>
            </w:r>
          </w:p>
          <w:p w14:paraId="5483E3CC">
            <w:pPr>
              <w:rPr>
                <w:rFonts w:hint="eastAsia"/>
                <w:highlight w:val="none"/>
              </w:rPr>
            </w:pPr>
            <w:r>
              <w:rPr>
                <w:rFonts w:hint="eastAsia"/>
                <w:highlight w:val="none"/>
              </w:rPr>
              <w:t>③集备研讨：参备人可通过评论区发表观点，可对他人评论的观点进行点赞，评论消息支持实时提醒，支持图片的上传。</w:t>
            </w:r>
          </w:p>
          <w:p w14:paraId="33F47F47">
            <w:pPr>
              <w:rPr>
                <w:rFonts w:hint="eastAsia"/>
                <w:highlight w:val="none"/>
              </w:rPr>
            </w:pPr>
            <w:r>
              <w:rPr>
                <w:rFonts w:hint="eastAsia"/>
                <w:highlight w:val="none"/>
              </w:rPr>
              <w:t>④在线批注：参备人在可在线对教案进行随文式批注，追加批注，回复以及查看实时批注消息。支持对课件进行打点式批注，可通过批注定位研讨内容，完成协同备课。</w:t>
            </w:r>
          </w:p>
          <w:p w14:paraId="4BD7854D">
            <w:pPr>
              <w:rPr>
                <w:rFonts w:hint="eastAsia"/>
                <w:highlight w:val="none"/>
              </w:rPr>
            </w:pPr>
            <w:r>
              <w:rPr>
                <w:rFonts w:hint="eastAsia"/>
                <w:highlight w:val="none"/>
              </w:rPr>
              <w:t>⑤稿件编辑：完成本次研讨后，主备人可直接进入编辑页面编辑课件/教案，发布新稿件后，备课组进入下一轮研讨，更新稿件后会给参备老师同步教研动态。</w:t>
            </w:r>
          </w:p>
          <w:p w14:paraId="5CD9FC63">
            <w:pPr>
              <w:rPr>
                <w:rFonts w:hint="eastAsia"/>
                <w:highlight w:val="none"/>
              </w:rPr>
            </w:pPr>
            <w:r>
              <w:rPr>
                <w:rFonts w:hint="eastAsia"/>
                <w:highlight w:val="none"/>
              </w:rPr>
              <w:t>⑥稿件对比：可对集备中多稿的课件/教案/胶囊进行内容的横向对比，支持批注研讨过程数据对比回溯；</w:t>
            </w:r>
          </w:p>
          <w:p w14:paraId="5602304E">
            <w:pPr>
              <w:rPr>
                <w:rFonts w:hint="eastAsia"/>
                <w:highlight w:val="none"/>
              </w:rPr>
            </w:pPr>
            <w:r>
              <w:rPr>
                <w:rFonts w:hint="eastAsia"/>
                <w:highlight w:val="none"/>
              </w:rPr>
              <w:t>⑦获取稿件：参备成员可以随时获取和下载每一稿中的集备稿件到云课件，进行编辑或引用。</w:t>
            </w:r>
          </w:p>
          <w:p w14:paraId="71470386">
            <w:pPr>
              <w:rPr>
                <w:rFonts w:hint="eastAsia"/>
                <w:highlight w:val="none"/>
              </w:rPr>
            </w:pPr>
            <w:r>
              <w:rPr>
                <w:rFonts w:hint="eastAsia"/>
                <w:highlight w:val="none"/>
              </w:rPr>
              <w:t>⑧完成集备：完成研讨后，可生成集体备课报告。集备终稿会自动上传到校本资源库，主备人可自定义上传目录，参备人可前往校本资源库获取集备终稿。</w:t>
            </w:r>
          </w:p>
          <w:p w14:paraId="1D07306D">
            <w:pPr>
              <w:rPr>
                <w:rFonts w:hint="eastAsia"/>
                <w:highlight w:val="none"/>
              </w:rPr>
            </w:pPr>
            <w:r>
              <w:rPr>
                <w:rFonts w:hint="eastAsia"/>
                <w:highlight w:val="none"/>
              </w:rPr>
              <w:t>⑨生成集备报告：支持生成集备报告，报告生成后，参备人可查看具体报告内容和下载集备报告。报告内包含集备信息、数据统计、研讨记录的具体内容。</w:t>
            </w:r>
          </w:p>
          <w:p w14:paraId="1B624586">
            <w:pPr>
              <w:rPr>
                <w:rFonts w:hint="eastAsia"/>
                <w:highlight w:val="none"/>
              </w:rPr>
            </w:pPr>
            <w:r>
              <w:rPr>
                <w:rFonts w:hint="eastAsia"/>
                <w:highlight w:val="none"/>
              </w:rPr>
              <w:t>⑩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p w14:paraId="19ED8D0C">
            <w:pPr>
              <w:rPr>
                <w:rFonts w:hint="eastAsia"/>
                <w:highlight w:val="none"/>
              </w:rPr>
            </w:pPr>
            <w:r>
              <w:rPr>
                <w:rFonts w:hint="eastAsia"/>
                <w:highlight w:val="none"/>
              </w:rPr>
              <w:t>⑪集备妙记：支持语音及视频会议记录，为音视频回放自动生成字幕，对音视频研讨过程中的关键词和对话进行智能提炼，支持倍速播放，回溯研讨内容。</w:t>
            </w:r>
          </w:p>
          <w:p w14:paraId="105E5DBA">
            <w:pPr>
              <w:rPr>
                <w:rFonts w:hint="eastAsia"/>
                <w:highlight w:val="none"/>
              </w:rPr>
            </w:pPr>
            <w:r>
              <w:rPr>
                <w:rFonts w:hint="eastAsia"/>
                <w:highlight w:val="none"/>
              </w:rPr>
              <w:t>▲3、集体备课混合教研模式：支持在授课模式下，使用交互式智能平板快速发起集体备课，开展即时的线下交流研讨，支持在线完成活动签到、资源共享，对整个线下研讨的过程进行记录。</w:t>
            </w:r>
          </w:p>
          <w:p w14:paraId="3F4AC2AF">
            <w:pPr>
              <w:rPr>
                <w:rFonts w:hint="eastAsia"/>
                <w:highlight w:val="none"/>
              </w:rPr>
            </w:pPr>
            <w:r>
              <w:rPr>
                <w:rFonts w:hint="eastAsia"/>
                <w:highlight w:val="none"/>
              </w:rPr>
              <w:t>①大屏模式：通过集体备课列表，在已发起的集备项目中支持大屏模式，开启线下研讨。</w:t>
            </w:r>
          </w:p>
          <w:p w14:paraId="6E26FF15">
            <w:pPr>
              <w:rPr>
                <w:rFonts w:hint="eastAsia"/>
                <w:highlight w:val="none"/>
              </w:rPr>
            </w:pPr>
            <w:r>
              <w:rPr>
                <w:rFonts w:hint="eastAsia"/>
                <w:highlight w:val="none"/>
              </w:rPr>
              <w:t>②共享资源：主备老师支持现场上传文件（包括课件、教案、胶囊和多媒体资源）用于研讨，参备老师也可通过扫码上传需要的资源文件，即时与教师们开展研讨。</w:t>
            </w:r>
          </w:p>
          <w:p w14:paraId="679F9142">
            <w:pPr>
              <w:rPr>
                <w:rFonts w:hint="eastAsia"/>
                <w:highlight w:val="none"/>
              </w:rPr>
            </w:pPr>
            <w:r>
              <w:rPr>
                <w:rFonts w:hint="eastAsia"/>
                <w:highlight w:val="none"/>
              </w:rPr>
              <w:t>③设置签到：在集体备课研讨前主备老师可以设置签到环节，选择签到时长，现场的老师扫码即可完成签到。</w:t>
            </w:r>
          </w:p>
          <w:p w14:paraId="2E543542">
            <w:pPr>
              <w:rPr>
                <w:rFonts w:hint="eastAsia"/>
                <w:highlight w:val="none"/>
              </w:rPr>
            </w:pPr>
            <w:r>
              <w:rPr>
                <w:rFonts w:hint="eastAsia"/>
                <w:highlight w:val="none"/>
              </w:rPr>
              <w:t>④调取黑板：支持调用黑板应用，老师现场完成板书/讨论。</w:t>
            </w:r>
          </w:p>
          <w:p w14:paraId="476643B7">
            <w:pPr>
              <w:rPr>
                <w:rFonts w:hint="eastAsia"/>
                <w:highlight w:val="none"/>
              </w:rPr>
            </w:pPr>
            <w:r>
              <w:rPr>
                <w:rFonts w:hint="eastAsia"/>
                <w:highlight w:val="none"/>
              </w:rPr>
              <w:t>⑤分享集备：支持分享二维码，现场或线上的老师可进入集备查看资源并参与研讨批注。</w:t>
            </w:r>
          </w:p>
          <w:p w14:paraId="0FBB97B2">
            <w:pPr>
              <w:rPr>
                <w:rFonts w:hint="eastAsia"/>
                <w:highlight w:val="none"/>
              </w:rPr>
            </w:pPr>
            <w:r>
              <w:rPr>
                <w:rFonts w:hint="eastAsia"/>
                <w:highlight w:val="none"/>
              </w:rPr>
              <w:t>▲4、听评课：支持实现电子化听评课。</w:t>
            </w:r>
          </w:p>
          <w:p w14:paraId="4F788600">
            <w:pPr>
              <w:rPr>
                <w:rFonts w:hint="eastAsia"/>
                <w:highlight w:val="none"/>
              </w:rPr>
            </w:pPr>
            <w:r>
              <w:rPr>
                <w:rFonts w:hint="eastAsia"/>
                <w:highlight w:val="none"/>
              </w:rPr>
              <w:t>①邀请评课：支持在授课模式中发起授课评价，根据课程和评课表生成二维码，可选择是否分享课件，若选择分享课件，评课人通过扫码即可参与评课并获取课件。</w:t>
            </w:r>
          </w:p>
          <w:p w14:paraId="676F9752">
            <w:pPr>
              <w:rPr>
                <w:rFonts w:hint="eastAsia"/>
                <w:highlight w:val="none"/>
              </w:rPr>
            </w:pPr>
            <w:r>
              <w:rPr>
                <w:rFonts w:hint="eastAsia"/>
                <w:highlight w:val="none"/>
              </w:rPr>
              <w:t>②查看评课记录：支持在我的学校中查看我评的课、我讲的课的历史评价记录。</w:t>
            </w:r>
          </w:p>
          <w:p w14:paraId="748F89FC">
            <w:pPr>
              <w:rPr>
                <w:rFonts w:hint="eastAsia"/>
                <w:highlight w:val="none"/>
              </w:rPr>
            </w:pPr>
            <w:r>
              <w:rPr>
                <w:rFonts w:hint="eastAsia"/>
                <w:highlight w:val="none"/>
              </w:rPr>
              <w:t>③导出评课报告和听课记录：支持导出我讲的课的评课报告为PDF文档，支持导出我评的课的评课表为WORD文档。</w:t>
            </w:r>
          </w:p>
          <w:p w14:paraId="4A6AA377">
            <w:pPr>
              <w:rPr>
                <w:rFonts w:hint="eastAsia"/>
                <w:highlight w:val="none"/>
              </w:rPr>
            </w:pPr>
            <w:r>
              <w:rPr>
                <w:rFonts w:hint="eastAsia"/>
                <w:highlight w:val="none"/>
              </w:rPr>
              <w:t>④直播回放：直播评课全过程支持回放并自动生成字幕，支持回放视频形成回放链接分享，可直接下载导出，用于老师回顾课堂内容，分析老师的课堂表现和教学情况。</w:t>
            </w:r>
          </w:p>
          <w:p w14:paraId="6BBAB574">
            <w:pPr>
              <w:rPr>
                <w:rFonts w:hint="eastAsia"/>
                <w:highlight w:val="none"/>
              </w:rPr>
            </w:pPr>
            <w:r>
              <w:rPr>
                <w:rFonts w:hint="eastAsia"/>
                <w:highlight w:val="none"/>
              </w:rPr>
              <w:t>⑤AI课堂数据分析：一览课堂重要数据，智能分析授课内容生成高频词云，提炼师生互动生成课堂问答，老师可掌握课堂的重点与方向。</w:t>
            </w:r>
          </w:p>
          <w:p w14:paraId="67C17454">
            <w:pPr>
              <w:rPr>
                <w:rFonts w:hint="eastAsia"/>
                <w:highlight w:val="none"/>
              </w:rPr>
            </w:pPr>
            <w:r>
              <w:rPr>
                <w:rFonts w:hint="eastAsia"/>
                <w:highlight w:val="none"/>
              </w:rPr>
              <w:t>听评课-教师评课授课记录</w:t>
            </w:r>
          </w:p>
          <w:p w14:paraId="2EB94618">
            <w:pPr>
              <w:rPr>
                <w:rFonts w:hint="eastAsia"/>
                <w:highlight w:val="none"/>
              </w:rPr>
            </w:pPr>
            <w:r>
              <w:rPr>
                <w:rFonts w:hint="eastAsia"/>
                <w:highlight w:val="none"/>
              </w:rPr>
              <w:t>1、评课列表：在评课列表中可查看[我评的课]的所有记录，评课记录云端存储，不怕丢失。</w:t>
            </w:r>
          </w:p>
          <w:p w14:paraId="7269DA8F">
            <w:pPr>
              <w:rPr>
                <w:rFonts w:hint="eastAsia"/>
                <w:highlight w:val="none"/>
              </w:rPr>
            </w:pPr>
            <w:r>
              <w:rPr>
                <w:rFonts w:hint="eastAsia"/>
                <w:highlight w:val="none"/>
              </w:rPr>
              <w:t>2、评课表导出：支持评课表导出，便于存档和检查。</w:t>
            </w:r>
          </w:p>
          <w:p w14:paraId="29AA28B3">
            <w:pPr>
              <w:rPr>
                <w:rFonts w:hint="eastAsia"/>
                <w:highlight w:val="none"/>
              </w:rPr>
            </w:pPr>
            <w:r>
              <w:rPr>
                <w:rFonts w:hint="eastAsia"/>
                <w:highlight w:val="none"/>
              </w:rPr>
              <w:t>3、授课列表：在授课列表中可查看[我讲的课]的所有记录，讲课记录云端存储，方便查阅，</w:t>
            </w:r>
          </w:p>
          <w:p w14:paraId="2E5C423A">
            <w:pPr>
              <w:rPr>
                <w:rFonts w:hint="eastAsia"/>
                <w:highlight w:val="none"/>
              </w:rPr>
            </w:pPr>
            <w:r>
              <w:rPr>
                <w:rFonts w:hint="eastAsia"/>
                <w:highlight w:val="none"/>
              </w:rPr>
              <w:t>4、导出评课报告：系统自动生成评课报告，并支持一键导出PDF。</w:t>
            </w:r>
          </w:p>
          <w:p w14:paraId="68452071">
            <w:pPr>
              <w:rPr>
                <w:rFonts w:hint="eastAsia"/>
                <w:highlight w:val="none"/>
              </w:rPr>
            </w:pPr>
            <w:r>
              <w:rPr>
                <w:rFonts w:hint="eastAsia"/>
                <w:highlight w:val="none"/>
              </w:rPr>
              <w:t>听评课-直播听评课</w:t>
            </w:r>
          </w:p>
          <w:p w14:paraId="3DE329A3">
            <w:pPr>
              <w:rPr>
                <w:rFonts w:hint="eastAsia"/>
                <w:highlight w:val="none"/>
              </w:rPr>
            </w:pPr>
            <w:r>
              <w:rPr>
                <w:rFonts w:hint="eastAsia"/>
                <w:highlight w:val="none"/>
              </w:rPr>
              <w:t>支持通过实时音视频将课堂教学现场进行实况直播，实现异地听课、评课，直播听评课结束后生成直播回放，使课堂教学研究与课堂教学同步进行，参与听课、评课教师。</w:t>
            </w:r>
          </w:p>
          <w:p w14:paraId="72FD7315">
            <w:pPr>
              <w:rPr>
                <w:rFonts w:hint="eastAsia"/>
                <w:highlight w:val="none"/>
              </w:rPr>
            </w:pPr>
            <w:r>
              <w:rPr>
                <w:rFonts w:hint="eastAsia"/>
                <w:highlight w:val="none"/>
              </w:rPr>
              <w:t>①直播听评课：支持授课老师发起直播听评课，使用手机进行录影，听课老师可查看课堂直播。</w:t>
            </w:r>
          </w:p>
          <w:p w14:paraId="02D33067">
            <w:pPr>
              <w:rPr>
                <w:rFonts w:hint="eastAsia"/>
                <w:highlight w:val="none"/>
              </w:rPr>
            </w:pPr>
            <w:r>
              <w:rPr>
                <w:rFonts w:hint="eastAsia"/>
                <w:highlight w:val="none"/>
              </w:rPr>
              <w:t>②听课提醒：支持查看评课邀请信息和直播开启预告，及时进入直播课堂，进行听课评价。</w:t>
            </w:r>
          </w:p>
          <w:p w14:paraId="0FAD63DB">
            <w:pPr>
              <w:rPr>
                <w:rFonts w:hint="eastAsia"/>
                <w:highlight w:val="none"/>
              </w:rPr>
            </w:pPr>
            <w:r>
              <w:rPr>
                <w:rFonts w:hint="eastAsia"/>
                <w:highlight w:val="none"/>
              </w:rPr>
              <w:t>③听课交流：支持主动发布“开启了直播”、“关闭直播”课堂状态，及时同步课堂进度。支持远程观看课堂直播时同步在听课交流区发表文字、快捷表情和照片内容，记录与分享听课想法。</w:t>
            </w:r>
          </w:p>
          <w:p w14:paraId="12B2ACF0">
            <w:pPr>
              <w:rPr>
                <w:rFonts w:hint="eastAsia"/>
                <w:highlight w:val="none"/>
              </w:rPr>
            </w:pPr>
            <w:r>
              <w:rPr>
                <w:rFonts w:hint="eastAsia"/>
                <w:highlight w:val="none"/>
              </w:rPr>
              <w:t>④直播回放：支持查看课堂录影回放，回顾课堂内容，分析老师的课堂表现和教学情况。</w:t>
            </w:r>
          </w:p>
          <w:p w14:paraId="4745634D">
            <w:pPr>
              <w:rPr>
                <w:rFonts w:hint="eastAsia"/>
                <w:highlight w:val="none"/>
              </w:rPr>
            </w:pPr>
            <w:r>
              <w:rPr>
                <w:rFonts w:hint="eastAsia"/>
                <w:highlight w:val="none"/>
              </w:rPr>
              <w:t>⑤提供推流地址，支持网络推流输出，可实时推流给资源平台，实现平台直播。</w:t>
            </w:r>
          </w:p>
          <w:p w14:paraId="1D08E1B4">
            <w:pPr>
              <w:rPr>
                <w:rFonts w:hint="eastAsia"/>
                <w:highlight w:val="none"/>
              </w:rPr>
            </w:pPr>
            <w:r>
              <w:rPr>
                <w:rFonts w:hint="eastAsia"/>
                <w:highlight w:val="none"/>
              </w:rPr>
              <w:t>⑥支持绑定互动录播电脑主机发起直播。</w:t>
            </w:r>
          </w:p>
          <w:p w14:paraId="1F0249DB">
            <w:pPr>
              <w:rPr>
                <w:rFonts w:hint="eastAsia"/>
                <w:highlight w:val="none"/>
              </w:rPr>
            </w:pPr>
            <w:r>
              <w:rPr>
                <w:rFonts w:hint="eastAsia"/>
                <w:highlight w:val="none"/>
              </w:rPr>
              <w:t>5、创建教研组：在电脑端进入备课组空间实现组内备课资源共享，集体备课共研。</w:t>
            </w:r>
          </w:p>
          <w:p w14:paraId="39631E88">
            <w:pPr>
              <w:rPr>
                <w:rFonts w:hint="eastAsia"/>
                <w:highlight w:val="none"/>
              </w:rPr>
            </w:pPr>
            <w:r>
              <w:rPr>
                <w:rFonts w:hint="eastAsia"/>
                <w:highlight w:val="none"/>
              </w:rPr>
              <w:t>①共享备课资源：支持选择教材和对应的章节目录，添加课件/教案/胶囊/多媒体文件/集体备课项目到组内一起研讨，支持同步到校本资源库。</w:t>
            </w:r>
          </w:p>
          <w:p w14:paraId="7CE4B4C1">
            <w:pPr>
              <w:rPr>
                <w:rFonts w:hint="eastAsia"/>
                <w:highlight w:val="none"/>
              </w:rPr>
            </w:pPr>
            <w:r>
              <w:rPr>
                <w:rFonts w:hint="eastAsia"/>
                <w:highlight w:val="none"/>
              </w:rPr>
              <w:t>②搜索备课资源：支持点击选择教材，通过教材章节目录找到对应的课程教学资料和集备项目，支持筛选老师查看其添加的备课资源。</w:t>
            </w:r>
          </w:p>
          <w:p w14:paraId="2A860C30">
            <w:pPr>
              <w:rPr>
                <w:rFonts w:hint="eastAsia"/>
                <w:highlight w:val="none"/>
              </w:rPr>
            </w:pPr>
            <w:r>
              <w:rPr>
                <w:rFonts w:hint="eastAsia"/>
                <w:highlight w:val="none"/>
              </w:rPr>
              <w:t>③获取备课资源：点击可预览资源内容，并获取到云课件中应用。</w:t>
            </w:r>
          </w:p>
          <w:p w14:paraId="709D123A">
            <w:pPr>
              <w:rPr>
                <w:rFonts w:hint="eastAsia"/>
                <w:highlight w:val="none"/>
              </w:rPr>
            </w:pPr>
            <w:r>
              <w:rPr>
                <w:rFonts w:hint="eastAsia"/>
                <w:highlight w:val="none"/>
              </w:rPr>
              <w:t>④进入集备项目：点击章节下的集体备课项目可进入集体备课页面，参与研讨或回顾研讨内容。</w:t>
            </w:r>
          </w:p>
          <w:p w14:paraId="1785EBD3">
            <w:pPr>
              <w:rPr>
                <w:rFonts w:hint="eastAsia"/>
                <w:highlight w:val="none"/>
              </w:rPr>
            </w:pPr>
            <w:r>
              <w:rPr>
                <w:rFonts w:hint="eastAsia"/>
                <w:highlight w:val="none"/>
              </w:rPr>
              <w:t>⑤查看数据统计：支持查看不同时间/教材下的小组成员的备课资源和集备数据，支持对数据进行排序查看。</w:t>
            </w:r>
          </w:p>
          <w:p w14:paraId="2D4B613B">
            <w:pPr>
              <w:rPr>
                <w:rFonts w:hint="eastAsia"/>
                <w:highlight w:val="none"/>
              </w:rPr>
            </w:pPr>
            <w:r>
              <w:rPr>
                <w:rFonts w:hint="eastAsia"/>
                <w:highlight w:val="none"/>
              </w:rPr>
              <w:t>⑥添加成员：支持搜索名称或手机号添加老师进入备课组。</w:t>
            </w:r>
          </w:p>
          <w:p w14:paraId="6CE087FC">
            <w:pPr>
              <w:rPr>
                <w:rFonts w:hint="eastAsia"/>
                <w:highlight w:val="none"/>
              </w:rPr>
            </w:pPr>
          </w:p>
          <w:p w14:paraId="3DD1740B">
            <w:pPr>
              <w:rPr>
                <w:rFonts w:hint="eastAsia"/>
                <w:highlight w:val="none"/>
              </w:rPr>
            </w:pPr>
            <w:r>
              <w:rPr>
                <w:rFonts w:hint="eastAsia"/>
                <w:highlight w:val="none"/>
              </w:rPr>
              <w:t>二、电子云教案</w:t>
            </w:r>
          </w:p>
          <w:p w14:paraId="1EE615B8">
            <w:pPr>
              <w:rPr>
                <w:rFonts w:hint="eastAsia"/>
                <w:highlight w:val="none"/>
              </w:rPr>
            </w:pPr>
            <w:r>
              <w:rPr>
                <w:rFonts w:hint="eastAsia"/>
                <w:highlight w:val="none"/>
              </w:rPr>
              <w:t>▲1、云教案内容可自动同步至云空间。支持以链接方式进行定向式分享和开放式分享。接收者可直接在桌面浏览器、微信内打开预览，可将云教案转存至个人云空间。云教案支持导出为PDF格式。（响应文件中须出具检验结果符合或者优于本项参数的国家认可的第三方认证（检测）机构出具的带有CMA或CNAS标志的检测报告）</w:t>
            </w:r>
          </w:p>
          <w:p w14:paraId="14AE0FD9">
            <w:pPr>
              <w:rPr>
                <w:rFonts w:hint="eastAsia"/>
                <w:highlight w:val="none"/>
              </w:rPr>
            </w:pPr>
            <w:r>
              <w:rPr>
                <w:rFonts w:hint="eastAsia"/>
                <w:highlight w:val="none"/>
              </w:rPr>
              <w:t>▲2、支持将Word文档转换为云教案，支持解析文本、表格通用元素。（响应文件中须出具检验结果符合或者优于本项参数的国家认可的第三方认证（检测）机构出具的带有CMA或CNAS标志的检测报告）</w:t>
            </w:r>
          </w:p>
          <w:p w14:paraId="74E30731">
            <w:pPr>
              <w:rPr>
                <w:rFonts w:hint="eastAsia"/>
                <w:highlight w:val="none"/>
              </w:rPr>
            </w:pPr>
            <w:r>
              <w:rPr>
                <w:rFonts w:hint="eastAsia"/>
                <w:highlight w:val="none"/>
              </w:rPr>
              <w:t>▲3、云教案支持插入表格、图片、音视频、文档附件。支持的音视频格式：mp3、mp4、ogg、wav、webm；支持的文档格式：pdf、doc、docx、xls、xlsx。</w:t>
            </w:r>
          </w:p>
          <w:p w14:paraId="1928A00E">
            <w:pPr>
              <w:rPr>
                <w:rFonts w:hint="eastAsia"/>
                <w:highlight w:val="none"/>
              </w:rPr>
            </w:pPr>
            <w:r>
              <w:rPr>
                <w:rFonts w:hint="eastAsia"/>
                <w:highlight w:val="none"/>
              </w:rPr>
              <w:t>▲4、提供教案模板以供老师撰写教案，预置模板包含表格式、提纲式、集备式、多课时式、单元设计式不少于7个。支持校本模板，管理员在教研管理后台设置校本模板后，老师可在云教案模板调用。（响应文件中须出具检验结果符合或者优于本项参数的国家认可的第三方认证（检测）机构出具的带有CMA或CNAS标志的检测报告）</w:t>
            </w:r>
          </w:p>
          <w:p w14:paraId="5FFADA48">
            <w:pPr>
              <w:rPr>
                <w:rFonts w:hint="eastAsia"/>
                <w:highlight w:val="none"/>
              </w:rPr>
            </w:pPr>
            <w:r>
              <w:rPr>
                <w:rFonts w:hint="eastAsia"/>
                <w:highlight w:val="none"/>
              </w:rPr>
              <w:t>▲5、云教案与云课件可一对多关联绑定，产生绑定后，在课件页和教案页均支持在同一面板打开关联的云课件或云教案预览，便于老师备课时相互对照。（响应文件中须出具检验结果符合或者优于本项参数的国家认可的第三方认证（检测）机构出具的带有CMA或CNAS标志的检测报告）</w:t>
            </w:r>
          </w:p>
          <w:p w14:paraId="759D5509">
            <w:pPr>
              <w:rPr>
                <w:rFonts w:hint="eastAsia"/>
                <w:highlight w:val="none"/>
              </w:rPr>
            </w:pPr>
            <w:r>
              <w:rPr>
                <w:rFonts w:hint="eastAsia"/>
                <w:highlight w:val="none"/>
              </w:rPr>
              <w:t>▲6、云教案内支持插入课件页，可调用云空间中的课件列表，按单页或整份插入教案。插入后的课件可以窗口形式预览，可直接在窗口内进行翻页、元素移动、课堂活动操作、思维导图展开收起、形状工具、蒙层工具、笔工具的交互。可一键切换至全屏模式，全屏模式下支持批注和手势擦除。（响应文件中须出具检验结果符合或者优于本项参数的国家认可的第三方认证（检测）机构出具的带有CMA或CNAS标志的检测报告）</w:t>
            </w:r>
          </w:p>
          <w:p w14:paraId="2677738A">
            <w:pPr>
              <w:rPr>
                <w:rFonts w:hint="eastAsia"/>
                <w:highlight w:val="none"/>
              </w:rPr>
            </w:pPr>
            <w:r>
              <w:rPr>
                <w:rFonts w:hint="eastAsia"/>
                <w:highlight w:val="none"/>
              </w:rPr>
              <w:t>▲7、云教案提供授课模式，可在云教案预览页面点击授课进入全屏演示模式，也可在授课端直接打开云教案列表进入。授课模式下支持使用笔工具书写批注，且可上下左右漫游。（响应文件中须出具检验结果符合或者优于本项参数的国家认可的第三方认证（检测）机构出具的带有CMA或CNAS标志的检测报告）</w:t>
            </w:r>
          </w:p>
          <w:p w14:paraId="2FB105B3">
            <w:pPr>
              <w:rPr>
                <w:rFonts w:hint="eastAsia"/>
                <w:highlight w:val="none"/>
              </w:rPr>
            </w:pPr>
            <w:r>
              <w:rPr>
                <w:rFonts w:hint="eastAsia"/>
                <w:highlight w:val="none"/>
              </w:rPr>
              <w:t>▲8、可一键插入思维导图，支持直接在教案页面的轻量化编辑，进入全屏后可设置更多导图格式。</w:t>
            </w:r>
          </w:p>
          <w:p w14:paraId="59B1E8E5">
            <w:pPr>
              <w:rPr>
                <w:rFonts w:hint="eastAsia"/>
                <w:highlight w:val="none"/>
              </w:rPr>
            </w:pPr>
            <w:r>
              <w:rPr>
                <w:rFonts w:hint="eastAsia"/>
                <w:highlight w:val="none"/>
              </w:rPr>
              <w:t>▲9、教案授课模式下，课件页、思维导图、插入的PDF、Word等文件均支持全屏预览板书。</w:t>
            </w:r>
          </w:p>
          <w:p w14:paraId="44181D14">
            <w:pPr>
              <w:rPr>
                <w:rFonts w:hint="eastAsia"/>
                <w:highlight w:val="none"/>
              </w:rPr>
            </w:pPr>
          </w:p>
          <w:p w14:paraId="793AC1D1">
            <w:pPr>
              <w:rPr>
                <w:rFonts w:hint="eastAsia"/>
                <w:highlight w:val="none"/>
              </w:rPr>
            </w:pPr>
            <w:r>
              <w:rPr>
                <w:rFonts w:hint="eastAsia"/>
                <w:highlight w:val="none"/>
              </w:rPr>
              <w:t>三、电脑模块配置要求</w:t>
            </w:r>
          </w:p>
          <w:p w14:paraId="63EBF646">
            <w:pPr>
              <w:rPr>
                <w:rFonts w:hint="eastAsia"/>
                <w:highlight w:val="none"/>
              </w:rPr>
            </w:pPr>
            <w:r>
              <w:rPr>
                <w:rFonts w:hint="eastAsia"/>
                <w:highlight w:val="none"/>
              </w:rPr>
              <w:t>1.采用抽拉内置式模块化电脑，抽拉内置式，PC模块可插入整机，可实现无单独接线的插拔。无需工具即可快速拆卸电脑模块。</w:t>
            </w:r>
          </w:p>
          <w:p w14:paraId="4128C08C">
            <w:pPr>
              <w:rPr>
                <w:rFonts w:hint="eastAsia"/>
                <w:highlight w:val="none"/>
              </w:rPr>
            </w:pPr>
            <w:r>
              <w:rPr>
                <w:rFonts w:hint="eastAsia"/>
                <w:highlight w:val="none"/>
              </w:rPr>
              <w:t>▲2.搭载Intel 十二代酷睿i5或以上配置CPU，内存：16GB DDR4内存或以上配置。硬盘：512 GB SSD固态硬盘或以上配置。</w:t>
            </w:r>
          </w:p>
          <w:p w14:paraId="465B7644">
            <w:pPr>
              <w:rPr>
                <w:rFonts w:hint="eastAsia"/>
                <w:highlight w:val="none"/>
              </w:rPr>
            </w:pPr>
            <w:r>
              <w:rPr>
                <w:rFonts w:hint="eastAsia"/>
                <w:highlight w:val="none"/>
              </w:rPr>
              <w:t>3.采用按压式卡扣，无需工具即可快速拆卸电脑模块。</w:t>
            </w:r>
          </w:p>
          <w:p w14:paraId="2F1F01F5">
            <w:pPr>
              <w:rPr>
                <w:rFonts w:hint="eastAsia"/>
                <w:highlight w:val="none"/>
              </w:rPr>
            </w:pPr>
            <w:r>
              <w:rPr>
                <w:rFonts w:hint="eastAsia"/>
                <w:highlight w:val="none"/>
              </w:rPr>
              <w:t>4.PC模块可抽拉式插入整机，可实现无单独接线的拔插，和整机的连接采用万兆级接口，传输速率≥10Gbps。</w:t>
            </w:r>
          </w:p>
          <w:p w14:paraId="05119B75">
            <w:pPr>
              <w:rPr>
                <w:rFonts w:hint="eastAsia"/>
                <w:highlight w:val="none"/>
              </w:rPr>
            </w:pPr>
            <w:r>
              <w:rPr>
                <w:rFonts w:hint="eastAsia"/>
                <w:highlight w:val="none"/>
              </w:rPr>
              <w:t>▲5.须配备正版操作系统。</w:t>
            </w:r>
          </w:p>
          <w:p w14:paraId="63D7BEF2">
            <w:pPr>
              <w:rPr>
                <w:rFonts w:hint="eastAsia"/>
                <w:highlight w:val="none"/>
              </w:rPr>
            </w:pPr>
          </w:p>
          <w:p w14:paraId="7D1335C6">
            <w:pPr>
              <w:rPr>
                <w:rFonts w:hint="eastAsia"/>
                <w:highlight w:val="none"/>
              </w:rPr>
            </w:pPr>
            <w:r>
              <w:rPr>
                <w:rFonts w:hint="eastAsia"/>
                <w:highlight w:val="none"/>
                <w:lang w:val="en-US" w:eastAsia="zh-CN"/>
              </w:rPr>
              <w:t>四</w:t>
            </w:r>
            <w:r>
              <w:rPr>
                <w:rFonts w:hint="eastAsia"/>
                <w:highlight w:val="none"/>
              </w:rPr>
              <w:t>、整体设计</w:t>
            </w:r>
          </w:p>
          <w:p w14:paraId="5269A039">
            <w:pPr>
              <w:rPr>
                <w:rFonts w:hint="eastAsia"/>
                <w:highlight w:val="none"/>
              </w:rPr>
            </w:pPr>
            <w:r>
              <w:rPr>
                <w:rFonts w:hint="eastAsia"/>
                <w:highlight w:val="none"/>
              </w:rPr>
              <w:t>1、整机采用一体设计，外部无任何可见内部功能模块连接线。边角采用弧形设计，表面无尖锐边缘或凸起。</w:t>
            </w:r>
          </w:p>
          <w:p w14:paraId="188E2508">
            <w:pPr>
              <w:rPr>
                <w:rFonts w:hint="eastAsia"/>
                <w:highlight w:val="none"/>
              </w:rPr>
            </w:pPr>
            <w:r>
              <w:rPr>
                <w:rFonts w:hint="eastAsia"/>
                <w:highlight w:val="none"/>
              </w:rPr>
              <w:t>2、整机采用全金属外壳设计，屏幕边缘采用金属圆角包边防护，整机背板采用金属材质，有效屏蔽内部电路器件辐射；防潮耐盐雾蚀锈，适应多种教学环境。</w:t>
            </w:r>
          </w:p>
          <w:p w14:paraId="177A1FA4">
            <w:pPr>
              <w:rPr>
                <w:rFonts w:hint="eastAsia"/>
                <w:highlight w:val="none"/>
              </w:rPr>
            </w:pPr>
            <w:r>
              <w:rPr>
                <w:rFonts w:hint="eastAsia"/>
                <w:highlight w:val="none"/>
              </w:rPr>
              <w:t>▲3、整机屏幕采用≥86英寸液晶显示器。整机采用超高清LED液晶显示屏，显示比例16:9，分辨率3840×2160。</w:t>
            </w:r>
          </w:p>
          <w:p w14:paraId="02B58213">
            <w:pPr>
              <w:rPr>
                <w:rFonts w:hint="eastAsia"/>
                <w:highlight w:val="none"/>
              </w:rPr>
            </w:pPr>
            <w:r>
              <w:rPr>
                <w:rFonts w:hint="eastAsia"/>
                <w:highlight w:val="none"/>
              </w:rPr>
              <w:t>4、侧置输入接口具备≥2路HDMI、≥1路RS232、≥1路USB接口；侧置输出接口具备≥1路音频输出、≥1路触控USB输出；前置输入接口具备≥3路USB接口（包含≥1路Type-C、≥2路USB）。</w:t>
            </w:r>
          </w:p>
          <w:p w14:paraId="73C85F83">
            <w:pPr>
              <w:rPr>
                <w:rFonts w:hint="eastAsia"/>
                <w:highlight w:val="none"/>
              </w:rPr>
            </w:pPr>
            <w:r>
              <w:rPr>
                <w:rFonts w:hint="eastAsia"/>
                <w:highlight w:val="none"/>
              </w:rPr>
              <w:t>5、嵌入式系统版本不低于Android 13，内存≥2GB，存储空间≥7GB。</w:t>
            </w:r>
          </w:p>
          <w:p w14:paraId="717A4C99">
            <w:pPr>
              <w:rPr>
                <w:rFonts w:hint="eastAsia"/>
                <w:highlight w:val="none"/>
              </w:rPr>
            </w:pPr>
            <w:r>
              <w:rPr>
                <w:rFonts w:hint="eastAsia"/>
                <w:highlight w:val="none"/>
              </w:rPr>
              <w:t>▲6、钢化玻璃表面硬度≥8H。采用红外触控技术，支持Windows系统中进行40点或以上触控，支持在Android系统中进行40点或以上触控。（响应文件中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930B9AB">
            <w:pPr>
              <w:rPr>
                <w:rFonts w:hint="eastAsia"/>
                <w:highlight w:val="none"/>
              </w:rPr>
            </w:pPr>
            <w:r>
              <w:rPr>
                <w:rFonts w:hint="eastAsia"/>
                <w:highlight w:val="none"/>
              </w:rPr>
              <w:t>7、从内部Android通道切换到内部PC通道后，触摸框在1s内达到可触控状态。从内部PC通道切换到外部通道后，触摸框在3s内达到可触控状态。</w:t>
            </w:r>
          </w:p>
          <w:p w14:paraId="6F8DC5F0">
            <w:pPr>
              <w:rPr>
                <w:rFonts w:hint="eastAsia"/>
                <w:highlight w:val="none"/>
              </w:rPr>
            </w:pPr>
            <w:r>
              <w:rPr>
                <w:rFonts w:hint="eastAsia"/>
                <w:highlight w:val="none"/>
              </w:rPr>
              <w:t>8、前置USB接口支持Android系统、Windows系统读取外接移动存储设备。</w:t>
            </w:r>
          </w:p>
          <w:p w14:paraId="038933DA">
            <w:pPr>
              <w:rPr>
                <w:rFonts w:hint="eastAsia"/>
                <w:highlight w:val="none"/>
              </w:rPr>
            </w:pPr>
            <w:r>
              <w:rPr>
                <w:rFonts w:hint="eastAsia"/>
                <w:highlight w:val="none"/>
              </w:rPr>
              <w:t>9、部署单根网线可实现Android、Windows系统双系统有线网络连通。</w:t>
            </w:r>
          </w:p>
          <w:p w14:paraId="35CD622D">
            <w:pPr>
              <w:rPr>
                <w:rFonts w:hint="eastAsia"/>
                <w:highlight w:val="none"/>
              </w:rPr>
            </w:pPr>
            <w:r>
              <w:rPr>
                <w:rFonts w:hint="eastAsia"/>
                <w:highlight w:val="none"/>
              </w:rPr>
              <w:t>10、整机能感应并自动调节屏幕亮度来达到在不同光照环境下的不同亮度显示效果，此功能可自行开启或关闭。</w:t>
            </w:r>
          </w:p>
          <w:p w14:paraId="4527B7E0">
            <w:pPr>
              <w:rPr>
                <w:rFonts w:hint="eastAsia"/>
                <w:highlight w:val="none"/>
              </w:rPr>
            </w:pPr>
            <w:r>
              <w:rPr>
                <w:rFonts w:hint="eastAsia"/>
                <w:highlight w:val="none"/>
              </w:rPr>
              <w:t>11、采用全物理钢化玻璃，有效保护屏幕显示画面，整机采用防眩光玻璃，屏幕支持防眩光功能，玻璃表面采用纳米材料镀膜环保工艺，书写更加顺滑，防眩光效果更加优异。</w:t>
            </w:r>
          </w:p>
          <w:p w14:paraId="262859EA">
            <w:pPr>
              <w:rPr>
                <w:rFonts w:hint="eastAsia"/>
                <w:highlight w:val="none"/>
              </w:rPr>
            </w:pPr>
          </w:p>
          <w:p w14:paraId="4255CD61">
            <w:pPr>
              <w:rPr>
                <w:rFonts w:hint="eastAsia"/>
                <w:highlight w:val="none"/>
              </w:rPr>
            </w:pPr>
            <w:r>
              <w:rPr>
                <w:rFonts w:hint="eastAsia"/>
                <w:highlight w:val="none"/>
                <w:lang w:val="en-US" w:eastAsia="zh-CN"/>
              </w:rPr>
              <w:t>五</w:t>
            </w:r>
            <w:r>
              <w:rPr>
                <w:rFonts w:hint="eastAsia"/>
                <w:highlight w:val="none"/>
              </w:rPr>
              <w:t>、音视频教学功能：</w:t>
            </w:r>
          </w:p>
          <w:p w14:paraId="4FE99AE4">
            <w:pPr>
              <w:rPr>
                <w:rFonts w:hint="eastAsia"/>
                <w:highlight w:val="none"/>
              </w:rPr>
            </w:pPr>
            <w:r>
              <w:rPr>
                <w:rFonts w:hint="eastAsia"/>
                <w:highlight w:val="none"/>
              </w:rPr>
              <w:t>▲1、整机内置2.2声道扬声器，位于设备上边框，顶置朝前发声，前朝向≥10W高音扬声器2个，上朝向≥20W中低音扬声器2个，额定总功率≥60W。整机可选择高级音效设置，支持在左右声道平衡显示范围中进行更改；中低频段显示调节范围125Hz～1KHz，高频段显示调节范围 2KHz～16KHz，分贝显示-12dB～12dB 调节范围。（响应文件中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0AAF08AA">
            <w:pPr>
              <w:rPr>
                <w:rFonts w:hint="eastAsia"/>
                <w:highlight w:val="none"/>
              </w:rPr>
            </w:pPr>
            <w:r>
              <w:rPr>
                <w:rFonts w:hint="eastAsia"/>
                <w:highlight w:val="none"/>
              </w:rPr>
              <w:t>▲2、整机内置非独立外扩展的8阵列麦克风，拾音角度≥180°，可用于对教室环境音频进行采集，拾音距离≥12m，整机内置扬声器采用缝隙发声技术，喇叭采用槽式开口设计，不大于5.8mm。（响应文件中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7953C4B">
            <w:pPr>
              <w:rPr>
                <w:rFonts w:hint="eastAsia"/>
                <w:highlight w:val="none"/>
              </w:rPr>
            </w:pPr>
            <w:r>
              <w:rPr>
                <w:rFonts w:hint="eastAsia"/>
                <w:highlight w:val="none"/>
              </w:rPr>
              <w:t>▲3、整机扬声器在100%音量下，可做到1米处声压级≥88db，10米处声压级≥79dB；</w:t>
            </w:r>
          </w:p>
          <w:p w14:paraId="56C21F16">
            <w:pPr>
              <w:rPr>
                <w:rFonts w:hint="eastAsia"/>
                <w:highlight w:val="none"/>
              </w:rPr>
            </w:pPr>
            <w:r>
              <w:rPr>
                <w:rFonts w:hint="eastAsia"/>
                <w:highlight w:val="none"/>
              </w:rPr>
              <w:t>4、内置摄像头、麦克风无需外接线材连接，无任何可见外接线材及模块化拼接痕迹，未占用整机设备端口。</w:t>
            </w:r>
          </w:p>
          <w:p w14:paraId="6B8032E1">
            <w:pPr>
              <w:rPr>
                <w:rFonts w:hint="eastAsia"/>
                <w:highlight w:val="none"/>
              </w:rPr>
            </w:pPr>
            <w:r>
              <w:rPr>
                <w:rFonts w:hint="eastAsia"/>
                <w:highlight w:val="none"/>
              </w:rPr>
              <w:t>▲5、支持标准、听力、观影和AI空间感知音效模式，AI空间感知音效模式可通过内置麦克风采集教室物理环境声音，自动生成符合当前教室物理环境的频段、音量、音效。（响应文件中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7865ED27">
            <w:pPr>
              <w:rPr>
                <w:rFonts w:hint="eastAsia"/>
                <w:highlight w:val="none"/>
              </w:rPr>
            </w:pPr>
            <w:r>
              <w:rPr>
                <w:rFonts w:hint="eastAsia"/>
                <w:highlight w:val="none"/>
              </w:rPr>
              <w:t>6、整机色域覆盖率（NTSC）≥72%</w:t>
            </w:r>
          </w:p>
          <w:p w14:paraId="5FED6D01">
            <w:pPr>
              <w:rPr>
                <w:rFonts w:hint="eastAsia"/>
                <w:highlight w:val="none"/>
              </w:rPr>
            </w:pPr>
            <w:r>
              <w:rPr>
                <w:rFonts w:hint="eastAsia"/>
                <w:highlight w:val="none"/>
              </w:rPr>
              <w:t>7、整机背光系统支持DC调光方式，多级亮度调节，支持白颜色背景下最暗亮度≤100nit，用于提升显示对比度。灰度等级≥256级。</w:t>
            </w:r>
          </w:p>
          <w:p w14:paraId="35F91272">
            <w:pPr>
              <w:rPr>
                <w:rFonts w:hint="eastAsia"/>
                <w:highlight w:val="none"/>
              </w:rPr>
            </w:pPr>
            <w:r>
              <w:rPr>
                <w:rFonts w:hint="eastAsia"/>
                <w:highlight w:val="none"/>
              </w:rPr>
              <w:t>▲8、整机支持色彩空间可选，包含标准模式和sRGB模式，在sRGB模式下可做到高色准△E≤1。（响应文件中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0B8CF4C2">
            <w:pPr>
              <w:rPr>
                <w:rFonts w:hint="eastAsia"/>
                <w:highlight w:val="none"/>
              </w:rPr>
            </w:pPr>
            <w:r>
              <w:rPr>
                <w:rFonts w:hint="eastAsia"/>
                <w:highlight w:val="none"/>
              </w:rPr>
              <w:t>9、整机采用硬件低蓝光背光技术，在源头减少有害蓝光波段能量，蓝光占比（有害蓝光415～455nm能量综合）/（整体蓝光400～500能量综合）＜50%，低蓝光保护显示不偏色、不泛黄。</w:t>
            </w:r>
          </w:p>
          <w:p w14:paraId="235CBDEC">
            <w:pPr>
              <w:rPr>
                <w:rFonts w:hint="eastAsia"/>
                <w:highlight w:val="none"/>
              </w:rPr>
            </w:pPr>
            <w:r>
              <w:rPr>
                <w:rFonts w:hint="eastAsia"/>
                <w:highlight w:val="none"/>
              </w:rPr>
              <w:t>▲10、支持标准、多媒体和节能三种图像模式调节，整机系统支持手势上滑调出人工智能画质调节模式（AI-PQ），在安卓通道下可根据屏幕内容自动调节画质参数，当屏幕出现人物、建筑、夜景等元素时，自动调整对比度、饱和度、锐利度、色调色相值、高光/阴影。（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769591D">
            <w:pPr>
              <w:rPr>
                <w:rFonts w:hint="eastAsia"/>
                <w:highlight w:val="none"/>
              </w:rPr>
            </w:pPr>
            <w:r>
              <w:rPr>
                <w:rFonts w:hint="eastAsia"/>
                <w:highlight w:val="none"/>
              </w:rPr>
              <w:t>11、支持自定义图像设置，可对对比度、屏幕色温、图像亮度、亮度范围、色彩空间调节设置。</w:t>
            </w:r>
          </w:p>
          <w:p w14:paraId="16116AA7">
            <w:pPr>
              <w:rPr>
                <w:rFonts w:hint="eastAsia"/>
                <w:highlight w:val="none"/>
              </w:rPr>
            </w:pPr>
            <w:r>
              <w:rPr>
                <w:rFonts w:hint="eastAsia"/>
                <w:highlight w:val="none"/>
              </w:rPr>
              <w:t>12、整机视网膜蓝光危害（蓝光加权辐射亮度LB）满足IEC TR 62778:2014蓝光危害RG0级别</w:t>
            </w:r>
          </w:p>
          <w:p w14:paraId="0FCCFFF0">
            <w:pPr>
              <w:rPr>
                <w:rFonts w:hint="eastAsia"/>
                <w:highlight w:val="none"/>
              </w:rPr>
            </w:pPr>
            <w:r>
              <w:rPr>
                <w:rFonts w:hint="eastAsia"/>
                <w:highlight w:val="none"/>
              </w:rPr>
              <w:t>▲13、整机全通道支持纸质护眼模式，可实现画面纹理的实时调整；支持纸质纹理：牛皮纸、素描纸、宣纸、水彩纸；支持透明度调节；支持色温调节，纸质护眼模式下，显示画面各像素点灰度不规则，减少背景干扰。</w:t>
            </w:r>
          </w:p>
          <w:p w14:paraId="1969B45B">
            <w:pPr>
              <w:rPr>
                <w:rFonts w:hint="eastAsia"/>
                <w:highlight w:val="none"/>
              </w:rPr>
            </w:pPr>
            <w:r>
              <w:rPr>
                <w:rFonts w:hint="eastAsia"/>
                <w:highlight w:val="none"/>
              </w:rPr>
              <w:t>14、三合一电源按键，同一电源物理按键完成Android系统和Windows系统的开机、节能熄屏、关机操作；关机状态下按按键开机；开机状态下按按键实现节能熄屏/唤醒，长按按键实现关机。</w:t>
            </w:r>
          </w:p>
          <w:p w14:paraId="18D5BC4B">
            <w:pPr>
              <w:rPr>
                <w:rFonts w:hint="eastAsia"/>
                <w:highlight w:val="none"/>
              </w:rPr>
            </w:pPr>
            <w:r>
              <w:rPr>
                <w:rFonts w:hint="eastAsia"/>
                <w:highlight w:val="none"/>
              </w:rPr>
              <w:t>▲15、整机具备至少6个前置按键，可实现开关机、调出中控菜单、音量+/-、护眼、录屏操作。</w:t>
            </w:r>
          </w:p>
          <w:p w14:paraId="4677904B">
            <w:pPr>
              <w:rPr>
                <w:rFonts w:hint="eastAsia"/>
                <w:highlight w:val="none"/>
              </w:rPr>
            </w:pPr>
            <w:r>
              <w:rPr>
                <w:rFonts w:hint="eastAsia"/>
                <w:highlight w:val="none"/>
              </w:rPr>
              <w:t>16、支持经典护眼模式，可通过前置面板物理功能按键一键启用经典护眼模式，设备支持通过前置面板物理按键一键启动录屏功能，可将屏幕中显示的课件、音频内容与人声同时录制。</w:t>
            </w:r>
          </w:p>
          <w:p w14:paraId="50CB08CD">
            <w:pPr>
              <w:rPr>
                <w:rFonts w:hint="eastAsia"/>
                <w:highlight w:val="none"/>
              </w:rPr>
            </w:pPr>
            <w:r>
              <w:rPr>
                <w:rFonts w:hint="eastAsia"/>
                <w:highlight w:val="none"/>
              </w:rPr>
              <w:t>17、前置USB接口具备防撞挡板设计，防撞挡板采用转轴式翻转。</w:t>
            </w:r>
          </w:p>
          <w:p w14:paraId="08824C85">
            <w:pPr>
              <w:rPr>
                <w:rFonts w:hint="eastAsia"/>
                <w:highlight w:val="none"/>
              </w:rPr>
            </w:pPr>
            <w:r>
              <w:rPr>
                <w:rFonts w:hint="eastAsia"/>
                <w:highlight w:val="none"/>
              </w:rPr>
              <w:t>▲18、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746C98BB">
            <w:pPr>
              <w:rPr>
                <w:rFonts w:hint="eastAsia"/>
                <w:highlight w:val="none"/>
              </w:rPr>
            </w:pPr>
            <w:r>
              <w:rPr>
                <w:rFonts w:hint="eastAsia"/>
                <w:highlight w:val="none"/>
              </w:rPr>
              <w:t>▲19、整机无需外接无线网卡，在Android和Windows系统下可实现Wi-Fi无线上网连接、AP无线热点发射和BT蓝牙连接功能，Wi-Fi和AP热点工作距离≥11m，整机支持蓝牙Bluetooth 5.4标准，固件版本号HCI13.0/LMP13.0。（响应文件中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8E6FB3B">
            <w:pPr>
              <w:rPr>
                <w:rFonts w:hint="eastAsia"/>
                <w:highlight w:val="none"/>
              </w:rPr>
            </w:pPr>
            <w:r>
              <w:rPr>
                <w:rFonts w:hint="eastAsia"/>
                <w:highlight w:val="none"/>
              </w:rPr>
              <w:t>20、整机支持发出频率为18kHz-22kHz超声波信号，智能手机通过麦克风接收后，智能手机与整机无需在同一局域网内，可实现配对，一键投屏，用户无需手动输入投屏码或扫码获取投屏码；</w:t>
            </w:r>
          </w:p>
          <w:p w14:paraId="5C2FACFB">
            <w:pPr>
              <w:rPr>
                <w:rFonts w:hint="eastAsia"/>
                <w:highlight w:val="none"/>
              </w:rPr>
            </w:pPr>
            <w:r>
              <w:rPr>
                <w:rFonts w:hint="eastAsia"/>
                <w:highlight w:val="none"/>
              </w:rPr>
              <w:t>▲21、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A9BDD97">
            <w:pPr>
              <w:rPr>
                <w:rFonts w:hint="eastAsia"/>
                <w:highlight w:val="none"/>
              </w:rPr>
            </w:pPr>
            <w:r>
              <w:rPr>
                <w:rFonts w:hint="eastAsia"/>
                <w:highlight w:val="none"/>
              </w:rPr>
              <w:t>▲22、整机PC端支持主动发现蓝牙外设从而连接（无需整机进入发现模式），支持连接外部蓝牙音箱播放音频。</w:t>
            </w:r>
          </w:p>
          <w:p w14:paraId="623945E0">
            <w:pPr>
              <w:rPr>
                <w:rFonts w:hint="eastAsia"/>
                <w:highlight w:val="none"/>
              </w:rPr>
            </w:pPr>
            <w:r>
              <w:rPr>
                <w:rFonts w:hint="eastAsia"/>
                <w:highlight w:val="none"/>
              </w:rPr>
              <w:t>▲23、整机内置双WiFi6无线网卡（不接受外接），在Android和Windows系统下，可实现Wi-Fi无线上网连接、AP无线热点发射，在Android下支持无线设备同时连接数量≥32个，在Windows系统下支持无线设备同时连接≥8个；（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AD898FF">
            <w:pPr>
              <w:rPr>
                <w:rFonts w:hint="eastAsia"/>
                <w:highlight w:val="none"/>
              </w:rPr>
            </w:pPr>
            <w:r>
              <w:rPr>
                <w:rFonts w:hint="eastAsia"/>
                <w:highlight w:val="none"/>
              </w:rPr>
              <w:t>24、整机无需外接无线网卡，在Windows系统下接入无线网络，切换到嵌入式Android系统下可直接实现无线上网功能，不需手动重复设置。</w:t>
            </w:r>
          </w:p>
          <w:p w14:paraId="5BD83EB7">
            <w:pPr>
              <w:rPr>
                <w:rFonts w:hint="eastAsia"/>
                <w:highlight w:val="none"/>
              </w:rPr>
            </w:pPr>
            <w:r>
              <w:rPr>
                <w:rFonts w:hint="eastAsia"/>
                <w:highlight w:val="none"/>
              </w:rPr>
              <w:t>25、Wi-Fi及AP热点支持频段2.4GHz/5GHz ，Wi-Fi制式支持IEEE 802.11 a/b/g/n/ac/ax；支持版本Wi-Fi6。</w:t>
            </w:r>
          </w:p>
          <w:p w14:paraId="09638734">
            <w:pPr>
              <w:rPr>
                <w:rFonts w:hint="eastAsia"/>
                <w:highlight w:val="none"/>
              </w:rPr>
            </w:pPr>
            <w:r>
              <w:rPr>
                <w:rFonts w:hint="eastAsia"/>
                <w:highlight w:val="none"/>
              </w:rPr>
              <w:t>26、整机内置摄像头（非外扩），PC通道下支持通过视频展台软件调用摄像头进行二维码扫码识别。</w:t>
            </w:r>
          </w:p>
          <w:p w14:paraId="78472A32">
            <w:pPr>
              <w:rPr>
                <w:rFonts w:hint="eastAsia"/>
                <w:highlight w:val="none"/>
              </w:rPr>
            </w:pPr>
            <w:r>
              <w:rPr>
                <w:rFonts w:hint="eastAsia"/>
                <w:highlight w:val="none"/>
              </w:rPr>
              <w:t>27、具备摄像头工作指示灯，摄像头运行时，有指示灯提示。</w:t>
            </w:r>
          </w:p>
          <w:p w14:paraId="7B87039D">
            <w:pPr>
              <w:rPr>
                <w:rFonts w:hint="eastAsia"/>
                <w:highlight w:val="none"/>
              </w:rPr>
            </w:pPr>
            <w:r>
              <w:rPr>
                <w:rFonts w:hint="eastAsia"/>
                <w:highlight w:val="none"/>
              </w:rPr>
              <w:t>▲28、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E3E561E">
            <w:pPr>
              <w:rPr>
                <w:rFonts w:hint="eastAsia"/>
                <w:highlight w:val="none"/>
              </w:rPr>
            </w:pPr>
            <w:r>
              <w:rPr>
                <w:rFonts w:hint="eastAsia"/>
                <w:highlight w:val="none"/>
              </w:rPr>
              <w:t>▲29、整机上边框内置非独式广角摄像头和智能拼接摄像头， 均支持 3D 降噪算法和数字宽动态范围成像WDR 技术，支持输出 MJPG、 H.264 视频格式。（响应文件中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248A6AE2">
            <w:pPr>
              <w:rPr>
                <w:rFonts w:hint="eastAsia"/>
                <w:highlight w:val="none"/>
              </w:rPr>
            </w:pPr>
            <w:r>
              <w:rPr>
                <w:rFonts w:hint="eastAsia"/>
                <w:highlight w:val="none"/>
              </w:rPr>
              <w:t>▲30、整机上边框内置非独立的广角高清摄像头，在距离整机1.7米情况下，且拍摄范围可以覆盖摄像头垂直法线左右距离大于等于4米，可以实现人脸识别。（响应文件中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06EE97B4">
            <w:pPr>
              <w:rPr>
                <w:rFonts w:hint="eastAsia"/>
                <w:highlight w:val="none"/>
              </w:rPr>
            </w:pPr>
            <w:r>
              <w:rPr>
                <w:rFonts w:hint="eastAsia"/>
                <w:highlight w:val="none"/>
              </w:rPr>
              <w:t>▲31、整机上边框内置非独立式智能拼接摄像头，支持清晰度TV lines ≥ 1600 lines，视场角≥141度且水平视场角≥139度，可拍摄≥1600万像素的照片，支持输出8192×2048分辨率的照片和视频，支持画面畸变矫正功能 。（响应文件中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6EF24FB8">
            <w:pPr>
              <w:rPr>
                <w:rFonts w:hint="eastAsia"/>
                <w:highlight w:val="none"/>
              </w:rPr>
            </w:pPr>
            <w:r>
              <w:rPr>
                <w:rFonts w:hint="eastAsia"/>
                <w:highlight w:val="none"/>
              </w:rPr>
              <w:t>▲32、整机支持距离摄像头位置≥10米距离的AI识别人脸，整机摄像头支持人脸识别、清点人数、随机抽人；识别所有学生，显示标记，然后随机抽选，同时显示标记不少于60人。</w:t>
            </w:r>
          </w:p>
          <w:p w14:paraId="0BE19A7E">
            <w:pPr>
              <w:rPr>
                <w:rFonts w:hint="eastAsia"/>
                <w:highlight w:val="none"/>
              </w:rPr>
            </w:pPr>
            <w:r>
              <w:rPr>
                <w:rFonts w:hint="eastAsia"/>
                <w:highlight w:val="none"/>
              </w:rPr>
              <w:t>▲33、整机支持上边框内置非独立摄像头模组，同时输出至少 3 路视频流，同时支持课堂远程巡课、课堂教学数据采集、本地画面预览（拍照或视频录制）。（响应文件中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40AB7AE2">
            <w:pPr>
              <w:rPr>
                <w:rFonts w:hint="eastAsia"/>
                <w:highlight w:val="none"/>
              </w:rPr>
            </w:pPr>
            <w:r>
              <w:rPr>
                <w:rFonts w:hint="eastAsia"/>
                <w:highlight w:val="none"/>
              </w:rPr>
              <w:t>34、整机支持通过人脸识别进行登录账号。整机摄像头支持环境色温判断，根据环境调节合适的显示图像效果。</w:t>
            </w:r>
          </w:p>
          <w:p w14:paraId="23E4B612">
            <w:pPr>
              <w:rPr>
                <w:rFonts w:hint="eastAsia"/>
                <w:highlight w:val="none"/>
              </w:rPr>
            </w:pPr>
          </w:p>
          <w:p w14:paraId="6B7D6B0C">
            <w:pPr>
              <w:rPr>
                <w:rFonts w:hint="eastAsia"/>
                <w:highlight w:val="none"/>
              </w:rPr>
            </w:pPr>
            <w:r>
              <w:rPr>
                <w:rFonts w:hint="eastAsia"/>
                <w:highlight w:val="none"/>
                <w:lang w:val="en-US" w:eastAsia="zh-CN"/>
              </w:rPr>
              <w:t>六</w:t>
            </w:r>
            <w:r>
              <w:rPr>
                <w:rFonts w:hint="eastAsia"/>
                <w:highlight w:val="none"/>
              </w:rPr>
              <w:t>、整机功能和触摸系统：</w:t>
            </w:r>
          </w:p>
          <w:p w14:paraId="4AC537AC">
            <w:pPr>
              <w:rPr>
                <w:rFonts w:hint="eastAsia"/>
                <w:highlight w:val="none"/>
              </w:rPr>
            </w:pPr>
            <w:r>
              <w:rPr>
                <w:rFonts w:hint="eastAsia"/>
                <w:highlight w:val="none"/>
              </w:rPr>
              <w:t>1、 支持Windows 7、Windows 8、Windows 10、Windows 11、Linux、Mac Os、UOS和麒麟系统外置电脑操作系统接入时，无需安装触摸驱动。</w:t>
            </w:r>
          </w:p>
          <w:p w14:paraId="156342F6">
            <w:pPr>
              <w:rPr>
                <w:rFonts w:hint="eastAsia"/>
                <w:highlight w:val="none"/>
              </w:rPr>
            </w:pPr>
            <w:r>
              <w:rPr>
                <w:rFonts w:hint="eastAsia"/>
                <w:highlight w:val="none"/>
              </w:rPr>
              <w:t>2、 触摸分辨率32768×32768。</w:t>
            </w:r>
          </w:p>
          <w:p w14:paraId="18737E51">
            <w:pPr>
              <w:rPr>
                <w:rFonts w:hint="eastAsia"/>
                <w:highlight w:val="none"/>
              </w:rPr>
            </w:pPr>
            <w:r>
              <w:rPr>
                <w:rFonts w:hint="eastAsia"/>
                <w:highlight w:val="none"/>
              </w:rPr>
              <w:t>3、 整机系统支持书写触控延迟≤25ms，整机触控书写功能集成预测算法，在书写速度≥50cm/s，支持笔迹距离笔的距离小于20mm。</w:t>
            </w:r>
          </w:p>
          <w:p w14:paraId="112B9662">
            <w:pPr>
              <w:rPr>
                <w:rFonts w:hint="eastAsia"/>
                <w:highlight w:val="none"/>
              </w:rPr>
            </w:pPr>
            <w:r>
              <w:rPr>
                <w:rFonts w:hint="eastAsia"/>
                <w:highlight w:val="none"/>
              </w:rPr>
              <w:t>4、 触摸响应时间≤4ms，触摸最小识别物≤3mm。整机屏幕触摸有效识别高度不超过1.5mm，即触摸物体距离玻璃外表面高度不超过1.5mm时，触摸屏识别为点击操作。</w:t>
            </w:r>
          </w:p>
          <w:p w14:paraId="10003E24">
            <w:pPr>
              <w:rPr>
                <w:rFonts w:hint="eastAsia"/>
                <w:highlight w:val="none"/>
              </w:rPr>
            </w:pPr>
            <w:r>
              <w:rPr>
                <w:rFonts w:hint="eastAsia"/>
                <w:highlight w:val="none"/>
              </w:rPr>
              <w:t>▲5、整机支持提笔书写，在Windows系统下可实现无需点击任意功能入口，当检测到红外笔笔尖接触屏幕时，自动进入书写模式。支持同一支笔，笔头、笔尾书写不同的颜色，且颜色可自定义。（响应文件中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E1E5B29">
            <w:pPr>
              <w:rPr>
                <w:rFonts w:hint="eastAsia"/>
                <w:highlight w:val="none"/>
              </w:rPr>
            </w:pPr>
            <w:r>
              <w:rPr>
                <w:rFonts w:hint="eastAsia"/>
                <w:highlight w:val="none"/>
              </w:rPr>
              <w:t>▲6、整机触摸支持动态压力感应，支持无任何电子功能的普通书写笔在整机上书写或点压时，整机能感应压力变化，书写或点压过程笔迹呈现不同粗细。整机支持手笔分离，通过提笔即写唤醒批注功能后，可进行手笔分离功能，使用笔正常书写，使用手指可以操作应用，进行点击操作。（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6F5B6A4">
            <w:pPr>
              <w:rPr>
                <w:rFonts w:hint="eastAsia"/>
                <w:highlight w:val="none"/>
              </w:rPr>
            </w:pPr>
            <w:r>
              <w:rPr>
                <w:rFonts w:hint="eastAsia"/>
                <w:highlight w:val="none"/>
              </w:rPr>
              <w:t>7、 支持智能板擦功能，系统可根据触控物体的形状自动识别出实物板擦，可擦除电子白板中的内容，无需依赖外部电子设备。</w:t>
            </w:r>
          </w:p>
          <w:p w14:paraId="3B79FA55">
            <w:pPr>
              <w:rPr>
                <w:rFonts w:hint="eastAsia"/>
                <w:highlight w:val="none"/>
              </w:rPr>
            </w:pPr>
            <w:r>
              <w:rPr>
                <w:rFonts w:hint="eastAsia"/>
                <w:highlight w:val="none"/>
              </w:rPr>
              <w:t>8、 触摸屏具有防遮挡功能，触摸接收器在单点或多点遮挡后仍能正常书写。</w:t>
            </w:r>
          </w:p>
          <w:p w14:paraId="34E23F44">
            <w:pPr>
              <w:rPr>
                <w:rFonts w:hint="eastAsia"/>
                <w:highlight w:val="none"/>
              </w:rPr>
            </w:pPr>
            <w:r>
              <w:rPr>
                <w:rFonts w:hint="eastAsia"/>
                <w:highlight w:val="none"/>
              </w:rPr>
              <w:t>9、 外接电脑设备连接整机且触摸信号连通时，外接电脑设备可直接读取整机前置USB接口的移动存储设备数据，连接整机前置USB接口的翻页笔和无线键鼠外接设备可直接使用于外接电脑。</w:t>
            </w:r>
          </w:p>
          <w:p w14:paraId="4F0690EA">
            <w:pPr>
              <w:rPr>
                <w:rFonts w:hint="eastAsia"/>
                <w:highlight w:val="none"/>
              </w:rPr>
            </w:pPr>
            <w:r>
              <w:rPr>
                <w:rFonts w:hint="eastAsia"/>
                <w:highlight w:val="none"/>
              </w:rPr>
              <w:t>10、支持智能U盘锁功能，整机可设置触摸及按键锁定，锁定后无法随意自由操作，需要使用时插入USB key可解锁。</w:t>
            </w:r>
          </w:p>
          <w:p w14:paraId="63887191">
            <w:pPr>
              <w:rPr>
                <w:rFonts w:hint="eastAsia"/>
                <w:highlight w:val="none"/>
              </w:rPr>
            </w:pPr>
            <w:r>
              <w:rPr>
                <w:rFonts w:hint="eastAsia"/>
                <w:highlight w:val="none"/>
              </w:rPr>
              <w:t>11、整机具备前置Type-C接口，通过Type-C接口实现音视频输入，外接电脑设备经双头Type-C线连接至整机，即可把外接电脑设备画面投到整机上，同时在整机上操作画面，可实现触摸电脑的操作，无需再连接触控USB线。</w:t>
            </w:r>
          </w:p>
          <w:p w14:paraId="1285BBB5">
            <w:pPr>
              <w:rPr>
                <w:rFonts w:hint="eastAsia"/>
                <w:highlight w:val="none"/>
              </w:rPr>
            </w:pPr>
            <w:r>
              <w:rPr>
                <w:rFonts w:hint="eastAsia"/>
                <w:highlight w:val="none"/>
              </w:rPr>
              <w:t>12、外接电脑设备经双头Type-C线连接至整机，可调用整机内置的摄像头、麦克风、扬声器，在外接电脑即可控制整机拍摄教室画面。</w:t>
            </w:r>
          </w:p>
          <w:p w14:paraId="18ADC709">
            <w:pPr>
              <w:rPr>
                <w:rFonts w:hint="eastAsia"/>
                <w:highlight w:val="none"/>
              </w:rPr>
            </w:pPr>
            <w:r>
              <w:rPr>
                <w:rFonts w:hint="eastAsia"/>
                <w:highlight w:val="none"/>
              </w:rPr>
              <w:t>13、前置Type-C接口，支持通过不带转换转置的外部线缆，实现外接电脑HDMI信号的接入显示。</w:t>
            </w:r>
          </w:p>
          <w:p w14:paraId="6B506599">
            <w:pPr>
              <w:rPr>
                <w:rFonts w:hint="eastAsia"/>
                <w:highlight w:val="none"/>
              </w:rPr>
            </w:pPr>
            <w:r>
              <w:rPr>
                <w:rFonts w:hint="eastAsia"/>
                <w:highlight w:val="none"/>
              </w:rPr>
              <w:t>14、整机关机状态下，通过长按电源键进入设置界面后，可点击屏幕选择恢复Android系统及Windows操作系统到出厂默认状态，无需额外工具辅助。</w:t>
            </w:r>
          </w:p>
          <w:p w14:paraId="77E5F0BD">
            <w:pPr>
              <w:rPr>
                <w:rFonts w:hint="eastAsia"/>
                <w:highlight w:val="none"/>
              </w:rPr>
            </w:pPr>
            <w:r>
              <w:rPr>
                <w:rFonts w:hint="eastAsia"/>
                <w:highlight w:val="none"/>
              </w:rPr>
              <w:t>15、整机关机状态下，通过长按电源键进入设置界面后，可点击屏幕选择故障检测、系统还原功能，系统还原可单独还原PC系统，单独还原整机系统。</w:t>
            </w:r>
          </w:p>
          <w:p w14:paraId="45F3D9DE">
            <w:pPr>
              <w:rPr>
                <w:rFonts w:hint="eastAsia"/>
                <w:highlight w:val="none"/>
              </w:rPr>
            </w:pPr>
            <w:r>
              <w:rPr>
                <w:rFonts w:hint="eastAsia"/>
                <w:highlight w:val="none"/>
              </w:rPr>
              <w:t>16、在整机全信号源通道下，支持十指长按屏幕5秒和遥控器两种方式实现触摸锁定及解锁，触摸锁定时整机无法被触控操作。</w:t>
            </w:r>
          </w:p>
          <w:p w14:paraId="26635F96">
            <w:pPr>
              <w:rPr>
                <w:rFonts w:hint="eastAsia"/>
                <w:highlight w:val="none"/>
              </w:rPr>
            </w:pPr>
            <w:r>
              <w:rPr>
                <w:rFonts w:hint="eastAsia"/>
                <w:highlight w:val="none"/>
              </w:rPr>
              <w:t>17、支持通道自动跳转功能，如整机处于正常使用状态，HDMI信号接入时，能自动识别并切换到对应的HDMI信号源通道，且断开后能回到上一通道。</w:t>
            </w:r>
          </w:p>
          <w:p w14:paraId="67AD6C95">
            <w:pPr>
              <w:rPr>
                <w:rFonts w:hint="eastAsia"/>
                <w:highlight w:val="none"/>
              </w:rPr>
            </w:pPr>
            <w:r>
              <w:rPr>
                <w:rFonts w:hint="eastAsia"/>
                <w:highlight w:val="none"/>
              </w:rPr>
              <w:t>18、在HDMI、Android以及Windows信号源模式下，整机屏幕支持手势下移实现半屏显示，半屏显示时可通过点击上方屏幕返回全屏。</w:t>
            </w:r>
          </w:p>
          <w:p w14:paraId="38647115">
            <w:pPr>
              <w:rPr>
                <w:rFonts w:hint="eastAsia"/>
                <w:highlight w:val="none"/>
              </w:rPr>
            </w:pPr>
            <w:r>
              <w:rPr>
                <w:rFonts w:hint="eastAsia"/>
                <w:highlight w:val="none"/>
              </w:rPr>
              <w:t>19、支持半屏模式，将Windows显示画面上半部分下拉到屏幕下半部分显示，此时依然可以正常触控操作Windows系统；点击非Windows显示画面区域（屏幕上半部分），即可退出该模式。</w:t>
            </w:r>
          </w:p>
          <w:p w14:paraId="3639FBBD">
            <w:pPr>
              <w:rPr>
                <w:rFonts w:hint="eastAsia"/>
                <w:highlight w:val="none"/>
              </w:rPr>
            </w:pPr>
            <w:r>
              <w:rPr>
                <w:rFonts w:hint="eastAsia"/>
                <w:highlight w:val="none"/>
              </w:rPr>
              <w:t>20、支持通道记忆功能，开机默认回到最近一次关机时的显示通道。</w:t>
            </w:r>
          </w:p>
          <w:p w14:paraId="72ABDA09">
            <w:pPr>
              <w:rPr>
                <w:rFonts w:hint="eastAsia"/>
                <w:highlight w:val="none"/>
              </w:rPr>
            </w:pPr>
            <w:r>
              <w:rPr>
                <w:rFonts w:hint="eastAsia"/>
                <w:highlight w:val="none"/>
              </w:rPr>
              <w:t>21、支持外接信号输入时自动唤醒功能，整机处于关机通电状态，外接电脑显示信号通过HDMI传输线连接至整机时，整机可智能识别外接电脑设备信号输入并自动开机。</w:t>
            </w:r>
          </w:p>
          <w:p w14:paraId="7D1A27FE">
            <w:pPr>
              <w:rPr>
                <w:rFonts w:hint="eastAsia"/>
                <w:highlight w:val="none"/>
              </w:rPr>
            </w:pPr>
            <w:r>
              <w:rPr>
                <w:rFonts w:hint="eastAsia"/>
                <w:highlight w:val="none"/>
              </w:rPr>
              <w:t>22、整机内置专业硬件自检维护工具（非第三方工具），支持对整机内部的板卡及部件模块进行故障检测、系统还原功能。</w:t>
            </w:r>
          </w:p>
          <w:p w14:paraId="1E05BCE9">
            <w:pPr>
              <w:rPr>
                <w:rFonts w:hint="eastAsia"/>
                <w:highlight w:val="none"/>
              </w:rPr>
            </w:pPr>
            <w:r>
              <w:rPr>
                <w:rFonts w:hint="eastAsia"/>
                <w:highlight w:val="none"/>
              </w:rPr>
              <w:t>23、当整机处于黑暗环境中并无人操作，一分钟后整机将可以自动进入熄屏模式。</w:t>
            </w:r>
          </w:p>
          <w:p w14:paraId="037329A1">
            <w:pPr>
              <w:rPr>
                <w:rFonts w:hint="eastAsia"/>
                <w:highlight w:val="none"/>
              </w:rPr>
            </w:pPr>
            <w:r>
              <w:rPr>
                <w:rFonts w:hint="eastAsia"/>
                <w:highlight w:val="none"/>
              </w:rPr>
              <w:t>24、支持将自定义图片、动画设置为开机画面。</w:t>
            </w:r>
          </w:p>
          <w:p w14:paraId="1D19E53B">
            <w:pPr>
              <w:rPr>
                <w:rFonts w:hint="eastAsia"/>
                <w:highlight w:val="none"/>
              </w:rPr>
            </w:pPr>
          </w:p>
          <w:p w14:paraId="57A8E9C6">
            <w:pPr>
              <w:rPr>
                <w:rFonts w:hint="eastAsia"/>
                <w:highlight w:val="none"/>
              </w:rPr>
            </w:pPr>
            <w:r>
              <w:rPr>
                <w:rFonts w:hint="eastAsia"/>
                <w:highlight w:val="none"/>
                <w:lang w:val="en-US" w:eastAsia="zh-CN"/>
              </w:rPr>
              <w:t>七</w:t>
            </w:r>
            <w:r>
              <w:rPr>
                <w:rFonts w:hint="eastAsia"/>
                <w:highlight w:val="none"/>
              </w:rPr>
              <w:t>、整机中控系统管理：</w:t>
            </w:r>
          </w:p>
          <w:p w14:paraId="7C21E82D">
            <w:pPr>
              <w:rPr>
                <w:rFonts w:hint="eastAsia"/>
                <w:highlight w:val="none"/>
              </w:rPr>
            </w:pPr>
            <w:r>
              <w:rPr>
                <w:rFonts w:hint="eastAsia"/>
                <w:highlight w:val="none"/>
              </w:rPr>
              <w:t>1、 支持通过Type-C接口U盘进行文件传输，兼容Type-C接口手机充电。type-C 支持最大充电功率15W。</w:t>
            </w:r>
          </w:p>
          <w:p w14:paraId="59FBE638">
            <w:pPr>
              <w:rPr>
                <w:rFonts w:hint="eastAsia"/>
                <w:highlight w:val="none"/>
              </w:rPr>
            </w:pPr>
            <w:r>
              <w:rPr>
                <w:rFonts w:hint="eastAsia"/>
                <w:highlight w:val="none"/>
              </w:rPr>
              <w:t>2、 整机在五分钟内处于无信号接收状态时，能够自动关机。整机具备供电保护模块，能够检测内置电脑是否插好在位，在内置电脑未在位的情况下，内置电脑无法上电工作。</w:t>
            </w:r>
          </w:p>
          <w:p w14:paraId="54767DC1">
            <w:pPr>
              <w:rPr>
                <w:rFonts w:hint="eastAsia"/>
                <w:highlight w:val="none"/>
              </w:rPr>
            </w:pPr>
            <w:r>
              <w:rPr>
                <w:rFonts w:hint="eastAsia"/>
                <w:highlight w:val="none"/>
              </w:rPr>
              <w:t>3、 支持云端在线系统固件升级。触摸屏在照度100k lx（勒克司）环境下仍能正常工作。</w:t>
            </w:r>
          </w:p>
          <w:p w14:paraId="0ECFB654">
            <w:pPr>
              <w:rPr>
                <w:rFonts w:hint="eastAsia"/>
                <w:highlight w:val="none"/>
              </w:rPr>
            </w:pPr>
            <w:r>
              <w:rPr>
                <w:rFonts w:hint="eastAsia"/>
                <w:highlight w:val="none"/>
              </w:rPr>
              <w:t>嵌入式Android操作系统下，白板支持对已经书写的笔迹和形状的颜色进行更换，在嵌入式系统下使用白板软件时，整机可自行调节屏幕亮度。</w:t>
            </w:r>
          </w:p>
          <w:p w14:paraId="12F6813D">
            <w:pPr>
              <w:rPr>
                <w:rFonts w:hint="eastAsia"/>
                <w:highlight w:val="none"/>
              </w:rPr>
            </w:pPr>
            <w:r>
              <w:rPr>
                <w:rFonts w:hint="eastAsia"/>
                <w:highlight w:val="none"/>
              </w:rPr>
              <w:t>4、嵌入式Android操作系统下，互动白板支持不同背景颜色，同时提供学科背景，如：五线谱、信纸、田字格、英文格、篮球和足球场地平面图。</w:t>
            </w:r>
          </w:p>
          <w:p w14:paraId="6848BB91">
            <w:pPr>
              <w:rPr>
                <w:rFonts w:hint="eastAsia"/>
                <w:highlight w:val="none"/>
              </w:rPr>
            </w:pPr>
            <w:r>
              <w:rPr>
                <w:rFonts w:hint="eastAsia"/>
                <w:highlight w:val="none"/>
              </w:rPr>
              <w:t>5、无PC状态下，嵌入式系统内置互动白板支持十笔书写及手掌擦除（手掌擦除面积根据手掌与屏幕的接触面大小自动调整），白板书写内容可以PDF、IWB和SVG格式导出。支持10种以上平面图形工具。支持7种以上立体图形工具。</w:t>
            </w:r>
          </w:p>
          <w:p w14:paraId="2DA8C769">
            <w:pPr>
              <w:rPr>
                <w:rFonts w:hint="eastAsia"/>
                <w:highlight w:val="none"/>
              </w:rPr>
            </w:pPr>
            <w:r>
              <w:rPr>
                <w:rFonts w:hint="eastAsia"/>
                <w:highlight w:val="none"/>
              </w:rPr>
              <w:t>6、无PC状态下，嵌入式系统内置互动白板支持全局漫游，并能在工具栏中对全局内容进行预览和移动。</w:t>
            </w:r>
          </w:p>
          <w:p w14:paraId="59C6D27F">
            <w:pPr>
              <w:rPr>
                <w:rFonts w:hint="eastAsia"/>
                <w:highlight w:val="none"/>
              </w:rPr>
            </w:pPr>
            <w:r>
              <w:rPr>
                <w:rFonts w:hint="eastAsia"/>
                <w:highlight w:val="none"/>
              </w:rPr>
              <w:t>7、无PC状态下，嵌入式Android操作系统下可使用白板书写、WPS软件和网页浏览。</w:t>
            </w:r>
          </w:p>
          <w:p w14:paraId="75564DBA">
            <w:pPr>
              <w:rPr>
                <w:rFonts w:hint="eastAsia"/>
                <w:highlight w:val="none"/>
              </w:rPr>
            </w:pPr>
            <w:r>
              <w:rPr>
                <w:rFonts w:hint="eastAsia"/>
                <w:highlight w:val="none"/>
              </w:rPr>
              <w:t>8、在嵌入式Android操作系统下，能对TV多媒体USB所读取到的文件进行自动归类，可分类查找文档、板书、图片、音视频，检索后可直接在界面中打开。</w:t>
            </w:r>
          </w:p>
          <w:p w14:paraId="56B048D1">
            <w:pPr>
              <w:rPr>
                <w:rFonts w:hint="eastAsia"/>
                <w:highlight w:val="none"/>
              </w:rPr>
            </w:pPr>
            <w:r>
              <w:rPr>
                <w:rFonts w:hint="eastAsia"/>
                <w:highlight w:val="none"/>
              </w:rPr>
              <w:t>9、整机内置全通道侧边栏快捷菜单，小工具、应用软件、快捷设置、亮度/音量调节、教室物联入口。</w:t>
            </w:r>
          </w:p>
          <w:p w14:paraId="36FC8A1B">
            <w:pPr>
              <w:rPr>
                <w:rFonts w:hint="eastAsia"/>
                <w:highlight w:val="none"/>
              </w:rPr>
            </w:pPr>
            <w:r>
              <w:rPr>
                <w:rFonts w:hint="eastAsia"/>
                <w:highlight w:val="none"/>
              </w:rPr>
              <w:t>10、整机全通道侧边栏支持展示学校名称、设备班级、场地信息。</w:t>
            </w:r>
          </w:p>
          <w:p w14:paraId="21E8A2E2">
            <w:pPr>
              <w:rPr>
                <w:rFonts w:hint="eastAsia"/>
                <w:highlight w:val="none"/>
              </w:rPr>
            </w:pPr>
            <w:r>
              <w:rPr>
                <w:rFonts w:hint="eastAsia"/>
                <w:highlight w:val="none"/>
              </w:rPr>
              <w:t>11、整机全通道侧边栏快捷菜单包含如下小工具：批注、降半屏、截屏、放大镜、倒计时、日历、聚光灯、秒表、冻屏、倒数日、答题、节拍器</w:t>
            </w:r>
          </w:p>
          <w:p w14:paraId="37E38788">
            <w:pPr>
              <w:rPr>
                <w:rFonts w:hint="eastAsia"/>
                <w:highlight w:val="none"/>
              </w:rPr>
            </w:pPr>
            <w:r>
              <w:rPr>
                <w:rFonts w:hint="eastAsia"/>
                <w:highlight w:val="none"/>
              </w:rPr>
              <w:t>12、整机全通道侧边栏快捷菜单小工具支持自定义，支持设置对应小工具的显示/隐藏。</w:t>
            </w:r>
          </w:p>
          <w:p w14:paraId="2FF34BE8">
            <w:pPr>
              <w:rPr>
                <w:rFonts w:hint="eastAsia"/>
                <w:highlight w:val="none"/>
              </w:rPr>
            </w:pPr>
            <w:r>
              <w:rPr>
                <w:rFonts w:hint="eastAsia"/>
                <w:highlight w:val="none"/>
              </w:rPr>
              <w:t>13、整机全通道侧边栏支持使用批注小工具进行批注讲解，可切换书写笔颜色、截屏保存批注内容、清屏，可根据手与屏幕的接触面积自动调整板擦工具的大小。</w:t>
            </w:r>
          </w:p>
          <w:p w14:paraId="51F85535">
            <w:pPr>
              <w:rPr>
                <w:rFonts w:hint="eastAsia"/>
                <w:highlight w:val="none"/>
              </w:rPr>
            </w:pPr>
            <w:r>
              <w:rPr>
                <w:rFonts w:hint="eastAsia"/>
                <w:highlight w:val="none"/>
              </w:rPr>
              <w:t>14、整机全通道侧边栏支持将设备屏幕降低为半屏幕状态，点击上半屏幕可返回全屏状态。</w:t>
            </w:r>
          </w:p>
          <w:p w14:paraId="7E217A01">
            <w:pPr>
              <w:rPr>
                <w:rFonts w:hint="eastAsia"/>
                <w:highlight w:val="none"/>
              </w:rPr>
            </w:pPr>
            <w:r>
              <w:rPr>
                <w:rFonts w:hint="eastAsia"/>
                <w:highlight w:val="none"/>
              </w:rPr>
              <w:t>15、整机全通道侧边栏支持自主选择所需截取的屏幕范围，点击截屏可成功截取屏幕，并自动保存。</w:t>
            </w:r>
          </w:p>
          <w:p w14:paraId="3A7CDBFD">
            <w:pPr>
              <w:rPr>
                <w:rFonts w:hint="eastAsia"/>
                <w:highlight w:val="none"/>
              </w:rPr>
            </w:pPr>
            <w:r>
              <w:rPr>
                <w:rFonts w:hint="eastAsia"/>
                <w:highlight w:val="none"/>
              </w:rPr>
              <w:t>16、整机全通道侧边栏支持放大选中区域内容；并可支持对未选中区域关灯处理，实现聚光灯效果。</w:t>
            </w:r>
          </w:p>
          <w:p w14:paraId="463299FE">
            <w:pPr>
              <w:rPr>
                <w:rFonts w:hint="eastAsia"/>
                <w:highlight w:val="none"/>
              </w:rPr>
            </w:pPr>
            <w:r>
              <w:rPr>
                <w:rFonts w:hint="eastAsia"/>
                <w:highlight w:val="none"/>
              </w:rPr>
              <w:t>17、整机全通道侧边栏支持倒计时、正计时功能；倒计时，输入某特定时间值，可精确到秒，点击开始进入倒计时；正计时，点击开始计时便自动开始，并实时显示时间。</w:t>
            </w:r>
          </w:p>
          <w:p w14:paraId="6B06CAAD">
            <w:pPr>
              <w:rPr>
                <w:rFonts w:hint="eastAsia"/>
                <w:highlight w:val="none"/>
              </w:rPr>
            </w:pPr>
            <w:r>
              <w:rPr>
                <w:rFonts w:hint="eastAsia"/>
                <w:highlight w:val="none"/>
              </w:rPr>
              <w:t>18、整机全通道侧边栏支持打开日历，查看日期。</w:t>
            </w:r>
          </w:p>
          <w:p w14:paraId="6B233974">
            <w:pPr>
              <w:rPr>
                <w:rFonts w:hint="eastAsia"/>
                <w:highlight w:val="none"/>
              </w:rPr>
            </w:pPr>
            <w:r>
              <w:rPr>
                <w:rFonts w:hint="eastAsia"/>
                <w:highlight w:val="none"/>
              </w:rPr>
              <w:t>19、整机全通道侧边栏支持聚光灯，支持聚光灯高亮区域大小调节、区域移动。</w:t>
            </w:r>
          </w:p>
          <w:p w14:paraId="611711F1">
            <w:pPr>
              <w:rPr>
                <w:rFonts w:hint="eastAsia"/>
                <w:highlight w:val="none"/>
              </w:rPr>
            </w:pPr>
            <w:r>
              <w:rPr>
                <w:rFonts w:hint="eastAsia"/>
                <w:highlight w:val="none"/>
              </w:rPr>
              <w:t>20、整机全通道侧边栏支持冻屏，将屏幕画面进行缩放。</w:t>
            </w:r>
          </w:p>
          <w:p w14:paraId="37274288">
            <w:pPr>
              <w:rPr>
                <w:rFonts w:hint="eastAsia"/>
                <w:highlight w:val="none"/>
              </w:rPr>
            </w:pPr>
            <w:r>
              <w:rPr>
                <w:rFonts w:hint="eastAsia"/>
                <w:highlight w:val="none"/>
              </w:rPr>
              <w:t>21、整机安卓和全部外接通道（HDMI、Type-C）下侧边栏支持设置倒数日。</w:t>
            </w:r>
          </w:p>
          <w:p w14:paraId="6C8F368D">
            <w:pPr>
              <w:rPr>
                <w:rFonts w:hint="eastAsia"/>
                <w:highlight w:val="none"/>
              </w:rPr>
            </w:pPr>
            <w:r>
              <w:rPr>
                <w:rFonts w:hint="eastAsia"/>
                <w:highlight w:val="none"/>
              </w:rPr>
              <w:t>▲22、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76751A4">
            <w:pPr>
              <w:rPr>
                <w:rFonts w:hint="eastAsia"/>
                <w:highlight w:val="none"/>
              </w:rPr>
            </w:pPr>
            <w:r>
              <w:rPr>
                <w:rFonts w:hint="eastAsia"/>
                <w:highlight w:val="none"/>
              </w:rPr>
              <w:t>23、整机安卓和全部外接通道（HDMI、Type-c）下侧边栏支持节拍器，支持设置节拍、轻重、节拍播放速度。全通道下可支持通过自定义按键调出该功能。</w:t>
            </w:r>
          </w:p>
          <w:p w14:paraId="18E63679">
            <w:pPr>
              <w:rPr>
                <w:rFonts w:hint="eastAsia"/>
                <w:highlight w:val="none"/>
              </w:rPr>
            </w:pPr>
            <w:r>
              <w:rPr>
                <w:rFonts w:hint="eastAsia"/>
                <w:highlight w:val="none"/>
              </w:rPr>
              <w:t>24、整机支持在设备上通过摄像头获取教室内图像并自动识别图像内所有人员，并随机抽选1人。</w:t>
            </w:r>
          </w:p>
          <w:p w14:paraId="4E2A0964">
            <w:pPr>
              <w:rPr>
                <w:rFonts w:hint="eastAsia"/>
                <w:highlight w:val="none"/>
              </w:rPr>
            </w:pPr>
            <w:r>
              <w:rPr>
                <w:rFonts w:hint="eastAsia"/>
                <w:highlight w:val="none"/>
              </w:rPr>
              <w:t>25、整机支持在设备上通过摄像头获取教室内图像并自动识别图像内所有人员，并自动进行人数统计。</w:t>
            </w:r>
          </w:p>
          <w:p w14:paraId="05F7BDFC">
            <w:pPr>
              <w:rPr>
                <w:rFonts w:hint="eastAsia"/>
                <w:highlight w:val="none"/>
              </w:rPr>
            </w:pPr>
            <w:r>
              <w:rPr>
                <w:rFonts w:hint="eastAsia"/>
                <w:highlight w:val="none"/>
              </w:rPr>
              <w:t>26、整机支持在设备上，通过侧边栏实现调用windows系统运行、打开文件夹、打开任务管理。</w:t>
            </w:r>
          </w:p>
          <w:p w14:paraId="0AD6F4CD">
            <w:pPr>
              <w:rPr>
                <w:rFonts w:hint="eastAsia"/>
                <w:highlight w:val="none"/>
              </w:rPr>
            </w:pPr>
            <w:r>
              <w:rPr>
                <w:rFonts w:hint="eastAsia"/>
                <w:highlight w:val="none"/>
              </w:rPr>
              <w:t>27、整机Windows通道支持对当前运行中的应用进行窗口最大化、窗口最小化、应用强制关闭。</w:t>
            </w:r>
          </w:p>
          <w:p w14:paraId="7C5DCDC0">
            <w:pPr>
              <w:rPr>
                <w:rFonts w:hint="eastAsia"/>
                <w:highlight w:val="none"/>
              </w:rPr>
            </w:pPr>
            <w:r>
              <w:rPr>
                <w:rFonts w:hint="eastAsia"/>
                <w:highlight w:val="none"/>
              </w:rPr>
              <w:t>28、整机Windows通道支持通过侧边栏调取软键盘。整机处于非内置PC通道下，支持通过侧边栏进入PC通道。整机全通道侧边栏快捷菜单支持快捷调节音量、亮度，支持自动亮度模式，支持点击静音按钮静音。</w:t>
            </w:r>
          </w:p>
          <w:p w14:paraId="445555BD">
            <w:pPr>
              <w:rPr>
                <w:rFonts w:hint="eastAsia"/>
                <w:highlight w:val="none"/>
              </w:rPr>
            </w:pPr>
            <w:r>
              <w:rPr>
                <w:rFonts w:hint="eastAsia"/>
                <w:highlight w:val="none"/>
              </w:rPr>
              <w:t>29、整机全通道侧边栏快捷菜单中应用软件可以进行切换，无需在已经开启的应用软件全屏模式下退出当前应用再选择更换。整机全通道侧边栏支持自定义快捷菜单，支持windows 应用固定，可将应用固定后，在侧边栏进行快捷打开。</w:t>
            </w:r>
          </w:p>
          <w:p w14:paraId="3D48BAA6">
            <w:pPr>
              <w:rPr>
                <w:rFonts w:hint="eastAsia"/>
                <w:highlight w:val="none"/>
              </w:rPr>
            </w:pPr>
            <w:r>
              <w:rPr>
                <w:rFonts w:hint="eastAsia"/>
                <w:highlight w:val="none"/>
              </w:rPr>
              <w:t>30、整机全通道侧边栏快捷菜单中可实时查看物联设备的连接情况，点击设备图标即可调出中控菜单进行管控。整机全通道侧边栏快捷菜单支持简洁模式和常规模式切换。</w:t>
            </w:r>
          </w:p>
          <w:p w14:paraId="1A1884F1">
            <w:pPr>
              <w:rPr>
                <w:rFonts w:hint="eastAsia"/>
                <w:highlight w:val="none"/>
              </w:rPr>
            </w:pPr>
            <w:r>
              <w:rPr>
                <w:rFonts w:hint="eastAsia"/>
                <w:highlight w:val="none"/>
              </w:rPr>
              <w:t>31、整机全通道侧边栏快捷菜单简洁模式，可进行打开批注、降半屏、主页的基础操作。</w:t>
            </w:r>
          </w:p>
          <w:p w14:paraId="154D4654">
            <w:pPr>
              <w:rPr>
                <w:rFonts w:hint="eastAsia"/>
                <w:highlight w:val="none"/>
              </w:rPr>
            </w:pPr>
            <w:r>
              <w:rPr>
                <w:rFonts w:hint="eastAsia"/>
                <w:highlight w:val="none"/>
              </w:rPr>
              <w:t>整机内置触摸中控菜单，在整机全信号源通道下通过手势在屏幕上调取该触摸菜单；支持信号源通道切换、护眼、声音调节功能；支持切换智能息屏、经典护眼模式、纸质护眼模式、自动亮度模式；并可支持调节音量、亮度，支持自动亮度模式，支持点击静音按钮静音。</w:t>
            </w:r>
          </w:p>
          <w:p w14:paraId="50EC5FAE">
            <w:pPr>
              <w:rPr>
                <w:rFonts w:hint="eastAsia"/>
                <w:highlight w:val="none"/>
              </w:rPr>
            </w:pPr>
            <w:r>
              <w:rPr>
                <w:rFonts w:hint="eastAsia"/>
                <w:highlight w:val="none"/>
              </w:rPr>
              <w:t>32、整机内置触摸中控菜单，可查看当前正在运行的应用，支持应用切换，在全屏应用下无需退出全屏应用即可进行切换；支持应用关闭，以及关闭所有应用。</w:t>
            </w:r>
          </w:p>
          <w:p w14:paraId="3058359A">
            <w:pPr>
              <w:rPr>
                <w:rFonts w:hint="eastAsia"/>
                <w:highlight w:val="none"/>
              </w:rPr>
            </w:pPr>
          </w:p>
          <w:p w14:paraId="1E22D857">
            <w:pPr>
              <w:rPr>
                <w:rFonts w:hint="eastAsia"/>
                <w:highlight w:val="none"/>
              </w:rPr>
            </w:pPr>
            <w:r>
              <w:rPr>
                <w:rFonts w:hint="eastAsia"/>
                <w:highlight w:val="none"/>
                <w:lang w:val="en-US" w:eastAsia="zh-CN"/>
              </w:rPr>
              <w:t>八</w:t>
            </w:r>
            <w:r>
              <w:rPr>
                <w:rFonts w:hint="eastAsia"/>
                <w:highlight w:val="none"/>
              </w:rPr>
              <w:t>、教学桌面功能：</w:t>
            </w:r>
          </w:p>
          <w:p w14:paraId="37B70401">
            <w:pPr>
              <w:rPr>
                <w:rFonts w:hint="eastAsia"/>
                <w:highlight w:val="none"/>
              </w:rPr>
            </w:pPr>
            <w:r>
              <w:rPr>
                <w:rFonts w:hint="eastAsia"/>
                <w:highlight w:val="none"/>
              </w:rPr>
              <w:t>1、整机设备开机启动后，自动进入教学桌面，支持账号登录、退出，自动获取个人云端教学课件列表，并可进入全部课件列表。</w:t>
            </w:r>
          </w:p>
          <w:p w14:paraId="206C1A07">
            <w:pPr>
              <w:rPr>
                <w:rFonts w:hint="eastAsia"/>
                <w:highlight w:val="none"/>
              </w:rPr>
            </w:pPr>
            <w:r>
              <w:rPr>
                <w:rFonts w:hint="eastAsia"/>
                <w:highlight w:val="none"/>
              </w:rPr>
              <w:t>2、整机设备支持多种身份识别方式，可通过账号登录、手机扫码登录，并支持账号安全登录检测。</w:t>
            </w:r>
          </w:p>
          <w:p w14:paraId="47BA711D">
            <w:pPr>
              <w:rPr>
                <w:rFonts w:hint="eastAsia"/>
                <w:highlight w:val="none"/>
              </w:rPr>
            </w:pPr>
            <w:r>
              <w:rPr>
                <w:rFonts w:hint="eastAsia"/>
                <w:highlight w:val="none"/>
              </w:rPr>
              <w:t>3、 整机设备支持统一互通的用户身份认证服务，账号登录后，打开教学白板软件教学应用工具时无需再次输入账号密码重复登录。</w:t>
            </w:r>
          </w:p>
          <w:p w14:paraId="36469E40">
            <w:pPr>
              <w:rPr>
                <w:rFonts w:hint="eastAsia"/>
                <w:highlight w:val="none"/>
              </w:rPr>
            </w:pPr>
            <w:r>
              <w:rPr>
                <w:rFonts w:hint="eastAsia"/>
                <w:highlight w:val="none"/>
              </w:rPr>
              <w:t>▲4、整机设备教学桌面支持教学常用的教学白板软件和文件管理软件软件；教学桌面首页支持自定义桌面应用，支持展示8个应用入口。并提供进入本机所有应用的入口。可将应用编辑到教学桌面首页，编辑方式支持从教学桌面首页进入编辑，支持在全部应用列表中进入编辑 2 种方式。教学桌面首页应用支持无需进入应用编辑页面，在首页指定应用上长按进行移除。（响应文件中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7018D7E">
            <w:pPr>
              <w:rPr>
                <w:rFonts w:hint="eastAsia"/>
                <w:highlight w:val="none"/>
              </w:rPr>
            </w:pPr>
            <w:r>
              <w:rPr>
                <w:rFonts w:hint="eastAsia"/>
                <w:highlight w:val="none"/>
              </w:rPr>
              <w:t>▲5、整机设备教学桌面支持查看设备盘符，支持本地磁盘和外接 U 盘、移动硬盘，点击即可打开该磁盘查看磁盘文件。教学桌面支持显示存储空间状态，当存储空间即将满载时候进行红色标记明显提示。（响应文件中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5A0477D9">
            <w:pPr>
              <w:rPr>
                <w:rFonts w:hint="eastAsia"/>
                <w:highlight w:val="none"/>
              </w:rPr>
            </w:pPr>
            <w:r>
              <w:rPr>
                <w:rFonts w:hint="eastAsia"/>
                <w:highlight w:val="none"/>
              </w:rPr>
              <w:t>6、整机设备教学桌面支持推荐应用，推荐应用支持移除，整机设备教学桌面支持进行应用卸载，设备教学桌面的教师登录账号后，可自动获取并在桌面显示最近使用的教学课件，点击课件可直接进入授课模式；并支持查看所有个人教学课件资源。</w:t>
            </w:r>
          </w:p>
          <w:p w14:paraId="1491064D">
            <w:pPr>
              <w:rPr>
                <w:rFonts w:hint="eastAsia"/>
                <w:highlight w:val="none"/>
              </w:rPr>
            </w:pPr>
            <w:r>
              <w:rPr>
                <w:rFonts w:hint="eastAsia"/>
                <w:highlight w:val="none"/>
              </w:rPr>
              <w:t>7、整机设备教学桌面支持进行壁纸编辑，内置10张以上壁纸，并支持自定义壁纸，设备教学桌面支持 U 盘、移动硬盘外接存储设备直接在桌面显示，无需打开文件浏览器即可查看文件列表，并且支持文件打开。支持查看全部文件列表以及按照文档、图片、音视频分类方式查看文件列表。</w:t>
            </w:r>
          </w:p>
          <w:p w14:paraId="529C3436">
            <w:pPr>
              <w:rPr>
                <w:rFonts w:hint="eastAsia"/>
                <w:highlight w:val="none"/>
              </w:rPr>
            </w:pPr>
            <w:r>
              <w:rPr>
                <w:rFonts w:hint="eastAsia"/>
                <w:highlight w:val="none"/>
              </w:rPr>
              <w:t>8、 整机设备教学桌面U盘文件查看窗口支持使用文件浏览器打开U盘，支持进行通道切换，当设备有其他输入源时，可在桌面点击信号源进行输入源切换。</w:t>
            </w:r>
          </w:p>
          <w:p w14:paraId="34021447">
            <w:pPr>
              <w:rPr>
                <w:rFonts w:hint="eastAsia"/>
                <w:highlight w:val="none"/>
              </w:rPr>
            </w:pPr>
            <w:r>
              <w:rPr>
                <w:rFonts w:hint="eastAsia"/>
                <w:highlight w:val="none"/>
              </w:rPr>
              <w:t>9、整机设备教学桌面支持进行锁屏操作，整机设备教学桌面支持进行重启、关机操作。</w:t>
            </w:r>
          </w:p>
          <w:p w14:paraId="31DA39BE">
            <w:pPr>
              <w:rPr>
                <w:rFonts w:hint="eastAsia"/>
                <w:highlight w:val="none"/>
              </w:rPr>
            </w:pPr>
            <w:r>
              <w:rPr>
                <w:rFonts w:hint="eastAsia"/>
                <w:highlight w:val="none"/>
              </w:rPr>
              <w:t>▲10、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33850013">
            <w:pPr>
              <w:rPr>
                <w:rFonts w:hint="eastAsia"/>
                <w:highlight w:val="none"/>
              </w:rPr>
            </w:pPr>
            <w:r>
              <w:rPr>
                <w:rFonts w:hint="eastAsia"/>
                <w:highlight w:val="none"/>
              </w:rPr>
              <w:t>11、整机Windows通道支持文件传输应用，可将手机文件传输到整机上，无需借助第三方网页、第三方应用，传输文件格式支持：pptx、pdf、docx、txt、xlsx、enbx、jpg、png、gif、svg、mp4、rmvb、avi、3gp、wmv、flv、mkv、mp3、wav、wma、ogg、zip。</w:t>
            </w:r>
          </w:p>
          <w:p w14:paraId="3196D5E6">
            <w:pPr>
              <w:rPr>
                <w:rFonts w:hint="eastAsia"/>
                <w:highlight w:val="none"/>
              </w:rPr>
            </w:pPr>
            <w:r>
              <w:rPr>
                <w:rFonts w:hint="eastAsia"/>
                <w:highlight w:val="none"/>
              </w:rPr>
              <w:t>12、整机Windows通道支持文件传输应用，支持通过扫码、wifi直联、超声三种方式与手机进行握手连接，实现文件传输功能，Windows 通道支持文件传输应用，传输方式支持公网传输、局域网传输、WiFi 直连传输，接收的文件支持单份删除；接收的文件支持手动全部清空，为防止误清空，全部清空需要经过二次确认。</w:t>
            </w:r>
          </w:p>
          <w:p w14:paraId="485CCCF5">
            <w:pPr>
              <w:rPr>
                <w:rFonts w:hint="eastAsia"/>
                <w:highlight w:val="none"/>
              </w:rPr>
            </w:pPr>
            <w:r>
              <w:rPr>
                <w:rFonts w:hint="eastAsia"/>
                <w:highlight w:val="none"/>
              </w:rPr>
              <w:t>13、整机Windows通道支持文件传输应用，支持打开文件所在文件夹，开启该应用后，可自动打开整机热点，并在文件传输应用中显示热点信息，无需手动在设置中查看热点。</w:t>
            </w:r>
          </w:p>
          <w:p w14:paraId="5D8948AC">
            <w:pPr>
              <w:rPr>
                <w:rFonts w:hint="eastAsia"/>
                <w:highlight w:val="none"/>
              </w:rPr>
            </w:pPr>
            <w:r>
              <w:rPr>
                <w:rFonts w:hint="eastAsia"/>
                <w:highlight w:val="none"/>
              </w:rPr>
              <w:t>▲14、整机设备自带地震预警软件。支持在地震预警页面中获取位置，可以手动进行位置校准。支持在地震预警页面中选择提醒阈值。支持在地震预警界面中开启和关闭地震预警服务。（响应文件中</w:t>
            </w:r>
            <w:r>
              <w:rPr>
                <w:rFonts w:hint="eastAsia"/>
                <w:highlight w:val="none"/>
                <w:lang w:eastAsia="zh-CN"/>
              </w:rPr>
              <w:t>须出具</w:t>
            </w:r>
            <w:r>
              <w:rPr>
                <w:rFonts w:hint="eastAsia"/>
                <w:highlight w:val="none"/>
              </w:rPr>
              <w:t>检验结果符合或者优于此条技术参数的经国家认可的第三方检验（检测）机构出具的带有CMA或CNAS标志的检验/检测报告复印件）</w:t>
            </w:r>
          </w:p>
          <w:p w14:paraId="13310DDE">
            <w:pPr>
              <w:rPr>
                <w:rFonts w:hint="eastAsia"/>
                <w:highlight w:val="none"/>
              </w:rPr>
            </w:pPr>
          </w:p>
          <w:p w14:paraId="2F1776FB">
            <w:pPr>
              <w:rPr>
                <w:rFonts w:hint="eastAsia"/>
                <w:highlight w:val="none"/>
              </w:rPr>
            </w:pPr>
            <w:r>
              <w:rPr>
                <w:rFonts w:hint="eastAsia"/>
                <w:highlight w:val="none"/>
              </w:rPr>
              <w:t>九、教学备授课软件要求</w:t>
            </w:r>
          </w:p>
          <w:p w14:paraId="31744BB3">
            <w:pPr>
              <w:rPr>
                <w:rFonts w:hint="eastAsia"/>
                <w:highlight w:val="none"/>
              </w:rPr>
            </w:pPr>
            <w:r>
              <w:rPr>
                <w:rFonts w:hint="eastAsia"/>
                <w:highlight w:val="none"/>
              </w:rPr>
              <w:t>（一）整体设计：</w:t>
            </w:r>
          </w:p>
          <w:p w14:paraId="27B712A8">
            <w:pPr>
              <w:rPr>
                <w:rFonts w:hint="eastAsia"/>
                <w:highlight w:val="none"/>
              </w:rPr>
            </w:pPr>
            <w:r>
              <w:rPr>
                <w:rFonts w:hint="eastAsia"/>
                <w:highlight w:val="none"/>
              </w:rPr>
              <w:t>▲1、支持为教师提供可扩展至100TB的云存储空间，教师可在个人云空间上传存储互动课件、云教案和其他教学资源。支持上传的资源格式有：</w:t>
            </w:r>
          </w:p>
          <w:p w14:paraId="194B29BD">
            <w:pPr>
              <w:rPr>
                <w:rFonts w:hint="eastAsia"/>
                <w:highlight w:val="none"/>
              </w:rPr>
            </w:pPr>
            <w:r>
              <w:rPr>
                <w:rFonts w:hint="eastAsia"/>
                <w:highlight w:val="none"/>
              </w:rPr>
              <w:t>文档：ppt、pptx、word、pdf、excel；</w:t>
            </w:r>
          </w:p>
          <w:p w14:paraId="34A18670">
            <w:pPr>
              <w:rPr>
                <w:rFonts w:hint="eastAsia"/>
                <w:highlight w:val="none"/>
              </w:rPr>
            </w:pPr>
            <w:r>
              <w:rPr>
                <w:rFonts w:hint="eastAsia"/>
                <w:highlight w:val="none"/>
              </w:rPr>
              <w:t>图片：bmp、png、jpg、jpeg、gif；</w:t>
            </w:r>
          </w:p>
          <w:p w14:paraId="6E58B94A">
            <w:pPr>
              <w:rPr>
                <w:rFonts w:hint="eastAsia"/>
                <w:highlight w:val="none"/>
              </w:rPr>
            </w:pPr>
            <w:r>
              <w:rPr>
                <w:rFonts w:hint="eastAsia"/>
                <w:highlight w:val="none"/>
              </w:rPr>
              <w:t>音视频：mp3、wav、wma、ogg、aac、mp4、rmvb、wmv、avi、rm、3gp、mkv、flv、mov、svg、swf。</w:t>
            </w:r>
          </w:p>
          <w:p w14:paraId="532EACA4">
            <w:pPr>
              <w:rPr>
                <w:rFonts w:hint="eastAsia"/>
                <w:highlight w:val="none"/>
              </w:rPr>
            </w:pPr>
            <w:r>
              <w:rPr>
                <w:rFonts w:hint="eastAsia"/>
                <w:highlight w:val="none"/>
              </w:rPr>
              <w:t>2、支持移动调整文件及文件夹的层级，支持对文件进行重命名、删除操作。互动课件与其他教学资源的云空间相互独立；教师可新建课件组或素材文件夹对教学资源进行个性化的分类与标记；多媒体素材库内的素材可插入互动课件，互动课件内的多媒体素材可在课件内直接上传至多媒体素材存储空间，支持教师调用、采集教学素材。</w:t>
            </w:r>
          </w:p>
          <w:p w14:paraId="14A8BFA0">
            <w:pPr>
              <w:rPr>
                <w:rFonts w:hint="eastAsia"/>
                <w:highlight w:val="none"/>
              </w:rPr>
            </w:pPr>
            <w:r>
              <w:rPr>
                <w:rFonts w:hint="eastAsia"/>
                <w:highlight w:val="none"/>
              </w:rPr>
              <w:t>3、为使用方全体教师配备个人账号，形成一体的信息化教学账号体系；根据教师账号信息将教师云空间匹配至对应学校、学科校本资源库。支持通过数字账号、微信二维码、硬件密钥方式登录教师个人账号。</w:t>
            </w:r>
          </w:p>
          <w:p w14:paraId="502995FF">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7C6AEDC0">
            <w:pPr>
              <w:rPr>
                <w:rFonts w:hint="eastAsia"/>
                <w:highlight w:val="none"/>
              </w:rPr>
            </w:pPr>
            <w:r>
              <w:rPr>
                <w:rFonts w:hint="eastAsia"/>
                <w:highlight w:val="none"/>
              </w:rPr>
              <w:t>4、互动课件支持定向分享，分享者可将互动课件、课件组推送至指定接收方账号的云空间，接收方可在云空间接收并打开分享课件。（响应文件中须出具检验结果符合或者优于本项参数的国家认可的第三方认证（检测）机构出具的带有CMA或CNAS标志的检测报告）</w:t>
            </w:r>
          </w:p>
          <w:p w14:paraId="3D451797">
            <w:pPr>
              <w:rPr>
                <w:rFonts w:hint="eastAsia"/>
                <w:highlight w:val="none"/>
              </w:rPr>
            </w:pPr>
            <w:r>
              <w:rPr>
                <w:rFonts w:hint="eastAsia"/>
                <w:highlight w:val="none"/>
              </w:rPr>
              <w:t>互动课件支持开放式云分享，分享者可将互动课件、课件组以公开或加密的web链接和二维码形式进行分享，分享链接可设置访问有效期。（响应文件中须出具检验结果符合或者优于本项参数的国家认可的第三方认证（检测）机构出具的带有CMA或CNAS标志的检测报告）</w:t>
            </w:r>
          </w:p>
          <w:p w14:paraId="5D739CB4">
            <w:pPr>
              <w:rPr>
                <w:rFonts w:hint="eastAsia"/>
                <w:highlight w:val="none"/>
              </w:rPr>
            </w:pPr>
            <w:r>
              <w:rPr>
                <w:rFonts w:hint="eastAsia"/>
                <w:highlight w:val="none"/>
              </w:rPr>
              <w:t>5、提供拼音卡片、古诗词、汉字卡片、中文听写、数学画板、字母卡片、英汉词典、英文听写、化学实验、元素周期、化学方程、物理线图、星球至少20种学科工具，可一键插入课件。学科工具支持教师自主设置在首页显示的功能，且该设置在备课和授课端之间可以同步。（响应文件中须出具检验结果符合或者优于本项参数的国家认可的第三方认证（检测）机构出具的带有CMA或CNAS标志的检测报告）</w:t>
            </w:r>
          </w:p>
          <w:p w14:paraId="6F5F10F2">
            <w:pPr>
              <w:rPr>
                <w:rFonts w:hint="eastAsia"/>
                <w:highlight w:val="none"/>
              </w:rPr>
            </w:pPr>
            <w:r>
              <w:rPr>
                <w:rFonts w:hint="eastAsia"/>
                <w:highlight w:val="none"/>
              </w:rPr>
              <w:t>▲6、提供互动式教学课件资源，包含学科教育各学段各地区教材版本不少于88个；包含学科教育各学段教材版本全部教学章节、专题教育多个主题教育、特殊教育三大分类不少于160000份的交互动课件。</w:t>
            </w:r>
          </w:p>
          <w:p w14:paraId="5E5C6640">
            <w:pPr>
              <w:rPr>
                <w:rFonts w:hint="eastAsia"/>
                <w:highlight w:val="none"/>
              </w:rPr>
            </w:pPr>
            <w:r>
              <w:rPr>
                <w:rFonts w:hint="eastAsia"/>
                <w:highlight w:val="none"/>
              </w:rPr>
              <w:t>7、按照下载量、课件质量、相关性每天动态更新课件列表，提供按章节、主题筛选和关键词搜索，支持模糊搜索。并提供默认排序、最多获取和最新上架三种排序方式。</w:t>
            </w:r>
          </w:p>
          <w:p w14:paraId="0951CD59">
            <w:pPr>
              <w:rPr>
                <w:rFonts w:hint="eastAsia"/>
                <w:highlight w:val="none"/>
              </w:rPr>
            </w:pPr>
            <w:r>
              <w:rPr>
                <w:rFonts w:hint="eastAsia"/>
                <w:highlight w:val="none"/>
              </w:rPr>
              <w:t>课件支持直接预览并下载，预览时支持拖动课堂活动、形状、几何、文本元素；下载时课件可同步至教师个人云空间；课件支持教师在线评分。</w:t>
            </w:r>
          </w:p>
          <w:p w14:paraId="333B448D">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126456DE">
            <w:pPr>
              <w:rPr>
                <w:rFonts w:hint="eastAsia"/>
                <w:highlight w:val="none"/>
              </w:rPr>
            </w:pPr>
            <w:r>
              <w:rPr>
                <w:rFonts w:hint="eastAsia"/>
                <w:highlight w:val="none"/>
              </w:rPr>
              <w:t>▲8、AI智能备课助手：</w:t>
            </w:r>
          </w:p>
          <w:p w14:paraId="25AD1463">
            <w:pPr>
              <w:rPr>
                <w:rFonts w:hint="eastAsia"/>
                <w:highlight w:val="none"/>
              </w:rPr>
            </w:pPr>
            <w:r>
              <w:rPr>
                <w:rFonts w:hint="eastAsia"/>
                <w:highlight w:val="none"/>
              </w:rPr>
              <w:t>在备课场景中支持搜索课件库课件资源，具有不少于15万份的课件资源，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p>
          <w:p w14:paraId="3F88C8A8">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03B82376">
            <w:pPr>
              <w:rPr>
                <w:rFonts w:hint="eastAsia"/>
                <w:highlight w:val="none"/>
              </w:rPr>
            </w:pPr>
            <w:r>
              <w:rPr>
                <w:rFonts w:hint="eastAsia"/>
                <w:highlight w:val="none"/>
              </w:rPr>
              <w:t>9、采用备授课一体化框架设计，教师可根据教学场景自由切换类PPT界面的备课模式与触控交互教学模式，适用于教室、办公室等不同教学环境。</w:t>
            </w:r>
          </w:p>
          <w:p w14:paraId="3BA90CD4">
            <w:pPr>
              <w:rPr>
                <w:rFonts w:hint="eastAsia"/>
                <w:highlight w:val="none"/>
              </w:rPr>
            </w:pPr>
            <w:r>
              <w:rPr>
                <w:rFonts w:hint="eastAsia"/>
                <w:highlight w:val="none"/>
              </w:rPr>
              <w:t>10、互动课件内容的编辑修改无需人为保存即可自动同步至云空间，可根据教师需要调整云空间自动同步的时间间隔。本地课件则不会自动同步到云空间以保证数据安全。编辑多份互动课件时，教师可一键将所有处于编辑状态的课件同步到互动课件云空间。</w:t>
            </w:r>
          </w:p>
          <w:p w14:paraId="0C082FE3">
            <w:pPr>
              <w:rPr>
                <w:rFonts w:hint="eastAsia"/>
                <w:highlight w:val="none"/>
              </w:rPr>
            </w:pPr>
            <w:r>
              <w:rPr>
                <w:rFonts w:hint="eastAsia"/>
                <w:highlight w:val="none"/>
              </w:rPr>
              <w:t>▲11、支持PPT的原生解析，教师可将pptx课件转化为互动教学课件，支持单份导入和批量文件夹导入两种导入方式，保留pptx原文件中的文字、图片、表格等对象及动画的可编辑性，并可为课件增加互动教学元素。（响应文件中须出具检验结果符合或者优于本项参数的国家认可的第三方认证（检测）机构出具的带有CMA或CNAS标志的检测报告）</w:t>
            </w:r>
          </w:p>
          <w:p w14:paraId="78E77FD2">
            <w:pPr>
              <w:rPr>
                <w:rFonts w:hint="eastAsia"/>
                <w:highlight w:val="none"/>
              </w:rPr>
            </w:pPr>
            <w:r>
              <w:rPr>
                <w:rFonts w:hint="eastAsia"/>
                <w:highlight w:val="none"/>
              </w:rPr>
              <w:t>▲12、支持将互动课件导出为pptx、pdf、H5或web链接。导出的课件支持在多终端(包含windows、Macos、iOS、安卓、国产化系统)进行二次编辑。（响应文件中须出具检验结果符合或者优于本项参数的国家认可的第三方认证（检测）机构出具的带有CMA或CNAS标志的检测报告）</w:t>
            </w:r>
          </w:p>
          <w:p w14:paraId="05A7A6DC">
            <w:pPr>
              <w:rPr>
                <w:rFonts w:hint="eastAsia"/>
                <w:highlight w:val="none"/>
              </w:rPr>
            </w:pPr>
            <w:r>
              <w:rPr>
                <w:rFonts w:hint="eastAsia"/>
                <w:highlight w:val="none"/>
              </w:rPr>
              <w:t>13、课件回收站功能：按照删除时间存储已删除课件，支持用户在3天内自主或彻底删除单份/多份/全部已删除课件</w:t>
            </w:r>
          </w:p>
          <w:p w14:paraId="3B5E6ABE">
            <w:pPr>
              <w:rPr>
                <w:rFonts w:hint="eastAsia"/>
                <w:highlight w:val="none"/>
              </w:rPr>
            </w:pPr>
            <w:r>
              <w:rPr>
                <w:rFonts w:hint="eastAsia"/>
                <w:highlight w:val="none"/>
              </w:rPr>
              <w:t>14、可自由调节课件画面的显示比例，支持16:9、4：3画面显示比，可适配各类显示设备。</w:t>
            </w:r>
          </w:p>
          <w:p w14:paraId="458F513E">
            <w:pPr>
              <w:rPr>
                <w:rFonts w:hint="eastAsia"/>
                <w:highlight w:val="none"/>
              </w:rPr>
            </w:pPr>
            <w:r>
              <w:rPr>
                <w:rFonts w:hint="eastAsia"/>
                <w:highlight w:val="none"/>
              </w:rPr>
              <w:t>▲15、具备云端静默推送下载功能，无需用户手动下载即可实现应用的在线升级，升级具有信息验证机制。</w:t>
            </w:r>
          </w:p>
          <w:p w14:paraId="4E8532D7">
            <w:pPr>
              <w:rPr>
                <w:rFonts w:hint="eastAsia"/>
                <w:highlight w:val="none"/>
              </w:rPr>
            </w:pPr>
            <w:r>
              <w:rPr>
                <w:rFonts w:hint="eastAsia"/>
                <w:highlight w:val="none"/>
              </w:rPr>
              <w:t>▲16、全文快速搜索：支持在课件中通过快捷键(Ctrl+F)调用搜索控件，输入文本即可查找课件内文本框、形状、表格中对应的文本匹配项。（响应文件中须出具检验结果符合或者优于本项参数的国家认可的第三方认证（检测）机构出具的带有CMA或CNAS标志的检测报告）</w:t>
            </w:r>
          </w:p>
          <w:p w14:paraId="342AD62A">
            <w:pPr>
              <w:rPr>
                <w:rFonts w:hint="eastAsia"/>
                <w:highlight w:val="none"/>
              </w:rPr>
            </w:pPr>
            <w:r>
              <w:rPr>
                <w:rFonts w:hint="eastAsia"/>
                <w:highlight w:val="none"/>
              </w:rPr>
              <w:t>17、胶囊式微课功能内置于交互式课件工具中，支持快速录制胶囊式微课，微课可录制保存音频和课件的互动操作。</w:t>
            </w:r>
          </w:p>
          <w:p w14:paraId="2869B24B">
            <w:pPr>
              <w:rPr>
                <w:rFonts w:hint="eastAsia"/>
                <w:highlight w:val="none"/>
              </w:rPr>
            </w:pPr>
            <w:r>
              <w:rPr>
                <w:rFonts w:hint="eastAsia"/>
                <w:highlight w:val="none"/>
              </w:rPr>
              <w:t>（二）基础教学工具</w:t>
            </w:r>
          </w:p>
          <w:p w14:paraId="200DA328">
            <w:pPr>
              <w:rPr>
                <w:rFonts w:hint="eastAsia"/>
                <w:highlight w:val="none"/>
              </w:rPr>
            </w:pPr>
            <w:r>
              <w:rPr>
                <w:rFonts w:hint="eastAsia"/>
                <w:highlight w:val="none"/>
              </w:rPr>
              <w:t>1、内置课堂教学、简约、插画、科技、古风等不少于70个课件主题模板供教师选用，且教师可自定义课件背景。</w:t>
            </w:r>
          </w:p>
          <w:p w14:paraId="302B3228">
            <w:pPr>
              <w:rPr>
                <w:rFonts w:hint="eastAsia"/>
                <w:highlight w:val="none"/>
              </w:rPr>
            </w:pPr>
            <w:r>
              <w:rPr>
                <w:rFonts w:hint="eastAsia"/>
                <w:highlight w:val="none"/>
              </w:rPr>
              <w:t>2、排版：支持对多对象的叠放层级、对齐方式进行设置，可批量组合、锁定课件对象。对象移动时自动弹出对齐线及等距线辅助排版。</w:t>
            </w:r>
          </w:p>
          <w:p w14:paraId="32F66313">
            <w:pPr>
              <w:rPr>
                <w:rFonts w:hint="eastAsia"/>
                <w:highlight w:val="none"/>
              </w:rPr>
            </w:pPr>
            <w:r>
              <w:rPr>
                <w:rFonts w:hint="eastAsia"/>
                <w:highlight w:val="none"/>
              </w:rPr>
              <w:t>3、提供截图工具，可对课件内容、桌面内容快速截图，可自由调整截屏范围，截屏内容直接插入课件。</w:t>
            </w:r>
          </w:p>
          <w:p w14:paraId="64562B21">
            <w:pPr>
              <w:rPr>
                <w:rFonts w:hint="eastAsia"/>
                <w:highlight w:val="none"/>
              </w:rPr>
            </w:pPr>
            <w:r>
              <w:rPr>
                <w:rFonts w:hint="eastAsia"/>
                <w:highlight w:val="none"/>
              </w:rPr>
              <w:t>4、支持课件内所有的元素对象创建超链接，可链接到对象所在课件的相关页面、网页、文档等。</w:t>
            </w:r>
          </w:p>
          <w:p w14:paraId="783E6B33">
            <w:pPr>
              <w:rPr>
                <w:rFonts w:hint="eastAsia"/>
                <w:highlight w:val="none"/>
              </w:rPr>
            </w:pPr>
            <w:r>
              <w:rPr>
                <w:rFonts w:hint="eastAsia"/>
                <w:highlight w:val="none"/>
              </w:rPr>
              <w:t>5、文本工具：可插入文本框输入文本并支持文本样式设置：字体、字号、颜色、加粗、倾斜、下划线、上下角标、项目符号。支持段落样式设置：顶部对齐、垂直居中对齐、底端对齐缩进、行高、文本缩进等进行设置。文本、段落的样式支持格式刷快速复制，提升备课效率。预置不少于15种艺术字效果，便于教师调用美化课件。</w:t>
            </w:r>
          </w:p>
          <w:p w14:paraId="3237CF8D">
            <w:pPr>
              <w:rPr>
                <w:rFonts w:hint="eastAsia"/>
                <w:highlight w:val="none"/>
              </w:rPr>
            </w:pPr>
            <w:r>
              <w:rPr>
                <w:rFonts w:hint="eastAsia"/>
                <w:highlight w:val="none"/>
              </w:rPr>
              <w:t>6、图形工具：提供直线、箭头、正方形、圆角四边形、平行四边形、圆形、等腰三角形、直角三角形、菱形、梯形、五边形等基本几何图形以及对话框、五角星、大括号、旗子等特殊图形。</w:t>
            </w:r>
          </w:p>
          <w:p w14:paraId="0E338C24">
            <w:pPr>
              <w:rPr>
                <w:rFonts w:hint="eastAsia"/>
                <w:highlight w:val="none"/>
              </w:rPr>
            </w:pPr>
            <w:r>
              <w:rPr>
                <w:rFonts w:hint="eastAsia"/>
                <w:highlight w:val="none"/>
              </w:rPr>
              <w:t>7、具备图形自由创作工具，教师可自由绘制复杂的任意多边图形及曲边图形；教师自主创作的图形可存储至个人云空间便于后续使用。</w:t>
            </w:r>
          </w:p>
          <w:p w14:paraId="0C9A3DE8">
            <w:pPr>
              <w:rPr>
                <w:rFonts w:hint="eastAsia"/>
                <w:highlight w:val="none"/>
              </w:rPr>
            </w:pPr>
            <w:r>
              <w:rPr>
                <w:rFonts w:hint="eastAsia"/>
                <w:highlight w:val="none"/>
              </w:rPr>
              <w:t>8、图形具备旋转、镜像克隆、多图形等距对齐等功能，便于教师快速完成图形排版。</w:t>
            </w:r>
          </w:p>
          <w:p w14:paraId="52559629">
            <w:pPr>
              <w:rPr>
                <w:rFonts w:hint="eastAsia"/>
                <w:highlight w:val="none"/>
              </w:rPr>
            </w:pPr>
            <w:r>
              <w:rPr>
                <w:rFonts w:hint="eastAsia"/>
                <w:highlight w:val="none"/>
              </w:rPr>
              <w:t>支持对图形样式设置：图形颜色、阴影、倒影、透明度、边框等样式设置；支持图形旋转中心调整。</w:t>
            </w:r>
          </w:p>
          <w:p w14:paraId="08C1C3E7">
            <w:pPr>
              <w:rPr>
                <w:rFonts w:hint="eastAsia"/>
                <w:highlight w:val="none"/>
              </w:rPr>
            </w:pPr>
            <w:r>
              <w:rPr>
                <w:rFonts w:hint="eastAsia"/>
                <w:highlight w:val="none"/>
              </w:rPr>
              <w:t>9、图片工具：内置图片处理功能，无需借助专业图片处理软件即可对课件内的图片进行快速抠图，图片主体处理后边缘无明显毛边，且处理后的图片可直接上传至教师云空间供后续复用。</w:t>
            </w:r>
          </w:p>
          <w:p w14:paraId="062735CC">
            <w:pPr>
              <w:rPr>
                <w:rFonts w:hint="eastAsia"/>
                <w:highlight w:val="none"/>
              </w:rPr>
            </w:pPr>
            <w:r>
              <w:rPr>
                <w:rFonts w:hint="eastAsia"/>
                <w:highlight w:val="none"/>
              </w:rPr>
              <w:t>10、内置图片裁切功能，无需调用截图工具即可直接对课件内的图片进行裁切，裁切面积可自由调整。</w:t>
            </w:r>
          </w:p>
          <w:p w14:paraId="4E06F8C0">
            <w:pPr>
              <w:rPr>
                <w:rFonts w:hint="eastAsia"/>
                <w:highlight w:val="none"/>
              </w:rPr>
            </w:pPr>
            <w:r>
              <w:rPr>
                <w:rFonts w:hint="eastAsia"/>
                <w:highlight w:val="none"/>
              </w:rPr>
              <w:t>11、蒙层工具：可一键为课件文本、图片、形状等对象添加蒙层将其隐藏，授课模式下可通过橡皮擦工具、或手势擦除蒙层展现隐藏内容。</w:t>
            </w:r>
          </w:p>
          <w:p w14:paraId="67A9783C">
            <w:pPr>
              <w:rPr>
                <w:rFonts w:hint="eastAsia"/>
                <w:highlight w:val="none"/>
              </w:rPr>
            </w:pPr>
            <w:r>
              <w:rPr>
                <w:rFonts w:hint="eastAsia"/>
                <w:highlight w:val="none"/>
              </w:rPr>
              <w:t>12、兼容传统课件制作工具的组合快捷按键，支持如加粗（Ctrl+B）、文字居中（Ctrl+E）等教师熟悉的组合按键，鼠标悬停至功能按键时自动提示组合快捷键，内置组合快捷键数量不少于50个。</w:t>
            </w:r>
          </w:p>
          <w:p w14:paraId="57B2ED76">
            <w:pPr>
              <w:rPr>
                <w:rFonts w:hint="eastAsia"/>
                <w:highlight w:val="none"/>
              </w:rPr>
            </w:pPr>
            <w:r>
              <w:rPr>
                <w:rFonts w:hint="eastAsia"/>
                <w:highlight w:val="none"/>
              </w:rPr>
              <w:t>13、提供页面备注功能，可一键展开/隐藏备注。方便教师备课过程中记录教学研究思路用于教学反思。</w:t>
            </w:r>
          </w:p>
          <w:p w14:paraId="0BEFEFA3">
            <w:pPr>
              <w:rPr>
                <w:rFonts w:hint="eastAsia"/>
                <w:highlight w:val="none"/>
              </w:rPr>
            </w:pPr>
            <w:r>
              <w:rPr>
                <w:rFonts w:hint="eastAsia"/>
                <w:highlight w:val="none"/>
              </w:rPr>
              <w:t>14、备课模式下界面工具菜单支持自定义设置，教师可增减符合自身备课习惯的学科工具，自设工具菜单与教师云空间账号绑定，在任意终端登录教师账号备课自动同步备课工具菜单。</w:t>
            </w:r>
          </w:p>
          <w:p w14:paraId="389F2420">
            <w:pPr>
              <w:rPr>
                <w:rFonts w:hint="eastAsia"/>
                <w:highlight w:val="none"/>
              </w:rPr>
            </w:pPr>
            <w:r>
              <w:rPr>
                <w:rFonts w:hint="eastAsia"/>
                <w:highlight w:val="none"/>
              </w:rPr>
              <w:t>15、动画：提供至少30种应用于文本、形状、图片等课件元素的触发动画，可对动画的设置触发条件、动画声效、动画时长、动画延迟和动画方向进行自定义设置。支持对任意课件元素自定义路径动画，可自由绘制动画移动轨迹使课件元素沿轨迹路径进行移动。一个课件元素支持同时设置多组出现、消失、路径动画。</w:t>
            </w:r>
          </w:p>
          <w:p w14:paraId="57617D43">
            <w:pPr>
              <w:rPr>
                <w:rFonts w:hint="eastAsia"/>
                <w:highlight w:val="none"/>
              </w:rPr>
            </w:pPr>
            <w:r>
              <w:rPr>
                <w:rFonts w:hint="eastAsia"/>
                <w:highlight w:val="none"/>
              </w:rPr>
              <w:t>16、音视频播放组件：支持课件内嵌图片、音视频等多媒体文件，兼容以下格式：mp3、wav、ogg、aac、mp4、rmvb、wmv、3gp、mkv、flv、mov、png、bmp、jpg、jpeg、gif、svg。支持对音频、视频文件进行关键帧标记，可在音、视频进度条任意位置自由设置关键帧播放节点，便于快速定位讲解关键教学内容。</w:t>
            </w:r>
          </w:p>
          <w:p w14:paraId="0738F7BF">
            <w:pPr>
              <w:rPr>
                <w:rFonts w:hint="eastAsia"/>
                <w:highlight w:val="none"/>
              </w:rPr>
            </w:pPr>
            <w:r>
              <w:rPr>
                <w:rFonts w:hint="eastAsia"/>
                <w:highlight w:val="none"/>
              </w:rPr>
              <w:t>17、提供单次播放、循环播放、跨页面播放和自动播放等播放模式。跨页面播放可设置音频进行部分页面播放和全页面播放。</w:t>
            </w:r>
          </w:p>
          <w:p w14:paraId="645555E7">
            <w:pPr>
              <w:rPr>
                <w:rFonts w:hint="eastAsia"/>
                <w:highlight w:val="none"/>
              </w:rPr>
            </w:pPr>
            <w:r>
              <w:rPr>
                <w:rFonts w:hint="eastAsia"/>
                <w:highlight w:val="none"/>
              </w:rPr>
              <w:t>18、交互表格工具：具备交互表格功能，课件可自由插入表格，预置不少于5种表格样式，支持边框、底纹设置，自由合并单元格；表格支持自由输入文本，且根据文本内容可一键自动调整行列宽高；表格通过表格首行首列交接处的按键可一键精准增加行列；具备遮罩功能，表格中任一单元格可添加遮罩掩盖单元格内容，授课模式点击即可取消遮罩，便于教师交互式教学</w:t>
            </w:r>
          </w:p>
          <w:p w14:paraId="3E8C81C0">
            <w:pPr>
              <w:rPr>
                <w:rFonts w:hint="eastAsia"/>
                <w:highlight w:val="none"/>
              </w:rPr>
            </w:pPr>
            <w:r>
              <w:rPr>
                <w:rFonts w:hint="eastAsia"/>
                <w:highlight w:val="none"/>
              </w:rPr>
              <w:t>19、学科思维导图工具：内嵌学科思维导图功能，提供思维导图、鱼骨图及组织结构图等知识结构化工具，提供不少于8种预设模板，可自由增删或拖拽编辑知识节点，并支持在节点上插入图片、音频、视频、网页链接、课件页面等教学知识内容，便于建构知识结构；学科思维导图知识点可逐级、逐个展开，导图工具具备归纳总结功能，可将相邻知识节点一键快速归纳，并添加文本、图片、音频、视频等辅助讲解，进行知识点关联发散。思维导图支持自定义连接线、节点样式。</w:t>
            </w:r>
          </w:p>
          <w:p w14:paraId="0324E5E5">
            <w:pPr>
              <w:rPr>
                <w:rFonts w:hint="eastAsia"/>
                <w:highlight w:val="none"/>
              </w:rPr>
            </w:pPr>
            <w:r>
              <w:rPr>
                <w:rFonts w:hint="eastAsia"/>
                <w:highlight w:val="none"/>
              </w:rPr>
              <w:t>20、图表工具：提供柱状图、扇形图、折线图等互动图表，每类图表预置不少于5种样式，支持图表文字、背景、透明度设置；柱状图、折线图可一键转置互换坐标轴类别；图表支持三维模式旋转展示。</w:t>
            </w:r>
          </w:p>
          <w:p w14:paraId="23D80E0C">
            <w:pPr>
              <w:rPr>
                <w:rFonts w:hint="eastAsia"/>
                <w:highlight w:val="none"/>
              </w:rPr>
            </w:pPr>
            <w:r>
              <w:rPr>
                <w:rFonts w:hint="eastAsia"/>
                <w:highlight w:val="none"/>
              </w:rPr>
              <w:t>（三）教学课堂活动：</w:t>
            </w:r>
          </w:p>
          <w:p w14:paraId="22D847C2">
            <w:pPr>
              <w:rPr>
                <w:rFonts w:hint="eastAsia"/>
                <w:highlight w:val="none"/>
              </w:rPr>
            </w:pPr>
            <w:r>
              <w:rPr>
                <w:rFonts w:hint="eastAsia"/>
                <w:highlight w:val="none"/>
              </w:rPr>
              <w:t>▲1、课堂互动游戏支持云储存，编辑完成的活动可一键存储至教师云空间，便于在不同课件中直接调用，无需反复编辑。（响应文件中须出具检验结果符合或者优于本项参数的国家认可的第三方认证（检测）机构出具的带有CMA或CNAS标志的检测报告）</w:t>
            </w:r>
          </w:p>
          <w:p w14:paraId="723BA6EF">
            <w:pPr>
              <w:rPr>
                <w:rFonts w:hint="eastAsia"/>
                <w:highlight w:val="none"/>
              </w:rPr>
            </w:pPr>
            <w:r>
              <w:rPr>
                <w:rFonts w:hint="eastAsia"/>
                <w:highlight w:val="none"/>
              </w:rPr>
              <w:t>▲2、AI智能生成课堂活动：具有课堂活动智能填写功能，支持选词填空、判断对错和趣味选择三大课堂活动。</w:t>
            </w:r>
          </w:p>
          <w:p w14:paraId="09C503BC">
            <w:pPr>
              <w:rPr>
                <w:rFonts w:hint="eastAsia"/>
                <w:highlight w:val="none"/>
              </w:rPr>
            </w:pPr>
            <w:r>
              <w:rPr>
                <w:rFonts w:hint="eastAsia"/>
                <w:highlight w:val="none"/>
              </w:rPr>
              <w:t>3、输入文本后可以一键解析，自动将文本内容结构化填充至题干和正确选项，完成课堂活动的制作。</w:t>
            </w:r>
          </w:p>
          <w:p w14:paraId="26EDC06F">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3EB43B49">
            <w:pPr>
              <w:rPr>
                <w:rFonts w:hint="eastAsia"/>
                <w:highlight w:val="none"/>
              </w:rPr>
            </w:pPr>
            <w:r>
              <w:rPr>
                <w:rFonts w:hint="eastAsia"/>
                <w:highlight w:val="none"/>
              </w:rPr>
              <w:t>4、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14:paraId="5FE7C6E0">
            <w:pPr>
              <w:rPr>
                <w:rFonts w:hint="eastAsia"/>
                <w:highlight w:val="none"/>
              </w:rPr>
            </w:pPr>
            <w:r>
              <w:rPr>
                <w:rFonts w:hint="eastAsia"/>
                <w:highlight w:val="none"/>
              </w:rPr>
              <w:t>▲5、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14:paraId="7802E206">
            <w:pPr>
              <w:rPr>
                <w:rFonts w:hint="eastAsia"/>
                <w:highlight w:val="none"/>
              </w:rPr>
            </w:pPr>
            <w:r>
              <w:rPr>
                <w:rFonts w:hint="eastAsia"/>
                <w:highlight w:val="none"/>
              </w:rPr>
              <w:t>▲6、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14:paraId="76D732FA">
            <w:pPr>
              <w:rPr>
                <w:rFonts w:hint="eastAsia"/>
                <w:highlight w:val="none"/>
              </w:rPr>
            </w:pPr>
            <w:r>
              <w:rPr>
                <w:rFonts w:hint="eastAsia"/>
                <w:highlight w:val="none"/>
              </w:rPr>
              <w:t>7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22A56263">
            <w:pPr>
              <w:rPr>
                <w:rFonts w:hint="eastAsia"/>
                <w:highlight w:val="none"/>
              </w:rPr>
            </w:pPr>
            <w:r>
              <w:rPr>
                <w:rFonts w:hint="eastAsia"/>
                <w:highlight w:val="none"/>
              </w:rPr>
              <w:t>▲8、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2900E206">
            <w:pPr>
              <w:rPr>
                <w:rFonts w:hint="eastAsia"/>
                <w:highlight w:val="none"/>
              </w:rPr>
            </w:pPr>
            <w:r>
              <w:rPr>
                <w:rFonts w:hint="eastAsia"/>
                <w:highlight w:val="none"/>
              </w:rPr>
              <w:t>9、趣味选择游戏：支持双人或两组学生展开竞争，对选择题选项抢答。支持单选和多选两种类型，提供不少于3种难度、4种游戏模板选择。支持记录和展示学生作答结果，便于课堂知识点对比讲解。</w:t>
            </w:r>
          </w:p>
          <w:p w14:paraId="31F32339">
            <w:pPr>
              <w:rPr>
                <w:rFonts w:hint="eastAsia"/>
                <w:highlight w:val="none"/>
              </w:rPr>
            </w:pPr>
            <w:r>
              <w:rPr>
                <w:rFonts w:hint="eastAsia"/>
                <w:highlight w:val="none"/>
              </w:rPr>
              <w:t>（四）学科工具和教学资源</w:t>
            </w:r>
          </w:p>
          <w:p w14:paraId="2D171226">
            <w:pPr>
              <w:rPr>
                <w:rFonts w:hint="eastAsia"/>
                <w:highlight w:val="none"/>
              </w:rPr>
            </w:pPr>
            <w:r>
              <w:rPr>
                <w:rFonts w:hint="eastAsia"/>
                <w:highlight w:val="none"/>
              </w:rPr>
              <w:t>1、语文工具</w:t>
            </w:r>
          </w:p>
          <w:p w14:paraId="69F5D132">
            <w:pPr>
              <w:rPr>
                <w:rFonts w:hint="eastAsia"/>
                <w:highlight w:val="none"/>
              </w:rPr>
            </w:pPr>
            <w:r>
              <w:rPr>
                <w:rFonts w:hint="eastAsia"/>
                <w:highlight w:val="none"/>
              </w:rPr>
              <w:t>1）古诗词：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w:t>
            </w:r>
          </w:p>
          <w:p w14:paraId="5C67FF5E">
            <w:pPr>
              <w:rPr>
                <w:rFonts w:hint="eastAsia"/>
                <w:highlight w:val="none"/>
              </w:rPr>
            </w:pPr>
            <w:r>
              <w:rPr>
                <w:rFonts w:hint="eastAsia"/>
                <w:highlight w:val="none"/>
              </w:rPr>
              <w:t>2）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14:paraId="27A83A6C">
            <w:pPr>
              <w:rPr>
                <w:rFonts w:hint="eastAsia"/>
                <w:highlight w:val="none"/>
              </w:rPr>
            </w:pPr>
            <w:r>
              <w:rPr>
                <w:rFonts w:hint="eastAsia"/>
                <w:highlight w:val="none"/>
              </w:rPr>
              <w:t>3）汉字：具备汉字生字卡不少于5000个，可展示该汉字的部首、读音、笔画顺序、笔画数量等。直观展示汉字读音、部首、笔画数量，笔画书写支持分步展示和连续展示，教师可一次性生成多个汉字生字卡，同步生成数量不少于5个。</w:t>
            </w:r>
          </w:p>
          <w:p w14:paraId="033D6DBD">
            <w:pPr>
              <w:rPr>
                <w:rFonts w:hint="eastAsia"/>
                <w:highlight w:val="none"/>
              </w:rPr>
            </w:pPr>
            <w:r>
              <w:rPr>
                <w:rFonts w:hint="eastAsia"/>
                <w:highlight w:val="none"/>
              </w:rPr>
              <w:t>4）拼音：支持在四线三格中自由输入拼音，可选择四声并支持一键点读。有单个字母和连续输入两种方式。</w:t>
            </w:r>
          </w:p>
          <w:p w14:paraId="07FF060E">
            <w:pPr>
              <w:rPr>
                <w:rFonts w:hint="eastAsia"/>
                <w:highlight w:val="none"/>
              </w:rPr>
            </w:pPr>
            <w:r>
              <w:rPr>
                <w:rFonts w:hint="eastAsia"/>
                <w:highlight w:val="none"/>
              </w:rPr>
              <w:t>2、数学工具</w:t>
            </w:r>
          </w:p>
          <w:p w14:paraId="2B16870A">
            <w:pPr>
              <w:rPr>
                <w:rFonts w:hint="eastAsia"/>
                <w:highlight w:val="none"/>
              </w:rPr>
            </w:pPr>
            <w:r>
              <w:rPr>
                <w:rFonts w:hint="eastAsia"/>
                <w:highlight w:val="none"/>
              </w:rPr>
              <w:t>▲1）数学函数公式：支持中英文、数学公式的编辑输入，可快速输入方程组、脱式运算，提供不少于70个数学符号及模板；预置不少于40个常用数学公式，无需编辑一键插入。</w:t>
            </w:r>
          </w:p>
          <w:p w14:paraId="4F9272A5">
            <w:pPr>
              <w:rPr>
                <w:rFonts w:hint="eastAsia"/>
                <w:highlight w:val="none"/>
              </w:rPr>
            </w:pPr>
            <w:r>
              <w:rPr>
                <w:rFonts w:hint="eastAsia"/>
                <w:highlight w:val="none"/>
              </w:rPr>
              <w:t>2）数学函数图像：可快速生成包含一次函数一次函数、二次函数、幂函数、指数函数、对数函数、三角函数等图像，也可自定义输入函数表达式生成图像；在同一坐标轴上支持同时绘制6个及以上函数表达式。可缩放函数图像与坐标轴，可显示坐标网格，函数图生成后可重新编辑。</w:t>
            </w:r>
          </w:p>
          <w:p w14:paraId="77E380A5">
            <w:pPr>
              <w:rPr>
                <w:rFonts w:hint="eastAsia"/>
                <w:highlight w:val="none"/>
              </w:rPr>
            </w:pPr>
            <w:r>
              <w:rPr>
                <w:rFonts w:hint="eastAsia"/>
                <w:highlight w:val="none"/>
              </w:rPr>
              <w:t>3、几何工具</w:t>
            </w:r>
          </w:p>
          <w:p w14:paraId="127DFAAA">
            <w:pPr>
              <w:rPr>
                <w:rFonts w:hint="eastAsia"/>
                <w:highlight w:val="none"/>
              </w:rPr>
            </w:pPr>
            <w:r>
              <w:rPr>
                <w:rFonts w:hint="eastAsia"/>
                <w:highlight w:val="none"/>
              </w:rPr>
              <w:t>1）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14:paraId="3E31AEEF">
            <w:pPr>
              <w:rPr>
                <w:rFonts w:hint="eastAsia"/>
                <w:highlight w:val="none"/>
              </w:rPr>
            </w:pPr>
            <w:r>
              <w:rPr>
                <w:rFonts w:hint="eastAsia"/>
                <w:highlight w:val="none"/>
              </w:rPr>
              <w:t>2）可自由绘制长方体、立方体、圆柱体、圆锥等几何图形。任意调节几何体的大小尺寸，支持几何图形按比例放大缩小和通过单独调整长宽高（半径/高）改变几何体大小。</w:t>
            </w:r>
          </w:p>
          <w:p w14:paraId="7B3BB2F2">
            <w:pPr>
              <w:rPr>
                <w:rFonts w:hint="eastAsia"/>
                <w:highlight w:val="none"/>
              </w:rPr>
            </w:pPr>
            <w:r>
              <w:rPr>
                <w:rFonts w:hint="eastAsia"/>
                <w:highlight w:val="none"/>
              </w:rPr>
              <w:t>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14:paraId="6DF76D4F">
            <w:pPr>
              <w:rPr>
                <w:rFonts w:hint="eastAsia"/>
                <w:highlight w:val="none"/>
              </w:rPr>
            </w:pPr>
            <w:r>
              <w:rPr>
                <w:rFonts w:hint="eastAsia"/>
                <w:highlight w:val="none"/>
              </w:rPr>
              <w:t>3）具备几何体智能吸附功能：同类几何体相互靠近时，可智能识别吸附。</w:t>
            </w:r>
          </w:p>
          <w:p w14:paraId="003C73FF">
            <w:pPr>
              <w:rPr>
                <w:rFonts w:hint="eastAsia"/>
                <w:highlight w:val="none"/>
              </w:rPr>
            </w:pPr>
            <w:r>
              <w:rPr>
                <w:rFonts w:hint="eastAsia"/>
                <w:highlight w:val="none"/>
              </w:rPr>
              <w:t>4）数学画板：</w:t>
            </w:r>
          </w:p>
          <w:p w14:paraId="15B7C632">
            <w:pPr>
              <w:rPr>
                <w:rFonts w:hint="eastAsia"/>
                <w:highlight w:val="none"/>
              </w:rPr>
            </w:pPr>
            <w:r>
              <w:rPr>
                <w:rFonts w:hint="eastAsia"/>
                <w:highlight w:val="none"/>
              </w:rPr>
              <w:t>①支持课件中插入在线数学画板，授课时一键打开使用。</w:t>
            </w:r>
          </w:p>
          <w:p w14:paraId="1840AB91">
            <w:pPr>
              <w:rPr>
                <w:rFonts w:hint="eastAsia"/>
                <w:highlight w:val="none"/>
              </w:rPr>
            </w:pPr>
            <w:r>
              <w:rPr>
                <w:rFonts w:hint="eastAsia"/>
                <w:highlight w:val="none"/>
              </w:rPr>
              <w:t>②提供不少于500个数学画板资源，按照小学、初中、高中学段数学学科主要知识点分类，便于教师查找使用。</w:t>
            </w:r>
          </w:p>
          <w:p w14:paraId="4C2463A8">
            <w:pPr>
              <w:rPr>
                <w:rFonts w:hint="eastAsia"/>
                <w:highlight w:val="none"/>
              </w:rPr>
            </w:pPr>
            <w:r>
              <w:rPr>
                <w:rFonts w:hint="eastAsia"/>
                <w:highlight w:val="none"/>
              </w:rPr>
              <w:t>③内置画板课件展示生动直观，可动态展示平面几何的变化：如小学几何四边形，可动态演示四边形的不同形态间的变化；中学函数的平方差公式讲解，可将平方差公式通过图形具象展示其计算原理。</w:t>
            </w:r>
          </w:p>
          <w:p w14:paraId="38033442">
            <w:pPr>
              <w:rPr>
                <w:rFonts w:hint="eastAsia"/>
                <w:highlight w:val="none"/>
              </w:rPr>
            </w:pPr>
            <w:r>
              <w:rPr>
                <w:rFonts w:hint="eastAsia"/>
                <w:highlight w:val="none"/>
              </w:rPr>
              <w:t>④提供个人画板供教师自由创作，具备点、线、面等基础元素和线段中点、椭圆焦点、极坐标方程等数十种数学常用工具。创建后可一键将画板无缝嵌入课件。"</w:t>
            </w:r>
          </w:p>
          <w:p w14:paraId="26882A92">
            <w:pPr>
              <w:rPr>
                <w:rFonts w:hint="eastAsia"/>
                <w:highlight w:val="none"/>
              </w:rPr>
            </w:pPr>
            <w:r>
              <w:rPr>
                <w:rFonts w:hint="eastAsia"/>
                <w:highlight w:val="none"/>
              </w:rPr>
              <w:t>▲4、英语工具</w:t>
            </w:r>
          </w:p>
          <w:p w14:paraId="136D9DF5">
            <w:pPr>
              <w:rPr>
                <w:rFonts w:hint="eastAsia"/>
                <w:highlight w:val="none"/>
              </w:rPr>
            </w:pPr>
            <w:r>
              <w:rPr>
                <w:rFonts w:hint="eastAsia"/>
                <w:highlight w:val="none"/>
              </w:rPr>
              <w:t>1）AI智能英语工具：软件内置的AI智能语义分析模块，可对输入的英文文本的拼写、句型、语法进行错误检查，并支持一键纠错。</w:t>
            </w:r>
          </w:p>
          <w:p w14:paraId="56B4BF3C">
            <w:pPr>
              <w:rPr>
                <w:rFonts w:hint="eastAsia"/>
                <w:highlight w:val="none"/>
              </w:rPr>
            </w:pPr>
            <w:r>
              <w:rPr>
                <w:rFonts w:hint="eastAsia"/>
                <w:highlight w:val="none"/>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14:paraId="7A3556F1">
            <w:pPr>
              <w:rPr>
                <w:rFonts w:hint="eastAsia"/>
                <w:highlight w:val="none"/>
              </w:rPr>
            </w:pPr>
            <w:r>
              <w:rPr>
                <w:rFonts w:hint="eastAsia"/>
                <w:highlight w:val="none"/>
              </w:rPr>
              <w:t>▲3）AI音标助手：支持浏览和插入国际音标表，可直接点击发音，支持已整表和单个音标卡片插入。支持智能将字母、单词、句子转写为音标，并可一键插入到备课课件中形成文本。</w:t>
            </w:r>
          </w:p>
          <w:p w14:paraId="7164B653">
            <w:pPr>
              <w:rPr>
                <w:rFonts w:hint="eastAsia"/>
                <w:highlight w:val="none"/>
              </w:rPr>
            </w:pPr>
            <w:r>
              <w:rPr>
                <w:rFonts w:hint="eastAsia"/>
                <w:highlight w:val="none"/>
              </w:rPr>
              <w:t>4）四线三格：配置英语学科四线三格，可直接键入人教版英语辅助教材配套的手写字体。</w:t>
            </w:r>
          </w:p>
          <w:p w14:paraId="109D12ED">
            <w:pPr>
              <w:rPr>
                <w:rFonts w:hint="eastAsia"/>
                <w:highlight w:val="none"/>
              </w:rPr>
            </w:pPr>
            <w:r>
              <w:rPr>
                <w:rFonts w:hint="eastAsia"/>
                <w:highlight w:val="none"/>
              </w:rPr>
              <w:t>听写：配置英语学科听写工具，覆盖小初高不少于8000个英语单词，支持自定义选择单词。自定义听写频率和次数，一键生成听写卡；授课模式支持一键开启听写朗读。"</w:t>
            </w:r>
          </w:p>
          <w:p w14:paraId="6BA00726">
            <w:pPr>
              <w:rPr>
                <w:rFonts w:hint="eastAsia"/>
                <w:highlight w:val="none"/>
              </w:rPr>
            </w:pPr>
            <w:r>
              <w:rPr>
                <w:rFonts w:hint="eastAsia"/>
                <w:highlight w:val="none"/>
              </w:rPr>
              <w:t>5、化学工具</w:t>
            </w:r>
          </w:p>
          <w:p w14:paraId="368723E0">
            <w:pPr>
              <w:rPr>
                <w:rFonts w:hint="eastAsia"/>
                <w:highlight w:val="none"/>
              </w:rPr>
            </w:pPr>
            <w:r>
              <w:rPr>
                <w:rFonts w:hint="eastAsia"/>
                <w:highlight w:val="none"/>
              </w:rPr>
              <w:t>1）化学方程式编辑器：提供化学方程式快速编辑工具，当输入一个化学元素时，软件界面将自动显示出和该元素相关的多个常用化学反应方程式，可直接选择使用。插入后的化学方程式可重新编辑。</w:t>
            </w:r>
          </w:p>
          <w:p w14:paraId="0F3F6360">
            <w:pPr>
              <w:rPr>
                <w:rFonts w:hint="eastAsia"/>
                <w:highlight w:val="none"/>
              </w:rPr>
            </w:pPr>
            <w:r>
              <w:rPr>
                <w:rFonts w:hint="eastAsia"/>
                <w:highlight w:val="none"/>
              </w:rPr>
              <w:t>6、物理工具</w:t>
            </w:r>
          </w:p>
          <w:p w14:paraId="04D458D9">
            <w:pPr>
              <w:rPr>
                <w:rFonts w:hint="eastAsia"/>
                <w:highlight w:val="none"/>
              </w:rPr>
            </w:pPr>
            <w:r>
              <w:rPr>
                <w:rFonts w:hint="eastAsia"/>
                <w:highlight w:val="none"/>
              </w:rPr>
              <w:t>物理线图：支持自由绘制物理线图，提供元件库和模板库不少于30个组件，支持自动吸附连接线，画布可无限漫游。绘制后的线图可一键插入到备课课件中并支持二次编辑。老师可将常用的线图保存至个人云盘方便二次调用。"</w:t>
            </w:r>
          </w:p>
          <w:p w14:paraId="24D58344">
            <w:pPr>
              <w:rPr>
                <w:rFonts w:hint="eastAsia"/>
                <w:highlight w:val="none"/>
              </w:rPr>
            </w:pPr>
            <w:r>
              <w:rPr>
                <w:rFonts w:hint="eastAsia"/>
                <w:highlight w:val="none"/>
              </w:rPr>
              <w:t>7、地理工具</w:t>
            </w:r>
          </w:p>
          <w:p w14:paraId="700578BD">
            <w:pPr>
              <w:rPr>
                <w:rFonts w:hint="eastAsia"/>
                <w:highlight w:val="none"/>
              </w:rPr>
            </w:pPr>
            <w:r>
              <w:rPr>
                <w:rFonts w:hint="eastAsia"/>
                <w:highlight w:val="none"/>
              </w:rPr>
              <w:t>1）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w:t>
            </w:r>
          </w:p>
          <w:p w14:paraId="44C45231">
            <w:pPr>
              <w:rPr>
                <w:rFonts w:hint="eastAsia"/>
                <w:highlight w:val="none"/>
              </w:rPr>
            </w:pPr>
            <w:r>
              <w:rPr>
                <w:rFonts w:hint="eastAsia"/>
                <w:highlight w:val="none"/>
              </w:rPr>
              <w:t>2）支持地球模型直接进行平面/立体转换，清晰展现地球表面的六大板块、降水分布、气温分布、气候分布、人口分布、表层洋流、陆地自然带、海平面等压线等内容。"</w:t>
            </w:r>
          </w:p>
          <w:p w14:paraId="0CFA8DDB">
            <w:pPr>
              <w:rPr>
                <w:rFonts w:hint="eastAsia"/>
                <w:highlight w:val="none"/>
              </w:rPr>
            </w:pPr>
            <w:r>
              <w:rPr>
                <w:rFonts w:hint="eastAsia"/>
                <w:highlight w:val="none"/>
              </w:rPr>
              <w:t>8、美术工具：</w:t>
            </w:r>
          </w:p>
          <w:p w14:paraId="4B7C1851">
            <w:pPr>
              <w:rPr>
                <w:rFonts w:hint="eastAsia"/>
                <w:highlight w:val="none"/>
              </w:rPr>
            </w:pPr>
            <w:r>
              <w:rPr>
                <w:rFonts w:hint="eastAsia"/>
                <w:highlight w:val="none"/>
              </w:rPr>
              <w:t>1）内置专用美术画板工具，提供铅笔、毛笔、油画笔等笔触，具备符合绘画调色教学需求的模拟调色盘，可选择不同颜色混合调色，便于学生理解调色合成过程。"</w:t>
            </w:r>
          </w:p>
          <w:p w14:paraId="5CE29F8F">
            <w:pPr>
              <w:rPr>
                <w:rFonts w:hint="eastAsia"/>
                <w:highlight w:val="none"/>
              </w:rPr>
            </w:pPr>
            <w:r>
              <w:rPr>
                <w:rFonts w:hint="eastAsia"/>
                <w:highlight w:val="none"/>
              </w:rPr>
              <w:t>9、多学科题库</w:t>
            </w:r>
          </w:p>
          <w:p w14:paraId="7ED1F207">
            <w:pPr>
              <w:rPr>
                <w:rFonts w:hint="eastAsia"/>
                <w:highlight w:val="none"/>
              </w:rPr>
            </w:pPr>
            <w:r>
              <w:rPr>
                <w:rFonts w:hint="eastAsia"/>
                <w:highlight w:val="none"/>
              </w:rPr>
              <w:t>1）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14:paraId="7206F294">
            <w:pPr>
              <w:rPr>
                <w:rFonts w:hint="eastAsia"/>
                <w:highlight w:val="none"/>
              </w:rPr>
            </w:pPr>
            <w:r>
              <w:rPr>
                <w:rFonts w:hint="eastAsia"/>
                <w:highlight w:val="none"/>
              </w:rPr>
              <w:t>▲2）支持多种格式的试题批量上传，包含.doc、.docx、.png、.jpeg、.jpg等类型，并可自动转换为电子试题，便于老师优质试题的收集使用和作业布置。</w:t>
            </w:r>
          </w:p>
          <w:p w14:paraId="5E5A4C28">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45B71E67">
            <w:pPr>
              <w:rPr>
                <w:rFonts w:hint="eastAsia"/>
                <w:highlight w:val="none"/>
              </w:rPr>
            </w:pPr>
            <w:r>
              <w:rPr>
                <w:rFonts w:hint="eastAsia"/>
                <w:highlight w:val="none"/>
              </w:rPr>
              <w:t>10、学科微课视频</w:t>
            </w:r>
          </w:p>
          <w:p w14:paraId="13C2ADD4">
            <w:pPr>
              <w:rPr>
                <w:rFonts w:hint="eastAsia"/>
                <w:highlight w:val="none"/>
              </w:rPr>
            </w:pPr>
            <w:r>
              <w:rPr>
                <w:rFonts w:hint="eastAsia"/>
                <w:highlight w:val="none"/>
              </w:rPr>
              <w:t>1）多学科微课视频：提供涵盖小学、初中、高中微课程视频。微课内容可在线点播，下载至课件播放。微课视频支持视频关键帧打点标记，播放过程中可一键跳转至标记位置，同时支持一键对视频内容进行截图插入课件。</w:t>
            </w:r>
          </w:p>
          <w:p w14:paraId="24899F66">
            <w:pPr>
              <w:rPr>
                <w:rFonts w:hint="eastAsia"/>
                <w:highlight w:val="none"/>
              </w:rPr>
            </w:pPr>
            <w:r>
              <w:rPr>
                <w:rFonts w:hint="eastAsia"/>
                <w:highlight w:val="none"/>
              </w:rPr>
              <w:t>▲2）党建微课视频：提供100节党建微课视频，包含革命篇、建设篇、改革篇、复兴篇4个篇章。微课内容可在线点播，下载至课件播放。微课视频支持视频关键帧打点标记，播放过程中可一键跳转至标记位置，同时支持一键对视频内容进行截图插入课件。</w:t>
            </w:r>
          </w:p>
          <w:p w14:paraId="32CC17E8">
            <w:pPr>
              <w:rPr>
                <w:rFonts w:hint="eastAsia"/>
                <w:highlight w:val="none"/>
              </w:rPr>
            </w:pPr>
            <w:r>
              <w:rPr>
                <w:rFonts w:hint="eastAsia"/>
                <w:highlight w:val="none"/>
              </w:rPr>
              <w:t>（响应文件中须出具检验结果符合或者优于本项参数的国家认可的第三方认证（检测）机构出具的带有CMA或CNAS标志的检测报告）</w:t>
            </w:r>
          </w:p>
          <w:p w14:paraId="5CEB50F1">
            <w:pPr>
              <w:rPr>
                <w:rFonts w:hint="eastAsia"/>
                <w:highlight w:val="none"/>
              </w:rPr>
            </w:pPr>
            <w:r>
              <w:rPr>
                <w:rFonts w:hint="eastAsia"/>
                <w:highlight w:val="none"/>
              </w:rPr>
              <w:t>11、素材库</w:t>
            </w:r>
          </w:p>
          <w:p w14:paraId="7BD28771">
            <w:pPr>
              <w:rPr>
                <w:rFonts w:hint="eastAsia"/>
                <w:highlight w:val="none"/>
              </w:rPr>
            </w:pPr>
            <w:r>
              <w:rPr>
                <w:rFonts w:hint="eastAsia"/>
                <w:highlight w:val="none"/>
              </w:rPr>
              <w:t>▲1）免费备课素材：提供超过500个备课素材，包含人物形象、卡通动物、拟人动物、水果蔬菜13个分类，高清无版权图片，全免费，直接插入备课端进行使用即可。"</w:t>
            </w:r>
          </w:p>
          <w:p w14:paraId="74FB8615">
            <w:pPr>
              <w:rPr>
                <w:rFonts w:hint="eastAsia"/>
                <w:highlight w:val="none"/>
              </w:rPr>
            </w:pPr>
            <w:r>
              <w:rPr>
                <w:rFonts w:hint="eastAsia"/>
                <w:highlight w:val="none"/>
              </w:rPr>
              <w:t>12、仿真实验工具：</w:t>
            </w:r>
          </w:p>
          <w:p w14:paraId="7C5DA572">
            <w:pPr>
              <w:rPr>
                <w:rFonts w:hint="eastAsia"/>
                <w:highlight w:val="none"/>
              </w:rPr>
            </w:pPr>
            <w:r>
              <w:rPr>
                <w:rFonts w:hint="eastAsia"/>
                <w:highlight w:val="none"/>
              </w:rPr>
              <w:t>初中理化生：</w:t>
            </w:r>
          </w:p>
          <w:p w14:paraId="3DCB53C5">
            <w:pPr>
              <w:rPr>
                <w:rFonts w:hint="eastAsia"/>
                <w:highlight w:val="none"/>
              </w:rPr>
            </w:pPr>
            <w:r>
              <w:rPr>
                <w:rFonts w:hint="eastAsia"/>
                <w:highlight w:val="none"/>
              </w:rPr>
              <w:t>1）所有实验内容都可以支持在实验操作的过程中查看具体的实验内容简介，可查看的内容简介至少应包含：实验目的、实验器材、实验步骤等，方便老师在使用中快速了解具体实验内容，提高老师课堂教学效率。</w:t>
            </w:r>
          </w:p>
          <w:p w14:paraId="55456F54">
            <w:pPr>
              <w:rPr>
                <w:rFonts w:hint="eastAsia"/>
                <w:highlight w:val="none"/>
              </w:rPr>
            </w:pPr>
            <w:r>
              <w:rPr>
                <w:rFonts w:hint="eastAsia"/>
                <w:highlight w:val="none"/>
              </w:rPr>
              <w:t> ▲2）所有学科软件要求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w:t>
            </w:r>
          </w:p>
          <w:p w14:paraId="4930A7A8">
            <w:pPr>
              <w:rPr>
                <w:rFonts w:hint="eastAsia"/>
                <w:highlight w:val="none"/>
              </w:rPr>
            </w:pPr>
            <w:r>
              <w:rPr>
                <w:rFonts w:hint="eastAsia"/>
                <w:highlight w:val="none"/>
              </w:rPr>
              <w:t>▲3）所有学科软件要求至少包含实验：托里拆利实验、空气推动塞子时，内能减少、通电螺线管的磁场是什么样的、聚乙烯塑料的热塑性、测定空气中的氧气含量、一氧化碳与氧化铁的反应、氧气的实验室制取和性质、模拟膈肌的运动、膝跳反射、非生物因素对某种动物的影响、观察鸡卵的结构。</w:t>
            </w:r>
          </w:p>
          <w:p w14:paraId="077FE03E">
            <w:pPr>
              <w:rPr>
                <w:rFonts w:hint="eastAsia"/>
                <w:highlight w:val="none"/>
              </w:rPr>
            </w:pPr>
            <w:r>
              <w:rPr>
                <w:rFonts w:hint="eastAsia"/>
                <w:highlight w:val="none"/>
              </w:rPr>
              <w:t>▲4）软件要求对于理科学习中较为抽象的实验原理提供可视化展示，物理中如电流的方向、力的方向、磁场电场等，化学中如：反应装置中物质的量的变化、分子运动的模拟、正在发生的化学反应方程式等。生物中如：人体生理运动中多个器官的同步运动现象等。</w:t>
            </w:r>
          </w:p>
          <w:p w14:paraId="45CEF764">
            <w:pPr>
              <w:rPr>
                <w:rFonts w:hint="eastAsia"/>
                <w:highlight w:val="none"/>
              </w:rPr>
            </w:pPr>
            <w:r>
              <w:rPr>
                <w:rFonts w:hint="eastAsia"/>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4E7F1977">
            <w:pPr>
              <w:rPr>
                <w:rFonts w:hint="eastAsia"/>
                <w:highlight w:val="none"/>
              </w:rPr>
            </w:pPr>
            <w:r>
              <w:rPr>
                <w:rFonts w:hint="eastAsia"/>
                <w:highlight w:val="none"/>
              </w:rPr>
              <w:t>6）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w:t>
            </w:r>
          </w:p>
          <w:p w14:paraId="17DDE968">
            <w:pPr>
              <w:rPr>
                <w:rFonts w:hint="eastAsia"/>
                <w:highlight w:val="none"/>
              </w:rPr>
            </w:pPr>
            <w:r>
              <w:rPr>
                <w:rFonts w:hint="eastAsia"/>
                <w:highlight w:val="none"/>
              </w:rPr>
              <w:t> ▲7）软件要求提供的全部实验支持在任意视角下对实验进行观察和交互式操作。允许用户在实验操作空间中根据需求自由旋转观察视角，要求所有实验中的模型为3D高精度模型，支持无极放大，实验模型高保真。</w:t>
            </w:r>
          </w:p>
          <w:p w14:paraId="38C73BBB">
            <w:pPr>
              <w:rPr>
                <w:rFonts w:hint="eastAsia"/>
                <w:highlight w:val="none"/>
              </w:rPr>
            </w:pPr>
            <w:r>
              <w:rPr>
                <w:rFonts w:hint="eastAsia"/>
                <w:highlight w:val="none"/>
              </w:rPr>
              <w:t> ▲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33135E79">
            <w:pPr>
              <w:rPr>
                <w:rFonts w:hint="eastAsia"/>
                <w:highlight w:val="none"/>
              </w:rPr>
            </w:pPr>
            <w:r>
              <w:rPr>
                <w:rFonts w:hint="eastAsia"/>
                <w:highlight w:val="none"/>
              </w:rPr>
              <w:t>9）以上所有软件功能要求在同一软件系统平台中进行操作，方便用户管理、使用。</w:t>
            </w:r>
          </w:p>
          <w:p w14:paraId="7C9B4DC2">
            <w:pPr>
              <w:rPr>
                <w:rFonts w:hint="eastAsia"/>
                <w:highlight w:val="none"/>
              </w:rPr>
            </w:pPr>
            <w:r>
              <w:rPr>
                <w:rFonts w:hint="eastAsia"/>
                <w:highlight w:val="none"/>
              </w:rPr>
              <w:t>高中理化生：</w:t>
            </w:r>
          </w:p>
          <w:p w14:paraId="40BC4414">
            <w:pPr>
              <w:rPr>
                <w:rFonts w:hint="eastAsia"/>
                <w:highlight w:val="none"/>
              </w:rPr>
            </w:pPr>
            <w:r>
              <w:rPr>
                <w:rFonts w:hint="eastAsia"/>
                <w:highlight w:val="none"/>
              </w:rPr>
              <w:t>1） 要求提供的所有实验内容都可以支持在实验操作的过程中查看具体的实验内容简介，可查看的内容简介至少应包含：实验目的、实验器材、实验步骤等，方便老师在使用中快速了解具体实验内容，提高老师课堂教学效率。</w:t>
            </w:r>
          </w:p>
          <w:p w14:paraId="51C64BD3">
            <w:pPr>
              <w:rPr>
                <w:rFonts w:hint="eastAsia"/>
                <w:highlight w:val="none"/>
              </w:rPr>
            </w:pPr>
            <w:r>
              <w:rPr>
                <w:rFonts w:hint="eastAsia"/>
                <w:highlight w:val="none"/>
              </w:rPr>
              <w:t>▲2）所有学科软件要求提供的实验内容模块需根据知识点分类。物理需包含：直线运动、牛顿运动定律、力与物体平衡、功和机械能、机械振动机械波、光学、动量、原子物理、曲线运动、电磁学、热学、；化学需包含：化学与技术、化学实验、重要的无机物、物质结构与性质、化学反应原理、化学与生活、有机化学基础、化学基本概念；生物需包含：细胞的分子组成与结构、细胞代谢、细胞的生命历程与遗传的细胞学基础、遗传的分子基础、变异与进化、生命活动的调节、生物与环境、生殖与个体发育。</w:t>
            </w:r>
          </w:p>
          <w:p w14:paraId="73BC3AB4">
            <w:pPr>
              <w:rPr>
                <w:rFonts w:hint="eastAsia"/>
                <w:highlight w:val="none"/>
              </w:rPr>
            </w:pPr>
            <w:r>
              <w:rPr>
                <w:rFonts w:hint="eastAsia"/>
                <w:highlight w:val="none"/>
              </w:rPr>
              <w:t>▲3）所有学科软件要求至少包含实验：用双缝干涉测量光的波长、渡河问题、观察全反射现象、验证环形电流的磁场方向、示波管原理、铝热反应、铁粉与水蒸气反应、蛋白质的性质——盐析、乙醛的银镜反应、建立减数分裂中染色体变化的模型、绿叶中色素的提取与分离、制作DNA双螺旋结构模型、土壤微生物的分解作用、蛙的个体发育过程。</w:t>
            </w:r>
          </w:p>
          <w:p w14:paraId="3E29773C">
            <w:pPr>
              <w:rPr>
                <w:rFonts w:hint="eastAsia"/>
                <w:highlight w:val="none"/>
              </w:rPr>
            </w:pPr>
            <w:r>
              <w:rPr>
                <w:rFonts w:hint="eastAsia"/>
                <w:highlight w:val="none"/>
              </w:rPr>
              <w:t>▲4）软件要求对于理科学习中较为抽象的实验原理提供可视化展示，物理中如电流的方向、力的方向、磁场电场等，化学中如：反应装置中物质的量的变化、分子运动的模拟、正在发生的化学反应方程式等。</w:t>
            </w:r>
          </w:p>
          <w:p w14:paraId="4C6C653B">
            <w:pPr>
              <w:rPr>
                <w:rFonts w:hint="eastAsia"/>
                <w:highlight w:val="none"/>
              </w:rPr>
            </w:pPr>
            <w:r>
              <w:rPr>
                <w:rFonts w:hint="eastAsia"/>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48DB9BEC">
            <w:pPr>
              <w:rPr>
                <w:rFonts w:hint="eastAsia"/>
                <w:highlight w:val="none"/>
              </w:rPr>
            </w:pPr>
            <w:r>
              <w:rPr>
                <w:rFonts w:hint="eastAsia"/>
                <w:highlight w:val="none"/>
              </w:rPr>
              <w:t>7）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 </w:t>
            </w:r>
          </w:p>
          <w:p w14:paraId="1122D6E7">
            <w:pPr>
              <w:rPr>
                <w:rFonts w:hint="eastAsia"/>
                <w:highlight w:val="none"/>
              </w:rPr>
            </w:pPr>
            <w:r>
              <w:rPr>
                <w:rFonts w:hint="eastAsia"/>
                <w:highlight w:val="none"/>
              </w:rPr>
              <w:t>▲7）软件要求提供的全部实验支持在任意视角下对实验进行观察和交互式操作。允许用户在实验操作空间中根据需求自由旋转观察视角，要求所有实验中的模型为3D高精度模型，支持无极放大，实验模型高保真。</w:t>
            </w:r>
          </w:p>
          <w:p w14:paraId="7C090F51">
            <w:pPr>
              <w:rPr>
                <w:rFonts w:hint="eastAsia"/>
                <w:highlight w:val="none"/>
              </w:rPr>
            </w:pPr>
            <w:r>
              <w:rPr>
                <w:rFonts w:hint="eastAsia"/>
                <w:highlight w:val="none"/>
              </w:rPr>
              <w:t>▲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32A846EE">
            <w:pPr>
              <w:rPr>
                <w:rFonts w:hint="eastAsia"/>
                <w:highlight w:val="none"/>
              </w:rPr>
            </w:pPr>
            <w:r>
              <w:rPr>
                <w:rFonts w:hint="eastAsia"/>
                <w:highlight w:val="none"/>
              </w:rPr>
              <w:t>8）以上所有软件功能要求在同一软件系统平台中进行操作，方便用户管理、使用。</w:t>
            </w:r>
          </w:p>
          <w:p w14:paraId="35374467">
            <w:pPr>
              <w:rPr>
                <w:rFonts w:hint="eastAsia"/>
                <w:highlight w:val="none"/>
              </w:rPr>
            </w:pPr>
            <w:r>
              <w:rPr>
                <w:rFonts w:hint="eastAsia"/>
                <w:highlight w:val="none"/>
              </w:rPr>
              <w:t>（五）授课工具</w:t>
            </w:r>
          </w:p>
          <w:p w14:paraId="5BC932DC">
            <w:pPr>
              <w:rPr>
                <w:rFonts w:hint="eastAsia"/>
                <w:highlight w:val="none"/>
              </w:rPr>
            </w:pPr>
            <w:r>
              <w:rPr>
                <w:rFonts w:hint="eastAsia"/>
                <w:highlight w:val="none"/>
              </w:rPr>
              <w:t>1、擦除：提供精细点擦除、笔迹全屏清除，手势擦除方式。手势擦除面积可根据教师手掌与屏幕的接触面积自动判定调整擦除面积大小。</w:t>
            </w:r>
          </w:p>
          <w:p w14:paraId="78B318AD">
            <w:pPr>
              <w:rPr>
                <w:rFonts w:hint="eastAsia"/>
                <w:highlight w:val="none"/>
              </w:rPr>
            </w:pPr>
            <w:r>
              <w:rPr>
                <w:rFonts w:hint="eastAsia"/>
                <w:highlight w:val="none"/>
              </w:rPr>
              <w:t>2、提供多种翻页按键布局，翻页按键可分布于屏幕单侧或左右两侧，支持上下翻页、课件页面预览及页面非线性跳转。</w:t>
            </w:r>
          </w:p>
          <w:p w14:paraId="3937C6C0">
            <w:pPr>
              <w:rPr>
                <w:rFonts w:hint="eastAsia"/>
                <w:highlight w:val="none"/>
              </w:rPr>
            </w:pPr>
            <w:r>
              <w:rPr>
                <w:rFonts w:hint="eastAsia"/>
                <w:highlight w:val="none"/>
              </w:rPr>
              <w:t>3、板中板：支持授课过程中调用板中板辅助教学，可进行批注、加页及背景色切换；板中板支持插入图片、音视频素材进行独立讲解，不影响课件主画面。板中板可以转换为小窗口，小窗口支持拖动和缩放。</w:t>
            </w:r>
          </w:p>
          <w:p w14:paraId="6D4C187F">
            <w:pPr>
              <w:rPr>
                <w:rFonts w:hint="eastAsia"/>
                <w:highlight w:val="none"/>
              </w:rPr>
            </w:pPr>
            <w:r>
              <w:rPr>
                <w:rFonts w:hint="eastAsia"/>
                <w:highlight w:val="none"/>
              </w:rPr>
              <w:t>4、书写：支持多人同时书写，可自由调整笔迹颜色及笔触粗细，书写颜色及粗细设置面板支持浮窗模式，可自由调整至白板界面任意位置，便于教师授课使用。</w:t>
            </w:r>
          </w:p>
          <w:p w14:paraId="575F015B">
            <w:pPr>
              <w:rPr>
                <w:rFonts w:hint="eastAsia"/>
                <w:highlight w:val="none"/>
              </w:rPr>
            </w:pPr>
            <w:r>
              <w:rPr>
                <w:rFonts w:hint="eastAsia"/>
                <w:highlight w:val="none"/>
              </w:rPr>
              <w:t>5、图章笔：提供不少于15种图案样式，可在画布任意位置书写。</w:t>
            </w:r>
          </w:p>
          <w:p w14:paraId="0E57EBDD">
            <w:pPr>
              <w:rPr>
                <w:rFonts w:hint="eastAsia"/>
                <w:highlight w:val="none"/>
              </w:rPr>
            </w:pPr>
            <w:r>
              <w:rPr>
                <w:rFonts w:hint="eastAsia"/>
                <w:highlight w:val="none"/>
              </w:rPr>
              <w:t>6、放大镜：支持调用放大镜工具进行局部画面放大，可设置放大比例及聚光灯效果。</w:t>
            </w:r>
          </w:p>
          <w:p w14:paraId="2472A471">
            <w:pPr>
              <w:rPr>
                <w:rFonts w:hint="eastAsia"/>
                <w:highlight w:val="none"/>
              </w:rPr>
            </w:pPr>
            <w:r>
              <w:rPr>
                <w:rFonts w:hint="eastAsia"/>
                <w:highlight w:val="none"/>
              </w:rPr>
              <w:t>7、撤销重做：支持白板操作撤销和重做，防止误操作影响教学。</w:t>
            </w:r>
          </w:p>
          <w:p w14:paraId="60810901">
            <w:pPr>
              <w:rPr>
                <w:rFonts w:hint="eastAsia"/>
                <w:highlight w:val="none"/>
              </w:rPr>
            </w:pPr>
            <w:r>
              <w:rPr>
                <w:rFonts w:hint="eastAsia"/>
                <w:highlight w:val="none"/>
              </w:rPr>
              <w:t>8、尺规工具：提供直尺、三角板、量角器及圆规工具，尺工具支持旋转、伸缩，可实时显示绘制线条长度；圆规工具可更换笔触颜色，模拟真实圆规作图。</w:t>
            </w:r>
          </w:p>
          <w:p w14:paraId="72A46A89">
            <w:pPr>
              <w:rPr>
                <w:rFonts w:hint="eastAsia"/>
                <w:highlight w:val="none"/>
              </w:rPr>
            </w:pPr>
            <w:r>
              <w:rPr>
                <w:rFonts w:hint="eastAsia"/>
                <w:highlight w:val="none"/>
              </w:rPr>
              <w:t>9、文件导入：授课时可将图片、音频、视频等多媒体文件导入授课界面，系统自动识别外接移动储存设备并优先显示其中的内容。</w:t>
            </w:r>
          </w:p>
          <w:p w14:paraId="3D48D260">
            <w:pPr>
              <w:rPr>
                <w:rFonts w:hint="eastAsia"/>
                <w:highlight w:val="none"/>
              </w:rPr>
            </w:pPr>
            <w:r>
              <w:rPr>
                <w:rFonts w:hint="eastAsia"/>
                <w:highlight w:val="none"/>
              </w:rPr>
              <w:t>10、文件导出：支持授课时导出课件导出为图片，课件支持多种格式导出。</w:t>
            </w:r>
          </w:p>
          <w:p w14:paraId="1833AD8B">
            <w:pPr>
              <w:rPr>
                <w:rFonts w:hint="eastAsia"/>
                <w:highlight w:val="none"/>
              </w:rPr>
            </w:pPr>
            <w:r>
              <w:rPr>
                <w:rFonts w:hint="eastAsia"/>
                <w:highlight w:val="none"/>
              </w:rPr>
              <w:t>（六）空中在线教学课堂：功能内置于交互式备授课软件中，无需额外安装部署直播软件，可实现语音直播、课件同步、互动工具等远程教学功能</w:t>
            </w:r>
          </w:p>
          <w:p w14:paraId="5C7B21E3">
            <w:pPr>
              <w:rPr>
                <w:rFonts w:hint="eastAsia"/>
                <w:highlight w:val="none"/>
              </w:rPr>
            </w:pPr>
            <w:r>
              <w:rPr>
                <w:rFonts w:hint="eastAsia"/>
                <w:highlight w:val="none"/>
              </w:rPr>
              <w:t>1、一键开课：教师可一键开课生成课程海报；学生扫描课程海报微信二维码即可加入直播课堂，无需额外安装APP。</w:t>
            </w:r>
          </w:p>
          <w:p w14:paraId="1E9C8679">
            <w:pPr>
              <w:rPr>
                <w:rFonts w:hint="eastAsia"/>
                <w:highlight w:val="none"/>
              </w:rPr>
            </w:pPr>
            <w:r>
              <w:rPr>
                <w:rFonts w:hint="eastAsia"/>
                <w:highlight w:val="none"/>
              </w:rPr>
              <w:t>2、文本聊天工具：学生可在直播课堂打字提问、互动，学生提问内容实时传递至教师；</w:t>
            </w:r>
          </w:p>
          <w:p w14:paraId="343EF362">
            <w:pPr>
              <w:rPr>
                <w:rFonts w:hint="eastAsia"/>
                <w:highlight w:val="none"/>
              </w:rPr>
            </w:pPr>
            <w:r>
              <w:rPr>
                <w:rFonts w:hint="eastAsia"/>
                <w:highlight w:val="none"/>
              </w:rPr>
              <w:t>3、互动答题工具：教师根据讲解内容发布答题板供学生选择作答，学生提交答案后系统自动统计正确率和答题详情。</w:t>
            </w:r>
          </w:p>
          <w:p w14:paraId="793BFCBB">
            <w:pPr>
              <w:rPr>
                <w:rFonts w:hint="eastAsia"/>
                <w:highlight w:val="none"/>
              </w:rPr>
            </w:pPr>
            <w:r>
              <w:rPr>
                <w:rFonts w:hint="eastAsia"/>
                <w:highlight w:val="none"/>
              </w:rPr>
              <w:t>4、远程互动工具：在直播课堂中，教师可指定授权学生远程互动，学生可在直播的课件画面进行书写、移动、擦除、参与互动活动等，学生操作过程实时同步至班级其他学生，可支持不少于5位学生同时参与远程互动；</w:t>
            </w:r>
          </w:p>
          <w:p w14:paraId="6B9CCA26">
            <w:pPr>
              <w:rPr>
                <w:rFonts w:hint="eastAsia"/>
                <w:highlight w:val="none"/>
              </w:rPr>
            </w:pPr>
            <w:r>
              <w:rPr>
                <w:rFonts w:hint="eastAsia"/>
                <w:highlight w:val="none"/>
              </w:rPr>
              <w:t>5、课堂奖励工具：直播过程中可向学生发放奖杯，学生在线学习获得的奖杯数量累积统计。</w:t>
            </w:r>
          </w:p>
          <w:p w14:paraId="72A4235A">
            <w:pPr>
              <w:rPr>
                <w:rFonts w:hint="eastAsia"/>
                <w:highlight w:val="none"/>
              </w:rPr>
            </w:pPr>
            <w:r>
              <w:rPr>
                <w:rFonts w:hint="eastAsia"/>
                <w:highlight w:val="none"/>
              </w:rPr>
              <w:t>6、远程考勤管理：直播课程结束后，后台自动统计报名学生名单和学生学习清单。</w:t>
            </w:r>
          </w:p>
          <w:p w14:paraId="11D5CD29">
            <w:pPr>
              <w:rPr>
                <w:rFonts w:hint="eastAsia"/>
                <w:highlight w:val="none"/>
              </w:rPr>
            </w:pPr>
            <w:r>
              <w:rPr>
                <w:rFonts w:hint="eastAsia"/>
                <w:highlight w:val="none"/>
              </w:rPr>
              <w:t>7、课程回放：课程结束后自动生成直播回放，报名课程的学生可反复学习；回放课程自动保存在云端，支持人工删除。</w:t>
            </w:r>
          </w:p>
          <w:p w14:paraId="2E0ECED5">
            <w:pPr>
              <w:rPr>
                <w:rFonts w:hint="eastAsia"/>
                <w:highlight w:val="none"/>
              </w:rPr>
            </w:pPr>
          </w:p>
          <w:p w14:paraId="183CE2BF">
            <w:pPr>
              <w:rPr>
                <w:rFonts w:hint="eastAsia"/>
                <w:highlight w:val="none"/>
              </w:rPr>
            </w:pPr>
            <w:r>
              <w:rPr>
                <w:rFonts w:hint="eastAsia"/>
                <w:highlight w:val="none"/>
              </w:rPr>
              <w:t>十、移动端教学备授课平台</w:t>
            </w:r>
          </w:p>
          <w:p w14:paraId="3613E22A">
            <w:pPr>
              <w:rPr>
                <w:rFonts w:hint="eastAsia"/>
                <w:highlight w:val="none"/>
              </w:rPr>
            </w:pPr>
            <w:r>
              <w:rPr>
                <w:rFonts w:hint="eastAsia"/>
                <w:highlight w:val="none"/>
              </w:rPr>
              <w:t>1、教学系统为教师提供对应的移动应用平台，实现备授课过程多终端多场景一体化。</w:t>
            </w:r>
          </w:p>
          <w:p w14:paraId="0BEAF743">
            <w:pPr>
              <w:rPr>
                <w:rFonts w:hint="eastAsia"/>
                <w:highlight w:val="none"/>
              </w:rPr>
            </w:pPr>
            <w:r>
              <w:rPr>
                <w:rFonts w:hint="eastAsia"/>
                <w:highlight w:val="none"/>
              </w:rPr>
              <w:t>2、移动平台支持识别授课端登录状态，授课端处于登录状态时，移动应用平台自动连接移动端与授课端，无需人为操作。</w:t>
            </w:r>
          </w:p>
          <w:p w14:paraId="496016A8">
            <w:pPr>
              <w:rPr>
                <w:rFonts w:hint="eastAsia"/>
                <w:highlight w:val="none"/>
              </w:rPr>
            </w:pPr>
            <w:r>
              <w:rPr>
                <w:rFonts w:hint="eastAsia"/>
                <w:highlight w:val="none"/>
              </w:rPr>
              <w:t>3、移动平台支持安装在Android 5.0及以上、iOS 9.0及以上系统版本的移动终端。</w:t>
            </w:r>
          </w:p>
          <w:p w14:paraId="5420817A">
            <w:pPr>
              <w:rPr>
                <w:rFonts w:hint="eastAsia"/>
                <w:highlight w:val="none"/>
              </w:rPr>
            </w:pPr>
            <w:r>
              <w:rPr>
                <w:rFonts w:hint="eastAsia"/>
                <w:highlight w:val="none"/>
              </w:rPr>
              <w:t>4、移动端与授课端通过网络实现账号数据对接互通、远程管控、移动授课，无需部署外接设备。</w:t>
            </w:r>
          </w:p>
          <w:p w14:paraId="58524BC2">
            <w:pPr>
              <w:rPr>
                <w:rFonts w:hint="eastAsia"/>
                <w:highlight w:val="none"/>
              </w:rPr>
            </w:pPr>
            <w:r>
              <w:rPr>
                <w:rFonts w:hint="eastAsia"/>
                <w:highlight w:val="none"/>
              </w:rPr>
              <w:t>5、移动平台与授课端账号数据联通，可在移动端选择个人云空间内任意课件放映，授课端同步显示课件内容。</w:t>
            </w:r>
          </w:p>
          <w:p w14:paraId="2800644E">
            <w:pPr>
              <w:rPr>
                <w:rFonts w:hint="eastAsia"/>
                <w:highlight w:val="none"/>
              </w:rPr>
            </w:pPr>
            <w:r>
              <w:rPr>
                <w:rFonts w:hint="eastAsia"/>
                <w:highlight w:val="none"/>
              </w:rPr>
              <w:t>6、无需局域网环境部署，教师可使用移动端进行课件翻页，课件预览、课件跳页、播放视频、播放课堂活动、展开思维导图。支持横竖屏两种模式。</w:t>
            </w:r>
          </w:p>
          <w:p w14:paraId="42E5F690">
            <w:pPr>
              <w:rPr>
                <w:rFonts w:hint="eastAsia"/>
                <w:highlight w:val="none"/>
              </w:rPr>
            </w:pPr>
            <w:r>
              <w:rPr>
                <w:rFonts w:hint="eastAsia"/>
                <w:highlight w:val="none"/>
              </w:rPr>
              <w:t>7、支持移动端对授课端远程实时同步书写擦除，提供不少于3种笔触粗细和5种笔迹颜色，支持一键清除书写内容。</w:t>
            </w:r>
          </w:p>
          <w:p w14:paraId="64DF1672">
            <w:pPr>
              <w:rPr>
                <w:rFonts w:hint="eastAsia"/>
                <w:highlight w:val="none"/>
              </w:rPr>
            </w:pPr>
            <w:r>
              <w:rPr>
                <w:rFonts w:hint="eastAsia"/>
                <w:highlight w:val="none"/>
              </w:rPr>
              <w:t>8、支持调用移动端摄像头拍摄照片并直接插入课件，提供文档、普通和彩图3种拍照模式，适用于不同教学场景。</w:t>
            </w:r>
          </w:p>
          <w:p w14:paraId="167B845E">
            <w:pPr>
              <w:rPr>
                <w:rFonts w:hint="eastAsia"/>
                <w:highlight w:val="none"/>
              </w:rPr>
            </w:pPr>
            <w:r>
              <w:rPr>
                <w:rFonts w:hint="eastAsia"/>
                <w:highlight w:val="none"/>
              </w:rPr>
              <w:t>9、支持上传移动端本地图片，并发上传数量不少于9张。</w:t>
            </w:r>
          </w:p>
          <w:p w14:paraId="08E82CCC">
            <w:pPr>
              <w:rPr>
                <w:rFonts w:hint="eastAsia"/>
                <w:highlight w:val="none"/>
              </w:rPr>
            </w:pPr>
            <w:r>
              <w:rPr>
                <w:rFonts w:hint="eastAsia"/>
                <w:highlight w:val="none"/>
              </w:rPr>
              <w:t>10、支持NFC一碰投屏或直播。</w:t>
            </w:r>
          </w:p>
          <w:p w14:paraId="2B1EB97E">
            <w:pPr>
              <w:rPr>
                <w:rFonts w:hint="eastAsia"/>
                <w:highlight w:val="none"/>
              </w:rPr>
            </w:pPr>
            <w:r>
              <w:rPr>
                <w:rFonts w:hint="eastAsia"/>
                <w:highlight w:val="none"/>
              </w:rPr>
              <w:t>11、在局域网环境或无网环境下，可将移动端屏幕实时同步至授课显示端，同屏窗口、全屏显示方式根据移动端界面自动适配。</w:t>
            </w:r>
          </w:p>
          <w:p w14:paraId="412BB5C0">
            <w:pPr>
              <w:rPr>
                <w:rFonts w:hint="eastAsia"/>
                <w:highlight w:val="none"/>
              </w:rPr>
            </w:pPr>
            <w:r>
              <w:rPr>
                <w:rFonts w:hint="eastAsia"/>
                <w:highlight w:val="none"/>
              </w:rPr>
              <w:t>12、在局域网环境或无网环境下提供直播功能，移动端拍摄画面实时同步至授课显示端，直播窗口、全屏显示方式根据移动端拍摄自动适配，直播画质根据网络状况自动调。</w:t>
            </w:r>
          </w:p>
          <w:p w14:paraId="5BD03CED">
            <w:pPr>
              <w:rPr>
                <w:rFonts w:hint="eastAsia"/>
                <w:highlight w:val="none"/>
              </w:rPr>
            </w:pPr>
          </w:p>
          <w:p w14:paraId="2A6ED159">
            <w:pPr>
              <w:rPr>
                <w:rFonts w:hint="eastAsia"/>
                <w:highlight w:val="none"/>
              </w:rPr>
            </w:pPr>
            <w:r>
              <w:rPr>
                <w:rFonts w:hint="eastAsia"/>
                <w:highlight w:val="none"/>
              </w:rPr>
              <w:t>十一、作业题库</w:t>
            </w:r>
          </w:p>
          <w:p w14:paraId="6C76B60C">
            <w:pPr>
              <w:rPr>
                <w:rFonts w:hint="eastAsia"/>
                <w:highlight w:val="none"/>
              </w:rPr>
            </w:pPr>
            <w:r>
              <w:rPr>
                <w:rFonts w:hint="eastAsia"/>
                <w:highlight w:val="none"/>
              </w:rPr>
              <w:t>1、创建习题：支持选择题、填空题、判断题、解答题多种类型题目的创建，支持匹配知识点，设定题目难度等。通常可用于练习任务，在线小测，客观题自动批改</w:t>
            </w:r>
          </w:p>
          <w:p w14:paraId="20F55D93">
            <w:pPr>
              <w:rPr>
                <w:rFonts w:hint="eastAsia"/>
                <w:highlight w:val="none"/>
              </w:rPr>
            </w:pPr>
            <w:r>
              <w:rPr>
                <w:rFonts w:hint="eastAsia"/>
                <w:highlight w:val="none"/>
              </w:rPr>
              <w:t>2、批量导入习题：支持WORD导出习题，导入后支持对照修改，实时预览，题目可挂靠解析，知识点，可添加题目使用备注。</w:t>
            </w:r>
          </w:p>
          <w:p w14:paraId="3F1D1979">
            <w:pPr>
              <w:rPr>
                <w:rFonts w:hint="eastAsia"/>
                <w:highlight w:val="none"/>
              </w:rPr>
            </w:pPr>
            <w:r>
              <w:rPr>
                <w:rFonts w:hint="eastAsia"/>
                <w:highlight w:val="none"/>
              </w:rPr>
              <w:t>3、习题管理：支持题目按教材章节、难度、题型管理和应用。</w:t>
            </w:r>
          </w:p>
          <w:p w14:paraId="3ED17D49">
            <w:pPr>
              <w:rPr>
                <w:rFonts w:hint="eastAsia"/>
                <w:highlight w:val="none"/>
              </w:rPr>
            </w:pPr>
            <w:r>
              <w:rPr>
                <w:rFonts w:hint="eastAsia"/>
                <w:highlight w:val="none"/>
              </w:rPr>
              <w:t>4、习题应用：支持将习题加入作业，并通过布置作业功能发送到使用端。</w:t>
            </w:r>
          </w:p>
          <w:p w14:paraId="09028FB4">
            <w:pPr>
              <w:rPr>
                <w:rFonts w:hint="eastAsia"/>
                <w:highlight w:val="none"/>
              </w:rPr>
            </w:pPr>
            <w:r>
              <w:rPr>
                <w:rFonts w:hint="eastAsia"/>
                <w:highlight w:val="none"/>
              </w:rPr>
              <w:t>5、布置记录：被校内老师布置过的习题会通过作业报告的形式展示布置次数、历史作答正确率，以协助老师判断该题的难度和学生掌握情况。</w:t>
            </w:r>
          </w:p>
          <w:p w14:paraId="5444FEDD">
            <w:pPr>
              <w:rPr>
                <w:rFonts w:hint="eastAsia"/>
                <w:highlight w:val="none"/>
              </w:rPr>
            </w:pPr>
          </w:p>
          <w:p w14:paraId="28736AFD">
            <w:pPr>
              <w:rPr>
                <w:rFonts w:hint="eastAsia"/>
                <w:highlight w:val="none"/>
              </w:rPr>
            </w:pPr>
            <w:r>
              <w:rPr>
                <w:rFonts w:hint="eastAsia"/>
                <w:highlight w:val="none"/>
              </w:rPr>
              <w:t>十二、教学研究管理平台</w:t>
            </w:r>
          </w:p>
          <w:p w14:paraId="436CBBF2">
            <w:pPr>
              <w:rPr>
                <w:rFonts w:hint="eastAsia"/>
                <w:highlight w:val="none"/>
              </w:rPr>
            </w:pPr>
            <w:r>
              <w:rPr>
                <w:rFonts w:hint="eastAsia"/>
                <w:highlight w:val="none"/>
              </w:rPr>
              <w:t>▲1、为学校提供教研全流程管理服务，包含教学目标与计划、教学设计、集体备课、听课评课、班级氛围的流程管理和数据分析。管理者在教学检查中可以掌握以教研组、备课组为单位的教学资源和集体备数据，了解老师的教学备课工作。支持查看各年级和学科的教研组的教学资源覆盖情况和集体备课数据。支持以时间、教材进行数据筛选，推动老师的备课进度。支持查看备课组下成员的课程资源和集体备课数据概览，支持查看每位成员在不同教材章节下的课程资源上传/获取情况和集体备课的研讨情况。支持以时间、老师、教材章节进行数据筛选。支持导出备课组下全部成员的课程资源和集体备课数据。（响应文件中须出具检验结果符合或者优于本项参数的国家认可的第三方认证（检测）机构出具的带有CMA或CNAS标志的检测报告）</w:t>
            </w:r>
          </w:p>
          <w:p w14:paraId="16521046">
            <w:pPr>
              <w:rPr>
                <w:rFonts w:hint="eastAsia"/>
                <w:highlight w:val="none"/>
              </w:rPr>
            </w:pPr>
            <w:r>
              <w:rPr>
                <w:rFonts w:hint="eastAsia"/>
                <w:highlight w:val="none"/>
              </w:rPr>
              <w:t>2、可查看集体备课的开展统计情况及老师参与集体备课的记录。支持以时间、学科进行筛选，支持输入集体备课名称/主备人名称，进行全局搜索。支持查看集体备课名称，主备人、所属学科、年级、参备老师数、稿数、浏览数、评论数、批注数、评论点赞数、集体备课状态和创建时间等数据。管理员可随时查看学校集体备课详情，查看集体备课的详细内容并给予指导评论，同时支持管理员删除集体备课活动和导出集体备课记录数据表格。支持查看以老师维度统计的集体备课记录，查看老师所属学段学科、发起次数、参备次数、评论数、批注数、最近集体备课时间等数据。支持管理员导出教师集体备课记录数据表格。</w:t>
            </w:r>
          </w:p>
          <w:p w14:paraId="5F59E29C">
            <w:pPr>
              <w:rPr>
                <w:rFonts w:hint="eastAsia"/>
                <w:highlight w:val="none"/>
              </w:rPr>
            </w:pPr>
            <w:r>
              <w:rPr>
                <w:rFonts w:hint="eastAsia"/>
                <w:highlight w:val="none"/>
              </w:rPr>
              <w:t>▲3、可查看课程的评价统计情况及教师对课程的评价记录。支持以时间、评课表、学科进行筛选，支持输入课程名称/老师名称，进行全局搜索。支持查看以课程维度的评价记录，包括课件名称、授课老师、所属学科、本节课的评课人数、总评价平均分及授课时间，通过点击操作“详情”可查看具体评价情况，支持管理员删除评价记录和导出课程评价记录数据表格。点击课程详情可以查看评课报告，可以查看该课程的总分和各板块得分，支持导出为PDF文件。支持查看课程下所有老师的评课表，可以批量导出为Word文件。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表格。支持自定义设置学校专属评课表，系统预置中央电教馆“一师一优课，一课一名师”、“教师通用评课表-评分制”模板供使用。点评支持评分题、主观题等评价及拍照上传图片等功能。支持发布多张评课表，同时开展多学科、多个评课活动。评课表支持在线预览和设置权限，听课老师权限可以选择公开，无需登录/需要登录用户账号/绑定本校且需登录用户账号等选项。（响应文件中须出具检验结果符合或者优于本项参数的国家认可的第三方认证（检测）机构出具的带有CMA或CNAS标志的检测报告）</w:t>
            </w:r>
          </w:p>
          <w:p w14:paraId="22D9E0CF">
            <w:pPr>
              <w:rPr>
                <w:rFonts w:hint="eastAsia"/>
                <w:highlight w:val="none"/>
              </w:rPr>
            </w:pPr>
            <w:r>
              <w:rPr>
                <w:rFonts w:hint="eastAsia"/>
                <w:highlight w:val="none"/>
              </w:rPr>
              <w:t>4、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4AFC6E5F">
            <w:pPr>
              <w:rPr>
                <w:rFonts w:hint="eastAsia"/>
                <w:highlight w:val="none"/>
              </w:rPr>
            </w:pPr>
            <w:r>
              <w:rPr>
                <w:rFonts w:hint="eastAsia"/>
                <w:highlight w:val="none"/>
              </w:rPr>
              <w:t>▲5、全校听评课数据统一汇总，数据包含全校本月评课节数，本月评课次数，累计评课节数和累计评课次数，了解听评课教研活动的开展情况。支持按评课人数/评课平均分查看全校排行详细数据。支持对不同评课维度得分进行统计，计算平均分并找出评分薄弱项，同时支持查看全校的课程评价记录和得分详情、教师评价记录，并可一键导出Excel表格。支持导出课程的评课报告为PDF文件，支持批量导出课程下所有老师的评课表为Word文件。（响应文件中须出具检验结果符合或者优于本项参数的国家认可的第三方认证（检测）机构出具的带有CMA或CNAS标志的检测报告）</w:t>
            </w:r>
          </w:p>
          <w:p w14:paraId="67A38D42">
            <w:pPr>
              <w:rPr>
                <w:rFonts w:hint="eastAsia"/>
                <w:highlight w:val="none"/>
              </w:rPr>
            </w:pPr>
            <w:r>
              <w:rPr>
                <w:rFonts w:hint="eastAsia"/>
                <w:highlight w:val="none"/>
              </w:rPr>
              <w:t>▲6、支持管理员在教研数字化管理平台后台移动、删除、重命名教师上传至校本库的课件、教案、微课及多媒体等资源。校本资源库提供学科目录模板/教材目录模板，管理者可搭建校本资源目录框架，以文件夹的形式进行分组，进行各年级学科的资源管理。支持以文件夹的维度进行权限设置，设置某个文件夹仅有权限的部门或者老师可见，同时支持按文件夹的维度进行课件的批量移动、删除。支持树形结构目录，进行资源分类及查找，支持全局资源搜索，按年级、学科筛选资源，支持查找资源后定位到当前资源文件夹。支持查看资源文件夹的创建者，资源的上传作者，更新时间、校本容量等数据。校本资源支持在线预览。管理员可对校本资源进行分类移动，删除或重命名，资源目录在编辑的界面支持同级拖拽移动。（响应文件中须出具检验结果符合或者优于本项参数的国家认可的第三方认证（检测）机构出具的带有CMA或CNAS标志的检测报告）</w:t>
            </w:r>
          </w:p>
          <w:p w14:paraId="51FA0F26">
            <w:pPr>
              <w:rPr>
                <w:rFonts w:hint="eastAsia"/>
                <w:highlight w:val="none"/>
              </w:rPr>
            </w:pPr>
          </w:p>
          <w:p w14:paraId="6946EDBB">
            <w:pPr>
              <w:rPr>
                <w:rFonts w:hint="eastAsia"/>
                <w:highlight w:val="none"/>
              </w:rPr>
            </w:pPr>
            <w:r>
              <w:rPr>
                <w:rFonts w:hint="eastAsia"/>
                <w:highlight w:val="none"/>
              </w:rPr>
              <w:t>十三、无线传屏教学系统</w:t>
            </w:r>
          </w:p>
          <w:p w14:paraId="04562AA2">
            <w:pPr>
              <w:rPr>
                <w:rFonts w:hint="eastAsia"/>
                <w:highlight w:val="none"/>
              </w:rPr>
            </w:pPr>
            <w:r>
              <w:rPr>
                <w:rFonts w:hint="eastAsia"/>
                <w:highlight w:val="none"/>
              </w:rPr>
              <w:t>1、支持操作系统：Win7/Win8/Win8.1/Win10/Mac OS10.10及以上。</w:t>
            </w:r>
          </w:p>
          <w:p w14:paraId="3FAA3C11">
            <w:pPr>
              <w:rPr>
                <w:rFonts w:hint="eastAsia"/>
                <w:highlight w:val="none"/>
              </w:rPr>
            </w:pPr>
            <w:r>
              <w:rPr>
                <w:rFonts w:hint="eastAsia"/>
                <w:highlight w:val="none"/>
              </w:rPr>
              <w:t>2、传输延迟≤90ms，帧率达到20fps-30fps。</w:t>
            </w:r>
          </w:p>
          <w:p w14:paraId="3678A2AB">
            <w:pPr>
              <w:rPr>
                <w:rFonts w:hint="eastAsia"/>
                <w:highlight w:val="none"/>
              </w:rPr>
            </w:pPr>
            <w:r>
              <w:rPr>
                <w:rFonts w:hint="eastAsia"/>
                <w:highlight w:val="none"/>
              </w:rPr>
              <w:t>3、无线传屏软硬件均支持win10系统扩展屏显示。</w:t>
            </w:r>
          </w:p>
          <w:p w14:paraId="14E34FFD">
            <w:pPr>
              <w:rPr>
                <w:rFonts w:hint="eastAsia"/>
                <w:highlight w:val="none"/>
              </w:rPr>
            </w:pPr>
            <w:r>
              <w:rPr>
                <w:rFonts w:hint="eastAsia"/>
                <w:highlight w:val="none"/>
              </w:rPr>
              <w:t>4、可以仅对一个窗口进行无线投屏，其他窗口内容不做展示，保证数据的隐私。</w:t>
            </w:r>
          </w:p>
          <w:p w14:paraId="0D3B400E">
            <w:pPr>
              <w:rPr>
                <w:rFonts w:hint="eastAsia"/>
                <w:highlight w:val="none"/>
              </w:rPr>
            </w:pPr>
            <w:r>
              <w:rPr>
                <w:rFonts w:hint="eastAsia"/>
                <w:highlight w:val="none"/>
              </w:rPr>
              <w:t>5、无线传屏视频数据加密，加密方式：国密SM4，保障数据传输安全。</w:t>
            </w:r>
          </w:p>
          <w:p w14:paraId="571B0967">
            <w:pPr>
              <w:rPr>
                <w:rFonts w:hint="eastAsia"/>
                <w:highlight w:val="none"/>
              </w:rPr>
            </w:pPr>
            <w:r>
              <w:rPr>
                <w:rFonts w:hint="eastAsia"/>
                <w:highlight w:val="none"/>
              </w:rPr>
              <w:t>6、软件传屏码可以在整机任何页面进行常显，也可设置取消，方便软件传屏连接。</w:t>
            </w:r>
          </w:p>
          <w:p w14:paraId="2F6E206C">
            <w:pPr>
              <w:rPr>
                <w:rFonts w:hint="eastAsia"/>
                <w:highlight w:val="none"/>
              </w:rPr>
            </w:pPr>
            <w:r>
              <w:rPr>
                <w:rFonts w:hint="eastAsia"/>
                <w:highlight w:val="none"/>
              </w:rPr>
              <w:t>传屏之后，在屏幕上部中间部分显示工具栏，可以进行基本的操作（具体包括触摸回传控制，勿扰模式，暂停投屏等）</w:t>
            </w:r>
          </w:p>
          <w:p w14:paraId="2C8BA101">
            <w:pPr>
              <w:rPr>
                <w:rFonts w:hint="eastAsia"/>
                <w:highlight w:val="none"/>
              </w:rPr>
            </w:pPr>
            <w:r>
              <w:rPr>
                <w:rFonts w:hint="eastAsia"/>
                <w:highlight w:val="none"/>
              </w:rPr>
              <w:t>7、传屏开启勿扰模式之后，不允许其他人在进行传屏，沉浸模式，避免在使用过程中，用户经常被其他人传屏顶替掉，造成使用中断。</w:t>
            </w:r>
          </w:p>
          <w:p w14:paraId="560D9C76">
            <w:pPr>
              <w:rPr>
                <w:rFonts w:hint="eastAsia"/>
                <w:highlight w:val="none"/>
              </w:rPr>
            </w:pPr>
            <w:r>
              <w:rPr>
                <w:rFonts w:hint="eastAsia"/>
                <w:highlight w:val="none"/>
              </w:rPr>
              <w:t>8、可通过传屏工具栏暂停投屏功能进行画面冻结暂停，投屏电脑可自主进行其他操作，不影响整机的冻结画面内容显示。</w:t>
            </w:r>
          </w:p>
          <w:p w14:paraId="28D78789">
            <w:pPr>
              <w:rPr>
                <w:rFonts w:hint="eastAsia"/>
                <w:highlight w:val="none"/>
              </w:rPr>
            </w:pPr>
            <w:r>
              <w:rPr>
                <w:rFonts w:hint="eastAsia"/>
                <w:highlight w:val="none"/>
              </w:rPr>
              <w:t>9、可通过软件可自动发现近场可投屏的会议设备，选择即可投屏，无需手动配对。</w:t>
            </w:r>
          </w:p>
          <w:p w14:paraId="6C38F210">
            <w:pPr>
              <w:rPr>
                <w:rFonts w:hint="eastAsia"/>
                <w:highlight w:val="none"/>
              </w:rPr>
            </w:pPr>
          </w:p>
          <w:p w14:paraId="6F398D8E">
            <w:pPr>
              <w:rPr>
                <w:rFonts w:hint="eastAsia"/>
                <w:highlight w:val="none"/>
              </w:rPr>
            </w:pPr>
            <w:r>
              <w:rPr>
                <w:rFonts w:hint="eastAsia"/>
                <w:highlight w:val="none"/>
              </w:rPr>
              <w:t>十四、教学学情分析系统</w:t>
            </w:r>
          </w:p>
          <w:p w14:paraId="4BAFB7AF">
            <w:pPr>
              <w:rPr>
                <w:rFonts w:hint="eastAsia"/>
                <w:highlight w:val="none"/>
              </w:rPr>
            </w:pPr>
            <w:r>
              <w:rPr>
                <w:rFonts w:hint="eastAsia"/>
                <w:highlight w:val="none"/>
              </w:rPr>
              <w:t>1、统计考勤：互动反馈系统支持无感考勤功能，学生连接成功后名字可显示在签到列表上，签到列表实时统计已签到人数，并查看未到的人员。</w:t>
            </w:r>
          </w:p>
          <w:p w14:paraId="31352408">
            <w:pPr>
              <w:rPr>
                <w:rFonts w:hint="eastAsia"/>
                <w:highlight w:val="none"/>
              </w:rPr>
            </w:pPr>
            <w:r>
              <w:rPr>
                <w:rFonts w:hint="eastAsia"/>
                <w:highlight w:val="none"/>
              </w:rPr>
              <w:t>2、班级创建：支持老师主动创建班级，创建成功后，每次登录教师端即可直接进入班级列表，选择班级进入课堂。</w:t>
            </w:r>
          </w:p>
          <w:p w14:paraId="62188F1F">
            <w:pPr>
              <w:rPr>
                <w:rFonts w:hint="eastAsia"/>
                <w:highlight w:val="none"/>
              </w:rPr>
            </w:pPr>
            <w:r>
              <w:rPr>
                <w:rFonts w:hint="eastAsia"/>
                <w:highlight w:val="none"/>
              </w:rPr>
              <w:t>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w:t>
            </w:r>
          </w:p>
          <w:p w14:paraId="4585EB99">
            <w:pPr>
              <w:rPr>
                <w:rFonts w:hint="eastAsia"/>
                <w:highlight w:val="none"/>
              </w:rPr>
            </w:pPr>
            <w:r>
              <w:rPr>
                <w:rFonts w:hint="eastAsia"/>
                <w:highlight w:val="none"/>
              </w:rPr>
              <w:t>4、抢答抽选：互动反馈系统支持抢答、抽选功能，活跃课堂氛围。</w:t>
            </w:r>
          </w:p>
          <w:p w14:paraId="122ED801">
            <w:pPr>
              <w:rPr>
                <w:rFonts w:hint="eastAsia"/>
                <w:highlight w:val="none"/>
              </w:rPr>
            </w:pPr>
            <w:r>
              <w:rPr>
                <w:rFonts w:hint="eastAsia"/>
                <w:highlight w:val="none"/>
              </w:rPr>
              <w:t>5、观点云词：互动反馈系统支持主观观点收集功能，支持学生们自主提交不多于200字的观点评论，并自动生成班级关键词云，点击关键词可查看对应学生名单和具体评论信息。</w:t>
            </w:r>
          </w:p>
          <w:p w14:paraId="758E1928">
            <w:pPr>
              <w:rPr>
                <w:rFonts w:hint="eastAsia"/>
                <w:highlight w:val="none"/>
              </w:rPr>
            </w:pPr>
            <w:r>
              <w:rPr>
                <w:rFonts w:hint="eastAsia"/>
                <w:highlight w:val="none"/>
              </w:rPr>
              <w:t xml:space="preserve">6、学情报告；互动反馈系统在上课结束后支持实时生成课程报告，课堂报告支持查看签到人数，课堂互动总数，平均参与度，提问个数，支持查看考勤详情，互动详情和提问详情。 </w:t>
            </w:r>
          </w:p>
          <w:p w14:paraId="3076A9D7">
            <w:pPr>
              <w:rPr>
                <w:rFonts w:hint="eastAsia"/>
                <w:highlight w:val="none"/>
              </w:rPr>
            </w:pPr>
          </w:p>
          <w:p w14:paraId="691D22F2">
            <w:pPr>
              <w:rPr>
                <w:rFonts w:hint="eastAsia"/>
                <w:highlight w:val="none"/>
              </w:rPr>
            </w:pPr>
            <w:r>
              <w:rPr>
                <w:rFonts w:hint="eastAsia"/>
                <w:highlight w:val="none"/>
              </w:rPr>
              <w:t>十五、光能黑板</w:t>
            </w:r>
          </w:p>
          <w:p w14:paraId="1E8E337E">
            <w:pPr>
              <w:rPr>
                <w:rFonts w:hint="eastAsia"/>
                <w:highlight w:val="none"/>
              </w:rPr>
            </w:pPr>
            <w:r>
              <w:rPr>
                <w:rFonts w:hint="eastAsia"/>
                <w:highlight w:val="none"/>
              </w:rPr>
              <w:t>（一）硬件要求</w:t>
            </w:r>
          </w:p>
          <w:p w14:paraId="6994346C">
            <w:pPr>
              <w:rPr>
                <w:rFonts w:hint="eastAsia"/>
                <w:highlight w:val="none"/>
              </w:rPr>
            </w:pPr>
            <w:r>
              <w:rPr>
                <w:rFonts w:hint="eastAsia"/>
                <w:highlight w:val="none"/>
              </w:rPr>
              <w:t>1、单块光能黑板≥1290（长）*1158（高）mm。每套由两块内板组合。</w:t>
            </w:r>
          </w:p>
          <w:p w14:paraId="4A65F175">
            <w:pPr>
              <w:rPr>
                <w:rFonts w:hint="eastAsia"/>
                <w:highlight w:val="none"/>
              </w:rPr>
            </w:pPr>
            <w:r>
              <w:rPr>
                <w:rFonts w:hint="eastAsia"/>
                <w:highlight w:val="none"/>
              </w:rPr>
              <w:t>2、采用任何硬度适中的工具均可在板面进行书写，无需专用耗材，消除了粉笔粉尘对师生构成的健康隐患。</w:t>
            </w:r>
          </w:p>
          <w:p w14:paraId="34F204CB">
            <w:pPr>
              <w:rPr>
                <w:rFonts w:hint="eastAsia"/>
                <w:highlight w:val="none"/>
              </w:rPr>
            </w:pPr>
            <w:r>
              <w:rPr>
                <w:rFonts w:hint="eastAsia"/>
                <w:highlight w:val="none"/>
              </w:rPr>
              <w:t>▲3、光能黑板应无频闪、无背光，上膜不应产生眩光。板书笔迹可视距离40米，可视角度≥150°，对比度≥150:1。</w:t>
            </w:r>
          </w:p>
          <w:p w14:paraId="40C400A7">
            <w:pPr>
              <w:rPr>
                <w:rFonts w:hint="eastAsia"/>
                <w:highlight w:val="none"/>
              </w:rPr>
            </w:pPr>
            <w:r>
              <w:rPr>
                <w:rFonts w:hint="eastAsia"/>
                <w:highlight w:val="none"/>
              </w:rPr>
              <w:t>▲4、光能黑板的光泽度不高于30光泽单位。</w:t>
            </w:r>
          </w:p>
          <w:p w14:paraId="7FF4C950">
            <w:pPr>
              <w:rPr>
                <w:rFonts w:hint="eastAsia"/>
                <w:highlight w:val="none"/>
              </w:rPr>
            </w:pPr>
            <w:r>
              <w:rPr>
                <w:rFonts w:hint="eastAsia"/>
                <w:highlight w:val="none"/>
              </w:rPr>
              <w:t>▲5、书写膜的透光率不低于87%，雾度不高于40%。</w:t>
            </w:r>
          </w:p>
          <w:p w14:paraId="6B8E95F7">
            <w:pPr>
              <w:rPr>
                <w:rFonts w:hint="eastAsia"/>
                <w:highlight w:val="none"/>
              </w:rPr>
            </w:pPr>
            <w:r>
              <w:rPr>
                <w:rFonts w:hint="eastAsia"/>
                <w:highlight w:val="none"/>
              </w:rPr>
              <w:t>6、一键擦除：按下一键擦除按键，可实现板书的全部擦除，擦除后无明显残留痕迹。</w:t>
            </w:r>
          </w:p>
          <w:p w14:paraId="0621A1EF">
            <w:pPr>
              <w:rPr>
                <w:rFonts w:hint="eastAsia"/>
                <w:highlight w:val="none"/>
              </w:rPr>
            </w:pPr>
            <w:r>
              <w:rPr>
                <w:rFonts w:hint="eastAsia"/>
                <w:highlight w:val="none"/>
              </w:rPr>
              <w:t>7、局部擦除：可使用板擦和手势对板书进行局部擦除。擦除精度小于10mm*10mm，擦除延时＜60ms。光能板具有独立供电装置，可在液晶屏关机的情况下独立使用，不影响局部擦除功能。</w:t>
            </w:r>
          </w:p>
          <w:p w14:paraId="18FF25D5">
            <w:pPr>
              <w:rPr>
                <w:rFonts w:hint="eastAsia"/>
                <w:highlight w:val="none"/>
              </w:rPr>
            </w:pPr>
            <w:r>
              <w:rPr>
                <w:rFonts w:hint="eastAsia"/>
                <w:highlight w:val="none"/>
              </w:rPr>
              <w:t>8、板内设有电压补偿机制，可以通过手势按压书写板板面的特定位置，控制书写板内部电压高低，以调节擦除灵敏度。</w:t>
            </w:r>
          </w:p>
          <w:p w14:paraId="25A3C12A">
            <w:pPr>
              <w:rPr>
                <w:rFonts w:hint="eastAsia"/>
                <w:highlight w:val="none"/>
              </w:rPr>
            </w:pPr>
            <w:r>
              <w:rPr>
                <w:rFonts w:hint="eastAsia"/>
                <w:highlight w:val="none"/>
              </w:rPr>
              <w:t>▲9、设备内提供的电池组保护电路，符合标准要求，并通过带二次锂电池的设备的充电安全防护。黑板通过恒定力和冲击试验，机械强度符合标准要求。</w:t>
            </w:r>
          </w:p>
          <w:p w14:paraId="4B861F73">
            <w:pPr>
              <w:rPr>
                <w:rFonts w:hint="eastAsia"/>
                <w:highlight w:val="none"/>
              </w:rPr>
            </w:pPr>
            <w:r>
              <w:rPr>
                <w:rFonts w:hint="eastAsia"/>
                <w:highlight w:val="none"/>
              </w:rPr>
              <w:t>10、黑板表面具有暗格，用以提供给师生在书写板书时的直线参照，可避免板书歪斜。黑板表面可吸附磁贴、磁扣等教学工具，便于老师教学使用。</w:t>
            </w:r>
          </w:p>
          <w:p w14:paraId="35C199DA">
            <w:pPr>
              <w:rPr>
                <w:rFonts w:hint="eastAsia"/>
                <w:highlight w:val="none"/>
              </w:rPr>
            </w:pPr>
            <w:r>
              <w:rPr>
                <w:rFonts w:hint="eastAsia"/>
                <w:highlight w:val="none"/>
              </w:rPr>
              <w:t>11、光能黑板通过低温-30℃，高温80℃，恒定湿热40℃、95%RH测试，产品外观无变形、损坏等现象，通电运行正常。</w:t>
            </w:r>
          </w:p>
          <w:p w14:paraId="7E71AC09">
            <w:pPr>
              <w:rPr>
                <w:rFonts w:hint="eastAsia"/>
                <w:highlight w:val="none"/>
              </w:rPr>
            </w:pPr>
            <w:r>
              <w:rPr>
                <w:rFonts w:hint="eastAsia"/>
                <w:highlight w:val="none"/>
              </w:rPr>
              <w:t>12、边框采用铝合金材质，坚固耐用，具有较好的耐腐蚀特性。</w:t>
            </w:r>
          </w:p>
          <w:p w14:paraId="1620AD9B">
            <w:pPr>
              <w:rPr>
                <w:rFonts w:hint="eastAsia"/>
                <w:highlight w:val="none"/>
              </w:rPr>
            </w:pPr>
            <w:r>
              <w:rPr>
                <w:rFonts w:hint="eastAsia"/>
                <w:highlight w:val="none"/>
              </w:rPr>
              <w:t>13、采用一体式按键指示灯，可通过不同颜色、闪烁等方式表示擦除、电量不足等工作状态。每块光能黑板具备DC接口*2和USB接口*2，方便用户使用。</w:t>
            </w:r>
          </w:p>
          <w:p w14:paraId="78B34CEC">
            <w:pPr>
              <w:rPr>
                <w:rFonts w:hint="eastAsia"/>
                <w:highlight w:val="none"/>
              </w:rPr>
            </w:pPr>
            <w:r>
              <w:rPr>
                <w:rFonts w:hint="eastAsia"/>
                <w:highlight w:val="none"/>
              </w:rPr>
              <w:t>▲14、光能黑板通过抗电强度1500V试验，无击穿现象，符合GB4943的安全要求。</w:t>
            </w:r>
          </w:p>
          <w:p w14:paraId="0A39A13C">
            <w:pPr>
              <w:rPr>
                <w:rFonts w:hint="eastAsia"/>
                <w:highlight w:val="none"/>
              </w:rPr>
            </w:pPr>
            <w:r>
              <w:rPr>
                <w:rFonts w:hint="eastAsia"/>
                <w:highlight w:val="none"/>
              </w:rPr>
              <w:t>▲15、产品的最大工作电流（瞬间电流）≤1000mA。</w:t>
            </w:r>
          </w:p>
          <w:p w14:paraId="3203D0D4">
            <w:pPr>
              <w:rPr>
                <w:rFonts w:hint="eastAsia"/>
                <w:highlight w:val="none"/>
              </w:rPr>
            </w:pPr>
            <w:r>
              <w:rPr>
                <w:rFonts w:hint="eastAsia"/>
                <w:highlight w:val="none"/>
              </w:rPr>
              <w:t>16、为让老师能够快速调取交互软件，方便使用功能，光能黑板上应具有实用快捷键。</w:t>
            </w:r>
          </w:p>
          <w:p w14:paraId="0B3E21B9">
            <w:pPr>
              <w:rPr>
                <w:rFonts w:hint="eastAsia"/>
                <w:highlight w:val="none"/>
              </w:rPr>
            </w:pPr>
            <w:r>
              <w:rPr>
                <w:rFonts w:hint="eastAsia"/>
                <w:highlight w:val="none"/>
              </w:rPr>
              <w:t>（二）软件要求</w:t>
            </w:r>
          </w:p>
          <w:p w14:paraId="4DD9AE96">
            <w:pPr>
              <w:rPr>
                <w:rFonts w:hint="eastAsia"/>
                <w:highlight w:val="none"/>
              </w:rPr>
            </w:pPr>
            <w:r>
              <w:rPr>
                <w:rFonts w:hint="eastAsia"/>
                <w:highlight w:val="none"/>
              </w:rPr>
              <w:t>1、左、右光能黑板可与触控一体机进行互动，将光能黑板的内容与触控一体机无缝连接，教师在光能黑板上的书写内容可同步显示在触控一体机上。</w:t>
            </w:r>
          </w:p>
          <w:p w14:paraId="7ABEC26A">
            <w:pPr>
              <w:rPr>
                <w:rFonts w:hint="eastAsia"/>
                <w:highlight w:val="none"/>
              </w:rPr>
            </w:pPr>
            <w:r>
              <w:rPr>
                <w:rFonts w:hint="eastAsia"/>
                <w:highlight w:val="none"/>
              </w:rPr>
              <w:t>2、为便于老师记忆和操作，板书界面与电脑桌面/PPT课件之间，采用同一个按键来回切换，方便快捷。</w:t>
            </w:r>
          </w:p>
          <w:p w14:paraId="58AD2676">
            <w:pPr>
              <w:rPr>
                <w:rFonts w:hint="eastAsia"/>
                <w:highlight w:val="none"/>
              </w:rPr>
            </w:pPr>
            <w:r>
              <w:rPr>
                <w:rFonts w:hint="eastAsia"/>
                <w:highlight w:val="none"/>
              </w:rPr>
              <w:t>3、光能黑板具有两种书写记录模式，支持单板书写记录内容为一个单页面，也可以支持多板同时书写时记录在一个页面上；</w:t>
            </w:r>
          </w:p>
          <w:p w14:paraId="45615B03">
            <w:pPr>
              <w:rPr>
                <w:rFonts w:hint="eastAsia"/>
                <w:highlight w:val="none"/>
              </w:rPr>
            </w:pPr>
            <w:r>
              <w:rPr>
                <w:rFonts w:hint="eastAsia"/>
                <w:highlight w:val="none"/>
              </w:rPr>
              <w:t>4、当不需要板书传输到软件显示界面时，可以使用分屏功能，断开黑板与大屏的传输，使其成为互不影响的多块黑板。</w:t>
            </w:r>
          </w:p>
          <w:p w14:paraId="24868DA8">
            <w:pPr>
              <w:rPr>
                <w:rFonts w:hint="eastAsia"/>
                <w:highlight w:val="none"/>
              </w:rPr>
            </w:pPr>
            <w:r>
              <w:rPr>
                <w:rFonts w:hint="eastAsia"/>
                <w:highlight w:val="none"/>
              </w:rPr>
              <w:t>5、设置不同的软件端笔迹颜色，可实现老师对于教学重点的标识及批注；</w:t>
            </w:r>
          </w:p>
          <w:p w14:paraId="4E166217">
            <w:pPr>
              <w:rPr>
                <w:rFonts w:hint="eastAsia"/>
                <w:highlight w:val="none"/>
              </w:rPr>
            </w:pPr>
            <w:r>
              <w:rPr>
                <w:rFonts w:hint="eastAsia"/>
                <w:highlight w:val="none"/>
              </w:rPr>
              <w:t>6、在保存的板书当中进行翻页，查找已经存储的板书内容。</w:t>
            </w:r>
          </w:p>
          <w:p w14:paraId="4A0E188F">
            <w:pPr>
              <w:rPr>
                <w:rFonts w:hint="eastAsia"/>
                <w:highlight w:val="none"/>
              </w:rPr>
            </w:pPr>
            <w:r>
              <w:rPr>
                <w:rFonts w:hint="eastAsia"/>
                <w:highlight w:val="none"/>
              </w:rPr>
              <w:t>7、能直接预览所有存储的板书；</w:t>
            </w:r>
          </w:p>
          <w:p w14:paraId="0BA84446">
            <w:pPr>
              <w:rPr>
                <w:rFonts w:hint="eastAsia"/>
                <w:highlight w:val="none"/>
              </w:rPr>
            </w:pPr>
            <w:r>
              <w:rPr>
                <w:rFonts w:hint="eastAsia"/>
                <w:highlight w:val="none"/>
              </w:rPr>
              <w:t>8、黑板的板书即时保存到软件当中，通过翻页可找回并显示，保存时不清除黑板的板书内容。</w:t>
            </w:r>
          </w:p>
          <w:p w14:paraId="11192F5C">
            <w:pPr>
              <w:rPr>
                <w:rFonts w:hint="eastAsia"/>
                <w:highlight w:val="none"/>
              </w:rPr>
            </w:pPr>
            <w:r>
              <w:rPr>
                <w:rFonts w:hint="eastAsia"/>
                <w:highlight w:val="none"/>
              </w:rPr>
              <w:t>9、对板书的电子文档进行分享，可以存储在本地PC端，同时生产二维码，便于师生扫码获取。</w:t>
            </w:r>
          </w:p>
          <w:p w14:paraId="606FA16E">
            <w:pPr>
              <w:rPr>
                <w:rFonts w:hint="eastAsia"/>
                <w:highlight w:val="none"/>
              </w:rPr>
            </w:pPr>
            <w:r>
              <w:rPr>
                <w:rFonts w:hint="eastAsia"/>
                <w:highlight w:val="none"/>
              </w:rPr>
              <w:t>10、可以对课堂的板书和讲解进行录制，生成视频文档，利于学生课后复习回放。</w:t>
            </w:r>
          </w:p>
          <w:p w14:paraId="73A01D2B">
            <w:pPr>
              <w:rPr>
                <w:rFonts w:hint="eastAsia"/>
                <w:highlight w:val="none"/>
              </w:rPr>
            </w:pPr>
          </w:p>
          <w:p w14:paraId="6FDE7576">
            <w:pPr>
              <w:rPr>
                <w:rFonts w:hint="eastAsia"/>
                <w:highlight w:val="none"/>
              </w:rPr>
            </w:pPr>
            <w:r>
              <w:rPr>
                <w:rFonts w:hint="eastAsia"/>
                <w:highlight w:val="none"/>
              </w:rPr>
              <w:t>十六、售后服务要求</w:t>
            </w:r>
          </w:p>
          <w:p w14:paraId="451AAA0D">
            <w:pPr>
              <w:rPr>
                <w:rFonts w:hint="eastAsia"/>
                <w:highlight w:val="none"/>
              </w:rPr>
            </w:pPr>
            <w:r>
              <w:rPr>
                <w:rFonts w:hint="eastAsia"/>
                <w:highlight w:val="none"/>
              </w:rPr>
              <w:t>1、全国24小时免费电话保修、二维码扫描保修、区域化驻地技术工程师专线保修；</w:t>
            </w:r>
          </w:p>
          <w:p w14:paraId="3C8026A5">
            <w:pPr>
              <w:rPr>
                <w:rFonts w:hint="eastAsia"/>
                <w:highlight w:val="none"/>
              </w:rPr>
            </w:pPr>
            <w:r>
              <w:rPr>
                <w:rFonts w:hint="eastAsia"/>
                <w:highlight w:val="none"/>
              </w:rPr>
              <w:t>2、微信售后报修服务：快速输入相关问题及所在区域进行在线保修，贴心服务人员实时在线提供客服专线报修，更好更快的解决售后故障问题带来的使用不便；提供八大模块的问题查询及解决方案，现场完成简单故障的快速修复指导。</w:t>
            </w:r>
          </w:p>
          <w:p w14:paraId="293E2B0D">
            <w:pPr>
              <w:rPr>
                <w:rFonts w:hint="eastAsia" w:ascii="Tahoma" w:hAnsi="Tahoma" w:eastAsia="等线" w:cs="Tahoma"/>
                <w:kern w:val="2"/>
                <w:sz w:val="21"/>
                <w:szCs w:val="24"/>
                <w:highlight w:val="none"/>
                <w:vertAlign w:val="baseline"/>
                <w:lang w:val="en-US" w:eastAsia="zh-CN" w:bidi="ar-SA"/>
              </w:rPr>
            </w:pPr>
            <w:r>
              <w:rPr>
                <w:rFonts w:hint="eastAsia"/>
                <w:highlight w:val="none"/>
              </w:rPr>
              <w:t>3、打“▲”号条款为重要技术参数，投标人必须满足否则中标无效。中标公示期内若有其他投标人质疑情况下，中标单位必须提供与标书技术要求及功能符合的全部样品一套至用户处进行整体性能与标书文件核对，协助质疑答复。</w:t>
            </w:r>
          </w:p>
        </w:tc>
        <w:tc>
          <w:tcPr>
            <w:tcW w:w="736" w:type="dxa"/>
            <w:noWrap w:val="0"/>
            <w:vAlign w:val="center"/>
          </w:tcPr>
          <w:p w14:paraId="2BE870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092411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3396" w:type="dxa"/>
            <w:gridSpan w:val="2"/>
            <w:noWrap w:val="0"/>
            <w:vAlign w:val="center"/>
          </w:tcPr>
          <w:p w14:paraId="526422C7">
            <w:pPr>
              <w:jc w:val="center"/>
              <w:rPr>
                <w:highlight w:val="none"/>
              </w:rPr>
            </w:pPr>
            <w:r>
              <w:rPr>
                <w:highlight w:val="none"/>
              </w:rPr>
              <w:drawing>
                <wp:inline distT="0" distB="0" distL="114300" distR="114300">
                  <wp:extent cx="1849120" cy="628650"/>
                  <wp:effectExtent l="0" t="0" r="5080" b="6350"/>
                  <wp:docPr id="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pic:cNvPicPr>
                            <a:picLocks noChangeAspect="1"/>
                          </pic:cNvPicPr>
                        </pic:nvPicPr>
                        <pic:blipFill>
                          <a:blip r:embed="rId24"/>
                          <a:stretch>
                            <a:fillRect/>
                          </a:stretch>
                        </pic:blipFill>
                        <pic:spPr>
                          <a:xfrm>
                            <a:off x="0" y="0"/>
                            <a:ext cx="1849120" cy="628650"/>
                          </a:xfrm>
                          <a:prstGeom prst="rect">
                            <a:avLst/>
                          </a:prstGeom>
                          <a:noFill/>
                          <a:ln>
                            <a:noFill/>
                          </a:ln>
                        </pic:spPr>
                      </pic:pic>
                    </a:graphicData>
                  </a:graphic>
                </wp:inline>
              </w:drawing>
            </w:r>
          </w:p>
        </w:tc>
        <w:tc>
          <w:tcPr>
            <w:tcW w:w="710" w:type="dxa"/>
            <w:gridSpan w:val="2"/>
            <w:noWrap w:val="0"/>
            <w:vAlign w:val="center"/>
          </w:tcPr>
          <w:p w14:paraId="3A4F1CE3">
            <w:pPr>
              <w:jc w:val="both"/>
              <w:rPr>
                <w:highlight w:val="none"/>
                <w:vertAlign w:val="baseline"/>
              </w:rPr>
            </w:pPr>
          </w:p>
        </w:tc>
      </w:tr>
      <w:tr w14:paraId="7478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E5D2C0">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4994A5D5">
            <w:pPr>
              <w:jc w:val="center"/>
              <w:rPr>
                <w:rFonts w:hint="eastAsia"/>
                <w:highlight w:val="none"/>
                <w:vertAlign w:val="baseline"/>
              </w:rPr>
            </w:pPr>
            <w:r>
              <w:rPr>
                <w:rFonts w:hint="eastAsia"/>
                <w:highlight w:val="none"/>
                <w:vertAlign w:val="baseline"/>
              </w:rPr>
              <w:t>壁挂式视频展台</w:t>
            </w:r>
          </w:p>
        </w:tc>
        <w:tc>
          <w:tcPr>
            <w:tcW w:w="5928" w:type="dxa"/>
            <w:noWrap w:val="0"/>
            <w:vAlign w:val="center"/>
          </w:tcPr>
          <w:p w14:paraId="78889359">
            <w:pPr>
              <w:jc w:val="left"/>
              <w:rPr>
                <w:rFonts w:hint="eastAsia"/>
                <w:highlight w:val="none"/>
                <w:vertAlign w:val="baseline"/>
              </w:rPr>
            </w:pPr>
            <w:r>
              <w:rPr>
                <w:rFonts w:hint="eastAsia"/>
                <w:highlight w:val="none"/>
                <w:vertAlign w:val="baseline"/>
              </w:rPr>
              <w:t>一、硬件要求：</w:t>
            </w:r>
          </w:p>
          <w:p w14:paraId="2A9412EF">
            <w:pPr>
              <w:jc w:val="left"/>
              <w:rPr>
                <w:rFonts w:hint="eastAsia"/>
                <w:highlight w:val="none"/>
                <w:vertAlign w:val="baseline"/>
              </w:rPr>
            </w:pPr>
            <w:r>
              <w:rPr>
                <w:rFonts w:hint="eastAsia"/>
                <w:highlight w:val="none"/>
                <w:vertAlign w:val="baseline"/>
              </w:rPr>
              <w:t>1.采用≥800万像素摄像头；采用 USB电源直接供电，无需额外配置电源适配器；箱内USB连线采用隐藏式设计，箱内无可见连线且USB口下出。</w:t>
            </w:r>
          </w:p>
          <w:p w14:paraId="4C99A678">
            <w:pPr>
              <w:jc w:val="left"/>
              <w:rPr>
                <w:rFonts w:hint="eastAsia"/>
                <w:highlight w:val="none"/>
                <w:vertAlign w:val="baseline"/>
              </w:rPr>
            </w:pPr>
            <w:r>
              <w:rPr>
                <w:rFonts w:hint="eastAsia"/>
                <w:highlight w:val="none"/>
                <w:vertAlign w:val="baseline"/>
              </w:rPr>
              <w:t>2.A4大小拍摄幅面，1080P动态视频预览达到30帧/秒。</w:t>
            </w:r>
          </w:p>
          <w:p w14:paraId="2A47753F">
            <w:pPr>
              <w:jc w:val="left"/>
              <w:rPr>
                <w:rFonts w:hint="eastAsia"/>
                <w:highlight w:val="none"/>
                <w:vertAlign w:val="baseline"/>
              </w:rPr>
            </w:pPr>
            <w:r>
              <w:rPr>
                <w:rFonts w:hint="eastAsia"/>
                <w:highlight w:val="none"/>
                <w:vertAlign w:val="baseline"/>
              </w:rPr>
              <w:t>3.整机采用圆弧式设计，无锐角；托板可承重3kg，同时托板采用磁吸吸附式机构。</w:t>
            </w:r>
          </w:p>
          <w:p w14:paraId="035FDEE4">
            <w:pPr>
              <w:jc w:val="left"/>
              <w:rPr>
                <w:rFonts w:hint="eastAsia"/>
                <w:highlight w:val="none"/>
                <w:vertAlign w:val="baseline"/>
              </w:rPr>
            </w:pPr>
            <w:r>
              <w:rPr>
                <w:rFonts w:hint="eastAsia"/>
                <w:highlight w:val="none"/>
                <w:vertAlign w:val="baseline"/>
              </w:rPr>
              <w:t>4.展示托板正上方具备LED补光灯补光灯开关采用触摸按键设计，同时可通过视频展台软件直接控制开关；</w:t>
            </w:r>
          </w:p>
          <w:p w14:paraId="20AAE6E3">
            <w:pPr>
              <w:jc w:val="left"/>
              <w:rPr>
                <w:rFonts w:hint="eastAsia"/>
                <w:highlight w:val="none"/>
                <w:vertAlign w:val="baseline"/>
              </w:rPr>
            </w:pPr>
            <w:r>
              <w:rPr>
                <w:rFonts w:hint="eastAsia"/>
                <w:highlight w:val="none"/>
                <w:vertAlign w:val="baseline"/>
              </w:rPr>
              <w:t>5.摄像头支持自动对焦；摄像头部分进行外壳防护等级试验，防护等级达到IP4X级别。</w:t>
            </w:r>
          </w:p>
          <w:p w14:paraId="0E4E4E47">
            <w:pPr>
              <w:jc w:val="left"/>
              <w:rPr>
                <w:rFonts w:hint="eastAsia"/>
                <w:highlight w:val="none"/>
                <w:vertAlign w:val="baseline"/>
              </w:rPr>
            </w:pPr>
            <w:r>
              <w:rPr>
                <w:rFonts w:hint="eastAsia"/>
                <w:highlight w:val="none"/>
                <w:vertAlign w:val="baseline"/>
              </w:rPr>
              <w:t>二、软件要求：</w:t>
            </w:r>
          </w:p>
          <w:p w14:paraId="03E86BFA">
            <w:pPr>
              <w:jc w:val="left"/>
              <w:rPr>
                <w:rFonts w:hint="eastAsia"/>
                <w:highlight w:val="none"/>
                <w:vertAlign w:val="baseline"/>
              </w:rPr>
            </w:pPr>
            <w:r>
              <w:rPr>
                <w:rFonts w:hint="eastAsia"/>
                <w:highlight w:val="none"/>
                <w:vertAlign w:val="baseline"/>
              </w:rPr>
              <w:t>1.支持对展台画面进行放大、缩小、旋转、自适应、冻结画面等操作。</w:t>
            </w:r>
          </w:p>
          <w:p w14:paraId="7CF01709">
            <w:pPr>
              <w:jc w:val="left"/>
              <w:rPr>
                <w:rFonts w:hint="eastAsia"/>
                <w:highlight w:val="none"/>
                <w:vertAlign w:val="baseline"/>
              </w:rPr>
            </w:pPr>
            <w:r>
              <w:rPr>
                <w:rFonts w:hint="eastAsia"/>
                <w:highlight w:val="none"/>
                <w:vertAlign w:val="baseline"/>
              </w:rPr>
              <w:t>2.支持展台画面实时批注，预设多种笔划粗细及颜色供选择，且支持对展台画面联同批注内容进行同步缩放、移动。</w:t>
            </w:r>
          </w:p>
          <w:p w14:paraId="6F4F7F2A">
            <w:pPr>
              <w:jc w:val="left"/>
              <w:rPr>
                <w:rFonts w:hint="eastAsia"/>
                <w:highlight w:val="none"/>
                <w:vertAlign w:val="baseline"/>
              </w:rPr>
            </w:pPr>
            <w:r>
              <w:rPr>
                <w:rFonts w:hint="eastAsia"/>
                <w:highlight w:val="none"/>
                <w:vertAlign w:val="baseline"/>
              </w:rPr>
              <w:t>3.支持展台画面拍照截图并进行多图预览，可对任一图片进行全屏显示。</w:t>
            </w:r>
          </w:p>
          <w:p w14:paraId="6D7ED208">
            <w:pPr>
              <w:jc w:val="left"/>
              <w:rPr>
                <w:rFonts w:hint="eastAsia"/>
                <w:highlight w:val="none"/>
                <w:vertAlign w:val="baseline"/>
              </w:rPr>
            </w:pPr>
            <w:r>
              <w:rPr>
                <w:rFonts w:hint="eastAsia"/>
                <w:highlight w:val="none"/>
                <w:vertAlign w:val="baseline"/>
              </w:rPr>
              <w:t>4.老师可在一体机或电脑上选择延时拍照功能，支持5秒或10秒延时模式，可调整拍摄内容。</w:t>
            </w:r>
          </w:p>
          <w:p w14:paraId="56E1A5CF">
            <w:pPr>
              <w:jc w:val="left"/>
              <w:rPr>
                <w:rFonts w:hint="eastAsia"/>
                <w:highlight w:val="none"/>
                <w:vertAlign w:val="baseline"/>
              </w:rPr>
            </w:pPr>
            <w:r>
              <w:rPr>
                <w:rFonts w:hint="eastAsia"/>
                <w:highlight w:val="none"/>
                <w:vertAlign w:val="baseline"/>
              </w:rPr>
              <w:t>5.具备图像增强功能，可自动裁剪背景并增强文字显示，使文档画面更清晰。</w:t>
            </w:r>
          </w:p>
          <w:p w14:paraId="4EDF198E">
            <w:pPr>
              <w:jc w:val="left"/>
              <w:rPr>
                <w:rFonts w:hint="eastAsia"/>
                <w:highlight w:val="none"/>
                <w:vertAlign w:val="baseline"/>
              </w:rPr>
            </w:pPr>
            <w:r>
              <w:rPr>
                <w:rFonts w:hint="eastAsia"/>
                <w:highlight w:val="none"/>
                <w:vertAlign w:val="baseline"/>
              </w:rPr>
              <w:t>6.可选择图像、文本或动态等多种情景模式，适应不同展示内容。</w:t>
            </w:r>
          </w:p>
          <w:p w14:paraId="415F28FF">
            <w:pPr>
              <w:jc w:val="left"/>
              <w:rPr>
                <w:rFonts w:hint="eastAsia"/>
                <w:highlight w:val="none"/>
                <w:vertAlign w:val="baseline"/>
              </w:rPr>
            </w:pPr>
            <w:r>
              <w:rPr>
                <w:rFonts w:hint="eastAsia"/>
                <w:highlight w:val="none"/>
                <w:vertAlign w:val="baseline"/>
              </w:rPr>
              <w:t>7.二维码扫码：打开扫一扫功能后，将书本上的二维码放入扫描框内即可自动扫描，并进入系统浏览器获取二维码的链接内容，可获取电子教学资源。</w:t>
            </w:r>
          </w:p>
          <w:p w14:paraId="74E67667">
            <w:pPr>
              <w:jc w:val="left"/>
              <w:rPr>
                <w:rFonts w:hint="eastAsia"/>
                <w:highlight w:val="none"/>
                <w:vertAlign w:val="baseline"/>
              </w:rPr>
            </w:pPr>
            <w:r>
              <w:rPr>
                <w:rFonts w:hint="eastAsia"/>
                <w:highlight w:val="none"/>
                <w:vertAlign w:val="baseline"/>
              </w:rPr>
              <w:t>8.支持故障自动检测，在软件无法出现展台拍摄画面时，自动出现检测链接，检测“无画面”的原因，并给出引导性解决方案。可判断硬件连接、显卡驱动、摄像头占用、软件版本等问题。</w:t>
            </w:r>
          </w:p>
        </w:tc>
        <w:tc>
          <w:tcPr>
            <w:tcW w:w="736" w:type="dxa"/>
            <w:noWrap w:val="0"/>
            <w:vAlign w:val="center"/>
          </w:tcPr>
          <w:p w14:paraId="6A00BF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1255DD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559B969D">
            <w:pPr>
              <w:jc w:val="center"/>
              <w:rPr>
                <w:highlight w:val="none"/>
              </w:rPr>
            </w:pPr>
            <w:r>
              <w:rPr>
                <w:highlight w:val="none"/>
              </w:rPr>
              <w:drawing>
                <wp:inline distT="0" distB="0" distL="114300" distR="114300">
                  <wp:extent cx="1816100" cy="2026285"/>
                  <wp:effectExtent l="0" t="0" r="0" b="5715"/>
                  <wp:docPr id="7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5"/>
                          <pic:cNvPicPr>
                            <a:picLocks noChangeAspect="1"/>
                          </pic:cNvPicPr>
                        </pic:nvPicPr>
                        <pic:blipFill>
                          <a:blip r:embed="rId25"/>
                          <a:stretch>
                            <a:fillRect/>
                          </a:stretch>
                        </pic:blipFill>
                        <pic:spPr>
                          <a:xfrm>
                            <a:off x="0" y="0"/>
                            <a:ext cx="1816100" cy="2026285"/>
                          </a:xfrm>
                          <a:prstGeom prst="rect">
                            <a:avLst/>
                          </a:prstGeom>
                          <a:noFill/>
                          <a:ln>
                            <a:noFill/>
                          </a:ln>
                        </pic:spPr>
                      </pic:pic>
                    </a:graphicData>
                  </a:graphic>
                </wp:inline>
              </w:drawing>
            </w:r>
          </w:p>
        </w:tc>
        <w:tc>
          <w:tcPr>
            <w:tcW w:w="710" w:type="dxa"/>
            <w:gridSpan w:val="2"/>
            <w:noWrap w:val="0"/>
            <w:vAlign w:val="center"/>
          </w:tcPr>
          <w:p w14:paraId="6A2E7C79">
            <w:pPr>
              <w:jc w:val="both"/>
              <w:rPr>
                <w:highlight w:val="none"/>
                <w:vertAlign w:val="baseline"/>
              </w:rPr>
            </w:pPr>
          </w:p>
        </w:tc>
      </w:tr>
      <w:tr w14:paraId="0D27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30D860">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2A927B13">
            <w:pPr>
              <w:jc w:val="center"/>
              <w:rPr>
                <w:rFonts w:hint="eastAsia"/>
                <w:highlight w:val="none"/>
                <w:vertAlign w:val="baseline"/>
              </w:rPr>
            </w:pPr>
            <w:r>
              <w:rPr>
                <w:rFonts w:hint="eastAsia"/>
                <w:highlight w:val="none"/>
                <w:vertAlign w:val="baseline"/>
              </w:rPr>
              <w:t>一体化有源音箱</w:t>
            </w:r>
          </w:p>
        </w:tc>
        <w:tc>
          <w:tcPr>
            <w:tcW w:w="5928" w:type="dxa"/>
            <w:noWrap w:val="0"/>
            <w:vAlign w:val="center"/>
          </w:tcPr>
          <w:p w14:paraId="1AE0BA07">
            <w:pPr>
              <w:jc w:val="left"/>
              <w:rPr>
                <w:rFonts w:hint="eastAsia"/>
                <w:highlight w:val="none"/>
                <w:vertAlign w:val="baseline"/>
              </w:rPr>
            </w:pPr>
            <w:r>
              <w:rPr>
                <w:rFonts w:hint="eastAsia"/>
                <w:highlight w:val="none"/>
                <w:vertAlign w:val="baseline"/>
              </w:rPr>
              <w:t>1.采用功放与有源音箱一体化设计，内置麦克风无线接收模块，帮助教师实现多媒体扩音以及本地扩声功能。</w:t>
            </w:r>
          </w:p>
          <w:p w14:paraId="4EB81ED9">
            <w:pPr>
              <w:jc w:val="left"/>
              <w:rPr>
                <w:rFonts w:hint="eastAsia"/>
                <w:highlight w:val="none"/>
                <w:vertAlign w:val="baseline"/>
              </w:rPr>
            </w:pPr>
            <w:r>
              <w:rPr>
                <w:rFonts w:hint="eastAsia"/>
                <w:highlight w:val="none"/>
                <w:vertAlign w:val="baseline"/>
              </w:rPr>
              <w:t>2.输出额定功率≥ 2x15W。</w:t>
            </w:r>
          </w:p>
          <w:p w14:paraId="0FC8D0CC">
            <w:pPr>
              <w:jc w:val="left"/>
              <w:rPr>
                <w:rFonts w:hint="eastAsia"/>
                <w:highlight w:val="none"/>
                <w:vertAlign w:val="baseline"/>
              </w:rPr>
            </w:pPr>
            <w:r>
              <w:rPr>
                <w:rFonts w:hint="eastAsia"/>
                <w:highlight w:val="none"/>
                <w:vertAlign w:val="baseline"/>
              </w:rPr>
              <w:t>3.音箱灵敏度≥85dB，1W/1M。</w:t>
            </w:r>
          </w:p>
          <w:p w14:paraId="473D7357">
            <w:pPr>
              <w:jc w:val="left"/>
              <w:rPr>
                <w:rFonts w:hint="eastAsia"/>
                <w:highlight w:val="none"/>
                <w:vertAlign w:val="baseline"/>
              </w:rPr>
            </w:pPr>
            <w:r>
              <w:rPr>
                <w:rFonts w:hint="eastAsia"/>
                <w:highlight w:val="none"/>
                <w:vertAlign w:val="baseline"/>
              </w:rPr>
              <w:t>4.信噪比≥80dB@额定功率、A计权。</w:t>
            </w:r>
          </w:p>
          <w:p w14:paraId="369475A9">
            <w:pPr>
              <w:jc w:val="left"/>
              <w:rPr>
                <w:rFonts w:hint="eastAsia"/>
                <w:highlight w:val="none"/>
                <w:vertAlign w:val="baseline"/>
              </w:rPr>
            </w:pPr>
            <w:r>
              <w:rPr>
                <w:rFonts w:hint="eastAsia"/>
                <w:highlight w:val="none"/>
                <w:vertAlign w:val="baseline"/>
              </w:rPr>
              <w:t>5.全频喇叭单元尺寸≥5英寸。</w:t>
            </w:r>
          </w:p>
          <w:p w14:paraId="5602D1D5">
            <w:pPr>
              <w:jc w:val="left"/>
              <w:rPr>
                <w:rFonts w:hint="eastAsia"/>
                <w:highlight w:val="none"/>
                <w:vertAlign w:val="baseline"/>
              </w:rPr>
            </w:pPr>
            <w:r>
              <w:rPr>
                <w:rFonts w:hint="eastAsia"/>
                <w:highlight w:val="none"/>
                <w:vertAlign w:val="baseline"/>
              </w:rPr>
              <w:t>6.THD+N≤1%。</w:t>
            </w:r>
          </w:p>
          <w:p w14:paraId="48D1E495">
            <w:pPr>
              <w:jc w:val="left"/>
              <w:rPr>
                <w:rFonts w:hint="eastAsia"/>
                <w:highlight w:val="none"/>
                <w:vertAlign w:val="baseline"/>
              </w:rPr>
            </w:pPr>
            <w:r>
              <w:rPr>
                <w:rFonts w:hint="eastAsia"/>
                <w:highlight w:val="none"/>
                <w:vertAlign w:val="baseline"/>
              </w:rPr>
              <w:t>7.声频响110Hz-16kHz。</w:t>
            </w:r>
          </w:p>
          <w:p w14:paraId="7A2C99EE">
            <w:pPr>
              <w:jc w:val="left"/>
              <w:rPr>
                <w:rFonts w:hint="eastAsia"/>
                <w:highlight w:val="none"/>
                <w:vertAlign w:val="baseline"/>
              </w:rPr>
            </w:pPr>
            <w:r>
              <w:rPr>
                <w:rFonts w:hint="eastAsia"/>
                <w:highlight w:val="none"/>
                <w:vertAlign w:val="baseline"/>
              </w:rPr>
              <w:t>8.距离音箱10米处声压级≥75dB。</w:t>
            </w:r>
          </w:p>
          <w:p w14:paraId="603072EC">
            <w:pPr>
              <w:jc w:val="left"/>
              <w:rPr>
                <w:rFonts w:hint="eastAsia"/>
                <w:highlight w:val="none"/>
                <w:vertAlign w:val="baseline"/>
              </w:rPr>
            </w:pPr>
            <w:r>
              <w:rPr>
                <w:rFonts w:hint="eastAsia"/>
                <w:highlight w:val="none"/>
                <w:vertAlign w:val="baseline"/>
              </w:rPr>
              <w:t>9.具备≥1路电源开关、1路LINE IN、1路USB 接口。USB接口可外接U盘设备对音箱固件进行升级。</w:t>
            </w:r>
          </w:p>
          <w:p w14:paraId="114F3AF2">
            <w:pPr>
              <w:jc w:val="left"/>
              <w:rPr>
                <w:rFonts w:hint="eastAsia"/>
                <w:highlight w:val="none"/>
                <w:vertAlign w:val="baseline"/>
              </w:rPr>
            </w:pPr>
            <w:r>
              <w:rPr>
                <w:rFonts w:hint="eastAsia"/>
                <w:highlight w:val="none"/>
                <w:vertAlign w:val="baseline"/>
              </w:rPr>
              <w:t>10.支持无线麦克风扩音接收，采用Wi-Fi射频2.4GHz与 5GHz双频段传输，有效避免环境中运营商U段（700MHz）的信号干扰。</w:t>
            </w:r>
          </w:p>
          <w:p w14:paraId="4D644F11">
            <w:pPr>
              <w:jc w:val="left"/>
              <w:rPr>
                <w:rFonts w:hint="eastAsia"/>
                <w:highlight w:val="none"/>
                <w:vertAlign w:val="baseline"/>
              </w:rPr>
            </w:pPr>
            <w:r>
              <w:rPr>
                <w:rFonts w:hint="eastAsia"/>
                <w:highlight w:val="none"/>
                <w:vertAlign w:val="baseline"/>
              </w:rPr>
              <w:t>11.采用红外对码方式，避免连接到其他教室音箱。可快速完成与教学扩声麦克风对码，无需繁琐操作。</w:t>
            </w:r>
          </w:p>
          <w:p w14:paraId="549AF4C6">
            <w:pPr>
              <w:jc w:val="left"/>
              <w:rPr>
                <w:rFonts w:hint="eastAsia"/>
                <w:highlight w:val="none"/>
                <w:vertAlign w:val="baseline"/>
              </w:rPr>
            </w:pPr>
            <w:r>
              <w:rPr>
                <w:rFonts w:hint="eastAsia"/>
                <w:highlight w:val="none"/>
                <w:vertAlign w:val="baseline"/>
              </w:rPr>
              <w:t>12.配置独立音频数字信号处理芯片，支持啸叫抑制功能。</w:t>
            </w:r>
          </w:p>
          <w:p w14:paraId="6877C838">
            <w:pPr>
              <w:jc w:val="left"/>
              <w:rPr>
                <w:rFonts w:hint="eastAsia"/>
                <w:highlight w:val="none"/>
                <w:vertAlign w:val="baseline"/>
              </w:rPr>
            </w:pPr>
            <w:r>
              <w:rPr>
                <w:rFonts w:hint="eastAsia"/>
                <w:highlight w:val="none"/>
                <w:vertAlign w:val="baseline"/>
              </w:rPr>
              <w:t>13.支持蓝牙无线接收，可分享移动设备上的音频。支持密码模式，防止学生连接。</w:t>
            </w:r>
          </w:p>
          <w:p w14:paraId="25661347">
            <w:pPr>
              <w:jc w:val="left"/>
              <w:rPr>
                <w:rFonts w:hint="eastAsia"/>
                <w:highlight w:val="none"/>
                <w:vertAlign w:val="baseline"/>
              </w:rPr>
            </w:pPr>
            <w:r>
              <w:rPr>
                <w:rFonts w:hint="eastAsia"/>
                <w:highlight w:val="none"/>
                <w:vertAlign w:val="baseline"/>
              </w:rPr>
              <w:t>14.支持安卓手机通过蓝牙无线连接音箱，实现控制有源音箱的音量、设置蓝牙名称、设置蓝牙密码等功能，方便教师对音箱的管控。</w:t>
            </w:r>
          </w:p>
          <w:p w14:paraId="5256E348">
            <w:pPr>
              <w:jc w:val="left"/>
              <w:rPr>
                <w:rFonts w:hint="eastAsia"/>
                <w:highlight w:val="none"/>
                <w:vertAlign w:val="baseline"/>
              </w:rPr>
            </w:pPr>
            <w:r>
              <w:rPr>
                <w:rFonts w:hint="eastAsia"/>
                <w:highlight w:val="none"/>
                <w:vertAlign w:val="baseline"/>
              </w:rPr>
              <w:t>15.支持交互智能平板显示设备通过蓝牙无线连接音箱，实现控制有源音箱的音量的功能。</w:t>
            </w:r>
          </w:p>
          <w:p w14:paraId="0990747C">
            <w:pPr>
              <w:jc w:val="left"/>
              <w:rPr>
                <w:rFonts w:hint="eastAsia"/>
                <w:highlight w:val="none"/>
                <w:vertAlign w:val="baseline"/>
              </w:rPr>
            </w:pPr>
            <w:r>
              <w:rPr>
                <w:rFonts w:hint="eastAsia"/>
                <w:highlight w:val="none"/>
                <w:vertAlign w:val="baseline"/>
              </w:rPr>
              <w:t>16.主音箱与副音箱采用有线连接，保证声音还原度。</w:t>
            </w:r>
          </w:p>
          <w:p w14:paraId="66C5DB5A">
            <w:pPr>
              <w:jc w:val="left"/>
              <w:rPr>
                <w:rFonts w:hint="eastAsia"/>
                <w:highlight w:val="none"/>
                <w:vertAlign w:val="baseline"/>
              </w:rPr>
            </w:pPr>
            <w:r>
              <w:rPr>
                <w:rFonts w:hint="eastAsia"/>
                <w:highlight w:val="none"/>
                <w:vertAlign w:val="baseline"/>
              </w:rPr>
              <w:t>17.为确保与教室白色墙面一致，音箱采取白色外观设计，更加美观。</w:t>
            </w:r>
          </w:p>
        </w:tc>
        <w:tc>
          <w:tcPr>
            <w:tcW w:w="736" w:type="dxa"/>
            <w:noWrap w:val="0"/>
            <w:vAlign w:val="center"/>
          </w:tcPr>
          <w:p w14:paraId="5B9635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2196B8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对</w:t>
            </w:r>
          </w:p>
        </w:tc>
        <w:tc>
          <w:tcPr>
            <w:tcW w:w="3396" w:type="dxa"/>
            <w:gridSpan w:val="2"/>
            <w:noWrap w:val="0"/>
            <w:vAlign w:val="center"/>
          </w:tcPr>
          <w:p w14:paraId="46D86846">
            <w:pPr>
              <w:jc w:val="center"/>
              <w:rPr>
                <w:highlight w:val="none"/>
              </w:rPr>
            </w:pPr>
            <w:r>
              <w:rPr>
                <w:highlight w:val="none"/>
              </w:rPr>
              <w:drawing>
                <wp:inline distT="0" distB="0" distL="114300" distR="114300">
                  <wp:extent cx="1526540" cy="1689735"/>
                  <wp:effectExtent l="0" t="0" r="10160" b="1206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6"/>
                          <a:srcRect l="18063" t="10515" r="9288" b="10626"/>
                          <a:stretch>
                            <a:fillRect/>
                          </a:stretch>
                        </pic:blipFill>
                        <pic:spPr>
                          <a:xfrm>
                            <a:off x="0" y="0"/>
                            <a:ext cx="1526540" cy="1689735"/>
                          </a:xfrm>
                          <a:prstGeom prst="rect">
                            <a:avLst/>
                          </a:prstGeom>
                          <a:noFill/>
                          <a:ln>
                            <a:noFill/>
                          </a:ln>
                        </pic:spPr>
                      </pic:pic>
                    </a:graphicData>
                  </a:graphic>
                </wp:inline>
              </w:drawing>
            </w:r>
          </w:p>
        </w:tc>
        <w:tc>
          <w:tcPr>
            <w:tcW w:w="710" w:type="dxa"/>
            <w:gridSpan w:val="2"/>
            <w:noWrap w:val="0"/>
            <w:vAlign w:val="center"/>
          </w:tcPr>
          <w:p w14:paraId="7DD3925D">
            <w:pPr>
              <w:jc w:val="both"/>
              <w:rPr>
                <w:highlight w:val="none"/>
                <w:vertAlign w:val="baseline"/>
              </w:rPr>
            </w:pPr>
          </w:p>
        </w:tc>
      </w:tr>
      <w:tr w14:paraId="66FB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173C64">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3F79CA09">
            <w:pPr>
              <w:jc w:val="center"/>
              <w:rPr>
                <w:rFonts w:hint="eastAsia"/>
                <w:highlight w:val="none"/>
                <w:vertAlign w:val="baseline"/>
              </w:rPr>
            </w:pPr>
            <w:r>
              <w:rPr>
                <w:rFonts w:hint="eastAsia"/>
                <w:highlight w:val="none"/>
                <w:vertAlign w:val="baseline"/>
              </w:rPr>
              <w:t>智能翻页笔</w:t>
            </w:r>
          </w:p>
        </w:tc>
        <w:tc>
          <w:tcPr>
            <w:tcW w:w="5928" w:type="dxa"/>
            <w:noWrap w:val="0"/>
            <w:vAlign w:val="center"/>
          </w:tcPr>
          <w:p w14:paraId="283DB67C">
            <w:pPr>
              <w:jc w:val="left"/>
              <w:rPr>
                <w:rFonts w:hint="eastAsia"/>
                <w:highlight w:val="none"/>
                <w:vertAlign w:val="baseline"/>
              </w:rPr>
            </w:pPr>
            <w:r>
              <w:rPr>
                <w:rFonts w:hint="eastAsia"/>
                <w:highlight w:val="none"/>
                <w:vertAlign w:val="baseline"/>
              </w:rPr>
              <w:t>1.笔身造型采用圆润一体化笔型设计，表面采用手感漆工艺便于握持；笔身长度≤17cm,笔身直径≤13mm，笔身重量≤18g。</w:t>
            </w:r>
          </w:p>
          <w:p w14:paraId="738ACBA1">
            <w:pPr>
              <w:jc w:val="left"/>
              <w:rPr>
                <w:rFonts w:hint="eastAsia"/>
                <w:highlight w:val="none"/>
                <w:vertAlign w:val="baseline"/>
              </w:rPr>
            </w:pPr>
            <w:r>
              <w:rPr>
                <w:rFonts w:hint="eastAsia"/>
                <w:highlight w:val="none"/>
                <w:vertAlign w:val="baseline"/>
              </w:rPr>
              <w:t>2.笔身配置不少于五个按键，具备上下翻页，智能语音，远程聚光灯/放大，书写颜色切换，兼顾触摸书写以及远程操控的握持姿态；</w:t>
            </w:r>
          </w:p>
          <w:p w14:paraId="63892D84">
            <w:pPr>
              <w:jc w:val="left"/>
              <w:rPr>
                <w:rFonts w:hint="eastAsia"/>
                <w:highlight w:val="none"/>
                <w:vertAlign w:val="baseline"/>
              </w:rPr>
            </w:pPr>
            <w:r>
              <w:rPr>
                <w:rFonts w:hint="eastAsia"/>
                <w:highlight w:val="none"/>
                <w:vertAlign w:val="baseline"/>
              </w:rPr>
              <w:t>3.采用锥型笔尖设计，直径≤3mm；同时支持电容，红外触控设备书写，书写最小精度2mm；</w:t>
            </w:r>
          </w:p>
          <w:p w14:paraId="3523A028">
            <w:pPr>
              <w:jc w:val="left"/>
              <w:rPr>
                <w:rFonts w:hint="eastAsia"/>
                <w:highlight w:val="none"/>
                <w:vertAlign w:val="baseline"/>
              </w:rPr>
            </w:pPr>
            <w:r>
              <w:rPr>
                <w:rFonts w:hint="eastAsia"/>
                <w:highlight w:val="none"/>
                <w:vertAlign w:val="baseline"/>
              </w:rPr>
              <w:t>4.连续书写距离不小于7km；</w:t>
            </w:r>
          </w:p>
          <w:p w14:paraId="3188CFD4">
            <w:pPr>
              <w:jc w:val="left"/>
              <w:rPr>
                <w:rFonts w:hint="eastAsia"/>
                <w:highlight w:val="none"/>
                <w:vertAlign w:val="baseline"/>
              </w:rPr>
            </w:pPr>
            <w:r>
              <w:rPr>
                <w:rFonts w:hint="eastAsia"/>
                <w:highlight w:val="none"/>
                <w:vertAlign w:val="baseline"/>
              </w:rPr>
              <w:t>5.短按上下翻页按键，可实现白板软件/ppt/pdf等文档上下翻页；长按上下翻页按键3s，可实现ppt播放/退出；</w:t>
            </w:r>
          </w:p>
          <w:p w14:paraId="5DB2127E">
            <w:pPr>
              <w:jc w:val="left"/>
              <w:rPr>
                <w:rFonts w:hint="eastAsia"/>
                <w:highlight w:val="none"/>
                <w:vertAlign w:val="baseline"/>
              </w:rPr>
            </w:pPr>
            <w:r>
              <w:rPr>
                <w:rFonts w:hint="eastAsia"/>
                <w:highlight w:val="none"/>
                <w:vertAlign w:val="baseline"/>
              </w:rPr>
              <w:t>6.多功能按键：a.短按多功能按键，可实现播放/暂停音视频或flash；b.双击此按键，可实现空鼠/放大镜/聚光灯等功能切换，切换顺序空鼠&gt;放大镜&gt;聚光灯；c.长按此按键即可实现对应功能(空鼠/放大镜/聚光灯)；</w:t>
            </w:r>
          </w:p>
          <w:p w14:paraId="2141FEEC">
            <w:pPr>
              <w:jc w:val="left"/>
              <w:rPr>
                <w:rFonts w:hint="eastAsia"/>
                <w:highlight w:val="none"/>
                <w:vertAlign w:val="baseline"/>
              </w:rPr>
            </w:pPr>
            <w:r>
              <w:rPr>
                <w:rFonts w:hint="eastAsia"/>
                <w:highlight w:val="none"/>
                <w:vertAlign w:val="baseline"/>
              </w:rPr>
              <w:t>7.语音：内置麦克风，支持按键唤醒语音识别功能，避免杂音造成误唤醒；</w:t>
            </w:r>
          </w:p>
          <w:p w14:paraId="4EB109B8">
            <w:pPr>
              <w:jc w:val="left"/>
              <w:rPr>
                <w:rFonts w:hint="eastAsia"/>
                <w:highlight w:val="none"/>
                <w:vertAlign w:val="baseline"/>
              </w:rPr>
            </w:pPr>
            <w:r>
              <w:rPr>
                <w:rFonts w:hint="eastAsia"/>
                <w:highlight w:val="none"/>
                <w:vertAlign w:val="baseline"/>
              </w:rPr>
              <w:t>8.支持唤醒语音识别时，可直接通过语音打开已安装的应用，可直接通过语音调用网络搜索引擎搜索查询相应资料，可进行语音转写输入，支持语音控制屏幕黑屏、亮屏，音量大小调整，返回桌面，截屏，关机等操作。</w:t>
            </w:r>
          </w:p>
          <w:p w14:paraId="492F0B36">
            <w:pPr>
              <w:jc w:val="left"/>
              <w:rPr>
                <w:rFonts w:hint="eastAsia"/>
                <w:highlight w:val="none"/>
                <w:vertAlign w:val="baseline"/>
              </w:rPr>
            </w:pPr>
            <w:r>
              <w:rPr>
                <w:rFonts w:hint="eastAsia"/>
                <w:highlight w:val="none"/>
                <w:vertAlign w:val="baseline"/>
              </w:rPr>
              <w:t>9.支持白板软件内，通过语音控制：切换书写、擦除、选择模式，最小化返回桌面，打开板中板，清空书写批注等操作；</w:t>
            </w:r>
          </w:p>
          <w:p w14:paraId="7A5792A2">
            <w:pPr>
              <w:jc w:val="left"/>
              <w:rPr>
                <w:rFonts w:hint="eastAsia"/>
                <w:highlight w:val="none"/>
                <w:vertAlign w:val="baseline"/>
              </w:rPr>
            </w:pPr>
            <w:r>
              <w:rPr>
                <w:rFonts w:hint="eastAsia"/>
                <w:highlight w:val="none"/>
                <w:vertAlign w:val="baseline"/>
              </w:rPr>
              <w:t>10.支持按键调起批注功能，可通过按键实现批注颜色切换，长按按键可实现橡皮擦功能。</w:t>
            </w:r>
          </w:p>
          <w:p w14:paraId="713B2E5A">
            <w:pPr>
              <w:jc w:val="left"/>
              <w:rPr>
                <w:rFonts w:hint="eastAsia"/>
                <w:highlight w:val="none"/>
                <w:vertAlign w:val="baseline"/>
              </w:rPr>
            </w:pPr>
            <w:r>
              <w:rPr>
                <w:rFonts w:hint="eastAsia"/>
                <w:highlight w:val="none"/>
                <w:vertAlign w:val="baseline"/>
              </w:rPr>
              <w:t>11.为保障用户在不同场景使用智能笔，支持无线dongle及蓝牙两种连接方式，支持蓝牙5.1协议；</w:t>
            </w:r>
          </w:p>
          <w:p w14:paraId="631AA98D">
            <w:pPr>
              <w:jc w:val="left"/>
              <w:rPr>
                <w:rFonts w:hint="eastAsia"/>
                <w:highlight w:val="none"/>
                <w:vertAlign w:val="baseline"/>
              </w:rPr>
            </w:pPr>
            <w:r>
              <w:rPr>
                <w:rFonts w:hint="eastAsia"/>
                <w:highlight w:val="none"/>
                <w:vertAlign w:val="baseline"/>
              </w:rPr>
              <w:t>12.无线dongle&amp;蓝牙连接距离≥12m，上下翻页/语音控制/远程批注实现距离≥12m，覆盖标准教室；</w:t>
            </w:r>
          </w:p>
          <w:p w14:paraId="52F467B1">
            <w:pPr>
              <w:jc w:val="left"/>
              <w:rPr>
                <w:rFonts w:hint="eastAsia"/>
                <w:highlight w:val="none"/>
                <w:vertAlign w:val="baseline"/>
              </w:rPr>
            </w:pPr>
            <w:r>
              <w:rPr>
                <w:rFonts w:hint="eastAsia"/>
                <w:highlight w:val="none"/>
                <w:vertAlign w:val="baseline"/>
              </w:rPr>
              <w:t>13.内置锂电池，支持type-c充电，待机时间≥60h，连续书写时间≥8h，从无电到满电的充电时长≤1小时；</w:t>
            </w:r>
          </w:p>
          <w:p w14:paraId="534D8DBD">
            <w:pPr>
              <w:jc w:val="left"/>
              <w:rPr>
                <w:rFonts w:hint="eastAsia"/>
                <w:highlight w:val="none"/>
                <w:vertAlign w:val="baseline"/>
              </w:rPr>
            </w:pPr>
            <w:r>
              <w:rPr>
                <w:rFonts w:hint="eastAsia"/>
                <w:highlight w:val="none"/>
                <w:vertAlign w:val="baseline"/>
              </w:rPr>
              <w:t>支持智能休眠节电，当设备&gt;5min无人操作时，设备自动进入休眠节电模式；</w:t>
            </w:r>
          </w:p>
        </w:tc>
        <w:tc>
          <w:tcPr>
            <w:tcW w:w="736" w:type="dxa"/>
            <w:noWrap w:val="0"/>
            <w:vAlign w:val="center"/>
          </w:tcPr>
          <w:p w14:paraId="258080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4EAAFA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3396" w:type="dxa"/>
            <w:gridSpan w:val="2"/>
            <w:noWrap w:val="0"/>
            <w:vAlign w:val="center"/>
          </w:tcPr>
          <w:p w14:paraId="0DF5CB75">
            <w:pPr>
              <w:jc w:val="center"/>
              <w:rPr>
                <w:highlight w:val="none"/>
              </w:rPr>
            </w:pPr>
            <w:r>
              <w:rPr>
                <w:highlight w:val="none"/>
              </w:rPr>
              <w:drawing>
                <wp:inline distT="0" distB="0" distL="114300" distR="114300">
                  <wp:extent cx="612775" cy="1666875"/>
                  <wp:effectExtent l="0" t="0" r="9525" b="9525"/>
                  <wp:docPr id="5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pic:cNvPicPr>
                            <a:picLocks noChangeAspect="1"/>
                          </pic:cNvPicPr>
                        </pic:nvPicPr>
                        <pic:blipFill>
                          <a:blip r:embed="rId27"/>
                          <a:stretch>
                            <a:fillRect/>
                          </a:stretch>
                        </pic:blipFill>
                        <pic:spPr>
                          <a:xfrm rot="-5400000">
                            <a:off x="0" y="0"/>
                            <a:ext cx="612775" cy="1666875"/>
                          </a:xfrm>
                          <a:prstGeom prst="rect">
                            <a:avLst/>
                          </a:prstGeom>
                          <a:noFill/>
                          <a:ln>
                            <a:noFill/>
                          </a:ln>
                        </pic:spPr>
                      </pic:pic>
                    </a:graphicData>
                  </a:graphic>
                </wp:inline>
              </w:drawing>
            </w:r>
          </w:p>
        </w:tc>
        <w:tc>
          <w:tcPr>
            <w:tcW w:w="710" w:type="dxa"/>
            <w:gridSpan w:val="2"/>
            <w:noWrap w:val="0"/>
            <w:vAlign w:val="center"/>
          </w:tcPr>
          <w:p w14:paraId="05AA278D">
            <w:pPr>
              <w:jc w:val="both"/>
              <w:rPr>
                <w:highlight w:val="none"/>
                <w:vertAlign w:val="baseline"/>
              </w:rPr>
            </w:pPr>
          </w:p>
        </w:tc>
      </w:tr>
      <w:tr w14:paraId="3D62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3325FD0">
            <w:pPr>
              <w:jc w:val="center"/>
              <w:rPr>
                <w:rFonts w:hint="default"/>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778F6316">
            <w:pPr>
              <w:jc w:val="center"/>
              <w:rPr>
                <w:rFonts w:hint="eastAsia"/>
                <w:highlight w:val="none"/>
                <w:vertAlign w:val="baseline"/>
              </w:rPr>
            </w:pPr>
            <w:r>
              <w:rPr>
                <w:rFonts w:hint="eastAsia"/>
                <w:highlight w:val="none"/>
                <w:vertAlign w:val="baseline"/>
              </w:rPr>
              <w:t>多媒体设备集中管理控制系统</w:t>
            </w:r>
          </w:p>
        </w:tc>
        <w:tc>
          <w:tcPr>
            <w:tcW w:w="5928" w:type="dxa"/>
            <w:noWrap w:val="0"/>
            <w:vAlign w:val="center"/>
          </w:tcPr>
          <w:p w14:paraId="349F294D">
            <w:pPr>
              <w:jc w:val="left"/>
              <w:rPr>
                <w:rFonts w:hint="eastAsia"/>
                <w:highlight w:val="none"/>
                <w:vertAlign w:val="baseline"/>
              </w:rPr>
            </w:pPr>
            <w:r>
              <w:rPr>
                <w:rFonts w:hint="eastAsia"/>
                <w:highlight w:val="none"/>
                <w:vertAlign w:val="baseline"/>
              </w:rPr>
              <w:t>一、整体设计</w:t>
            </w:r>
          </w:p>
          <w:p w14:paraId="427C2E62">
            <w:pPr>
              <w:jc w:val="left"/>
              <w:rPr>
                <w:rFonts w:hint="eastAsia"/>
                <w:highlight w:val="none"/>
                <w:vertAlign w:val="baseline"/>
              </w:rPr>
            </w:pPr>
            <w:r>
              <w:rPr>
                <w:rFonts w:hint="eastAsia"/>
                <w:highlight w:val="none"/>
                <w:vertAlign w:val="baseline"/>
              </w:rPr>
              <w:t>1、管理平台采用B/S混合云架构设计，无需本地额外部署服务器等设备，即可支持对教学信息化设备运行数据的监测。</w:t>
            </w:r>
          </w:p>
          <w:p w14:paraId="4398E6BB">
            <w:pPr>
              <w:jc w:val="left"/>
              <w:rPr>
                <w:rFonts w:hint="eastAsia"/>
                <w:highlight w:val="none"/>
                <w:vertAlign w:val="baseline"/>
              </w:rPr>
            </w:pPr>
            <w:r>
              <w:rPr>
                <w:rFonts w:hint="eastAsia"/>
                <w:highlight w:val="none"/>
                <w:vertAlign w:val="baseline"/>
              </w:rPr>
              <w:t>2、支持在Windows、Linux、Android、IOS等多种操作系统通过网页浏览器登陆操作，提供多种智能身份识别方式：支持通过账号登录、手机扫码登录等方式。</w:t>
            </w:r>
          </w:p>
          <w:p w14:paraId="62FF1D6E">
            <w:pPr>
              <w:jc w:val="left"/>
              <w:rPr>
                <w:rFonts w:hint="eastAsia"/>
                <w:highlight w:val="none"/>
                <w:vertAlign w:val="baseline"/>
              </w:rPr>
            </w:pPr>
            <w:r>
              <w:rPr>
                <w:rFonts w:hint="eastAsia"/>
                <w:highlight w:val="none"/>
                <w:vertAlign w:val="baseline"/>
              </w:rPr>
              <w:t>3、管理平台提供管理员移动管理平台，免安装并支持Android、IOS等多种移动操作系统，便于远程管理及告警信息通知。</w:t>
            </w:r>
          </w:p>
          <w:p w14:paraId="278682DE">
            <w:pPr>
              <w:jc w:val="left"/>
              <w:rPr>
                <w:rFonts w:hint="eastAsia"/>
                <w:highlight w:val="none"/>
                <w:vertAlign w:val="baseline"/>
              </w:rPr>
            </w:pPr>
            <w:r>
              <w:rPr>
                <w:rFonts w:hint="eastAsia"/>
                <w:highlight w:val="none"/>
                <w:vertAlign w:val="baseline"/>
              </w:rPr>
              <w:t>二、智能教学设备管理</w:t>
            </w:r>
          </w:p>
          <w:p w14:paraId="05383585">
            <w:pPr>
              <w:jc w:val="left"/>
              <w:rPr>
                <w:rFonts w:hint="eastAsia"/>
                <w:highlight w:val="none"/>
                <w:vertAlign w:val="baseline"/>
              </w:rPr>
            </w:pPr>
            <w:r>
              <w:rPr>
                <w:rFonts w:hint="eastAsia"/>
                <w:highlight w:val="none"/>
                <w:vertAlign w:val="baseline"/>
              </w:rPr>
              <w:t>1、管理平台为学校提供专属识别代码，可支持交互智能设备在广域网环境下，输入专属代码接入管理平台即可在通过管理平台可开启或关闭指定交互智能设备的任意磁盘分区数据还原（冰点）保护。</w:t>
            </w:r>
          </w:p>
          <w:p w14:paraId="2E0E2D6E">
            <w:pPr>
              <w:jc w:val="left"/>
              <w:rPr>
                <w:rFonts w:hint="eastAsia"/>
                <w:highlight w:val="none"/>
                <w:vertAlign w:val="baseline"/>
              </w:rPr>
            </w:pPr>
            <w:r>
              <w:rPr>
                <w:rFonts w:hint="eastAsia"/>
                <w:highlight w:val="none"/>
                <w:vertAlign w:val="baseline"/>
              </w:rPr>
              <w:t>2、管理平台实时监控已连接的交互智能设备状态，支持多台设备的略缩预览和单设备全屏查看；可远程监控交互智能设备开关机状态、CPU温度、CPU使用率、硬盘空间、硬盘已使用状况、内存容量、内存使用率、管理软件版本、设备ID。</w:t>
            </w:r>
          </w:p>
          <w:p w14:paraId="3E0D6F35">
            <w:pPr>
              <w:jc w:val="left"/>
              <w:rPr>
                <w:rFonts w:hint="eastAsia"/>
                <w:highlight w:val="none"/>
                <w:vertAlign w:val="baseline"/>
              </w:rPr>
            </w:pPr>
            <w:r>
              <w:rPr>
                <w:rFonts w:hint="eastAsia"/>
                <w:highlight w:val="none"/>
                <w:vertAlign w:val="baseline"/>
              </w:rPr>
              <w:t>3、支持不少于 10 台设备的略缩预览。</w:t>
            </w:r>
          </w:p>
          <w:p w14:paraId="1BDA6E7A">
            <w:pPr>
              <w:jc w:val="left"/>
              <w:rPr>
                <w:rFonts w:hint="eastAsia"/>
                <w:highlight w:val="none"/>
                <w:vertAlign w:val="baseline"/>
              </w:rPr>
            </w:pPr>
            <w:r>
              <w:rPr>
                <w:rFonts w:hint="eastAsia"/>
                <w:highlight w:val="none"/>
                <w:vertAlign w:val="baseline"/>
              </w:rPr>
              <w:t>4、管理平台可对局域网内的交互智能终端进行远程实时控制，能够监控设备当前运行界面，并远程对设备操作界面进行控制。</w:t>
            </w:r>
          </w:p>
          <w:p w14:paraId="0FEF5957">
            <w:pPr>
              <w:jc w:val="left"/>
              <w:rPr>
                <w:rFonts w:hint="eastAsia"/>
                <w:highlight w:val="none"/>
                <w:vertAlign w:val="baseline"/>
              </w:rPr>
            </w:pPr>
            <w:r>
              <w:rPr>
                <w:rFonts w:hint="eastAsia"/>
                <w:highlight w:val="none"/>
                <w:vertAlign w:val="baseline"/>
              </w:rPr>
              <w:t>5、管理平台可控制连接广域网的交互智能设备整机关机、开机和重启；可批量设定智能设备开关机的执行时间，并支持自定义循环模式（循环操作、定时操作）。</w:t>
            </w:r>
          </w:p>
          <w:p w14:paraId="661F03F4">
            <w:pPr>
              <w:jc w:val="left"/>
              <w:rPr>
                <w:rFonts w:hint="eastAsia"/>
                <w:highlight w:val="none"/>
                <w:vertAlign w:val="baseline"/>
              </w:rPr>
            </w:pPr>
            <w:r>
              <w:rPr>
                <w:rFonts w:hint="eastAsia"/>
                <w:highlight w:val="none"/>
                <w:vertAlign w:val="baseline"/>
              </w:rPr>
              <w:t>6、管理平台可远程对选定的交互智能设备推送动态文字滚动公告，可对公告文字的颜色、粗体以及播放次数、推送时间进行设置。</w:t>
            </w:r>
          </w:p>
          <w:p w14:paraId="35E261B0">
            <w:pPr>
              <w:jc w:val="left"/>
              <w:rPr>
                <w:rFonts w:hint="eastAsia"/>
                <w:highlight w:val="none"/>
                <w:vertAlign w:val="baseline"/>
              </w:rPr>
            </w:pPr>
            <w:r>
              <w:rPr>
                <w:rFonts w:hint="eastAsia"/>
                <w:highlight w:val="none"/>
                <w:vertAlign w:val="baseline"/>
              </w:rPr>
              <w:t>7、管理平台可远程开启指定交互智能设备倒计日功能并设定倒计日截止日期。</w:t>
            </w:r>
          </w:p>
          <w:p w14:paraId="5359F11F">
            <w:pPr>
              <w:jc w:val="left"/>
              <w:rPr>
                <w:rFonts w:hint="eastAsia"/>
                <w:highlight w:val="none"/>
                <w:vertAlign w:val="baseline"/>
              </w:rPr>
            </w:pPr>
            <w:r>
              <w:rPr>
                <w:rFonts w:hint="eastAsia"/>
                <w:highlight w:val="none"/>
                <w:vertAlign w:val="baseline"/>
              </w:rPr>
              <w:t>8、管理平台提供巡课值守模式，自动轮循显示所有的交互智能设备使用界面。</w:t>
            </w:r>
          </w:p>
          <w:p w14:paraId="27114B66">
            <w:pPr>
              <w:jc w:val="left"/>
              <w:rPr>
                <w:rFonts w:hint="eastAsia"/>
                <w:highlight w:val="none"/>
                <w:vertAlign w:val="baseline"/>
              </w:rPr>
            </w:pPr>
            <w:r>
              <w:rPr>
                <w:rFonts w:hint="eastAsia"/>
                <w:highlight w:val="none"/>
                <w:vertAlign w:val="baseline"/>
              </w:rPr>
              <w:t>9、管理平台实时显示交互智能设备异常的告警提示，并同步将异常信息推送至管理员移动端工作平台。</w:t>
            </w:r>
          </w:p>
          <w:p w14:paraId="42EA459B">
            <w:pPr>
              <w:jc w:val="left"/>
              <w:rPr>
                <w:rFonts w:hint="eastAsia"/>
                <w:highlight w:val="none"/>
                <w:vertAlign w:val="baseline"/>
              </w:rPr>
            </w:pPr>
            <w:r>
              <w:rPr>
                <w:rFonts w:hint="eastAsia"/>
                <w:highlight w:val="none"/>
                <w:vertAlign w:val="baseline"/>
              </w:rPr>
              <w:t>三、音视频直播功能</w:t>
            </w:r>
          </w:p>
          <w:p w14:paraId="25CDB022">
            <w:pPr>
              <w:jc w:val="left"/>
              <w:rPr>
                <w:rFonts w:hint="eastAsia"/>
                <w:highlight w:val="none"/>
                <w:vertAlign w:val="baseline"/>
              </w:rPr>
            </w:pPr>
            <w:r>
              <w:rPr>
                <w:rFonts w:hint="eastAsia"/>
                <w:highlight w:val="none"/>
                <w:vertAlign w:val="baseline"/>
              </w:rPr>
              <w:t>1、常见直播时可自动检测当前设备直播环境，并友好提示用户部署环境</w:t>
            </w:r>
          </w:p>
          <w:p w14:paraId="1C993540">
            <w:pPr>
              <w:jc w:val="left"/>
              <w:rPr>
                <w:rFonts w:hint="eastAsia"/>
                <w:highlight w:val="none"/>
                <w:vertAlign w:val="baseline"/>
              </w:rPr>
            </w:pPr>
            <w:r>
              <w:rPr>
                <w:rFonts w:hint="eastAsia"/>
                <w:highlight w:val="none"/>
                <w:vertAlign w:val="baseline"/>
              </w:rPr>
              <w:t>2、支持不少于6路直播源并行发起直播，提供不少于4种直播模式（桌面直播、桌面+视频直播、视频直播、音频直播）供选择。</w:t>
            </w:r>
          </w:p>
          <w:p w14:paraId="7FD16A36">
            <w:pPr>
              <w:jc w:val="left"/>
              <w:rPr>
                <w:rFonts w:hint="eastAsia"/>
                <w:highlight w:val="none"/>
                <w:vertAlign w:val="baseline"/>
              </w:rPr>
            </w:pPr>
            <w:r>
              <w:rPr>
                <w:rFonts w:hint="eastAsia"/>
                <w:highlight w:val="none"/>
                <w:vertAlign w:val="baseline"/>
              </w:rPr>
              <w:t>3、直播方可实时查看直播接收方场所的现场画面，实时了解直播情况。</w:t>
            </w:r>
          </w:p>
          <w:p w14:paraId="432EBE06">
            <w:pPr>
              <w:jc w:val="left"/>
              <w:rPr>
                <w:rFonts w:hint="eastAsia"/>
                <w:highlight w:val="none"/>
                <w:vertAlign w:val="baseline"/>
              </w:rPr>
            </w:pPr>
            <w:r>
              <w:rPr>
                <w:rFonts w:hint="eastAsia"/>
                <w:highlight w:val="none"/>
                <w:vertAlign w:val="baseline"/>
              </w:rPr>
              <w:t>4、支持外接麦克风、摄像头进行直播，提供多种画质选择。</w:t>
            </w:r>
          </w:p>
          <w:p w14:paraId="67895611">
            <w:pPr>
              <w:jc w:val="left"/>
              <w:rPr>
                <w:rFonts w:hint="eastAsia"/>
                <w:highlight w:val="none"/>
                <w:vertAlign w:val="baseline"/>
              </w:rPr>
            </w:pPr>
            <w:r>
              <w:rPr>
                <w:rFonts w:hint="eastAsia"/>
                <w:highlight w:val="none"/>
                <w:vertAlign w:val="baseline"/>
              </w:rPr>
              <w:t>5、支持实时统计显示直播源码率、FPS等数据。</w:t>
            </w:r>
          </w:p>
          <w:p w14:paraId="743A4BFF">
            <w:pPr>
              <w:jc w:val="left"/>
              <w:rPr>
                <w:rFonts w:hint="eastAsia"/>
                <w:highlight w:val="none"/>
                <w:vertAlign w:val="baseline"/>
              </w:rPr>
            </w:pPr>
            <w:r>
              <w:rPr>
                <w:rFonts w:hint="eastAsia"/>
                <w:highlight w:val="none"/>
                <w:vertAlign w:val="baseline"/>
              </w:rPr>
              <w:t>四、安全应用防护</w:t>
            </w:r>
          </w:p>
          <w:p w14:paraId="32A4B2DF">
            <w:pPr>
              <w:jc w:val="left"/>
              <w:rPr>
                <w:rFonts w:hint="eastAsia"/>
                <w:highlight w:val="none"/>
                <w:vertAlign w:val="baseline"/>
              </w:rPr>
            </w:pPr>
            <w:r>
              <w:rPr>
                <w:rFonts w:hint="eastAsia"/>
                <w:highlight w:val="none"/>
                <w:vertAlign w:val="baseline"/>
              </w:rPr>
              <w:t>1、管理平台可远程对运行状态 下的交互智能设备批量进行本地系统启动盘的冻结、解冻（冰点保护）。冻结的设备重启后会自动还原到冻结前 的状态，即本地系统启动盘 的数据及系统更改会自动恢复至冻结前状态。</w:t>
            </w:r>
          </w:p>
          <w:p w14:paraId="51D4ACF9">
            <w:pPr>
              <w:jc w:val="left"/>
              <w:rPr>
                <w:rFonts w:hint="eastAsia"/>
                <w:highlight w:val="none"/>
                <w:vertAlign w:val="baseline"/>
              </w:rPr>
            </w:pPr>
            <w:r>
              <w:rPr>
                <w:rFonts w:hint="eastAsia"/>
                <w:highlight w:val="none"/>
                <w:vertAlign w:val="baseline"/>
              </w:rPr>
              <w:t>2、管理平台可实时监控开启冰点保护设备数量、安装冰点保护设备数量、磁盘冰冻状态等，并提示冰点风险，方便用户管理一体机系统环境</w:t>
            </w:r>
          </w:p>
          <w:p w14:paraId="42A47D36">
            <w:pPr>
              <w:jc w:val="left"/>
              <w:rPr>
                <w:rFonts w:hint="eastAsia"/>
                <w:highlight w:val="none"/>
                <w:vertAlign w:val="baseline"/>
              </w:rPr>
            </w:pPr>
            <w:r>
              <w:rPr>
                <w:rFonts w:hint="eastAsia"/>
                <w:highlight w:val="none"/>
                <w:vertAlign w:val="baseline"/>
              </w:rPr>
              <w:t>管理平台可开启或关闭指定交互智能设备的任意磁盘分区数据还原（冰点）保护。</w:t>
            </w:r>
          </w:p>
          <w:p w14:paraId="0D756759">
            <w:pPr>
              <w:jc w:val="left"/>
              <w:rPr>
                <w:rFonts w:hint="eastAsia"/>
                <w:highlight w:val="none"/>
                <w:vertAlign w:val="baseline"/>
              </w:rPr>
            </w:pPr>
            <w:r>
              <w:rPr>
                <w:rFonts w:hint="eastAsia"/>
                <w:highlight w:val="none"/>
                <w:vertAlign w:val="baseline"/>
              </w:rPr>
              <w:t>3、管理平台可随时查看所有弹窗拦截的设备数和历史拦截的条数。</w:t>
            </w:r>
          </w:p>
          <w:p w14:paraId="6656322C">
            <w:pPr>
              <w:jc w:val="left"/>
              <w:rPr>
                <w:rFonts w:hint="eastAsia"/>
                <w:highlight w:val="none"/>
                <w:vertAlign w:val="baseline"/>
              </w:rPr>
            </w:pPr>
            <w:r>
              <w:rPr>
                <w:rFonts w:hint="eastAsia"/>
                <w:highlight w:val="none"/>
                <w:vertAlign w:val="baseline"/>
              </w:rPr>
              <w:t>4管理平台可开启或关闭全校所有设备的弹窗拦截功能。</w:t>
            </w:r>
          </w:p>
          <w:p w14:paraId="0B848CA3">
            <w:pPr>
              <w:jc w:val="left"/>
              <w:rPr>
                <w:rFonts w:hint="eastAsia"/>
                <w:highlight w:val="none"/>
                <w:vertAlign w:val="baseline"/>
              </w:rPr>
            </w:pPr>
            <w:r>
              <w:rPr>
                <w:rFonts w:hint="eastAsia"/>
                <w:highlight w:val="none"/>
                <w:vertAlign w:val="baseline"/>
              </w:rPr>
              <w:t>5、管理平台可远程批量拦截弹窗，适用于所有关联本学校的交互智能设备。</w:t>
            </w:r>
          </w:p>
          <w:p w14:paraId="2720A1C2">
            <w:pPr>
              <w:jc w:val="left"/>
              <w:rPr>
                <w:rFonts w:hint="eastAsia"/>
                <w:highlight w:val="none"/>
                <w:vertAlign w:val="baseline"/>
              </w:rPr>
            </w:pPr>
            <w:r>
              <w:rPr>
                <w:rFonts w:hint="eastAsia"/>
                <w:highlight w:val="none"/>
                <w:vertAlign w:val="baseline"/>
              </w:rPr>
              <w:t>五、多设备接入</w:t>
            </w:r>
          </w:p>
          <w:p w14:paraId="3A40E031">
            <w:pPr>
              <w:jc w:val="left"/>
              <w:rPr>
                <w:rFonts w:hint="eastAsia"/>
                <w:highlight w:val="none"/>
                <w:vertAlign w:val="baseline"/>
              </w:rPr>
            </w:pPr>
            <w:r>
              <w:rPr>
                <w:rFonts w:hint="eastAsia"/>
                <w:highlight w:val="none"/>
                <w:vertAlign w:val="baseline"/>
              </w:rPr>
              <w:t>1、平台支持对全校智慧教室的教学信息化设备进行集中运维管理和策略部署。</w:t>
            </w:r>
          </w:p>
          <w:p w14:paraId="3087699F">
            <w:pPr>
              <w:jc w:val="left"/>
              <w:rPr>
                <w:rFonts w:hint="eastAsia"/>
                <w:highlight w:val="none"/>
                <w:vertAlign w:val="baseline"/>
              </w:rPr>
            </w:pPr>
            <w:r>
              <w:rPr>
                <w:rFonts w:hint="eastAsia"/>
                <w:highlight w:val="none"/>
                <w:vertAlign w:val="baseline"/>
              </w:rPr>
              <w:t>2、支持多设备接入，与交互智能教学设备、学生智能终端等教学设备对。</w:t>
            </w:r>
          </w:p>
        </w:tc>
        <w:tc>
          <w:tcPr>
            <w:tcW w:w="736" w:type="dxa"/>
            <w:noWrap w:val="0"/>
            <w:vAlign w:val="center"/>
          </w:tcPr>
          <w:p w14:paraId="2887C7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55F75C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7B5A31AD">
            <w:pPr>
              <w:jc w:val="center"/>
              <w:rPr>
                <w:highlight w:val="none"/>
              </w:rPr>
            </w:pPr>
            <w:r>
              <w:rPr>
                <w:highlight w:val="none"/>
              </w:rPr>
              <w:drawing>
                <wp:inline distT="0" distB="0" distL="114300" distR="114300">
                  <wp:extent cx="1676400" cy="1270000"/>
                  <wp:effectExtent l="0" t="0" r="0" b="0"/>
                  <wp:docPr id="5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pic:cNvPicPr>
                            <a:picLocks noChangeAspect="1"/>
                          </pic:cNvPicPr>
                        </pic:nvPicPr>
                        <pic:blipFill>
                          <a:blip r:embed="rId28"/>
                          <a:stretch>
                            <a:fillRect/>
                          </a:stretch>
                        </pic:blipFill>
                        <pic:spPr>
                          <a:xfrm>
                            <a:off x="0" y="0"/>
                            <a:ext cx="1676400" cy="1270000"/>
                          </a:xfrm>
                          <a:prstGeom prst="rect">
                            <a:avLst/>
                          </a:prstGeom>
                          <a:noFill/>
                          <a:ln>
                            <a:noFill/>
                          </a:ln>
                        </pic:spPr>
                      </pic:pic>
                    </a:graphicData>
                  </a:graphic>
                </wp:inline>
              </w:drawing>
            </w:r>
          </w:p>
        </w:tc>
        <w:tc>
          <w:tcPr>
            <w:tcW w:w="710" w:type="dxa"/>
            <w:gridSpan w:val="2"/>
            <w:noWrap w:val="0"/>
            <w:vAlign w:val="center"/>
          </w:tcPr>
          <w:p w14:paraId="0581447C">
            <w:pPr>
              <w:jc w:val="both"/>
              <w:rPr>
                <w:highlight w:val="none"/>
                <w:vertAlign w:val="baseline"/>
              </w:rPr>
            </w:pPr>
          </w:p>
        </w:tc>
      </w:tr>
      <w:tr w14:paraId="440D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8B7AAC">
            <w:pPr>
              <w:jc w:val="center"/>
              <w:rPr>
                <w:rFonts w:hint="default"/>
                <w:highlight w:val="none"/>
                <w:vertAlign w:val="baseline"/>
                <w:lang w:val="en-US" w:eastAsia="zh-CN"/>
              </w:rPr>
            </w:pPr>
            <w:r>
              <w:rPr>
                <w:rFonts w:hint="eastAsia"/>
                <w:highlight w:val="none"/>
                <w:vertAlign w:val="baseline"/>
                <w:lang w:val="en-US" w:eastAsia="zh-CN"/>
              </w:rPr>
              <w:t>6</w:t>
            </w:r>
          </w:p>
        </w:tc>
        <w:tc>
          <w:tcPr>
            <w:tcW w:w="1690" w:type="dxa"/>
            <w:noWrap w:val="0"/>
            <w:vAlign w:val="center"/>
          </w:tcPr>
          <w:p w14:paraId="74526B0C">
            <w:pPr>
              <w:jc w:val="center"/>
              <w:rPr>
                <w:rFonts w:hint="eastAsia"/>
                <w:highlight w:val="none"/>
                <w:vertAlign w:val="baseline"/>
              </w:rPr>
            </w:pPr>
            <w:r>
              <w:rPr>
                <w:rFonts w:hint="eastAsia"/>
                <w:highlight w:val="none"/>
                <w:vertAlign w:val="baseline"/>
              </w:rPr>
              <w:t>全钢老师桌</w:t>
            </w:r>
          </w:p>
        </w:tc>
        <w:tc>
          <w:tcPr>
            <w:tcW w:w="5928" w:type="dxa"/>
            <w:noWrap w:val="0"/>
            <w:vAlign w:val="center"/>
          </w:tcPr>
          <w:p w14:paraId="24397760">
            <w:pPr>
              <w:jc w:val="left"/>
              <w:rPr>
                <w:rFonts w:hint="eastAsia"/>
                <w:highlight w:val="none"/>
                <w:vertAlign w:val="baseline"/>
              </w:rPr>
            </w:pPr>
            <w:r>
              <w:rPr>
                <w:rFonts w:hint="eastAsia"/>
                <w:highlight w:val="none"/>
                <w:vertAlign w:val="baseline"/>
              </w:rPr>
              <w:t>规格：≥2400×700×850mm</w:t>
            </w:r>
          </w:p>
          <w:p w14:paraId="27AF6B3A">
            <w:pPr>
              <w:jc w:val="left"/>
              <w:rPr>
                <w:rFonts w:hint="eastAsia"/>
                <w:highlight w:val="none"/>
                <w:vertAlign w:val="baseline"/>
              </w:rPr>
            </w:pPr>
            <w:r>
              <w:rPr>
                <w:rFonts w:hint="eastAsia"/>
                <w:highlight w:val="none"/>
                <w:vertAlign w:val="baseline"/>
              </w:rPr>
              <w:t>▲台面采用环保E1级高能板（高能实芯理化板），通体厚度为25mm，板材表面为生物抗菌型净化膜压贴，芯材采用热固树脂与70%可再生森林的软木纤维，中间添加内应力平衡无醛生物胶一体高温高压而成。 台面板具备耐酸碱，耐腐蚀，整体防水之性能。台面的各项功能检测须达到如下要求：</w:t>
            </w:r>
          </w:p>
          <w:p w14:paraId="5E2F4DBA">
            <w:pPr>
              <w:jc w:val="left"/>
              <w:rPr>
                <w:rFonts w:hint="eastAsia"/>
                <w:highlight w:val="none"/>
                <w:vertAlign w:val="baseline"/>
              </w:rPr>
            </w:pPr>
            <w:r>
              <w:rPr>
                <w:rFonts w:hint="eastAsia"/>
                <w:highlight w:val="none"/>
                <w:vertAlign w:val="baseline"/>
              </w:rPr>
              <w:t>1、通过检测：硫酸（98%）、盐酸（37%）、硝酸（65%）、磷酸（85%）等不低于36项化学试剂检测，检测结果达到5级标准。</w:t>
            </w:r>
          </w:p>
          <w:p w14:paraId="3618E3A6">
            <w:pPr>
              <w:jc w:val="left"/>
              <w:rPr>
                <w:rFonts w:hint="eastAsia"/>
                <w:highlight w:val="none"/>
                <w:vertAlign w:val="baseline"/>
              </w:rPr>
            </w:pPr>
            <w:r>
              <w:rPr>
                <w:rFonts w:hint="eastAsia"/>
                <w:highlight w:val="none"/>
                <w:vertAlign w:val="baseline"/>
              </w:rPr>
              <w:t>2、通过检测，提供耐沸水性能、抗拉强度、弯曲强度等不低于15项物理性能检测。</w:t>
            </w:r>
          </w:p>
          <w:p w14:paraId="0ADE7B5F">
            <w:pPr>
              <w:jc w:val="left"/>
              <w:rPr>
                <w:rFonts w:hint="eastAsia"/>
                <w:highlight w:val="none"/>
                <w:vertAlign w:val="baseline"/>
              </w:rPr>
            </w:pPr>
            <w:r>
              <w:rPr>
                <w:rFonts w:hint="eastAsia"/>
                <w:highlight w:val="none"/>
                <w:vertAlign w:val="baseline"/>
              </w:rPr>
              <w:t>3、通过检测, 执行标准GB18580-2017《室内装饰材料人造板及其制品中甲醛释放量》，甲醛释放量小于等于 0.005mg/m3，达到环保E1级标准。</w:t>
            </w:r>
          </w:p>
          <w:p w14:paraId="057E597B">
            <w:pPr>
              <w:jc w:val="left"/>
              <w:rPr>
                <w:rFonts w:hint="eastAsia"/>
                <w:highlight w:val="none"/>
                <w:vertAlign w:val="baseline"/>
              </w:rPr>
            </w:pPr>
            <w:r>
              <w:rPr>
                <w:rFonts w:hint="eastAsia"/>
                <w:highlight w:val="none"/>
                <w:vertAlign w:val="baseline"/>
              </w:rPr>
              <w:t>4、通过检测，按照国家标准《建筑产品和家具的挥发性有机化合物的测定排放试验室法（ISO 16000-9-2006）》检测,要求总挥发性有机物（苯、二甲苯和TVOC）的释放率&lt;2μg/㎡·h。</w:t>
            </w:r>
          </w:p>
          <w:p w14:paraId="7DE9DD29">
            <w:pPr>
              <w:jc w:val="left"/>
              <w:rPr>
                <w:rFonts w:hint="eastAsia"/>
                <w:highlight w:val="none"/>
                <w:vertAlign w:val="baseline"/>
              </w:rPr>
            </w:pPr>
            <w:r>
              <w:rPr>
                <w:rFonts w:hint="eastAsia"/>
                <w:highlight w:val="none"/>
                <w:vertAlign w:val="baseline"/>
              </w:rPr>
              <w:t>5、通过检测，检测依据:JC/T1074-2008《室内空气净化功能涂覆材料净化性能》，提供（生物抗菌型净化）高能板的甲醛净化功能检测报告,要求甲醛净化效率≥30%。</w:t>
            </w:r>
          </w:p>
          <w:p w14:paraId="3AEE8473">
            <w:pPr>
              <w:jc w:val="left"/>
              <w:rPr>
                <w:rFonts w:hint="eastAsia"/>
                <w:highlight w:val="none"/>
                <w:vertAlign w:val="baseline"/>
              </w:rPr>
            </w:pPr>
            <w:r>
              <w:rPr>
                <w:rFonts w:hint="eastAsia"/>
                <w:highlight w:val="none"/>
                <w:vertAlign w:val="baseline"/>
              </w:rPr>
              <w:t>备注：为确保产品质量，需提供具有CMA或CNAS标识的检测报告扫描件。</w:t>
            </w:r>
          </w:p>
          <w:p w14:paraId="63DD7B1C">
            <w:pPr>
              <w:jc w:val="left"/>
              <w:rPr>
                <w:rFonts w:hint="eastAsia"/>
                <w:highlight w:val="none"/>
                <w:vertAlign w:val="baseline"/>
              </w:rPr>
            </w:pPr>
            <w:r>
              <w:rPr>
                <w:rFonts w:hint="eastAsia"/>
                <w:highlight w:val="none"/>
                <w:vertAlign w:val="baseline"/>
              </w:rPr>
              <w:t>结构：全钢结构柜体。</w:t>
            </w:r>
          </w:p>
          <w:p w14:paraId="098749A8">
            <w:pPr>
              <w:jc w:val="left"/>
              <w:rPr>
                <w:rFonts w:hint="eastAsia"/>
                <w:highlight w:val="none"/>
                <w:vertAlign w:val="baseline"/>
              </w:rPr>
            </w:pPr>
            <w:r>
              <w:rPr>
                <w:rFonts w:hint="eastAsia"/>
                <w:highlight w:val="none"/>
                <w:vertAlign w:val="baseline"/>
              </w:rPr>
              <w:t>柜体为落地柜式。</w:t>
            </w:r>
          </w:p>
          <w:p w14:paraId="2C383681">
            <w:pPr>
              <w:jc w:val="left"/>
              <w:rPr>
                <w:rFonts w:hint="eastAsia"/>
                <w:highlight w:val="none"/>
                <w:vertAlign w:val="baseline"/>
              </w:rPr>
            </w:pPr>
            <w:r>
              <w:rPr>
                <w:rFonts w:hint="eastAsia"/>
                <w:highlight w:val="none"/>
                <w:vertAlign w:val="baseline"/>
              </w:rPr>
              <w:t>柜体：采用1.0优质一级冷轧钢板（SPCCT）经CNC机压成型，焊接制作，表面经磷化处理、环氧树脂静电粉末涂装处理。</w:t>
            </w:r>
          </w:p>
          <w:p w14:paraId="627FF3CB">
            <w:pPr>
              <w:jc w:val="left"/>
              <w:rPr>
                <w:rFonts w:hint="eastAsia"/>
                <w:highlight w:val="none"/>
                <w:vertAlign w:val="baseline"/>
              </w:rPr>
            </w:pPr>
            <w:r>
              <w:rPr>
                <w:rFonts w:hint="eastAsia"/>
                <w:highlight w:val="none"/>
                <w:vertAlign w:val="baseline"/>
              </w:rPr>
              <w:t>设置电源专用抽屉位和水槽空位及水电管孔。</w:t>
            </w:r>
          </w:p>
          <w:p w14:paraId="71B72171">
            <w:pPr>
              <w:jc w:val="left"/>
              <w:rPr>
                <w:rFonts w:hint="eastAsia"/>
                <w:highlight w:val="none"/>
                <w:vertAlign w:val="baseline"/>
              </w:rPr>
            </w:pPr>
            <w:r>
              <w:rPr>
                <w:rFonts w:hint="eastAsia"/>
                <w:highlight w:val="none"/>
                <w:vertAlign w:val="baseline"/>
              </w:rPr>
              <w:t>侧边空位，配有专门装饰网板加固。</w:t>
            </w:r>
          </w:p>
          <w:p w14:paraId="192F1181">
            <w:pPr>
              <w:jc w:val="left"/>
              <w:rPr>
                <w:rFonts w:hint="eastAsia"/>
                <w:highlight w:val="none"/>
                <w:vertAlign w:val="baseline"/>
              </w:rPr>
            </w:pPr>
            <w:r>
              <w:rPr>
                <w:rFonts w:hint="eastAsia"/>
                <w:highlight w:val="none"/>
                <w:vertAlign w:val="baseline"/>
              </w:rPr>
              <w:t>固定桌脚：ABS注塑专用垫。</w:t>
            </w:r>
          </w:p>
          <w:p w14:paraId="0E23F382">
            <w:pPr>
              <w:jc w:val="left"/>
              <w:rPr>
                <w:rFonts w:hint="eastAsia"/>
                <w:highlight w:val="none"/>
                <w:vertAlign w:val="baseline"/>
              </w:rPr>
            </w:pPr>
            <w:r>
              <w:rPr>
                <w:rFonts w:hint="eastAsia"/>
                <w:highlight w:val="none"/>
                <w:vertAlign w:val="baseline"/>
              </w:rPr>
              <w:t>▲全钢老师桌整体通过GB/T 21747-2008 教学实验室设备 实验台（桌）的安全要求及试验方法标准检测，力学性能要求，理化性能要求，甲醛释放量，测试结果符合指标要求。备注：为确保产品质量，需提供具有CMA或CNAS标识的检测报告扫描件。</w:t>
            </w:r>
          </w:p>
        </w:tc>
        <w:tc>
          <w:tcPr>
            <w:tcW w:w="736" w:type="dxa"/>
            <w:noWrap w:val="0"/>
            <w:vAlign w:val="center"/>
          </w:tcPr>
          <w:p w14:paraId="52DA5D3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385CB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0101DFED">
            <w:pPr>
              <w:jc w:val="center"/>
              <w:rPr>
                <w:highlight w:val="none"/>
              </w:rPr>
            </w:pPr>
            <w:r>
              <w:rPr>
                <w:highlight w:val="none"/>
              </w:rPr>
              <w:drawing>
                <wp:inline distT="0" distB="0" distL="114300" distR="114300">
                  <wp:extent cx="1739265" cy="1364615"/>
                  <wp:effectExtent l="0" t="0" r="635" b="6985"/>
                  <wp:docPr id="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9"/>
                          <pic:cNvPicPr>
                            <a:picLocks noChangeAspect="1"/>
                          </pic:cNvPicPr>
                        </pic:nvPicPr>
                        <pic:blipFill>
                          <a:blip r:embed="rId38"/>
                          <a:stretch>
                            <a:fillRect/>
                          </a:stretch>
                        </pic:blipFill>
                        <pic:spPr>
                          <a:xfrm>
                            <a:off x="0" y="0"/>
                            <a:ext cx="1739265" cy="1364615"/>
                          </a:xfrm>
                          <a:prstGeom prst="rect">
                            <a:avLst/>
                          </a:prstGeom>
                          <a:noFill/>
                          <a:ln>
                            <a:noFill/>
                          </a:ln>
                        </pic:spPr>
                      </pic:pic>
                    </a:graphicData>
                  </a:graphic>
                </wp:inline>
              </w:drawing>
            </w:r>
          </w:p>
        </w:tc>
        <w:tc>
          <w:tcPr>
            <w:tcW w:w="710" w:type="dxa"/>
            <w:gridSpan w:val="2"/>
            <w:noWrap w:val="0"/>
            <w:vAlign w:val="center"/>
          </w:tcPr>
          <w:p w14:paraId="4E7AB0D8">
            <w:pPr>
              <w:jc w:val="both"/>
              <w:rPr>
                <w:highlight w:val="none"/>
                <w:vertAlign w:val="baseline"/>
              </w:rPr>
            </w:pPr>
          </w:p>
        </w:tc>
      </w:tr>
      <w:tr w14:paraId="13E6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ED3128F">
            <w:pPr>
              <w:jc w:val="center"/>
              <w:rPr>
                <w:rFonts w:hint="default"/>
                <w:highlight w:val="none"/>
                <w:vertAlign w:val="baseline"/>
                <w:lang w:val="en-US" w:eastAsia="zh-CN"/>
              </w:rPr>
            </w:pPr>
            <w:r>
              <w:rPr>
                <w:rFonts w:hint="eastAsia"/>
                <w:highlight w:val="none"/>
                <w:vertAlign w:val="baseline"/>
                <w:lang w:val="en-US" w:eastAsia="zh-CN"/>
              </w:rPr>
              <w:t>7</w:t>
            </w:r>
          </w:p>
        </w:tc>
        <w:tc>
          <w:tcPr>
            <w:tcW w:w="1690" w:type="dxa"/>
            <w:noWrap w:val="0"/>
            <w:vAlign w:val="center"/>
          </w:tcPr>
          <w:p w14:paraId="1E642BC3">
            <w:pPr>
              <w:jc w:val="center"/>
              <w:rPr>
                <w:rFonts w:hint="eastAsia"/>
                <w:highlight w:val="none"/>
                <w:vertAlign w:val="baseline"/>
              </w:rPr>
            </w:pPr>
            <w:r>
              <w:rPr>
                <w:rFonts w:hint="eastAsia"/>
                <w:highlight w:val="none"/>
                <w:vertAlign w:val="baseline"/>
              </w:rPr>
              <w:t>化验水槽</w:t>
            </w:r>
          </w:p>
        </w:tc>
        <w:tc>
          <w:tcPr>
            <w:tcW w:w="5928" w:type="dxa"/>
            <w:noWrap w:val="0"/>
            <w:vAlign w:val="center"/>
          </w:tcPr>
          <w:p w14:paraId="5D88D049">
            <w:pPr>
              <w:jc w:val="left"/>
              <w:rPr>
                <w:rFonts w:hint="eastAsia"/>
                <w:highlight w:val="none"/>
                <w:vertAlign w:val="baseline"/>
              </w:rPr>
            </w:pPr>
            <w:r>
              <w:rPr>
                <w:rFonts w:hint="eastAsia"/>
                <w:highlight w:val="none"/>
                <w:vertAlign w:val="baseline"/>
              </w:rPr>
              <w:t>1、采用耐腐蚀高密度PP材质，模具一次注塑成型，规格：外径440×330×200mm内径380×270×180mm，水槽厚度≥5 mm。</w:t>
            </w:r>
          </w:p>
          <w:p w14:paraId="1F80F322">
            <w:pPr>
              <w:jc w:val="left"/>
              <w:rPr>
                <w:rFonts w:hint="eastAsia"/>
                <w:highlight w:val="none"/>
                <w:vertAlign w:val="baseline"/>
              </w:rPr>
            </w:pPr>
            <w:r>
              <w:rPr>
                <w:rFonts w:hint="eastAsia"/>
                <w:highlight w:val="none"/>
                <w:vertAlign w:val="baseline"/>
              </w:rPr>
              <w:t>2、水槽应具有耐酸碱、耐热、耐有机溶剂；排水口应有水封装置。</w:t>
            </w:r>
          </w:p>
          <w:p w14:paraId="120DF52A">
            <w:pPr>
              <w:jc w:val="left"/>
              <w:rPr>
                <w:rFonts w:hint="eastAsia"/>
                <w:highlight w:val="none"/>
                <w:vertAlign w:val="baseline"/>
              </w:rPr>
            </w:pPr>
            <w:r>
              <w:rPr>
                <w:rFonts w:hint="eastAsia"/>
                <w:highlight w:val="none"/>
                <w:vertAlign w:val="baseline"/>
              </w:rPr>
              <w:t>3、水槽应采取台下托底式安装（带支撑托架），水槽与台面间采用防水密封胶封闭，无漏水现象。</w:t>
            </w:r>
          </w:p>
          <w:p w14:paraId="71793F34">
            <w:pPr>
              <w:jc w:val="left"/>
              <w:rPr>
                <w:rFonts w:hint="eastAsia"/>
                <w:highlight w:val="none"/>
                <w:vertAlign w:val="baseline"/>
              </w:rPr>
            </w:pPr>
            <w:r>
              <w:rPr>
                <w:rFonts w:hint="eastAsia"/>
                <w:highlight w:val="none"/>
                <w:vertAlign w:val="baseline"/>
              </w:rPr>
              <w:t>4、水槽配备的上水、下水均应隐蔽，专用下水管扣，使下水管弯曲成“S”型防臭。</w:t>
            </w:r>
          </w:p>
          <w:p w14:paraId="506058E6">
            <w:pPr>
              <w:jc w:val="left"/>
              <w:rPr>
                <w:rFonts w:hint="eastAsia"/>
                <w:highlight w:val="none"/>
                <w:vertAlign w:val="baseline"/>
              </w:rPr>
            </w:pPr>
            <w:r>
              <w:rPr>
                <w:rFonts w:hint="eastAsia"/>
                <w:highlight w:val="none"/>
                <w:vertAlign w:val="baseline"/>
              </w:rPr>
              <w:t>5、给排水管必须连接可靠，避免因松动脱落造成漏水，引起电源短路，形成安全隐患。</w:t>
            </w:r>
          </w:p>
        </w:tc>
        <w:tc>
          <w:tcPr>
            <w:tcW w:w="736" w:type="dxa"/>
            <w:noWrap w:val="0"/>
            <w:vAlign w:val="center"/>
          </w:tcPr>
          <w:p w14:paraId="67E11E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4AB26B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21BA169D">
            <w:pPr>
              <w:jc w:val="center"/>
              <w:rPr>
                <w:highlight w:val="none"/>
              </w:rPr>
            </w:pPr>
            <w:r>
              <w:rPr>
                <w:highlight w:val="none"/>
              </w:rPr>
              <w:drawing>
                <wp:inline distT="0" distB="0" distL="114300" distR="114300">
                  <wp:extent cx="1653540" cy="1116965"/>
                  <wp:effectExtent l="0" t="0" r="10160" b="635"/>
                  <wp:docPr id="72" name="图片 50" descr="f1f9783d322236caafa985c5a47d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descr="f1f9783d322236caafa985c5a47d76b"/>
                          <pic:cNvPicPr>
                            <a:picLocks noChangeAspect="1"/>
                          </pic:cNvPicPr>
                        </pic:nvPicPr>
                        <pic:blipFill>
                          <a:blip r:embed="rId39"/>
                          <a:stretch>
                            <a:fillRect/>
                          </a:stretch>
                        </pic:blipFill>
                        <pic:spPr>
                          <a:xfrm>
                            <a:off x="0" y="0"/>
                            <a:ext cx="1653540" cy="1116965"/>
                          </a:xfrm>
                          <a:prstGeom prst="rect">
                            <a:avLst/>
                          </a:prstGeom>
                          <a:noFill/>
                          <a:ln>
                            <a:noFill/>
                          </a:ln>
                        </pic:spPr>
                      </pic:pic>
                    </a:graphicData>
                  </a:graphic>
                </wp:inline>
              </w:drawing>
            </w:r>
          </w:p>
        </w:tc>
        <w:tc>
          <w:tcPr>
            <w:tcW w:w="710" w:type="dxa"/>
            <w:gridSpan w:val="2"/>
            <w:noWrap w:val="0"/>
            <w:vAlign w:val="center"/>
          </w:tcPr>
          <w:p w14:paraId="63428D53">
            <w:pPr>
              <w:jc w:val="both"/>
              <w:rPr>
                <w:highlight w:val="none"/>
                <w:vertAlign w:val="baseline"/>
              </w:rPr>
            </w:pPr>
          </w:p>
        </w:tc>
      </w:tr>
      <w:tr w14:paraId="5EAB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3816D019">
            <w:pPr>
              <w:jc w:val="center"/>
              <w:rPr>
                <w:rFonts w:hint="default"/>
                <w:highlight w:val="none"/>
                <w:vertAlign w:val="baseline"/>
                <w:lang w:val="en-US" w:eastAsia="zh-CN"/>
              </w:rPr>
            </w:pPr>
            <w:r>
              <w:rPr>
                <w:rFonts w:hint="eastAsia"/>
                <w:highlight w:val="none"/>
                <w:vertAlign w:val="baseline"/>
                <w:lang w:val="en-US" w:eastAsia="zh-CN"/>
              </w:rPr>
              <w:t>8</w:t>
            </w:r>
          </w:p>
        </w:tc>
        <w:tc>
          <w:tcPr>
            <w:tcW w:w="1690" w:type="dxa"/>
            <w:noWrap w:val="0"/>
            <w:vAlign w:val="center"/>
          </w:tcPr>
          <w:p w14:paraId="6A628B2E">
            <w:pPr>
              <w:jc w:val="center"/>
              <w:rPr>
                <w:rFonts w:hint="eastAsia"/>
                <w:highlight w:val="none"/>
                <w:vertAlign w:val="baseline"/>
              </w:rPr>
            </w:pPr>
            <w:r>
              <w:rPr>
                <w:rFonts w:hint="eastAsia"/>
                <w:highlight w:val="none"/>
                <w:vertAlign w:val="baseline"/>
              </w:rPr>
              <w:t>三联水嘴</w:t>
            </w:r>
          </w:p>
        </w:tc>
        <w:tc>
          <w:tcPr>
            <w:tcW w:w="5928" w:type="dxa"/>
            <w:noWrap w:val="0"/>
            <w:vAlign w:val="center"/>
          </w:tcPr>
          <w:p w14:paraId="20C66EC8">
            <w:pPr>
              <w:jc w:val="left"/>
              <w:rPr>
                <w:rFonts w:hint="eastAsia"/>
                <w:highlight w:val="none"/>
                <w:vertAlign w:val="baseline"/>
              </w:rPr>
            </w:pPr>
            <w:r>
              <w:rPr>
                <w:rFonts w:hint="eastAsia"/>
                <w:highlight w:val="none"/>
                <w:vertAlign w:val="baseline"/>
              </w:rPr>
              <w:t>1.主体：加厚铜质；</w:t>
            </w:r>
          </w:p>
          <w:p w14:paraId="26F73C02">
            <w:pPr>
              <w:jc w:val="left"/>
              <w:rPr>
                <w:rFonts w:hint="eastAsia"/>
                <w:highlight w:val="none"/>
                <w:vertAlign w:val="baseline"/>
              </w:rPr>
            </w:pPr>
            <w:r>
              <w:rPr>
                <w:rFonts w:hint="eastAsia"/>
                <w:highlight w:val="none"/>
                <w:vertAlign w:val="baseline"/>
              </w:rPr>
              <w:t>2.涂层：高亮度环氧树脂涂层，耐腐蚀、耐热，防紫外线辐射；</w:t>
            </w:r>
          </w:p>
          <w:p w14:paraId="1225F3E4">
            <w:pPr>
              <w:jc w:val="left"/>
              <w:rPr>
                <w:rFonts w:hint="eastAsia"/>
                <w:highlight w:val="none"/>
                <w:vertAlign w:val="baseline"/>
              </w:rPr>
            </w:pPr>
            <w:r>
              <w:rPr>
                <w:rFonts w:hint="eastAsia"/>
                <w:highlight w:val="none"/>
                <w:vertAlign w:val="baseline"/>
              </w:rPr>
              <w:t>3.陶瓷阀芯90°旋转，使用寿命开关50万次，静态最大耐压20帕；</w:t>
            </w:r>
          </w:p>
          <w:p w14:paraId="22848D34">
            <w:pPr>
              <w:jc w:val="left"/>
              <w:rPr>
                <w:rFonts w:hint="eastAsia"/>
                <w:highlight w:val="none"/>
                <w:vertAlign w:val="baseline"/>
              </w:rPr>
            </w:pPr>
            <w:r>
              <w:rPr>
                <w:rFonts w:hint="eastAsia"/>
                <w:highlight w:val="none"/>
                <w:vertAlign w:val="baseline"/>
              </w:rPr>
              <w:t>4.经久耐用，不会出现渗水、断裂现象；</w:t>
            </w:r>
          </w:p>
          <w:p w14:paraId="5E43F50E">
            <w:pPr>
              <w:jc w:val="left"/>
              <w:rPr>
                <w:rFonts w:hint="eastAsia"/>
                <w:highlight w:val="none"/>
                <w:vertAlign w:val="baseline"/>
              </w:rPr>
            </w:pPr>
            <w:r>
              <w:rPr>
                <w:rFonts w:hint="eastAsia"/>
                <w:highlight w:val="none"/>
                <w:vertAlign w:val="baseline"/>
              </w:rPr>
              <w:t>5.鹅颈管可360°旋转；</w:t>
            </w:r>
          </w:p>
          <w:p w14:paraId="0FEEB829">
            <w:pPr>
              <w:jc w:val="left"/>
              <w:rPr>
                <w:rFonts w:hint="eastAsia"/>
                <w:highlight w:val="none"/>
                <w:vertAlign w:val="baseline"/>
              </w:rPr>
            </w:pPr>
            <w:r>
              <w:rPr>
                <w:rFonts w:hint="eastAsia"/>
                <w:highlight w:val="none"/>
                <w:vertAlign w:val="baseline"/>
              </w:rPr>
              <w:t>6.开关旋钮：高密度PP，人体工学设计，手感舒适。</w:t>
            </w:r>
          </w:p>
        </w:tc>
        <w:tc>
          <w:tcPr>
            <w:tcW w:w="736" w:type="dxa"/>
            <w:noWrap w:val="0"/>
            <w:vAlign w:val="center"/>
          </w:tcPr>
          <w:p w14:paraId="54DEC7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48066C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6279128C">
            <w:pPr>
              <w:jc w:val="center"/>
              <w:rPr>
                <w:highlight w:val="none"/>
              </w:rPr>
            </w:pPr>
            <w:r>
              <w:rPr>
                <w:highlight w:val="none"/>
              </w:rPr>
              <w:drawing>
                <wp:inline distT="0" distB="0" distL="114300" distR="114300">
                  <wp:extent cx="606425" cy="796925"/>
                  <wp:effectExtent l="0" t="0" r="3175" b="3175"/>
                  <wp:docPr id="62" name="图片 51" descr="6c8cafc84e74aae88a39e97dc7de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descr="6c8cafc84e74aae88a39e97dc7debaa"/>
                          <pic:cNvPicPr>
                            <a:picLocks noChangeAspect="1"/>
                          </pic:cNvPicPr>
                        </pic:nvPicPr>
                        <pic:blipFill>
                          <a:blip r:embed="rId40"/>
                          <a:stretch>
                            <a:fillRect/>
                          </a:stretch>
                        </pic:blipFill>
                        <pic:spPr>
                          <a:xfrm>
                            <a:off x="0" y="0"/>
                            <a:ext cx="606425" cy="796925"/>
                          </a:xfrm>
                          <a:prstGeom prst="rect">
                            <a:avLst/>
                          </a:prstGeom>
                          <a:noFill/>
                          <a:ln>
                            <a:noFill/>
                          </a:ln>
                        </pic:spPr>
                      </pic:pic>
                    </a:graphicData>
                  </a:graphic>
                </wp:inline>
              </w:drawing>
            </w:r>
          </w:p>
        </w:tc>
        <w:tc>
          <w:tcPr>
            <w:tcW w:w="710" w:type="dxa"/>
            <w:gridSpan w:val="2"/>
            <w:noWrap w:val="0"/>
            <w:vAlign w:val="center"/>
          </w:tcPr>
          <w:p w14:paraId="2F968EEA">
            <w:pPr>
              <w:jc w:val="both"/>
              <w:rPr>
                <w:highlight w:val="none"/>
                <w:vertAlign w:val="baseline"/>
              </w:rPr>
            </w:pPr>
          </w:p>
        </w:tc>
      </w:tr>
      <w:tr w14:paraId="48D8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D59B9A">
            <w:pPr>
              <w:jc w:val="center"/>
              <w:rPr>
                <w:rFonts w:hint="default"/>
                <w:highlight w:val="none"/>
                <w:vertAlign w:val="baseline"/>
                <w:lang w:val="en-US" w:eastAsia="zh-CN"/>
              </w:rPr>
            </w:pPr>
            <w:r>
              <w:rPr>
                <w:rFonts w:hint="eastAsia"/>
                <w:highlight w:val="none"/>
                <w:vertAlign w:val="baseline"/>
                <w:lang w:val="en-US" w:eastAsia="zh-CN"/>
              </w:rPr>
              <w:t>9</w:t>
            </w:r>
          </w:p>
        </w:tc>
        <w:tc>
          <w:tcPr>
            <w:tcW w:w="1690" w:type="dxa"/>
            <w:noWrap w:val="0"/>
            <w:vAlign w:val="center"/>
          </w:tcPr>
          <w:p w14:paraId="574E3E01">
            <w:pPr>
              <w:jc w:val="center"/>
              <w:rPr>
                <w:rFonts w:hint="eastAsia"/>
                <w:highlight w:val="none"/>
                <w:vertAlign w:val="baseline"/>
              </w:rPr>
            </w:pPr>
            <w:r>
              <w:rPr>
                <w:rFonts w:hint="eastAsia"/>
                <w:highlight w:val="none"/>
                <w:vertAlign w:val="baseline"/>
              </w:rPr>
              <w:t>教师电源</w:t>
            </w:r>
          </w:p>
        </w:tc>
        <w:tc>
          <w:tcPr>
            <w:tcW w:w="5928" w:type="dxa"/>
            <w:noWrap w:val="0"/>
            <w:vAlign w:val="center"/>
          </w:tcPr>
          <w:p w14:paraId="0490B299">
            <w:pPr>
              <w:jc w:val="left"/>
              <w:rPr>
                <w:rFonts w:hint="eastAsia"/>
                <w:highlight w:val="none"/>
                <w:vertAlign w:val="baseline"/>
              </w:rPr>
            </w:pPr>
            <w:r>
              <w:rPr>
                <w:rFonts w:hint="eastAsia"/>
                <w:highlight w:val="none"/>
                <w:vertAlign w:val="baseline"/>
              </w:rPr>
              <w:t>教师控制台控制区采用7寸触摸屏操作方式。</w:t>
            </w:r>
          </w:p>
          <w:p w14:paraId="0B6F176A">
            <w:pPr>
              <w:jc w:val="left"/>
              <w:rPr>
                <w:rFonts w:hint="eastAsia"/>
                <w:highlight w:val="none"/>
                <w:vertAlign w:val="baseline"/>
              </w:rPr>
            </w:pPr>
            <w:r>
              <w:rPr>
                <w:rFonts w:hint="eastAsia"/>
                <w:highlight w:val="none"/>
                <w:vertAlign w:val="baseline"/>
              </w:rPr>
              <w:t xml:space="preserve">1、采用火线，零线双组开管的漏电保护器，电流63A。                                              </w:t>
            </w:r>
          </w:p>
          <w:p w14:paraId="6FF79548">
            <w:pPr>
              <w:jc w:val="left"/>
              <w:rPr>
                <w:rFonts w:hint="eastAsia"/>
                <w:highlight w:val="none"/>
                <w:vertAlign w:val="baseline"/>
              </w:rPr>
            </w:pPr>
            <w:r>
              <w:rPr>
                <w:rFonts w:hint="eastAsia"/>
                <w:highlight w:val="none"/>
                <w:vertAlign w:val="baseline"/>
              </w:rPr>
              <w:t>2、采用密码开机管理。具有年月日，时分秒，定时自动动关机功能。</w:t>
            </w:r>
          </w:p>
          <w:p w14:paraId="0A2C56A5">
            <w:pPr>
              <w:jc w:val="left"/>
              <w:rPr>
                <w:rFonts w:hint="eastAsia"/>
                <w:highlight w:val="none"/>
                <w:vertAlign w:val="baseline"/>
              </w:rPr>
            </w:pPr>
            <w:r>
              <w:rPr>
                <w:rFonts w:hint="eastAsia"/>
                <w:highlight w:val="none"/>
                <w:vertAlign w:val="baseline"/>
              </w:rPr>
              <w:t xml:space="preserve">3、定时关机时间可以教师据任务要求按需设设定。                                </w:t>
            </w:r>
          </w:p>
          <w:p w14:paraId="77146B72">
            <w:pPr>
              <w:jc w:val="left"/>
              <w:rPr>
                <w:rFonts w:hint="eastAsia"/>
                <w:highlight w:val="none"/>
                <w:vertAlign w:val="baseline"/>
              </w:rPr>
            </w:pPr>
            <w:r>
              <w:rPr>
                <w:rFonts w:hint="eastAsia"/>
                <w:highlight w:val="none"/>
                <w:vertAlign w:val="baseline"/>
              </w:rPr>
              <w:t>4、2组国标5孔220V输出插座。</w:t>
            </w:r>
          </w:p>
          <w:p w14:paraId="522056B4">
            <w:pPr>
              <w:jc w:val="left"/>
              <w:rPr>
                <w:rFonts w:hint="eastAsia"/>
                <w:highlight w:val="none"/>
                <w:vertAlign w:val="baseline"/>
              </w:rPr>
            </w:pPr>
            <w:r>
              <w:rPr>
                <w:rFonts w:hint="eastAsia"/>
                <w:highlight w:val="none"/>
                <w:vertAlign w:val="baseline"/>
              </w:rPr>
              <w:t>5、分4组向学生实验桌输出安全的220V交流电源，具备漏电及过载保护功能。</w:t>
            </w:r>
          </w:p>
          <w:p w14:paraId="32DE0705">
            <w:pPr>
              <w:jc w:val="left"/>
              <w:rPr>
                <w:rFonts w:hint="eastAsia"/>
                <w:highlight w:val="none"/>
                <w:vertAlign w:val="baseline"/>
              </w:rPr>
            </w:pPr>
            <w:r>
              <w:rPr>
                <w:rFonts w:hint="eastAsia"/>
                <w:highlight w:val="none"/>
                <w:vertAlign w:val="baseline"/>
              </w:rPr>
              <w:t xml:space="preserve">6、教师可远程控制和锁定学生电源的低压交、直流电压。控制交流0V - 30V，分辨率为1V；直流0V - 30.0V，分辨率为0.1V。分4组控制。                                              </w:t>
            </w:r>
          </w:p>
          <w:p w14:paraId="68DD417D">
            <w:pPr>
              <w:jc w:val="left"/>
              <w:rPr>
                <w:rFonts w:hint="eastAsia"/>
                <w:highlight w:val="none"/>
                <w:vertAlign w:val="baseline"/>
              </w:rPr>
            </w:pPr>
            <w:r>
              <w:rPr>
                <w:rFonts w:hint="eastAsia"/>
                <w:highlight w:val="none"/>
                <w:vertAlign w:val="baseline"/>
              </w:rPr>
              <w:t xml:space="preserve">7、教师自用低压交流电源电压为0V-18V/3A、19V-30V2A，分辩率为1V。具备自动过载保护功能。                  </w:t>
            </w:r>
          </w:p>
          <w:p w14:paraId="75C2D49E">
            <w:pPr>
              <w:jc w:val="left"/>
              <w:rPr>
                <w:rFonts w:hint="eastAsia"/>
                <w:highlight w:val="none"/>
                <w:vertAlign w:val="baseline"/>
              </w:rPr>
            </w:pPr>
            <w:r>
              <w:rPr>
                <w:rFonts w:hint="eastAsia"/>
                <w:highlight w:val="none"/>
                <w:vertAlign w:val="baseline"/>
              </w:rPr>
              <w:t>8、教师自用低压直流电源电压为0V-18.0V/2A、18.1V-30.0V/1.5A，分辩率为0.1V。具备自动过载保护功能。</w:t>
            </w:r>
          </w:p>
          <w:p w14:paraId="4516E772">
            <w:pPr>
              <w:jc w:val="left"/>
              <w:rPr>
                <w:rFonts w:hint="eastAsia"/>
                <w:highlight w:val="none"/>
                <w:vertAlign w:val="baseline"/>
              </w:rPr>
            </w:pPr>
            <w:r>
              <w:rPr>
                <w:rFonts w:hint="eastAsia"/>
                <w:highlight w:val="none"/>
                <w:vertAlign w:val="baseline"/>
              </w:rPr>
              <w:t xml:space="preserve">9、大电流短时输出。8秒自动关断。                                                           </w:t>
            </w:r>
          </w:p>
          <w:p w14:paraId="7420BF43">
            <w:pPr>
              <w:jc w:val="left"/>
              <w:rPr>
                <w:rFonts w:hint="eastAsia"/>
                <w:highlight w:val="none"/>
                <w:vertAlign w:val="baseline"/>
              </w:rPr>
            </w:pPr>
            <w:r>
              <w:rPr>
                <w:rFonts w:hint="eastAsia"/>
                <w:highlight w:val="none"/>
                <w:vertAlign w:val="baseline"/>
              </w:rPr>
              <w:t>10、直流高压：输出240V或300V的高压，输出电流为100mA,具备过载保护功能。</w:t>
            </w:r>
          </w:p>
        </w:tc>
        <w:tc>
          <w:tcPr>
            <w:tcW w:w="736" w:type="dxa"/>
            <w:noWrap w:val="0"/>
            <w:vAlign w:val="center"/>
          </w:tcPr>
          <w:p w14:paraId="704832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834" w:type="dxa"/>
            <w:noWrap w:val="0"/>
            <w:vAlign w:val="center"/>
          </w:tcPr>
          <w:p w14:paraId="18A07C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6E300260">
            <w:pPr>
              <w:jc w:val="center"/>
              <w:rPr>
                <w:highlight w:val="none"/>
              </w:rPr>
            </w:pPr>
            <w:r>
              <w:rPr>
                <w:highlight w:val="none"/>
              </w:rPr>
              <w:drawing>
                <wp:inline distT="0" distB="0" distL="114300" distR="114300">
                  <wp:extent cx="1861820" cy="1196975"/>
                  <wp:effectExtent l="0" t="0" r="5080" b="9525"/>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pic:cNvPicPr>
                            <a:picLocks noChangeAspect="1"/>
                          </pic:cNvPicPr>
                        </pic:nvPicPr>
                        <pic:blipFill>
                          <a:blip r:embed="rId42"/>
                          <a:stretch>
                            <a:fillRect/>
                          </a:stretch>
                        </pic:blipFill>
                        <pic:spPr>
                          <a:xfrm>
                            <a:off x="0" y="0"/>
                            <a:ext cx="1861820" cy="1196975"/>
                          </a:xfrm>
                          <a:prstGeom prst="rect">
                            <a:avLst/>
                          </a:prstGeom>
                          <a:noFill/>
                          <a:ln>
                            <a:noFill/>
                          </a:ln>
                        </pic:spPr>
                      </pic:pic>
                    </a:graphicData>
                  </a:graphic>
                </wp:inline>
              </w:drawing>
            </w:r>
          </w:p>
        </w:tc>
        <w:tc>
          <w:tcPr>
            <w:tcW w:w="710" w:type="dxa"/>
            <w:gridSpan w:val="2"/>
            <w:noWrap w:val="0"/>
            <w:vAlign w:val="center"/>
          </w:tcPr>
          <w:p w14:paraId="5FACE16D">
            <w:pPr>
              <w:jc w:val="both"/>
              <w:rPr>
                <w:highlight w:val="none"/>
                <w:vertAlign w:val="baseline"/>
              </w:rPr>
            </w:pPr>
          </w:p>
        </w:tc>
      </w:tr>
      <w:tr w14:paraId="2513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A5621C">
            <w:pPr>
              <w:jc w:val="center"/>
              <w:rPr>
                <w:rFonts w:hint="default"/>
                <w:highlight w:val="none"/>
                <w:vertAlign w:val="baseline"/>
                <w:lang w:val="en-US" w:eastAsia="zh-CN"/>
              </w:rPr>
            </w:pPr>
            <w:r>
              <w:rPr>
                <w:rFonts w:hint="eastAsia"/>
                <w:highlight w:val="none"/>
                <w:vertAlign w:val="baseline"/>
                <w:lang w:val="en-US" w:eastAsia="zh-CN"/>
              </w:rPr>
              <w:t>10</w:t>
            </w:r>
          </w:p>
        </w:tc>
        <w:tc>
          <w:tcPr>
            <w:tcW w:w="1690" w:type="dxa"/>
            <w:noWrap w:val="0"/>
            <w:vAlign w:val="center"/>
          </w:tcPr>
          <w:p w14:paraId="7D100776">
            <w:pPr>
              <w:jc w:val="center"/>
              <w:rPr>
                <w:rFonts w:hint="eastAsia"/>
                <w:highlight w:val="none"/>
                <w:vertAlign w:val="baseline"/>
              </w:rPr>
            </w:pPr>
            <w:r>
              <w:rPr>
                <w:rFonts w:hint="eastAsia"/>
                <w:highlight w:val="none"/>
                <w:vertAlign w:val="baseline"/>
              </w:rPr>
              <w:t>教师椅</w:t>
            </w:r>
          </w:p>
        </w:tc>
        <w:tc>
          <w:tcPr>
            <w:tcW w:w="5928" w:type="dxa"/>
            <w:noWrap w:val="0"/>
            <w:vAlign w:val="center"/>
          </w:tcPr>
          <w:p w14:paraId="03D8766D">
            <w:pPr>
              <w:jc w:val="left"/>
              <w:rPr>
                <w:rFonts w:hint="eastAsia"/>
                <w:highlight w:val="none"/>
                <w:vertAlign w:val="baseline"/>
              </w:rPr>
            </w:pPr>
            <w:r>
              <w:rPr>
                <w:rFonts w:hint="eastAsia"/>
                <w:highlight w:val="none"/>
                <w:vertAlign w:val="baseline"/>
              </w:rPr>
              <w:t>规格：≥590×600×960/1060mm</w:t>
            </w:r>
          </w:p>
          <w:p w14:paraId="27D50637">
            <w:pPr>
              <w:jc w:val="left"/>
              <w:rPr>
                <w:rFonts w:hint="eastAsia"/>
                <w:highlight w:val="none"/>
                <w:vertAlign w:val="baseline"/>
              </w:rPr>
            </w:pPr>
            <w:r>
              <w:rPr>
                <w:rFonts w:hint="eastAsia"/>
                <w:highlight w:val="none"/>
                <w:vertAlign w:val="baseline"/>
              </w:rPr>
              <w:t>1、靠背：采用塑料尼龙框架，依照人体工程学设计，线条流畅，美观大方。面料采用高密度网布格，阻燃、舒适、回弹性好。</w:t>
            </w:r>
          </w:p>
          <w:p w14:paraId="03924915">
            <w:pPr>
              <w:jc w:val="left"/>
              <w:rPr>
                <w:rFonts w:hint="eastAsia"/>
                <w:highlight w:val="none"/>
                <w:vertAlign w:val="baseline"/>
              </w:rPr>
            </w:pPr>
            <w:r>
              <w:rPr>
                <w:rFonts w:hint="eastAsia"/>
                <w:highlight w:val="none"/>
                <w:vertAlign w:val="baseline"/>
              </w:rPr>
              <w:t>2、座包：面料采用高密度网格布。内框架基材采用曲木木材，经蒸、压煮、烘干、杀虫、杀菌处理，具有防腐、防虫、防潮等性能。内部填充物采用高密度阻燃一次成型发泡海绵，表面有防腐和防变形保护膜。</w:t>
            </w:r>
          </w:p>
          <w:p w14:paraId="51DB28B6">
            <w:pPr>
              <w:jc w:val="left"/>
              <w:rPr>
                <w:rFonts w:hint="eastAsia"/>
                <w:highlight w:val="none"/>
                <w:vertAlign w:val="baseline"/>
              </w:rPr>
            </w:pPr>
            <w:r>
              <w:rPr>
                <w:rFonts w:hint="eastAsia"/>
                <w:highlight w:val="none"/>
                <w:vertAlign w:val="baseline"/>
              </w:rPr>
              <w:t>3、扶手：可90°向上翻转，主体采用塑料尼龙框架，软包部分采用高密度阻燃一次成型发泡海绵，表面有防腐和防变形保护膜，外层高密度网格布包裹，可90°向上翻转。</w:t>
            </w:r>
          </w:p>
          <w:p w14:paraId="51CD2357">
            <w:pPr>
              <w:jc w:val="left"/>
              <w:rPr>
                <w:rFonts w:hint="eastAsia"/>
                <w:highlight w:val="none"/>
                <w:vertAlign w:val="baseline"/>
              </w:rPr>
            </w:pPr>
            <w:r>
              <w:rPr>
                <w:rFonts w:hint="eastAsia"/>
                <w:highlight w:val="none"/>
                <w:vertAlign w:val="baseline"/>
              </w:rPr>
              <w:t>4、座包连接托板：蝴蝶型钢制连接托板。</w:t>
            </w:r>
          </w:p>
          <w:p w14:paraId="1B463568">
            <w:pPr>
              <w:jc w:val="left"/>
              <w:rPr>
                <w:rFonts w:hint="eastAsia"/>
                <w:highlight w:val="none"/>
                <w:vertAlign w:val="baseline"/>
              </w:rPr>
            </w:pPr>
            <w:r>
              <w:rPr>
                <w:rFonts w:hint="eastAsia"/>
                <w:highlight w:val="none"/>
                <w:vertAlign w:val="baseline"/>
              </w:rPr>
              <w:t>5、升降杆：气压升降杆，调节行程100mm。</w:t>
            </w:r>
          </w:p>
          <w:p w14:paraId="0D5D85EF">
            <w:pPr>
              <w:jc w:val="left"/>
              <w:rPr>
                <w:rFonts w:hint="eastAsia"/>
                <w:highlight w:val="none"/>
                <w:vertAlign w:val="baseline"/>
              </w:rPr>
            </w:pPr>
            <w:r>
              <w:rPr>
                <w:rFonts w:hint="eastAsia"/>
                <w:highlight w:val="none"/>
                <w:vertAlign w:val="baseline"/>
              </w:rPr>
              <w:t>6、轮脚：优质塑料尼龙、钢材精心制作，滚动声音更细微，柔韧性更好，能做到防滑、减震、防静电。</w:t>
            </w:r>
          </w:p>
        </w:tc>
        <w:tc>
          <w:tcPr>
            <w:tcW w:w="736" w:type="dxa"/>
            <w:noWrap w:val="0"/>
            <w:vAlign w:val="center"/>
          </w:tcPr>
          <w:p w14:paraId="5C646B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6F96D0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6059EE4B">
            <w:pPr>
              <w:jc w:val="center"/>
              <w:rPr>
                <w:highlight w:val="none"/>
              </w:rPr>
            </w:pPr>
            <w:r>
              <w:rPr>
                <w:highlight w:val="none"/>
              </w:rPr>
              <w:drawing>
                <wp:inline distT="0" distB="0" distL="114300" distR="114300">
                  <wp:extent cx="813435" cy="1014095"/>
                  <wp:effectExtent l="0" t="0" r="12065" b="1905"/>
                  <wp:docPr id="64" name="图片 53" descr="老师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descr="老师椅"/>
                          <pic:cNvPicPr>
                            <a:picLocks noChangeAspect="1"/>
                          </pic:cNvPicPr>
                        </pic:nvPicPr>
                        <pic:blipFill>
                          <a:blip r:embed="rId31"/>
                          <a:srcRect l="19278" r="20511"/>
                          <a:stretch>
                            <a:fillRect/>
                          </a:stretch>
                        </pic:blipFill>
                        <pic:spPr>
                          <a:xfrm>
                            <a:off x="0" y="0"/>
                            <a:ext cx="813435" cy="1014095"/>
                          </a:xfrm>
                          <a:prstGeom prst="rect">
                            <a:avLst/>
                          </a:prstGeom>
                          <a:noFill/>
                          <a:ln>
                            <a:noFill/>
                          </a:ln>
                        </pic:spPr>
                      </pic:pic>
                    </a:graphicData>
                  </a:graphic>
                </wp:inline>
              </w:drawing>
            </w:r>
          </w:p>
        </w:tc>
        <w:tc>
          <w:tcPr>
            <w:tcW w:w="710" w:type="dxa"/>
            <w:gridSpan w:val="2"/>
            <w:noWrap w:val="0"/>
            <w:vAlign w:val="center"/>
          </w:tcPr>
          <w:p w14:paraId="7CEEFD31">
            <w:pPr>
              <w:jc w:val="both"/>
              <w:rPr>
                <w:highlight w:val="none"/>
                <w:vertAlign w:val="baseline"/>
              </w:rPr>
            </w:pPr>
          </w:p>
        </w:tc>
      </w:tr>
      <w:tr w14:paraId="6752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4189" w:type="dxa"/>
            <w:gridSpan w:val="9"/>
            <w:noWrap w:val="0"/>
            <w:vAlign w:val="center"/>
          </w:tcPr>
          <w:p w14:paraId="0CF8376F">
            <w:pPr>
              <w:jc w:val="both"/>
              <w:rPr>
                <w:highlight w:val="none"/>
                <w:vertAlign w:val="baseline"/>
              </w:rPr>
            </w:pPr>
            <w:r>
              <w:rPr>
                <w:rFonts w:hint="eastAsia"/>
                <w:b/>
                <w:bCs/>
                <w:sz w:val="30"/>
                <w:szCs w:val="30"/>
                <w:highlight w:val="none"/>
                <w:vertAlign w:val="baseline"/>
              </w:rPr>
              <w:t>二、学生实验学习区</w:t>
            </w:r>
          </w:p>
        </w:tc>
      </w:tr>
      <w:tr w14:paraId="72E2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A52769">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45AA567C">
            <w:pPr>
              <w:jc w:val="center"/>
              <w:rPr>
                <w:rFonts w:hint="eastAsia"/>
                <w:highlight w:val="none"/>
                <w:vertAlign w:val="baseline"/>
              </w:rPr>
            </w:pPr>
            <w:r>
              <w:rPr>
                <w:rFonts w:hint="eastAsia"/>
                <w:highlight w:val="none"/>
                <w:vertAlign w:val="baseline"/>
              </w:rPr>
              <w:t>塑铝学生桌</w:t>
            </w:r>
          </w:p>
        </w:tc>
        <w:tc>
          <w:tcPr>
            <w:tcW w:w="5928" w:type="dxa"/>
            <w:noWrap w:val="0"/>
            <w:vAlign w:val="center"/>
          </w:tcPr>
          <w:p w14:paraId="19FE58CD">
            <w:pPr>
              <w:jc w:val="left"/>
              <w:rPr>
                <w:rFonts w:hint="eastAsia"/>
                <w:highlight w:val="none"/>
                <w:vertAlign w:val="baseline"/>
              </w:rPr>
            </w:pPr>
            <w:r>
              <w:rPr>
                <w:rFonts w:hint="eastAsia"/>
                <w:highlight w:val="none"/>
                <w:vertAlign w:val="baseline"/>
              </w:rPr>
              <w:t xml:space="preserve">规格：≥1200×600×780mm </w:t>
            </w:r>
          </w:p>
          <w:p w14:paraId="7453FB69">
            <w:pPr>
              <w:jc w:val="left"/>
              <w:rPr>
                <w:rFonts w:hint="eastAsia"/>
                <w:highlight w:val="none"/>
                <w:vertAlign w:val="baseline"/>
              </w:rPr>
            </w:pPr>
            <w:r>
              <w:rPr>
                <w:rFonts w:hint="eastAsia"/>
                <w:highlight w:val="none"/>
                <w:vertAlign w:val="baseline"/>
              </w:rPr>
              <w:t>▲采用20mm厚无甲醛新型环保陶瓷台面，台面表面为实验室专业耐腐蚀、耐污染、抗冲击釉面。坯体一体实芯，釉面和坯体经高温一体烧结而成。</w:t>
            </w:r>
          </w:p>
          <w:p w14:paraId="3522DCF0">
            <w:pPr>
              <w:jc w:val="left"/>
              <w:rPr>
                <w:rFonts w:hint="eastAsia"/>
                <w:highlight w:val="none"/>
                <w:vertAlign w:val="baseline"/>
              </w:rPr>
            </w:pPr>
            <w:r>
              <w:rPr>
                <w:rFonts w:hint="eastAsia"/>
                <w:highlight w:val="none"/>
                <w:vertAlign w:val="baseline"/>
              </w:rPr>
              <w:t>1、外观要求：参照T/CIQA10-2020的要求，外观为五面坯体，表面釉面为烧成颜色；坯体敲碎后，无空洞、无直径2mm以上气泡、无杂色，为一体实芯坯体；釉面与坯体之间无脱层，釉面与坯体呈一体结构，釉面为烧成颜色，非坯体颜色。</w:t>
            </w:r>
          </w:p>
          <w:p w14:paraId="31B928DA">
            <w:pPr>
              <w:jc w:val="left"/>
              <w:rPr>
                <w:rFonts w:hint="eastAsia"/>
                <w:highlight w:val="none"/>
                <w:vertAlign w:val="baseline"/>
              </w:rPr>
            </w:pPr>
            <w:r>
              <w:rPr>
                <w:rFonts w:hint="eastAsia"/>
                <w:highlight w:val="none"/>
                <w:vertAlign w:val="baseline"/>
              </w:rPr>
              <w:t>2、耐化学腐蚀性能：为保证台面耐化学腐蚀的稳定性，参照T/CIQA10-2020标准，台面耐化学腐蚀性不低于GLA级。</w:t>
            </w:r>
          </w:p>
          <w:p w14:paraId="2913B8D7">
            <w:pPr>
              <w:jc w:val="left"/>
              <w:rPr>
                <w:rFonts w:hint="eastAsia"/>
                <w:highlight w:val="none"/>
                <w:vertAlign w:val="baseline"/>
              </w:rPr>
            </w:pPr>
            <w:r>
              <w:rPr>
                <w:rFonts w:hint="eastAsia"/>
                <w:highlight w:val="none"/>
                <w:vertAlign w:val="baseline"/>
              </w:rPr>
              <w:t>3、抗冲击性能：为保证台面使用的安全性，参照T/CIQA10-2020标准，台面抗冲击性（恢复系数）不低于0.849。</w:t>
            </w:r>
          </w:p>
          <w:p w14:paraId="724C4F6C">
            <w:pPr>
              <w:jc w:val="left"/>
              <w:rPr>
                <w:rFonts w:hint="eastAsia"/>
                <w:highlight w:val="none"/>
                <w:vertAlign w:val="baseline"/>
              </w:rPr>
            </w:pPr>
            <w:r>
              <w:rPr>
                <w:rFonts w:hint="eastAsia"/>
                <w:highlight w:val="none"/>
                <w:vertAlign w:val="baseline"/>
              </w:rPr>
              <w:t>4、防潮要求：为保证台面防潮、防霉的性能，参照GB/T4100-2015（陶瓷砖）附录G标准，台面吸水率测试平均值≤0.05％。</w:t>
            </w:r>
          </w:p>
          <w:p w14:paraId="408607BE">
            <w:pPr>
              <w:jc w:val="left"/>
              <w:rPr>
                <w:rFonts w:hint="eastAsia"/>
                <w:highlight w:val="none"/>
                <w:vertAlign w:val="baseline"/>
              </w:rPr>
            </w:pPr>
            <w:r>
              <w:rPr>
                <w:rFonts w:hint="eastAsia"/>
                <w:highlight w:val="none"/>
                <w:vertAlign w:val="baseline"/>
              </w:rPr>
              <w:t>5、放射性核素限量要求：参照GB6566-2010《建筑材料放射性核素限量》标准，检测结果：内照射指数≤0.4。</w:t>
            </w:r>
          </w:p>
          <w:p w14:paraId="13F4B990">
            <w:pPr>
              <w:jc w:val="left"/>
              <w:rPr>
                <w:rFonts w:hint="eastAsia"/>
                <w:highlight w:val="none"/>
                <w:vertAlign w:val="baseline"/>
              </w:rPr>
            </w:pPr>
            <w:r>
              <w:rPr>
                <w:rFonts w:hint="eastAsia"/>
                <w:highlight w:val="none"/>
                <w:vertAlign w:val="baseline"/>
              </w:rPr>
              <w:t>6、颜色稳定性：为保证台面的美观度，参照GB/T17657-2022标准,耐光色牢度不低于4级。</w:t>
            </w:r>
          </w:p>
          <w:p w14:paraId="75140157">
            <w:pPr>
              <w:jc w:val="left"/>
              <w:rPr>
                <w:rFonts w:hint="eastAsia"/>
                <w:highlight w:val="none"/>
                <w:vertAlign w:val="baseline"/>
              </w:rPr>
            </w:pPr>
            <w:r>
              <w:rPr>
                <w:rFonts w:hint="eastAsia"/>
                <w:highlight w:val="none"/>
                <w:vertAlign w:val="baseline"/>
              </w:rPr>
              <w:t>备注：为确保产品质量，需提供具有CMA或CNAS标识的检测报告扫描件。</w:t>
            </w:r>
          </w:p>
          <w:p w14:paraId="1A87D34D">
            <w:pPr>
              <w:jc w:val="left"/>
              <w:rPr>
                <w:rFonts w:hint="eastAsia"/>
                <w:highlight w:val="none"/>
                <w:vertAlign w:val="baseline"/>
              </w:rPr>
            </w:pPr>
            <w:r>
              <w:rPr>
                <w:rFonts w:hint="eastAsia"/>
                <w:highlight w:val="none"/>
                <w:vertAlign w:val="baseline"/>
              </w:rPr>
              <w:t>结构：新型塑铝结构，学生位镂空式，符合人体工程学设计，美观大方。</w:t>
            </w:r>
          </w:p>
          <w:p w14:paraId="797534A3">
            <w:pPr>
              <w:jc w:val="left"/>
              <w:rPr>
                <w:rFonts w:hint="eastAsia"/>
                <w:highlight w:val="none"/>
                <w:vertAlign w:val="baseline"/>
              </w:rPr>
            </w:pPr>
            <w:r>
              <w:rPr>
                <w:rFonts w:hint="eastAsia"/>
                <w:highlight w:val="none"/>
                <w:vertAlign w:val="baseline"/>
              </w:rPr>
              <w:t>主框架工字型结构：</w:t>
            </w:r>
          </w:p>
          <w:p w14:paraId="71FE3DE3">
            <w:pPr>
              <w:jc w:val="left"/>
              <w:rPr>
                <w:rFonts w:hint="eastAsia"/>
                <w:highlight w:val="none"/>
                <w:vertAlign w:val="baseline"/>
              </w:rPr>
            </w:pPr>
            <w:r>
              <w:rPr>
                <w:rFonts w:hint="eastAsia"/>
                <w:highlight w:val="none"/>
                <w:vertAlign w:val="baseline"/>
              </w:rPr>
              <w:t>桌身：由桌腿、立柱、前横梁、中横梁、后横梁组成。</w:t>
            </w:r>
          </w:p>
          <w:p w14:paraId="5A7BCADD">
            <w:pPr>
              <w:jc w:val="left"/>
              <w:rPr>
                <w:rFonts w:hint="eastAsia"/>
                <w:highlight w:val="none"/>
                <w:vertAlign w:val="baseline"/>
              </w:rPr>
            </w:pPr>
            <w:r>
              <w:rPr>
                <w:rFonts w:hint="eastAsia"/>
                <w:highlight w:val="none"/>
                <w:vertAlign w:val="baseline"/>
              </w:rPr>
              <w:t>桌腿：采用工字型压铸铝一次成型，材料表面经高压静电喷涂环氧树脂防护层，耐酸碱，耐腐蚀处理。</w:t>
            </w:r>
          </w:p>
          <w:p w14:paraId="1F7DA307">
            <w:pPr>
              <w:jc w:val="left"/>
              <w:rPr>
                <w:rFonts w:hint="eastAsia"/>
                <w:highlight w:val="none"/>
                <w:vertAlign w:val="baseline"/>
              </w:rPr>
            </w:pPr>
            <w:r>
              <w:rPr>
                <w:rFonts w:hint="eastAsia"/>
                <w:highlight w:val="none"/>
                <w:vertAlign w:val="baseline"/>
              </w:rPr>
              <w:t>上腿规格：≥590×50×95mm，壁厚2.5mm。</w:t>
            </w:r>
          </w:p>
          <w:p w14:paraId="41CBFEA1">
            <w:pPr>
              <w:jc w:val="left"/>
              <w:rPr>
                <w:rFonts w:hint="eastAsia"/>
                <w:highlight w:val="none"/>
                <w:vertAlign w:val="baseline"/>
              </w:rPr>
            </w:pPr>
            <w:r>
              <w:rPr>
                <w:rFonts w:hint="eastAsia"/>
                <w:highlight w:val="none"/>
                <w:vertAlign w:val="baseline"/>
              </w:rPr>
              <w:t>下腿规格：≥540×50×95mm，壁厚2.5mm。</w:t>
            </w:r>
          </w:p>
          <w:p w14:paraId="05E5681E">
            <w:pPr>
              <w:jc w:val="left"/>
              <w:rPr>
                <w:rFonts w:hint="eastAsia"/>
                <w:highlight w:val="none"/>
                <w:vertAlign w:val="baseline"/>
              </w:rPr>
            </w:pPr>
            <w:r>
              <w:rPr>
                <w:rFonts w:hint="eastAsia"/>
                <w:highlight w:val="none"/>
                <w:vertAlign w:val="baseline"/>
              </w:rPr>
              <w:t>立柱：≥580×43×110mm，壁厚1.5mm。</w:t>
            </w:r>
          </w:p>
          <w:p w14:paraId="6E2BEBA1">
            <w:pPr>
              <w:jc w:val="left"/>
              <w:rPr>
                <w:rFonts w:hint="eastAsia"/>
                <w:highlight w:val="none"/>
                <w:vertAlign w:val="baseline"/>
              </w:rPr>
            </w:pPr>
            <w:r>
              <w:rPr>
                <w:rFonts w:hint="eastAsia"/>
                <w:highlight w:val="none"/>
                <w:vertAlign w:val="baseline"/>
              </w:rPr>
              <w:t>前横梁：≥1070×40×30mm，壁厚1.0mm。</w:t>
            </w:r>
          </w:p>
          <w:p w14:paraId="511D4868">
            <w:pPr>
              <w:jc w:val="left"/>
              <w:rPr>
                <w:rFonts w:hint="eastAsia"/>
                <w:highlight w:val="none"/>
                <w:vertAlign w:val="baseline"/>
              </w:rPr>
            </w:pPr>
            <w:r>
              <w:rPr>
                <w:rFonts w:hint="eastAsia"/>
                <w:highlight w:val="none"/>
                <w:vertAlign w:val="baseline"/>
              </w:rPr>
              <w:t>中横梁：≥1070×30×25mm，壁厚1.0mm。</w:t>
            </w:r>
          </w:p>
          <w:p w14:paraId="0B77A97D">
            <w:pPr>
              <w:jc w:val="left"/>
              <w:rPr>
                <w:rFonts w:hint="eastAsia"/>
                <w:highlight w:val="none"/>
                <w:vertAlign w:val="baseline"/>
              </w:rPr>
            </w:pPr>
            <w:r>
              <w:rPr>
                <w:rFonts w:hint="eastAsia"/>
                <w:highlight w:val="none"/>
                <w:vertAlign w:val="baseline"/>
              </w:rPr>
              <w:t>后横梁：≥1070×40×85mm，壁厚1.0mm。高出台面≥45mm，可有效防止实验过程中物品的掉落。</w:t>
            </w:r>
          </w:p>
          <w:p w14:paraId="53D80387">
            <w:pPr>
              <w:jc w:val="left"/>
              <w:rPr>
                <w:rFonts w:hint="eastAsia"/>
                <w:highlight w:val="none"/>
                <w:vertAlign w:val="baseline"/>
              </w:rPr>
            </w:pPr>
            <w:r>
              <w:rPr>
                <w:rFonts w:hint="eastAsia"/>
                <w:highlight w:val="none"/>
                <w:vertAlign w:val="baseline"/>
              </w:rPr>
              <w:t>大横梁：≥1090×80×20mm，壁厚1.0mm。</w:t>
            </w:r>
          </w:p>
          <w:p w14:paraId="1F1E21BF">
            <w:pPr>
              <w:jc w:val="left"/>
              <w:rPr>
                <w:rFonts w:hint="eastAsia"/>
                <w:highlight w:val="none"/>
                <w:vertAlign w:val="baseline"/>
              </w:rPr>
            </w:pPr>
            <w:r>
              <w:rPr>
                <w:rFonts w:hint="eastAsia"/>
                <w:highlight w:val="none"/>
                <w:vertAlign w:val="baseline"/>
              </w:rPr>
              <w:t>材料均采用优质铝镁合金材料，材料表面经高压静电喷涂环氧树脂防护层，耐酸碱，耐腐蚀处理。</w:t>
            </w:r>
          </w:p>
          <w:p w14:paraId="6A27F2F9">
            <w:pPr>
              <w:jc w:val="left"/>
              <w:rPr>
                <w:rFonts w:hint="eastAsia"/>
                <w:highlight w:val="none"/>
                <w:vertAlign w:val="baseline"/>
              </w:rPr>
            </w:pPr>
            <w:r>
              <w:rPr>
                <w:rFonts w:hint="eastAsia"/>
                <w:highlight w:val="none"/>
                <w:vertAlign w:val="baseline"/>
              </w:rPr>
              <w:t>书包斗：外规格：≥430×340×160mm，采用PP材料，大型模具一次性注塑成型,上面设计有可悬挂凳子的圆形孔，镂空造型，造型时尚。</w:t>
            </w:r>
          </w:p>
          <w:p w14:paraId="0191A840">
            <w:pPr>
              <w:jc w:val="left"/>
              <w:rPr>
                <w:rFonts w:hint="eastAsia"/>
                <w:highlight w:val="none"/>
                <w:vertAlign w:val="baseline"/>
              </w:rPr>
            </w:pPr>
            <w:r>
              <w:rPr>
                <w:rFonts w:hint="eastAsia"/>
                <w:highlight w:val="none"/>
                <w:vertAlign w:val="baseline"/>
              </w:rPr>
              <w:t>▲塑铝学生桌整体通过GB/T 3325-2017金属家具通用技术条件检测，外观性能要求，安全性能要求，金属喷漆涂层要求，桌类稳定性要求。测试结果符合指标要求。备注：为确保产品质量，需提供具有CMA或CNAS标识的检测报告扫描件。</w:t>
            </w:r>
          </w:p>
          <w:p w14:paraId="40BCEDFE">
            <w:pPr>
              <w:jc w:val="left"/>
              <w:rPr>
                <w:rFonts w:hint="eastAsia"/>
                <w:highlight w:val="none"/>
                <w:vertAlign w:val="baseline"/>
              </w:rPr>
            </w:pPr>
            <w:r>
              <w:rPr>
                <w:rFonts w:hint="eastAsia"/>
                <w:highlight w:val="none"/>
                <w:vertAlign w:val="baseline"/>
              </w:rPr>
              <w:t>▲塑铝学生桌整体通过GB/T 21747-2008 教学实验室设备 实验台（桌）的安全要求及试验方法标准检测，力学性能要求，理化性能要求，甲醛释放量。备注：为确保产品质量，需提供具有CMA或CNAS标识的检测报告扫描件。</w:t>
            </w:r>
          </w:p>
          <w:p w14:paraId="6B71034F">
            <w:pPr>
              <w:jc w:val="left"/>
              <w:rPr>
                <w:rFonts w:hint="eastAsia"/>
                <w:highlight w:val="none"/>
                <w:vertAlign w:val="baseline"/>
              </w:rPr>
            </w:pPr>
            <w:r>
              <w:rPr>
                <w:rFonts w:hint="eastAsia"/>
                <w:highlight w:val="none"/>
                <w:vertAlign w:val="baseline"/>
              </w:rPr>
              <w:t>▲ABS电源盒整体通过GB/T 32487-2016 塑料家具通用技术条件检测，塑料件外观要求，塑料件理化性能，有害物质限量。测试结果符合指标要求。备注：为确保产品质量，需提供具有CMA或CNAS标识的检测报告扫描件。</w:t>
            </w:r>
          </w:p>
          <w:p w14:paraId="70C9B1AA">
            <w:pPr>
              <w:jc w:val="left"/>
              <w:rPr>
                <w:rFonts w:hint="eastAsia"/>
                <w:highlight w:val="none"/>
                <w:vertAlign w:val="baseline"/>
              </w:rPr>
            </w:pPr>
            <w:r>
              <w:rPr>
                <w:rFonts w:hint="eastAsia"/>
                <w:highlight w:val="none"/>
                <w:vertAlign w:val="baseline"/>
              </w:rPr>
              <w:t>▲书包斗整体通过GB/T 32487-2016 塑料家具通用技术条件检测，塑料件外观要求，塑料件理化性能，有害物质限量。测试结果符合指标要求。备注：为确保产品质量，需提供具有CMA或CNAS标识的检测报告扫描件。</w:t>
            </w:r>
          </w:p>
        </w:tc>
        <w:tc>
          <w:tcPr>
            <w:tcW w:w="736" w:type="dxa"/>
            <w:noWrap w:val="0"/>
            <w:vAlign w:val="center"/>
          </w:tcPr>
          <w:p w14:paraId="57B28F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28</w:t>
            </w:r>
          </w:p>
        </w:tc>
        <w:tc>
          <w:tcPr>
            <w:tcW w:w="834" w:type="dxa"/>
            <w:noWrap w:val="0"/>
            <w:vAlign w:val="center"/>
          </w:tcPr>
          <w:p w14:paraId="1FDCA62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2140A1EB">
            <w:pPr>
              <w:jc w:val="center"/>
              <w:rPr>
                <w:highlight w:val="none"/>
              </w:rPr>
            </w:pPr>
            <w:r>
              <w:rPr>
                <w:highlight w:val="none"/>
              </w:rPr>
              <w:drawing>
                <wp:inline distT="0" distB="0" distL="114300" distR="114300">
                  <wp:extent cx="1499235" cy="1186815"/>
                  <wp:effectExtent l="0" t="0" r="12065" b="6985"/>
                  <wp:docPr id="65" name="图片 54" descr="C:/Users/Administrator/AppData/Local/Temp/picturecompress_202204211421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4" descr="C:/Users/Administrator/AppData/Local/Temp/picturecompress_20220421142137/output_1.jpgoutput_1"/>
                          <pic:cNvPicPr>
                            <a:picLocks noChangeAspect="1"/>
                          </pic:cNvPicPr>
                        </pic:nvPicPr>
                        <pic:blipFill>
                          <a:blip r:embed="rId43"/>
                          <a:srcRect l="22823" t="37802" r="30302" b="6773"/>
                          <a:stretch>
                            <a:fillRect/>
                          </a:stretch>
                        </pic:blipFill>
                        <pic:spPr>
                          <a:xfrm>
                            <a:off x="0" y="0"/>
                            <a:ext cx="1499235" cy="1186815"/>
                          </a:xfrm>
                          <a:prstGeom prst="rect">
                            <a:avLst/>
                          </a:prstGeom>
                          <a:noFill/>
                          <a:ln>
                            <a:noFill/>
                          </a:ln>
                        </pic:spPr>
                      </pic:pic>
                    </a:graphicData>
                  </a:graphic>
                </wp:inline>
              </w:drawing>
            </w:r>
          </w:p>
        </w:tc>
        <w:tc>
          <w:tcPr>
            <w:tcW w:w="710" w:type="dxa"/>
            <w:gridSpan w:val="2"/>
            <w:noWrap w:val="0"/>
            <w:vAlign w:val="center"/>
          </w:tcPr>
          <w:p w14:paraId="57716B47">
            <w:pPr>
              <w:jc w:val="both"/>
              <w:rPr>
                <w:highlight w:val="none"/>
                <w:vertAlign w:val="baseline"/>
              </w:rPr>
            </w:pPr>
          </w:p>
        </w:tc>
      </w:tr>
      <w:tr w14:paraId="31B1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DA5688">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3CA9BF70">
            <w:pPr>
              <w:jc w:val="center"/>
              <w:rPr>
                <w:rFonts w:hint="eastAsia"/>
                <w:highlight w:val="none"/>
                <w:vertAlign w:val="baseline"/>
              </w:rPr>
            </w:pPr>
            <w:r>
              <w:rPr>
                <w:rFonts w:hint="eastAsia"/>
                <w:highlight w:val="none"/>
                <w:vertAlign w:val="baseline"/>
              </w:rPr>
              <w:t>柜体箱</w:t>
            </w:r>
          </w:p>
        </w:tc>
        <w:tc>
          <w:tcPr>
            <w:tcW w:w="5928" w:type="dxa"/>
            <w:noWrap w:val="0"/>
            <w:vAlign w:val="center"/>
          </w:tcPr>
          <w:p w14:paraId="0BB6475C">
            <w:pPr>
              <w:jc w:val="left"/>
              <w:rPr>
                <w:rFonts w:hint="eastAsia"/>
                <w:highlight w:val="none"/>
                <w:vertAlign w:val="baseline"/>
              </w:rPr>
            </w:pPr>
            <w:r>
              <w:rPr>
                <w:rFonts w:hint="eastAsia"/>
                <w:highlight w:val="none"/>
                <w:vertAlign w:val="baseline"/>
              </w:rPr>
              <w:t xml:space="preserve">格：≥宽360≥深230×高730mm，采用环保型ABS工程塑料注塑成型。电缆线、通风管等管线均布置于箱体内部，避免管线外露，确保使用的安全。  </w:t>
            </w:r>
          </w:p>
          <w:p w14:paraId="5A2AA123">
            <w:pPr>
              <w:jc w:val="left"/>
              <w:rPr>
                <w:rFonts w:hint="eastAsia"/>
                <w:highlight w:val="none"/>
                <w:vertAlign w:val="baseline"/>
              </w:rPr>
            </w:pPr>
            <w:r>
              <w:rPr>
                <w:rFonts w:hint="eastAsia"/>
                <w:highlight w:val="none"/>
                <w:vertAlign w:val="baseline"/>
              </w:rPr>
              <w:t>▲柜体箱整体通过GB/T 32487-2016 塑料家具通用技术条件检测，塑料件外观要求，塑料件理化性能，有害物质限量。测试结果符合指标要求。备注：为确保产品质量，需提供具有CMA或CNAS标识的检测报告扫描件。</w:t>
            </w:r>
          </w:p>
        </w:tc>
        <w:tc>
          <w:tcPr>
            <w:tcW w:w="736" w:type="dxa"/>
            <w:noWrap w:val="0"/>
            <w:vAlign w:val="center"/>
          </w:tcPr>
          <w:p w14:paraId="00F89B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28</w:t>
            </w:r>
          </w:p>
        </w:tc>
        <w:tc>
          <w:tcPr>
            <w:tcW w:w="834" w:type="dxa"/>
            <w:noWrap w:val="0"/>
            <w:vAlign w:val="center"/>
          </w:tcPr>
          <w:p w14:paraId="4612C5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7AFE965D">
            <w:pPr>
              <w:jc w:val="center"/>
              <w:rPr>
                <w:highlight w:val="none"/>
              </w:rPr>
            </w:pPr>
            <w:r>
              <w:rPr>
                <w:highlight w:val="none"/>
              </w:rPr>
              <w:drawing>
                <wp:inline distT="0" distB="0" distL="114300" distR="114300">
                  <wp:extent cx="692785" cy="1134745"/>
                  <wp:effectExtent l="0" t="0" r="5715" b="8255"/>
                  <wp:docPr id="74" name="图片 55" descr="C:/Users/ADMINI~1/AppData/Local/Temp/picturescale_20200507133714/output_20200507133715.jpgoutput_2020050713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5" descr="C:/Users/ADMINI~1/AppData/Local/Temp/picturescale_20200507133714/output_20200507133715.jpgoutput_20200507133715"/>
                          <pic:cNvPicPr>
                            <a:picLocks noChangeAspect="1"/>
                          </pic:cNvPicPr>
                        </pic:nvPicPr>
                        <pic:blipFill>
                          <a:blip r:embed="rId33"/>
                          <a:srcRect l="32996" t="19778" r="38208" b="10178"/>
                          <a:stretch>
                            <a:fillRect/>
                          </a:stretch>
                        </pic:blipFill>
                        <pic:spPr>
                          <a:xfrm>
                            <a:off x="0" y="0"/>
                            <a:ext cx="692785" cy="1134745"/>
                          </a:xfrm>
                          <a:prstGeom prst="rect">
                            <a:avLst/>
                          </a:prstGeom>
                          <a:noFill/>
                          <a:ln>
                            <a:noFill/>
                          </a:ln>
                        </pic:spPr>
                      </pic:pic>
                    </a:graphicData>
                  </a:graphic>
                </wp:inline>
              </w:drawing>
            </w:r>
          </w:p>
        </w:tc>
        <w:tc>
          <w:tcPr>
            <w:tcW w:w="710" w:type="dxa"/>
            <w:gridSpan w:val="2"/>
            <w:noWrap w:val="0"/>
            <w:vAlign w:val="center"/>
          </w:tcPr>
          <w:p w14:paraId="4AA617D1">
            <w:pPr>
              <w:jc w:val="both"/>
              <w:rPr>
                <w:highlight w:val="none"/>
                <w:vertAlign w:val="baseline"/>
              </w:rPr>
            </w:pPr>
          </w:p>
        </w:tc>
      </w:tr>
      <w:tr w14:paraId="7760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701A51">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1D70F1BD">
            <w:pPr>
              <w:jc w:val="center"/>
              <w:rPr>
                <w:rFonts w:hint="eastAsia"/>
                <w:highlight w:val="none"/>
                <w:vertAlign w:val="baseline"/>
              </w:rPr>
            </w:pPr>
            <w:r>
              <w:rPr>
                <w:rFonts w:hint="eastAsia"/>
                <w:highlight w:val="none"/>
                <w:vertAlign w:val="baseline"/>
              </w:rPr>
              <w:t>学生电源</w:t>
            </w:r>
          </w:p>
        </w:tc>
        <w:tc>
          <w:tcPr>
            <w:tcW w:w="5928" w:type="dxa"/>
            <w:noWrap w:val="0"/>
            <w:vAlign w:val="center"/>
          </w:tcPr>
          <w:p w14:paraId="6789FF13">
            <w:pPr>
              <w:jc w:val="left"/>
              <w:rPr>
                <w:rFonts w:hint="eastAsia"/>
                <w:highlight w:val="none"/>
                <w:vertAlign w:val="baseline"/>
              </w:rPr>
            </w:pPr>
            <w:r>
              <w:rPr>
                <w:rFonts w:hint="eastAsia"/>
                <w:highlight w:val="none"/>
                <w:vertAlign w:val="baseline"/>
              </w:rPr>
              <w:t xml:space="preserve">需采用ABS塑料壳体，开合方便、面板贴膜、文字符号清晰正确。面板上安装五孔插座≥1个，学生用电源设开关机键、多圈电位器、调压旋钮、数显表头。  </w:t>
            </w:r>
          </w:p>
          <w:p w14:paraId="52CD5E0D">
            <w:pPr>
              <w:jc w:val="left"/>
              <w:rPr>
                <w:rFonts w:hint="eastAsia"/>
                <w:highlight w:val="none"/>
                <w:vertAlign w:val="baseline"/>
              </w:rPr>
            </w:pPr>
            <w:r>
              <w:rPr>
                <w:rFonts w:hint="eastAsia"/>
                <w:highlight w:val="none"/>
                <w:vertAlign w:val="baseline"/>
              </w:rPr>
              <w:t>学生用电源参数：</w:t>
            </w:r>
          </w:p>
          <w:p w14:paraId="1E09E2AE">
            <w:pPr>
              <w:jc w:val="left"/>
              <w:rPr>
                <w:rFonts w:hint="eastAsia"/>
                <w:highlight w:val="none"/>
                <w:vertAlign w:val="baseline"/>
              </w:rPr>
            </w:pPr>
            <w:r>
              <w:rPr>
                <w:rFonts w:hint="eastAsia"/>
                <w:highlight w:val="none"/>
                <w:vertAlign w:val="baseline"/>
              </w:rPr>
              <w:t>1.直流稳压输出：1.5V～9V，每0.1V步进调整；</w:t>
            </w:r>
          </w:p>
          <w:p w14:paraId="01F6A359">
            <w:pPr>
              <w:jc w:val="left"/>
              <w:rPr>
                <w:rFonts w:hint="eastAsia"/>
                <w:highlight w:val="none"/>
                <w:vertAlign w:val="baseline"/>
              </w:rPr>
            </w:pPr>
            <w:r>
              <w:rPr>
                <w:rFonts w:hint="eastAsia"/>
                <w:highlight w:val="none"/>
                <w:vertAlign w:val="baseline"/>
              </w:rPr>
              <w:t>2.额定电流：1.5A，满载时纹波电压：≤0.1%U标；</w:t>
            </w:r>
          </w:p>
          <w:p w14:paraId="0DFD13DA">
            <w:pPr>
              <w:jc w:val="left"/>
              <w:rPr>
                <w:rFonts w:hint="eastAsia"/>
                <w:highlight w:val="none"/>
                <w:vertAlign w:val="baseline"/>
              </w:rPr>
            </w:pPr>
            <w:r>
              <w:rPr>
                <w:rFonts w:hint="eastAsia"/>
                <w:highlight w:val="none"/>
                <w:vertAlign w:val="baseline"/>
              </w:rPr>
              <w:t>3.电压显示：2位数显，可显示0.1V；</w:t>
            </w:r>
          </w:p>
          <w:p w14:paraId="11669AE1">
            <w:pPr>
              <w:jc w:val="left"/>
              <w:rPr>
                <w:rFonts w:hint="eastAsia"/>
                <w:highlight w:val="none"/>
                <w:vertAlign w:val="baseline"/>
              </w:rPr>
            </w:pPr>
            <w:r>
              <w:rPr>
                <w:rFonts w:hint="eastAsia"/>
                <w:highlight w:val="none"/>
                <w:vertAlign w:val="baseline"/>
              </w:rPr>
              <w:t>4.过载保护：当输出超过额定电流或短路时能自动延时关断。并能启动不大于额定电流的白炽灯；</w:t>
            </w:r>
          </w:p>
          <w:p w14:paraId="42D8A91C">
            <w:pPr>
              <w:jc w:val="left"/>
              <w:rPr>
                <w:rFonts w:hint="eastAsia"/>
                <w:highlight w:val="none"/>
                <w:vertAlign w:val="baseline"/>
              </w:rPr>
            </w:pPr>
            <w:r>
              <w:rPr>
                <w:rFonts w:hint="eastAsia"/>
                <w:highlight w:val="none"/>
                <w:vertAlign w:val="baseline"/>
              </w:rPr>
              <w:t>5.电源输入：AC110V～240V，50Hz±2.5Hz。</w:t>
            </w:r>
          </w:p>
        </w:tc>
        <w:tc>
          <w:tcPr>
            <w:tcW w:w="736" w:type="dxa"/>
            <w:noWrap w:val="0"/>
            <w:vAlign w:val="center"/>
          </w:tcPr>
          <w:p w14:paraId="027B17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28 </w:t>
            </w:r>
          </w:p>
        </w:tc>
        <w:tc>
          <w:tcPr>
            <w:tcW w:w="834" w:type="dxa"/>
            <w:noWrap w:val="0"/>
            <w:vAlign w:val="center"/>
          </w:tcPr>
          <w:p w14:paraId="31A528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6A1A8ECB">
            <w:pPr>
              <w:jc w:val="center"/>
              <w:rPr>
                <w:highlight w:val="none"/>
              </w:rPr>
            </w:pPr>
            <w:r>
              <w:rPr>
                <w:highlight w:val="none"/>
              </w:rPr>
              <w:drawing>
                <wp:inline distT="0" distB="0" distL="114300" distR="114300">
                  <wp:extent cx="897890" cy="1612900"/>
                  <wp:effectExtent l="0" t="0" r="0" b="3810"/>
                  <wp:docPr id="75" name="图片 56" descr="4e656d0e8443a86e04023e3eb0a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6" descr="4e656d0e8443a86e04023e3eb0a1439"/>
                          <pic:cNvPicPr>
                            <a:picLocks noChangeAspect="1"/>
                          </pic:cNvPicPr>
                        </pic:nvPicPr>
                        <pic:blipFill>
                          <a:blip r:embed="rId44"/>
                          <a:stretch>
                            <a:fillRect/>
                          </a:stretch>
                        </pic:blipFill>
                        <pic:spPr>
                          <a:xfrm rot="5400000">
                            <a:off x="0" y="0"/>
                            <a:ext cx="897890" cy="1612900"/>
                          </a:xfrm>
                          <a:prstGeom prst="rect">
                            <a:avLst/>
                          </a:prstGeom>
                          <a:noFill/>
                          <a:ln>
                            <a:noFill/>
                          </a:ln>
                        </pic:spPr>
                      </pic:pic>
                    </a:graphicData>
                  </a:graphic>
                </wp:inline>
              </w:drawing>
            </w:r>
          </w:p>
        </w:tc>
        <w:tc>
          <w:tcPr>
            <w:tcW w:w="710" w:type="dxa"/>
            <w:gridSpan w:val="2"/>
            <w:noWrap w:val="0"/>
            <w:vAlign w:val="center"/>
          </w:tcPr>
          <w:p w14:paraId="5DC1C4FF">
            <w:pPr>
              <w:jc w:val="both"/>
              <w:rPr>
                <w:highlight w:val="none"/>
                <w:vertAlign w:val="baseline"/>
              </w:rPr>
            </w:pPr>
          </w:p>
        </w:tc>
      </w:tr>
      <w:tr w14:paraId="432D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7BB60FD">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77FC0100">
            <w:pPr>
              <w:jc w:val="center"/>
              <w:rPr>
                <w:rFonts w:hint="eastAsia"/>
                <w:highlight w:val="none"/>
                <w:vertAlign w:val="baseline"/>
              </w:rPr>
            </w:pPr>
            <w:r>
              <w:rPr>
                <w:rFonts w:hint="eastAsia"/>
                <w:highlight w:val="none"/>
                <w:vertAlign w:val="baseline"/>
              </w:rPr>
              <w:t>学生凳</w:t>
            </w:r>
          </w:p>
        </w:tc>
        <w:tc>
          <w:tcPr>
            <w:tcW w:w="5928" w:type="dxa"/>
            <w:noWrap w:val="0"/>
            <w:vAlign w:val="center"/>
          </w:tcPr>
          <w:p w14:paraId="0C6D2FAC">
            <w:pPr>
              <w:jc w:val="left"/>
              <w:rPr>
                <w:rFonts w:hint="eastAsia"/>
                <w:highlight w:val="none"/>
                <w:vertAlign w:val="baseline"/>
              </w:rPr>
            </w:pPr>
            <w:r>
              <w:rPr>
                <w:rFonts w:hint="eastAsia"/>
                <w:highlight w:val="none"/>
                <w:vertAlign w:val="baseline"/>
              </w:rPr>
              <w:t>1、规格：≥320×430～480mm；</w:t>
            </w:r>
          </w:p>
          <w:p w14:paraId="48CD4953">
            <w:pPr>
              <w:jc w:val="left"/>
              <w:rPr>
                <w:rFonts w:hint="eastAsia"/>
                <w:highlight w:val="none"/>
                <w:vertAlign w:val="baseline"/>
              </w:rPr>
            </w:pPr>
            <w:r>
              <w:rPr>
                <w:rFonts w:hint="eastAsia"/>
                <w:highlight w:val="none"/>
                <w:vertAlign w:val="baseline"/>
              </w:rPr>
              <w:t>2、凳面：凳面直径≥320mm，采用环保型PP改性塑料注塑成型；表面细纹咬花,防滑不发光；</w:t>
            </w:r>
          </w:p>
          <w:p w14:paraId="690E83FC">
            <w:pPr>
              <w:jc w:val="left"/>
              <w:rPr>
                <w:rFonts w:hint="eastAsia"/>
                <w:highlight w:val="none"/>
                <w:vertAlign w:val="baseline"/>
              </w:rPr>
            </w:pPr>
            <w:r>
              <w:rPr>
                <w:rFonts w:hint="eastAsia"/>
                <w:highlight w:val="none"/>
                <w:vertAlign w:val="baseline"/>
              </w:rPr>
              <w:t>3、凳脚材质：4个凳脚采用≥20×40×1.2mm椭圆形无缝钢管模具一次成型,全圆满焊完成,结构牢固,经高温粉体烤漆处理,长时间使用也不会产生表面烤漆剥落现象；</w:t>
            </w:r>
          </w:p>
          <w:p w14:paraId="7EF9840E">
            <w:pPr>
              <w:jc w:val="left"/>
              <w:rPr>
                <w:rFonts w:hint="eastAsia"/>
                <w:highlight w:val="none"/>
                <w:vertAlign w:val="baseline"/>
              </w:rPr>
            </w:pPr>
            <w:r>
              <w:rPr>
                <w:rFonts w:hint="eastAsia"/>
                <w:highlight w:val="none"/>
                <w:vertAlign w:val="baseline"/>
              </w:rPr>
              <w:t>4、凳脚弧度：凳脚需带有弧度,整体美观大方；</w:t>
            </w:r>
          </w:p>
          <w:p w14:paraId="184DCAF5">
            <w:pPr>
              <w:jc w:val="left"/>
              <w:rPr>
                <w:rFonts w:hint="eastAsia"/>
                <w:highlight w:val="none"/>
                <w:vertAlign w:val="baseline"/>
              </w:rPr>
            </w:pPr>
            <w:r>
              <w:rPr>
                <w:rFonts w:hint="eastAsia"/>
                <w:highlight w:val="none"/>
                <w:vertAlign w:val="baseline"/>
              </w:rPr>
              <w:t>5、方形托盘厚度2mm边长160×160mm，以保证凳面稳固性；</w:t>
            </w:r>
          </w:p>
          <w:p w14:paraId="1DA2DB2C">
            <w:pPr>
              <w:jc w:val="left"/>
              <w:rPr>
                <w:rFonts w:hint="eastAsia"/>
                <w:highlight w:val="none"/>
                <w:vertAlign w:val="baseline"/>
              </w:rPr>
            </w:pPr>
            <w:r>
              <w:rPr>
                <w:rFonts w:hint="eastAsia"/>
                <w:highlight w:val="none"/>
                <w:vertAlign w:val="baseline"/>
              </w:rPr>
              <w:t>6、脚垫：采用PP加耐磨纤维质塑料,实心倒勾式一体注塑成型；</w:t>
            </w:r>
          </w:p>
          <w:p w14:paraId="57CA7744">
            <w:pPr>
              <w:jc w:val="left"/>
              <w:rPr>
                <w:rFonts w:hint="eastAsia"/>
                <w:highlight w:val="none"/>
                <w:vertAlign w:val="baseline"/>
              </w:rPr>
            </w:pPr>
            <w:r>
              <w:rPr>
                <w:rFonts w:hint="eastAsia"/>
                <w:highlight w:val="none"/>
                <w:vertAlign w:val="baseline"/>
              </w:rPr>
              <w:t>7、凳子可螺旋升降,升降到一定高度后要有固定不旋转装置并且升到最高时凳面不可脱落。</w:t>
            </w:r>
          </w:p>
          <w:p w14:paraId="558DEBA3">
            <w:pPr>
              <w:jc w:val="left"/>
              <w:rPr>
                <w:rFonts w:hint="eastAsia"/>
                <w:highlight w:val="none"/>
                <w:vertAlign w:val="baseline"/>
              </w:rPr>
            </w:pPr>
            <w:r>
              <w:rPr>
                <w:rFonts w:hint="eastAsia"/>
                <w:highlight w:val="none"/>
                <w:vertAlign w:val="baseline"/>
              </w:rPr>
              <w:t>▲学生凳整体通过GB/T 3325-2017金属家具通用技术条件检测，外观要求，结构安全，金属喷漆涂层，椅凳类强度和耐久度。测试结果符合指标要求。备注：为确保产品质量，需提供具有CMA或CNAS标识的检测报告扫描件。</w:t>
            </w:r>
          </w:p>
        </w:tc>
        <w:tc>
          <w:tcPr>
            <w:tcW w:w="736" w:type="dxa"/>
            <w:noWrap w:val="0"/>
            <w:vAlign w:val="center"/>
          </w:tcPr>
          <w:p w14:paraId="7B5BFE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56</w:t>
            </w:r>
          </w:p>
        </w:tc>
        <w:tc>
          <w:tcPr>
            <w:tcW w:w="834" w:type="dxa"/>
            <w:noWrap w:val="0"/>
            <w:vAlign w:val="center"/>
          </w:tcPr>
          <w:p w14:paraId="09A373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090B74D9">
            <w:pPr>
              <w:jc w:val="center"/>
              <w:rPr>
                <w:highlight w:val="none"/>
              </w:rPr>
            </w:pPr>
            <w:r>
              <w:rPr>
                <w:highlight w:val="none"/>
              </w:rPr>
              <w:drawing>
                <wp:inline distT="0" distB="0" distL="114300" distR="114300">
                  <wp:extent cx="1558925" cy="2092960"/>
                  <wp:effectExtent l="0" t="0" r="3175" b="2540"/>
                  <wp:docPr id="76" name="图片 57" descr="C:/Users/ADMINI~1/AppData/Local/Temp/picturescale_20200507133838/output_20200507133839.jpgoutput_202005071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descr="C:/Users/ADMINI~1/AppData/Local/Temp/picturescale_20200507133838/output_20200507133839.jpgoutput_20200507133839"/>
                          <pic:cNvPicPr>
                            <a:picLocks noChangeAspect="1"/>
                          </pic:cNvPicPr>
                        </pic:nvPicPr>
                        <pic:blipFill>
                          <a:blip r:embed="rId35"/>
                          <a:srcRect l="34471" t="25737" r="37437" b="17764"/>
                          <a:stretch>
                            <a:fillRect/>
                          </a:stretch>
                        </pic:blipFill>
                        <pic:spPr>
                          <a:xfrm>
                            <a:off x="0" y="0"/>
                            <a:ext cx="1558925" cy="2092960"/>
                          </a:xfrm>
                          <a:prstGeom prst="rect">
                            <a:avLst/>
                          </a:prstGeom>
                          <a:noFill/>
                          <a:ln>
                            <a:noFill/>
                          </a:ln>
                        </pic:spPr>
                      </pic:pic>
                    </a:graphicData>
                  </a:graphic>
                </wp:inline>
              </w:drawing>
            </w:r>
          </w:p>
        </w:tc>
        <w:tc>
          <w:tcPr>
            <w:tcW w:w="710" w:type="dxa"/>
            <w:gridSpan w:val="2"/>
            <w:noWrap w:val="0"/>
            <w:vAlign w:val="center"/>
          </w:tcPr>
          <w:p w14:paraId="4A11F940">
            <w:pPr>
              <w:jc w:val="both"/>
              <w:rPr>
                <w:highlight w:val="none"/>
                <w:vertAlign w:val="baseline"/>
              </w:rPr>
            </w:pPr>
          </w:p>
        </w:tc>
      </w:tr>
      <w:tr w14:paraId="4791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E0FEB6">
            <w:pPr>
              <w:jc w:val="center"/>
              <w:rPr>
                <w:rFonts w:hint="default"/>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19DF18A8">
            <w:pPr>
              <w:jc w:val="center"/>
              <w:rPr>
                <w:rFonts w:hint="eastAsia"/>
                <w:highlight w:val="none"/>
                <w:vertAlign w:val="baseline"/>
              </w:rPr>
            </w:pPr>
            <w:r>
              <w:rPr>
                <w:rFonts w:hint="eastAsia"/>
                <w:highlight w:val="none"/>
                <w:vertAlign w:val="baseline"/>
              </w:rPr>
              <w:t>水槽柜</w:t>
            </w:r>
          </w:p>
        </w:tc>
        <w:tc>
          <w:tcPr>
            <w:tcW w:w="5928" w:type="dxa"/>
            <w:noWrap w:val="0"/>
            <w:vAlign w:val="center"/>
          </w:tcPr>
          <w:p w14:paraId="3035AF35">
            <w:pPr>
              <w:jc w:val="left"/>
              <w:rPr>
                <w:rFonts w:hint="eastAsia"/>
                <w:highlight w:val="none"/>
                <w:vertAlign w:val="baseline"/>
              </w:rPr>
            </w:pPr>
            <w:r>
              <w:rPr>
                <w:rFonts w:hint="eastAsia"/>
                <w:highlight w:val="none"/>
                <w:vertAlign w:val="baseline"/>
              </w:rPr>
              <w:t>规格：≥450*600*810mm/1120mm</w:t>
            </w:r>
          </w:p>
          <w:p w14:paraId="6F463A5B">
            <w:pPr>
              <w:jc w:val="left"/>
              <w:rPr>
                <w:rFonts w:hint="eastAsia"/>
                <w:highlight w:val="none"/>
                <w:vertAlign w:val="baseline"/>
              </w:rPr>
            </w:pPr>
            <w:r>
              <w:rPr>
                <w:rFonts w:hint="eastAsia"/>
                <w:highlight w:val="none"/>
                <w:vertAlign w:val="baseline"/>
              </w:rPr>
              <w:t>1、壁挂式实验室专用水嘴。铜质陶瓷芯阀，表面经环氧树脂喷涂处理，出水嘴拆卸。</w:t>
            </w:r>
          </w:p>
          <w:p w14:paraId="0624EFA1">
            <w:pPr>
              <w:jc w:val="left"/>
              <w:rPr>
                <w:rFonts w:hint="eastAsia"/>
                <w:highlight w:val="none"/>
                <w:vertAlign w:val="baseline"/>
              </w:rPr>
            </w:pPr>
            <w:r>
              <w:rPr>
                <w:rFonts w:hint="eastAsia"/>
                <w:highlight w:val="none"/>
                <w:vertAlign w:val="baseline"/>
              </w:rPr>
              <w:t xml:space="preserve">2、下水系统：采用PP材质专用连接管，配有防虹吸，防阻塞装置。                            </w:t>
            </w:r>
          </w:p>
          <w:p w14:paraId="5B8F5950">
            <w:pPr>
              <w:jc w:val="left"/>
              <w:rPr>
                <w:rFonts w:hint="eastAsia"/>
                <w:highlight w:val="none"/>
                <w:vertAlign w:val="baseline"/>
              </w:rPr>
            </w:pPr>
            <w:r>
              <w:rPr>
                <w:rFonts w:hint="eastAsia"/>
                <w:highlight w:val="none"/>
                <w:vertAlign w:val="baseline"/>
              </w:rPr>
              <w:t>3、结构：榫卯连接结构并合理布局加强筋，加强筋并起到定位作用，使用产品自身力量相互连接，产品不变形，不扭曲。同时水槽柜底部为模具一体成型，加固水槽柜的强度。</w:t>
            </w:r>
          </w:p>
          <w:p w14:paraId="44E73300">
            <w:pPr>
              <w:jc w:val="left"/>
              <w:rPr>
                <w:rFonts w:hint="eastAsia"/>
                <w:highlight w:val="none"/>
                <w:vertAlign w:val="baseline"/>
              </w:rPr>
            </w:pPr>
            <w:r>
              <w:rPr>
                <w:rFonts w:hint="eastAsia"/>
                <w:highlight w:val="none"/>
                <w:vertAlign w:val="baseline"/>
              </w:rPr>
              <w:t>4、水槽柜上部多功能平台，搭配专用水嘴和滴水板，方便学生在实验时放置烧杯、量筒等工具。</w:t>
            </w:r>
          </w:p>
          <w:p w14:paraId="68BB88B3">
            <w:pPr>
              <w:jc w:val="left"/>
              <w:rPr>
                <w:rFonts w:hint="eastAsia"/>
                <w:highlight w:val="none"/>
                <w:vertAlign w:val="baseline"/>
              </w:rPr>
            </w:pPr>
            <w:r>
              <w:rPr>
                <w:rFonts w:hint="eastAsia"/>
                <w:highlight w:val="none"/>
                <w:vertAlign w:val="baseline"/>
              </w:rPr>
              <w:t>5、门板：前部密闭设计，梯形结构搭配装饰条，后门配有可打开式检修门，隐藏式一体扣手，合页采用尼龙塑料铰链，高强度耐磨，防水、永不生锈。</w:t>
            </w:r>
          </w:p>
          <w:p w14:paraId="1ADBE61C">
            <w:pPr>
              <w:jc w:val="left"/>
              <w:rPr>
                <w:rFonts w:hint="eastAsia"/>
                <w:highlight w:val="none"/>
                <w:vertAlign w:val="baseline"/>
              </w:rPr>
            </w:pPr>
            <w:r>
              <w:rPr>
                <w:rFonts w:hint="eastAsia"/>
                <w:highlight w:val="none"/>
                <w:vertAlign w:val="baseline"/>
              </w:rPr>
              <w:t>6、水槽采用生物抗菌型塑料，塑料注塑模一次性成型，耐强酸强碱耐＜80℃有机溶剂并耐150℃以下高温，外型简约美观。具有净化空气作用同时释放一定浓度负氧离子。产品可以去除空气中的甲醛、甲苯等有毒有害物质，改善室内空气质量，确保房间内空气质量达到国家环保检测标准。为了保证产品质量，需要提供生物抗菌型塑料甲醛、甲苯去除率检测报告:</w:t>
            </w:r>
          </w:p>
          <w:p w14:paraId="0246587F">
            <w:pPr>
              <w:jc w:val="left"/>
              <w:rPr>
                <w:rFonts w:hint="eastAsia"/>
                <w:highlight w:val="none"/>
                <w:vertAlign w:val="baseline"/>
              </w:rPr>
            </w:pPr>
            <w:r>
              <w:rPr>
                <w:rFonts w:hint="eastAsia"/>
                <w:highlight w:val="none"/>
                <w:vertAlign w:val="baseline"/>
              </w:rPr>
              <w:t>▲（1）依据QB/T 2761-2006《室内空气净化产品净化效果测定方法》检测：甲醛去除率≥80%；备注：为确保产品质量，需提供具有CMA或CNAS标识的检测报告扫描件。</w:t>
            </w:r>
          </w:p>
          <w:p w14:paraId="36E570B7">
            <w:pPr>
              <w:jc w:val="left"/>
              <w:rPr>
                <w:rFonts w:hint="eastAsia"/>
                <w:highlight w:val="none"/>
                <w:vertAlign w:val="baseline"/>
              </w:rPr>
            </w:pPr>
            <w:r>
              <w:rPr>
                <w:rFonts w:hint="eastAsia"/>
                <w:highlight w:val="none"/>
                <w:vertAlign w:val="baseline"/>
              </w:rPr>
              <w:t>▲（2）依据QB/T 2761-2006《室内空气净化产品净化效果测定方法》检测：甲苯去除率≥25%。备注：为确保产品质量，需提供具有CMA或CNAS标识的检测报告扫描件。</w:t>
            </w:r>
          </w:p>
        </w:tc>
        <w:tc>
          <w:tcPr>
            <w:tcW w:w="736" w:type="dxa"/>
            <w:noWrap w:val="0"/>
            <w:vAlign w:val="center"/>
          </w:tcPr>
          <w:p w14:paraId="2D08CE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14</w:t>
            </w:r>
          </w:p>
        </w:tc>
        <w:tc>
          <w:tcPr>
            <w:tcW w:w="834" w:type="dxa"/>
            <w:noWrap w:val="0"/>
            <w:vAlign w:val="center"/>
          </w:tcPr>
          <w:p w14:paraId="223FF3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03EA8C9B">
            <w:pPr>
              <w:jc w:val="center"/>
              <w:rPr>
                <w:highlight w:val="none"/>
              </w:rPr>
            </w:pPr>
            <w:r>
              <w:rPr>
                <w:highlight w:val="none"/>
              </w:rPr>
              <w:drawing>
                <wp:inline distT="0" distB="0" distL="114300" distR="114300">
                  <wp:extent cx="1143000" cy="1137285"/>
                  <wp:effectExtent l="0" t="0" r="0" b="5715"/>
                  <wp:docPr id="77" name="图片 58" descr="水槽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8" descr="水槽柜2"/>
                          <pic:cNvPicPr>
                            <a:picLocks noChangeAspect="1"/>
                          </pic:cNvPicPr>
                        </pic:nvPicPr>
                        <pic:blipFill>
                          <a:blip r:embed="rId45"/>
                          <a:stretch>
                            <a:fillRect/>
                          </a:stretch>
                        </pic:blipFill>
                        <pic:spPr>
                          <a:xfrm>
                            <a:off x="0" y="0"/>
                            <a:ext cx="1143000" cy="1137285"/>
                          </a:xfrm>
                          <a:prstGeom prst="rect">
                            <a:avLst/>
                          </a:prstGeom>
                          <a:noFill/>
                          <a:ln>
                            <a:noFill/>
                          </a:ln>
                        </pic:spPr>
                      </pic:pic>
                    </a:graphicData>
                  </a:graphic>
                </wp:inline>
              </w:drawing>
            </w:r>
          </w:p>
        </w:tc>
        <w:tc>
          <w:tcPr>
            <w:tcW w:w="710" w:type="dxa"/>
            <w:gridSpan w:val="2"/>
            <w:noWrap w:val="0"/>
            <w:vAlign w:val="center"/>
          </w:tcPr>
          <w:p w14:paraId="739F259E">
            <w:pPr>
              <w:jc w:val="both"/>
              <w:rPr>
                <w:highlight w:val="none"/>
                <w:vertAlign w:val="baseline"/>
              </w:rPr>
            </w:pPr>
          </w:p>
        </w:tc>
      </w:tr>
      <w:tr w14:paraId="5D26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8DF60CA">
            <w:pPr>
              <w:jc w:val="center"/>
              <w:rPr>
                <w:rFonts w:hint="default"/>
                <w:highlight w:val="none"/>
                <w:vertAlign w:val="baseline"/>
                <w:lang w:val="en-US" w:eastAsia="zh-CN"/>
              </w:rPr>
            </w:pPr>
            <w:r>
              <w:rPr>
                <w:rFonts w:hint="eastAsia"/>
                <w:highlight w:val="none"/>
                <w:vertAlign w:val="baseline"/>
                <w:lang w:val="en-US" w:eastAsia="zh-CN"/>
              </w:rPr>
              <w:t>6</w:t>
            </w:r>
          </w:p>
        </w:tc>
        <w:tc>
          <w:tcPr>
            <w:tcW w:w="1690" w:type="dxa"/>
            <w:noWrap w:val="0"/>
            <w:vAlign w:val="center"/>
          </w:tcPr>
          <w:p w14:paraId="67181612">
            <w:pPr>
              <w:jc w:val="center"/>
              <w:rPr>
                <w:rFonts w:hint="eastAsia"/>
                <w:highlight w:val="none"/>
                <w:vertAlign w:val="baseline"/>
              </w:rPr>
            </w:pPr>
            <w:r>
              <w:rPr>
                <w:rFonts w:hint="eastAsia"/>
                <w:highlight w:val="none"/>
                <w:vertAlign w:val="baseline"/>
              </w:rPr>
              <w:t>LED</w:t>
            </w:r>
          </w:p>
        </w:tc>
        <w:tc>
          <w:tcPr>
            <w:tcW w:w="5928" w:type="dxa"/>
            <w:noWrap w:val="0"/>
            <w:vAlign w:val="center"/>
          </w:tcPr>
          <w:p w14:paraId="2CFF9948">
            <w:pPr>
              <w:jc w:val="left"/>
              <w:rPr>
                <w:rFonts w:hint="eastAsia"/>
                <w:highlight w:val="none"/>
                <w:vertAlign w:val="baseline"/>
              </w:rPr>
            </w:pPr>
            <w:r>
              <w:rPr>
                <w:rFonts w:hint="eastAsia"/>
                <w:highlight w:val="none"/>
                <w:vertAlign w:val="baseline"/>
              </w:rPr>
              <w:t>采用内置2835型灯珠LED灯条，整体功率不大于7w，光通量不小于350lm，色温6000k，外壳采用ABS工程塑料注塑成型，光线柔和无频闪；照明角度可调节，调节的支撑脚内置阻不锈钢阻尼转轴，调节次数5000次内阻尼力度没有明显衰减。</w:t>
            </w:r>
          </w:p>
        </w:tc>
        <w:tc>
          <w:tcPr>
            <w:tcW w:w="736" w:type="dxa"/>
            <w:noWrap w:val="0"/>
            <w:vAlign w:val="center"/>
          </w:tcPr>
          <w:p w14:paraId="2B4F66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29</w:t>
            </w:r>
          </w:p>
        </w:tc>
        <w:tc>
          <w:tcPr>
            <w:tcW w:w="834" w:type="dxa"/>
            <w:noWrap w:val="0"/>
            <w:vAlign w:val="center"/>
          </w:tcPr>
          <w:p w14:paraId="76BBEF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512F1706">
            <w:pPr>
              <w:jc w:val="center"/>
              <w:rPr>
                <w:highlight w:val="none"/>
              </w:rPr>
            </w:pPr>
            <w:r>
              <w:rPr>
                <w:highlight w:val="none"/>
              </w:rPr>
              <w:drawing>
                <wp:inline distT="0" distB="0" distL="114300" distR="114300">
                  <wp:extent cx="717550" cy="704850"/>
                  <wp:effectExtent l="0" t="0" r="6350" b="6350"/>
                  <wp:docPr id="31" name="图片 59" descr="7d1efc8b67e262e7f58ad085abc0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9" descr="7d1efc8b67e262e7f58ad085abc0c22"/>
                          <pic:cNvPicPr>
                            <a:picLocks noChangeAspect="1"/>
                          </pic:cNvPicPr>
                        </pic:nvPicPr>
                        <pic:blipFill>
                          <a:blip r:embed="rId51"/>
                          <a:stretch>
                            <a:fillRect/>
                          </a:stretch>
                        </pic:blipFill>
                        <pic:spPr>
                          <a:xfrm>
                            <a:off x="0" y="0"/>
                            <a:ext cx="717550" cy="704850"/>
                          </a:xfrm>
                          <a:prstGeom prst="rect">
                            <a:avLst/>
                          </a:prstGeom>
                          <a:noFill/>
                          <a:ln>
                            <a:noFill/>
                          </a:ln>
                        </pic:spPr>
                      </pic:pic>
                    </a:graphicData>
                  </a:graphic>
                </wp:inline>
              </w:drawing>
            </w:r>
          </w:p>
        </w:tc>
        <w:tc>
          <w:tcPr>
            <w:tcW w:w="710" w:type="dxa"/>
            <w:gridSpan w:val="2"/>
            <w:noWrap w:val="0"/>
            <w:vAlign w:val="center"/>
          </w:tcPr>
          <w:p w14:paraId="4E962839">
            <w:pPr>
              <w:jc w:val="both"/>
              <w:rPr>
                <w:highlight w:val="none"/>
                <w:vertAlign w:val="baseline"/>
              </w:rPr>
            </w:pPr>
          </w:p>
        </w:tc>
      </w:tr>
      <w:tr w14:paraId="070D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189" w:type="dxa"/>
            <w:gridSpan w:val="9"/>
            <w:noWrap w:val="0"/>
            <w:vAlign w:val="center"/>
          </w:tcPr>
          <w:p w14:paraId="1BBEBA54">
            <w:pPr>
              <w:jc w:val="both"/>
              <w:rPr>
                <w:highlight w:val="none"/>
                <w:vertAlign w:val="baseline"/>
              </w:rPr>
            </w:pPr>
          </w:p>
        </w:tc>
      </w:tr>
      <w:tr w14:paraId="2B2C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52C60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1690" w:type="dxa"/>
            <w:noWrap w:val="0"/>
            <w:vAlign w:val="center"/>
          </w:tcPr>
          <w:p w14:paraId="6DB39D6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电源布线耗材</w:t>
            </w:r>
          </w:p>
        </w:tc>
        <w:tc>
          <w:tcPr>
            <w:tcW w:w="5928" w:type="dxa"/>
            <w:noWrap w:val="0"/>
            <w:vAlign w:val="center"/>
          </w:tcPr>
          <w:p w14:paraId="18B61D0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预埋耗材：电源主线采用4mm²优质多芯铜质护套线，电源支线采用2.5mm²、1.5mm²优质多芯铜质护套线；选用Ф25PVC阻燃线管预埋或采用PVC线槽明敷；</w:t>
            </w:r>
          </w:p>
        </w:tc>
        <w:tc>
          <w:tcPr>
            <w:tcW w:w="736" w:type="dxa"/>
            <w:noWrap w:val="0"/>
            <w:vAlign w:val="center"/>
          </w:tcPr>
          <w:p w14:paraId="4F706C3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5C9A5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0A068DBB">
            <w:pPr>
              <w:jc w:val="center"/>
              <w:rPr>
                <w:highlight w:val="none"/>
              </w:rPr>
            </w:pPr>
          </w:p>
        </w:tc>
        <w:tc>
          <w:tcPr>
            <w:tcW w:w="710" w:type="dxa"/>
            <w:gridSpan w:val="2"/>
            <w:noWrap w:val="0"/>
            <w:vAlign w:val="center"/>
          </w:tcPr>
          <w:p w14:paraId="7A39B266">
            <w:pPr>
              <w:jc w:val="both"/>
              <w:rPr>
                <w:highlight w:val="none"/>
                <w:vertAlign w:val="baseline"/>
              </w:rPr>
            </w:pPr>
          </w:p>
        </w:tc>
      </w:tr>
      <w:tr w14:paraId="5FD9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AEFAC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2</w:t>
            </w:r>
          </w:p>
        </w:tc>
        <w:tc>
          <w:tcPr>
            <w:tcW w:w="1690" w:type="dxa"/>
            <w:noWrap w:val="0"/>
            <w:vAlign w:val="center"/>
          </w:tcPr>
          <w:p w14:paraId="5BCBF8C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给/排水管道</w:t>
            </w:r>
          </w:p>
        </w:tc>
        <w:tc>
          <w:tcPr>
            <w:tcW w:w="5928" w:type="dxa"/>
            <w:noWrap w:val="0"/>
            <w:vAlign w:val="center"/>
          </w:tcPr>
          <w:p w14:paraId="4501388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1、给水：进水管为国标Ф25的PPR材质水管；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2、排水：采用Ф50的国标优质UPVC专用排水管；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2、配件：开关阀门，外丝连接件、PVC胶水等。 </w:t>
            </w:r>
          </w:p>
        </w:tc>
        <w:tc>
          <w:tcPr>
            <w:tcW w:w="736" w:type="dxa"/>
            <w:noWrap w:val="0"/>
            <w:vAlign w:val="center"/>
          </w:tcPr>
          <w:p w14:paraId="7ACDF7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79142C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67166F92">
            <w:pPr>
              <w:jc w:val="center"/>
              <w:rPr>
                <w:highlight w:val="none"/>
              </w:rPr>
            </w:pPr>
          </w:p>
        </w:tc>
        <w:tc>
          <w:tcPr>
            <w:tcW w:w="710" w:type="dxa"/>
            <w:gridSpan w:val="2"/>
            <w:noWrap w:val="0"/>
            <w:vAlign w:val="center"/>
          </w:tcPr>
          <w:p w14:paraId="04F391CF">
            <w:pPr>
              <w:jc w:val="both"/>
              <w:rPr>
                <w:highlight w:val="none"/>
                <w:vertAlign w:val="baseline"/>
              </w:rPr>
            </w:pPr>
          </w:p>
        </w:tc>
      </w:tr>
      <w:tr w14:paraId="4232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5D179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3</w:t>
            </w:r>
          </w:p>
        </w:tc>
        <w:tc>
          <w:tcPr>
            <w:tcW w:w="1690" w:type="dxa"/>
            <w:noWrap w:val="0"/>
            <w:vAlign w:val="center"/>
          </w:tcPr>
          <w:p w14:paraId="0826DEF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安装及调试</w:t>
            </w:r>
          </w:p>
        </w:tc>
        <w:tc>
          <w:tcPr>
            <w:tcW w:w="5928" w:type="dxa"/>
            <w:noWrap w:val="0"/>
            <w:vAlign w:val="center"/>
          </w:tcPr>
          <w:p w14:paraId="420CA79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设备安装及调试（含开槽预埋线路）。</w:t>
            </w:r>
          </w:p>
        </w:tc>
        <w:tc>
          <w:tcPr>
            <w:tcW w:w="736" w:type="dxa"/>
            <w:noWrap w:val="0"/>
            <w:vAlign w:val="center"/>
          </w:tcPr>
          <w:p w14:paraId="65D002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68CC95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0AD1BC56">
            <w:pPr>
              <w:jc w:val="center"/>
              <w:rPr>
                <w:highlight w:val="none"/>
              </w:rPr>
            </w:pPr>
          </w:p>
        </w:tc>
        <w:tc>
          <w:tcPr>
            <w:tcW w:w="710" w:type="dxa"/>
            <w:gridSpan w:val="2"/>
            <w:noWrap w:val="0"/>
            <w:vAlign w:val="center"/>
          </w:tcPr>
          <w:p w14:paraId="4F76B1B5">
            <w:pPr>
              <w:jc w:val="both"/>
              <w:rPr>
                <w:highlight w:val="none"/>
                <w:vertAlign w:val="baseline"/>
              </w:rPr>
            </w:pPr>
          </w:p>
        </w:tc>
      </w:tr>
      <w:tr w14:paraId="41CD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4189" w:type="dxa"/>
            <w:gridSpan w:val="9"/>
            <w:noWrap w:val="0"/>
            <w:vAlign w:val="center"/>
          </w:tcPr>
          <w:p w14:paraId="4DA3D130">
            <w:pPr>
              <w:jc w:val="center"/>
              <w:rPr>
                <w:highlight w:val="none"/>
                <w:vertAlign w:val="baseline"/>
              </w:rPr>
            </w:pPr>
            <w:r>
              <w:rPr>
                <w:rFonts w:hint="eastAsia"/>
                <w:b/>
                <w:bCs/>
                <w:sz w:val="36"/>
                <w:szCs w:val="36"/>
                <w:highlight w:val="none"/>
                <w:vertAlign w:val="baseline"/>
              </w:rPr>
              <w:t>生物准备室</w:t>
            </w:r>
          </w:p>
        </w:tc>
      </w:tr>
      <w:tr w14:paraId="4C88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95" w:type="dxa"/>
            <w:noWrap w:val="0"/>
            <w:vAlign w:val="center"/>
          </w:tcPr>
          <w:p w14:paraId="5AC5AFD8">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75A284E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78CC81A0">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2B3B9A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4F7D1D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7218498A">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1A64CD7A">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2EE4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189" w:type="dxa"/>
            <w:gridSpan w:val="9"/>
            <w:noWrap w:val="0"/>
            <w:vAlign w:val="center"/>
          </w:tcPr>
          <w:p w14:paraId="14CE576B">
            <w:pPr>
              <w:jc w:val="both"/>
              <w:rPr>
                <w:highlight w:val="none"/>
                <w:vertAlign w:val="baseline"/>
              </w:rPr>
            </w:pPr>
            <w:r>
              <w:rPr>
                <w:rFonts w:hint="eastAsia"/>
                <w:b/>
                <w:bCs/>
                <w:sz w:val="30"/>
                <w:szCs w:val="30"/>
                <w:highlight w:val="none"/>
                <w:vertAlign w:val="baseline"/>
              </w:rPr>
              <w:t>一、准备室设备</w:t>
            </w:r>
          </w:p>
        </w:tc>
      </w:tr>
      <w:tr w14:paraId="1ACA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228B45">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6931C7B0">
            <w:pPr>
              <w:jc w:val="center"/>
              <w:rPr>
                <w:rFonts w:hint="eastAsia"/>
                <w:highlight w:val="none"/>
                <w:vertAlign w:val="baseline"/>
              </w:rPr>
            </w:pPr>
            <w:r>
              <w:rPr>
                <w:rFonts w:hint="eastAsia"/>
                <w:highlight w:val="none"/>
                <w:vertAlign w:val="baseline"/>
              </w:rPr>
              <w:t>准备台</w:t>
            </w:r>
          </w:p>
        </w:tc>
        <w:tc>
          <w:tcPr>
            <w:tcW w:w="5928" w:type="dxa"/>
            <w:noWrap w:val="0"/>
            <w:vAlign w:val="center"/>
          </w:tcPr>
          <w:p w14:paraId="37A6CAEB">
            <w:pPr>
              <w:jc w:val="left"/>
              <w:rPr>
                <w:rFonts w:hint="eastAsia"/>
                <w:highlight w:val="none"/>
                <w:vertAlign w:val="baseline"/>
              </w:rPr>
            </w:pPr>
            <w:r>
              <w:rPr>
                <w:rFonts w:hint="eastAsia"/>
                <w:highlight w:val="none"/>
                <w:vertAlign w:val="baseline"/>
              </w:rPr>
              <w:t xml:space="preserve">规格：≥2400×1200×780mm                                                              </w:t>
            </w:r>
          </w:p>
          <w:p w14:paraId="27A40999">
            <w:pPr>
              <w:jc w:val="left"/>
              <w:rPr>
                <w:rFonts w:hint="eastAsia"/>
                <w:highlight w:val="none"/>
                <w:vertAlign w:val="baseline"/>
              </w:rPr>
            </w:pPr>
            <w:r>
              <w:rPr>
                <w:rFonts w:hint="eastAsia"/>
                <w:highlight w:val="none"/>
                <w:vertAlign w:val="baseline"/>
              </w:rPr>
              <w:t>▲采用板厚为12.7mm实芯理化板，抗腐蚀抗菌、净醛、耐磨防火、耐烟酌抗污。台面板各项功能必须达到如下要求：</w:t>
            </w:r>
          </w:p>
          <w:p w14:paraId="3A9A3381">
            <w:pPr>
              <w:jc w:val="left"/>
              <w:rPr>
                <w:rFonts w:hint="eastAsia"/>
                <w:highlight w:val="none"/>
                <w:vertAlign w:val="baseline"/>
              </w:rPr>
            </w:pPr>
            <w:r>
              <w:rPr>
                <w:rFonts w:hint="eastAsia"/>
                <w:highlight w:val="none"/>
                <w:vertAlign w:val="baseline"/>
              </w:rPr>
              <w:t>1、化学性能检测：参照GB/T17657-2022《人造板及饰面人造板理化性能试验方法》检测标准：盐酸（37%）、硝酸（65%）、硫酸（98%）等不低于138项酸碱测试，测试结果为5级，提供耐腐蚀检验报告；</w:t>
            </w:r>
          </w:p>
          <w:p w14:paraId="02B6E7FD">
            <w:pPr>
              <w:jc w:val="left"/>
              <w:rPr>
                <w:rFonts w:hint="eastAsia"/>
                <w:highlight w:val="none"/>
                <w:vertAlign w:val="baseline"/>
              </w:rPr>
            </w:pPr>
            <w:r>
              <w:rPr>
                <w:rFonts w:hint="eastAsia"/>
                <w:highlight w:val="none"/>
                <w:vertAlign w:val="baseline"/>
              </w:rPr>
              <w:t>2、物理性能检测：参照GB/T17657-2022《人造板及饰面人造板理化性能试验方法》检测标准：握螺钉力≥5290N、含水率≤0.1%、24h吸水率≤0.1%、密度≥1.53g/cm3、表面耐龟裂性能≥5级、表面耐湿热性能≥五级、耐光色牢度性能&gt;4级、色泽稳定性能、漆膜硬度&gt;9H、表面耐磨性能≥1200r等不低于16项物理性能测试提供物理性能检验报告；</w:t>
            </w:r>
          </w:p>
          <w:p w14:paraId="3B556B0E">
            <w:pPr>
              <w:jc w:val="left"/>
              <w:rPr>
                <w:rFonts w:hint="eastAsia"/>
                <w:highlight w:val="none"/>
                <w:vertAlign w:val="baseline"/>
              </w:rPr>
            </w:pPr>
            <w:r>
              <w:rPr>
                <w:rFonts w:hint="eastAsia"/>
                <w:highlight w:val="none"/>
                <w:vertAlign w:val="baseline"/>
              </w:rPr>
              <w:t>3、甲醛释放量检测：检测依据GB 18580-2017《室内装饰装修材料人造板及其制品中甲醛释放限量》检测，检测结果为未检出；</w:t>
            </w:r>
          </w:p>
          <w:p w14:paraId="3A2EB97B">
            <w:pPr>
              <w:jc w:val="left"/>
              <w:rPr>
                <w:rFonts w:hint="eastAsia"/>
                <w:highlight w:val="none"/>
                <w:vertAlign w:val="baseline"/>
              </w:rPr>
            </w:pPr>
            <w:r>
              <w:rPr>
                <w:rFonts w:hint="eastAsia"/>
                <w:highlight w:val="none"/>
                <w:vertAlign w:val="baseline"/>
              </w:rPr>
              <w:t>4、抗菌性能检测及防霉性能检测:依据JC/T2039-2010《抗菌防霉木质装饰板》，提供大肠杆菌、金黄色葡萄球菌、肺炎克雷佰氏菌、鼠伤寒沙门氏菌、表皮葡萄球菌、铜绿假单胞菌、宋内志贺氏菌、白色葡萄球菌、粪肠球菌、耐甲氧西林金黄色葡萄球菌、单增细胞增生李斯特氏菌、变化考克氏菌、乙型溶血性链球群等13种菌种检测，而且抗菌率≥99.99%；依据JC/T2039-2010《抗菌防霉木质装饰板》，提供黑曲霉、土曲霉、宛氏拟青霉、绳状青霉、出芽短梗霉、球毛壳霉等6种霉菌检测，而且防霉等级为0级；</w:t>
            </w:r>
          </w:p>
          <w:p w14:paraId="35AF0B1F">
            <w:pPr>
              <w:jc w:val="left"/>
              <w:rPr>
                <w:rFonts w:hint="eastAsia"/>
                <w:highlight w:val="none"/>
                <w:vertAlign w:val="baseline"/>
              </w:rPr>
            </w:pPr>
            <w:r>
              <w:rPr>
                <w:rFonts w:hint="eastAsia"/>
                <w:highlight w:val="none"/>
                <w:vertAlign w:val="baseline"/>
              </w:rPr>
              <w:t>5、抗老化性检测：检测依据GB/T24508-2020，表面无开裂、无鼓泡、无粉化，提供相关检测报告；</w:t>
            </w:r>
          </w:p>
          <w:p w14:paraId="23907A1A">
            <w:pPr>
              <w:jc w:val="left"/>
              <w:rPr>
                <w:rFonts w:hint="eastAsia"/>
                <w:highlight w:val="none"/>
                <w:vertAlign w:val="baseline"/>
              </w:rPr>
            </w:pPr>
            <w:r>
              <w:rPr>
                <w:rFonts w:hint="eastAsia"/>
                <w:highlight w:val="none"/>
                <w:vertAlign w:val="baseline"/>
              </w:rPr>
              <w:t>6、重金属检测：检测依据GB18584-2001《室内装饰装修材料木家具中有害物质限量》，检测内容为可溶性铅、可溶性镉、可溶性铬、可溶性汞，检测结果均为合格；</w:t>
            </w:r>
          </w:p>
          <w:p w14:paraId="15EA3154">
            <w:pPr>
              <w:jc w:val="left"/>
              <w:rPr>
                <w:rFonts w:hint="eastAsia"/>
                <w:highlight w:val="none"/>
                <w:vertAlign w:val="baseline"/>
              </w:rPr>
            </w:pPr>
            <w:r>
              <w:rPr>
                <w:rFonts w:hint="eastAsia"/>
                <w:highlight w:val="none"/>
                <w:vertAlign w:val="baseline"/>
              </w:rPr>
              <w:t>7、燃烧性能检测：检测依据GB8624-2012《建筑材料及制品燃烧性能分级》,检测内容包括燃烧增长速率指数：FIGRA0.2MJW/s≤120，60s内焰尖高度：Fsmm≤150，60s内无燃烧滴落物引燃滤纸现象,,检测结果达到B1级;产烟特性等级S2级，燃烧滴落物/微粒等级d0级；</w:t>
            </w:r>
          </w:p>
          <w:p w14:paraId="40DF74F5">
            <w:pPr>
              <w:jc w:val="left"/>
              <w:rPr>
                <w:rFonts w:hint="eastAsia"/>
                <w:highlight w:val="none"/>
                <w:vertAlign w:val="baseline"/>
              </w:rPr>
            </w:pPr>
            <w:r>
              <w:rPr>
                <w:rFonts w:hint="eastAsia"/>
                <w:highlight w:val="none"/>
                <w:vertAlign w:val="baseline"/>
              </w:rPr>
              <w:t>8、环保性能检测：依据QB/T 2761-2006 《室内空气净化产品净化效果测定方法》检测，甲醛去除率≥50%；</w:t>
            </w:r>
          </w:p>
          <w:p w14:paraId="7F1316B0">
            <w:pPr>
              <w:jc w:val="left"/>
              <w:rPr>
                <w:rFonts w:hint="eastAsia"/>
                <w:highlight w:val="none"/>
                <w:vertAlign w:val="baseline"/>
              </w:rPr>
            </w:pPr>
            <w:r>
              <w:rPr>
                <w:rFonts w:hint="eastAsia"/>
                <w:highlight w:val="none"/>
                <w:vertAlign w:val="baseline"/>
              </w:rPr>
              <w:t>9、环保性能检测：依据QB/T 2761-2006 《室内空气净化产品净化效果测定方法》检测，甲苯去除率≥20%；</w:t>
            </w:r>
          </w:p>
          <w:p w14:paraId="0052B10B">
            <w:pPr>
              <w:jc w:val="left"/>
              <w:rPr>
                <w:rFonts w:hint="eastAsia"/>
                <w:highlight w:val="none"/>
                <w:vertAlign w:val="baseline"/>
              </w:rPr>
            </w:pPr>
            <w:r>
              <w:rPr>
                <w:rFonts w:hint="eastAsia"/>
                <w:highlight w:val="none"/>
                <w:vertAlign w:val="baseline"/>
              </w:rPr>
              <w:t>备注：为确保产品质量，需提供具有CMA或CNAS标识的检测报告扫描件；</w:t>
            </w:r>
          </w:p>
          <w:p w14:paraId="04E42F0E">
            <w:pPr>
              <w:jc w:val="left"/>
              <w:rPr>
                <w:rFonts w:hint="eastAsia"/>
                <w:highlight w:val="none"/>
                <w:vertAlign w:val="baseline"/>
              </w:rPr>
            </w:pPr>
            <w:r>
              <w:rPr>
                <w:rFonts w:hint="eastAsia"/>
                <w:highlight w:val="none"/>
                <w:vertAlign w:val="baseline"/>
              </w:rPr>
              <w:t>结构：新型塑铝结构，学生位镂空式，符合人体工程学设计，美观大方；</w:t>
            </w:r>
          </w:p>
          <w:p w14:paraId="05AC2799">
            <w:pPr>
              <w:jc w:val="left"/>
              <w:rPr>
                <w:rFonts w:hint="eastAsia"/>
                <w:highlight w:val="none"/>
                <w:vertAlign w:val="baseline"/>
              </w:rPr>
            </w:pPr>
            <w:r>
              <w:rPr>
                <w:rFonts w:hint="eastAsia"/>
                <w:highlight w:val="none"/>
                <w:vertAlign w:val="baseline"/>
              </w:rPr>
              <w:t>由4张工字桌组合而成，主框架工字型结构：</w:t>
            </w:r>
          </w:p>
          <w:p w14:paraId="2C18CA2E">
            <w:pPr>
              <w:jc w:val="left"/>
              <w:rPr>
                <w:rFonts w:hint="eastAsia"/>
                <w:highlight w:val="none"/>
                <w:vertAlign w:val="baseline"/>
              </w:rPr>
            </w:pPr>
            <w:r>
              <w:rPr>
                <w:rFonts w:hint="eastAsia"/>
                <w:highlight w:val="none"/>
                <w:vertAlign w:val="baseline"/>
              </w:rPr>
              <w:t>桌身：由桌腿、立柱、前横梁/中横梁，大横梁组成；</w:t>
            </w:r>
          </w:p>
          <w:p w14:paraId="0AA7EF59">
            <w:pPr>
              <w:jc w:val="left"/>
              <w:rPr>
                <w:rFonts w:hint="eastAsia"/>
                <w:highlight w:val="none"/>
                <w:vertAlign w:val="baseline"/>
              </w:rPr>
            </w:pPr>
            <w:r>
              <w:rPr>
                <w:rFonts w:hint="eastAsia"/>
                <w:highlight w:val="none"/>
                <w:vertAlign w:val="baseline"/>
              </w:rPr>
              <w:t>桌腿：采用工字型压铸铝一次成型，材料表面经高压静电喷涂环氧树脂防护层，耐酸碱，耐腐蚀处理；</w:t>
            </w:r>
          </w:p>
          <w:p w14:paraId="1EA3A957">
            <w:pPr>
              <w:jc w:val="left"/>
              <w:rPr>
                <w:rFonts w:hint="eastAsia"/>
                <w:highlight w:val="none"/>
                <w:vertAlign w:val="baseline"/>
              </w:rPr>
            </w:pPr>
            <w:r>
              <w:rPr>
                <w:rFonts w:hint="eastAsia"/>
                <w:highlight w:val="none"/>
                <w:vertAlign w:val="baseline"/>
              </w:rPr>
              <w:t>上腿规格：≥590×50×95mm，壁厚2.5mm；</w:t>
            </w:r>
          </w:p>
          <w:p w14:paraId="4AC04713">
            <w:pPr>
              <w:jc w:val="left"/>
              <w:rPr>
                <w:rFonts w:hint="eastAsia"/>
                <w:highlight w:val="none"/>
                <w:vertAlign w:val="baseline"/>
              </w:rPr>
            </w:pPr>
            <w:r>
              <w:rPr>
                <w:rFonts w:hint="eastAsia"/>
                <w:highlight w:val="none"/>
                <w:vertAlign w:val="baseline"/>
              </w:rPr>
              <w:t>下腿规格：≥540×50×95mm，壁厚2.5mm；</w:t>
            </w:r>
          </w:p>
          <w:p w14:paraId="675E6D26">
            <w:pPr>
              <w:jc w:val="left"/>
              <w:rPr>
                <w:rFonts w:hint="eastAsia"/>
                <w:highlight w:val="none"/>
                <w:vertAlign w:val="baseline"/>
              </w:rPr>
            </w:pPr>
            <w:r>
              <w:rPr>
                <w:rFonts w:hint="eastAsia"/>
                <w:highlight w:val="none"/>
                <w:vertAlign w:val="baseline"/>
              </w:rPr>
              <w:t>立柱：≥580×43mm，壁厚1.5mm；</w:t>
            </w:r>
          </w:p>
          <w:p w14:paraId="252E595F">
            <w:pPr>
              <w:jc w:val="left"/>
              <w:rPr>
                <w:rFonts w:hint="eastAsia"/>
                <w:highlight w:val="none"/>
                <w:vertAlign w:val="baseline"/>
              </w:rPr>
            </w:pPr>
            <w:r>
              <w:rPr>
                <w:rFonts w:hint="eastAsia"/>
                <w:highlight w:val="none"/>
                <w:vertAlign w:val="baseline"/>
              </w:rPr>
              <w:t>前横梁：≥40×30mm，壁厚1.0mm；</w:t>
            </w:r>
          </w:p>
          <w:p w14:paraId="60218405">
            <w:pPr>
              <w:jc w:val="left"/>
              <w:rPr>
                <w:rFonts w:hint="eastAsia"/>
                <w:highlight w:val="none"/>
                <w:vertAlign w:val="baseline"/>
              </w:rPr>
            </w:pPr>
            <w:r>
              <w:rPr>
                <w:rFonts w:hint="eastAsia"/>
                <w:highlight w:val="none"/>
                <w:vertAlign w:val="baseline"/>
              </w:rPr>
              <w:t>中横梁：≥30×25mm，壁厚1.0mm；</w:t>
            </w:r>
          </w:p>
          <w:p w14:paraId="06A458AB">
            <w:pPr>
              <w:jc w:val="left"/>
              <w:rPr>
                <w:rFonts w:hint="eastAsia"/>
                <w:highlight w:val="none"/>
                <w:vertAlign w:val="baseline"/>
              </w:rPr>
            </w:pPr>
            <w:r>
              <w:rPr>
                <w:rFonts w:hint="eastAsia"/>
                <w:highlight w:val="none"/>
                <w:vertAlign w:val="baseline"/>
              </w:rPr>
              <w:t>大横梁：≥80×20mm，壁厚1.0mm；</w:t>
            </w:r>
          </w:p>
          <w:p w14:paraId="10F0F3A4">
            <w:pPr>
              <w:jc w:val="left"/>
              <w:rPr>
                <w:rFonts w:hint="eastAsia"/>
                <w:highlight w:val="none"/>
                <w:vertAlign w:val="baseline"/>
              </w:rPr>
            </w:pPr>
            <w:r>
              <w:rPr>
                <w:rFonts w:hint="eastAsia"/>
                <w:highlight w:val="none"/>
                <w:vertAlign w:val="baseline"/>
              </w:rPr>
              <w:t>材料均采用优质铝镁合金材料，材料表面经高压静电喷涂环氧树脂防护层，耐酸碱，耐腐蚀处理；</w:t>
            </w:r>
          </w:p>
          <w:p w14:paraId="745098AA">
            <w:pPr>
              <w:jc w:val="left"/>
              <w:rPr>
                <w:rFonts w:hint="eastAsia"/>
                <w:highlight w:val="none"/>
                <w:vertAlign w:val="baseline"/>
              </w:rPr>
            </w:pPr>
            <w:r>
              <w:rPr>
                <w:rFonts w:hint="eastAsia"/>
                <w:highlight w:val="none"/>
                <w:vertAlign w:val="baseline"/>
              </w:rPr>
              <w:t>书包斗：外规格：≥430×340×160mm，采用PP材料，大型模具一次性注塑成型,上面设计有可悬挂凳子的圆形孔，镂空造型，造型时尚；</w:t>
            </w:r>
          </w:p>
          <w:p w14:paraId="7B2F7982">
            <w:pPr>
              <w:jc w:val="left"/>
              <w:rPr>
                <w:rFonts w:hint="eastAsia"/>
                <w:highlight w:val="none"/>
                <w:vertAlign w:val="baseline"/>
              </w:rPr>
            </w:pPr>
            <w:r>
              <w:rPr>
                <w:rFonts w:hint="eastAsia"/>
                <w:highlight w:val="none"/>
                <w:vertAlign w:val="baseline"/>
              </w:rPr>
              <w:t>产品特点：零甲醛、零污染、易擦洗、耐老化、环保、回收率高。</w:t>
            </w:r>
          </w:p>
        </w:tc>
        <w:tc>
          <w:tcPr>
            <w:tcW w:w="736" w:type="dxa"/>
            <w:noWrap w:val="0"/>
            <w:vAlign w:val="center"/>
          </w:tcPr>
          <w:p w14:paraId="3E26A1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0A87A5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张</w:t>
            </w:r>
          </w:p>
        </w:tc>
        <w:tc>
          <w:tcPr>
            <w:tcW w:w="3396" w:type="dxa"/>
            <w:gridSpan w:val="2"/>
            <w:noWrap w:val="0"/>
            <w:vAlign w:val="center"/>
          </w:tcPr>
          <w:p w14:paraId="732A28BE">
            <w:pPr>
              <w:jc w:val="center"/>
              <w:rPr>
                <w:highlight w:val="none"/>
              </w:rPr>
            </w:pPr>
            <w:r>
              <w:rPr>
                <w:highlight w:val="none"/>
              </w:rPr>
              <w:drawing>
                <wp:inline distT="0" distB="0" distL="114300" distR="114300">
                  <wp:extent cx="1573530" cy="1260475"/>
                  <wp:effectExtent l="0" t="0" r="1270" b="9525"/>
                  <wp:docPr id="69" name="图片 6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descr="R"/>
                          <pic:cNvPicPr>
                            <a:picLocks noChangeAspect="1"/>
                          </pic:cNvPicPr>
                        </pic:nvPicPr>
                        <pic:blipFill>
                          <a:blip r:embed="rId36"/>
                          <a:stretch>
                            <a:fillRect/>
                          </a:stretch>
                        </pic:blipFill>
                        <pic:spPr>
                          <a:xfrm>
                            <a:off x="0" y="0"/>
                            <a:ext cx="1573530" cy="1260475"/>
                          </a:xfrm>
                          <a:prstGeom prst="rect">
                            <a:avLst/>
                          </a:prstGeom>
                          <a:noFill/>
                          <a:ln>
                            <a:noFill/>
                          </a:ln>
                        </pic:spPr>
                      </pic:pic>
                    </a:graphicData>
                  </a:graphic>
                </wp:inline>
              </w:drawing>
            </w:r>
          </w:p>
        </w:tc>
        <w:tc>
          <w:tcPr>
            <w:tcW w:w="710" w:type="dxa"/>
            <w:gridSpan w:val="2"/>
            <w:noWrap w:val="0"/>
            <w:vAlign w:val="center"/>
          </w:tcPr>
          <w:p w14:paraId="632DA12D">
            <w:pPr>
              <w:jc w:val="both"/>
              <w:rPr>
                <w:highlight w:val="none"/>
                <w:vertAlign w:val="baseline"/>
              </w:rPr>
            </w:pPr>
          </w:p>
        </w:tc>
      </w:tr>
      <w:tr w14:paraId="4395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23A6A6">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5223DF37">
            <w:pPr>
              <w:jc w:val="center"/>
              <w:rPr>
                <w:rFonts w:hint="eastAsia"/>
                <w:highlight w:val="none"/>
                <w:vertAlign w:val="baseline"/>
              </w:rPr>
            </w:pPr>
            <w:r>
              <w:rPr>
                <w:rFonts w:hint="eastAsia"/>
                <w:highlight w:val="none"/>
                <w:vertAlign w:val="baseline"/>
              </w:rPr>
              <w:t>水槽柜</w:t>
            </w:r>
          </w:p>
        </w:tc>
        <w:tc>
          <w:tcPr>
            <w:tcW w:w="5928" w:type="dxa"/>
            <w:noWrap w:val="0"/>
            <w:vAlign w:val="center"/>
          </w:tcPr>
          <w:p w14:paraId="0704E8B5">
            <w:pPr>
              <w:jc w:val="left"/>
              <w:rPr>
                <w:rFonts w:hint="eastAsia"/>
                <w:highlight w:val="none"/>
                <w:vertAlign w:val="baseline"/>
              </w:rPr>
            </w:pPr>
            <w:r>
              <w:rPr>
                <w:rFonts w:hint="eastAsia"/>
                <w:highlight w:val="none"/>
                <w:vertAlign w:val="baseline"/>
              </w:rPr>
              <w:t>规格：≥450*600*810/1120mm</w:t>
            </w:r>
          </w:p>
          <w:p w14:paraId="545C5F8F">
            <w:pPr>
              <w:jc w:val="left"/>
              <w:rPr>
                <w:rFonts w:hint="eastAsia"/>
                <w:highlight w:val="none"/>
                <w:vertAlign w:val="baseline"/>
              </w:rPr>
            </w:pPr>
            <w:r>
              <w:rPr>
                <w:rFonts w:hint="eastAsia"/>
                <w:highlight w:val="none"/>
                <w:vertAlign w:val="baseline"/>
              </w:rPr>
              <w:t>1、壁挂式实验室专用水嘴。铜质陶瓷芯阀，表面经环氧树脂喷涂处理，出水嘴拆卸。</w:t>
            </w:r>
          </w:p>
          <w:p w14:paraId="78A5880D">
            <w:pPr>
              <w:jc w:val="left"/>
              <w:rPr>
                <w:rFonts w:hint="eastAsia"/>
                <w:highlight w:val="none"/>
                <w:vertAlign w:val="baseline"/>
              </w:rPr>
            </w:pPr>
            <w:r>
              <w:rPr>
                <w:rFonts w:hint="eastAsia"/>
                <w:highlight w:val="none"/>
                <w:vertAlign w:val="baseline"/>
              </w:rPr>
              <w:t xml:space="preserve">2、下水系统：采用PP材质专用连接管，配有防虹吸，防阻塞装置。                            </w:t>
            </w:r>
          </w:p>
          <w:p w14:paraId="55E137B3">
            <w:pPr>
              <w:jc w:val="left"/>
              <w:rPr>
                <w:rFonts w:hint="eastAsia"/>
                <w:highlight w:val="none"/>
                <w:vertAlign w:val="baseline"/>
              </w:rPr>
            </w:pPr>
            <w:r>
              <w:rPr>
                <w:rFonts w:hint="eastAsia"/>
                <w:highlight w:val="none"/>
                <w:vertAlign w:val="baseline"/>
              </w:rPr>
              <w:t>3、结构：榫卯连接结构并合理布局加强筋，加强筋并起到定位作用，使用产品自身力量相互连接，产品不变形，不扭曲。同时水槽柜底部为模具一体成型，加固水槽柜的强度。</w:t>
            </w:r>
          </w:p>
          <w:p w14:paraId="74B2712D">
            <w:pPr>
              <w:jc w:val="left"/>
              <w:rPr>
                <w:rFonts w:hint="eastAsia"/>
                <w:highlight w:val="none"/>
                <w:vertAlign w:val="baseline"/>
              </w:rPr>
            </w:pPr>
            <w:r>
              <w:rPr>
                <w:rFonts w:hint="eastAsia"/>
                <w:highlight w:val="none"/>
                <w:vertAlign w:val="baseline"/>
              </w:rPr>
              <w:t>4、水槽柜上部多功能平台，搭配专用水嘴和滴水板，方便学生在实验时放置烧杯、量筒等工具。</w:t>
            </w:r>
          </w:p>
          <w:p w14:paraId="4679D7C7">
            <w:pPr>
              <w:jc w:val="left"/>
              <w:rPr>
                <w:rFonts w:hint="eastAsia"/>
                <w:highlight w:val="none"/>
                <w:vertAlign w:val="baseline"/>
              </w:rPr>
            </w:pPr>
            <w:r>
              <w:rPr>
                <w:rFonts w:hint="eastAsia"/>
                <w:highlight w:val="none"/>
                <w:vertAlign w:val="baseline"/>
              </w:rPr>
              <w:t>5、门板：前部密闭设计，梯形结构搭配装饰条，后门配有可打开式检修门，隐藏式一体扣手，合页采用尼龙塑料铰链，高强度耐磨，防水、永不生锈。</w:t>
            </w:r>
          </w:p>
          <w:p w14:paraId="45A2D621">
            <w:pPr>
              <w:jc w:val="left"/>
              <w:rPr>
                <w:rFonts w:hint="eastAsia"/>
                <w:highlight w:val="none"/>
                <w:vertAlign w:val="baseline"/>
              </w:rPr>
            </w:pPr>
            <w:r>
              <w:rPr>
                <w:rFonts w:hint="eastAsia"/>
                <w:highlight w:val="none"/>
                <w:vertAlign w:val="baseline"/>
              </w:rPr>
              <w:t>6、水槽采用生物抗菌型塑料，塑料注塑模一次性成型，耐强酸强碱耐＜80℃有机溶剂并耐150℃以下高温，外型简约美观。具有净化空气作用同时释放一定浓度负氧离子。产品可以去除空气中的甲醛、甲苯等有毒有害物质，改善室内空气质量，确保房间内空气质量达到国家环保检测标准。为了保证产品质量，需要提供生物抗菌型塑料甲醛、甲苯去除率检测报告:</w:t>
            </w:r>
          </w:p>
          <w:p w14:paraId="362AC111">
            <w:pPr>
              <w:jc w:val="left"/>
              <w:rPr>
                <w:rFonts w:hint="eastAsia"/>
                <w:highlight w:val="none"/>
                <w:vertAlign w:val="baseline"/>
              </w:rPr>
            </w:pPr>
            <w:r>
              <w:rPr>
                <w:rFonts w:hint="eastAsia"/>
                <w:highlight w:val="none"/>
                <w:vertAlign w:val="baseline"/>
              </w:rPr>
              <w:t>▲（1）依据QB/T 2761-2006《室内空气净化产品净化效果测定方法》检测：甲醛去除率≥80%；备注：为确保产品质量，需提供具有CMA或CNAS标识的检测报告扫描件。</w:t>
            </w:r>
          </w:p>
          <w:p w14:paraId="019A3EF9">
            <w:pPr>
              <w:jc w:val="left"/>
              <w:rPr>
                <w:rFonts w:hint="eastAsia"/>
                <w:highlight w:val="none"/>
                <w:vertAlign w:val="baseline"/>
              </w:rPr>
            </w:pPr>
            <w:r>
              <w:rPr>
                <w:rFonts w:hint="eastAsia"/>
                <w:highlight w:val="none"/>
                <w:vertAlign w:val="baseline"/>
              </w:rPr>
              <w:t>▲（2）依据QB/T 2761-2006《室内空气净化产品净化效果测定方法》检测：甲苯去除率≥25%。备注：为确保产品质量，需提供具有CMA或CNAS标识的检测报告扫描件。</w:t>
            </w:r>
          </w:p>
        </w:tc>
        <w:tc>
          <w:tcPr>
            <w:tcW w:w="736" w:type="dxa"/>
            <w:noWrap w:val="0"/>
            <w:vAlign w:val="center"/>
          </w:tcPr>
          <w:p w14:paraId="259C5D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0A050A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09C2D37E">
            <w:pPr>
              <w:jc w:val="center"/>
              <w:rPr>
                <w:highlight w:val="none"/>
              </w:rPr>
            </w:pPr>
            <w:r>
              <w:rPr>
                <w:highlight w:val="none"/>
              </w:rPr>
              <w:drawing>
                <wp:inline distT="0" distB="0" distL="114300" distR="114300">
                  <wp:extent cx="862965" cy="859155"/>
                  <wp:effectExtent l="0" t="0" r="635" b="4445"/>
                  <wp:docPr id="21" name="图片 61" descr="水槽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descr="水槽柜2"/>
                          <pic:cNvPicPr>
                            <a:picLocks noChangeAspect="1"/>
                          </pic:cNvPicPr>
                        </pic:nvPicPr>
                        <pic:blipFill>
                          <a:blip r:embed="rId45"/>
                          <a:stretch>
                            <a:fillRect/>
                          </a:stretch>
                        </pic:blipFill>
                        <pic:spPr>
                          <a:xfrm>
                            <a:off x="0" y="0"/>
                            <a:ext cx="862965" cy="859155"/>
                          </a:xfrm>
                          <a:prstGeom prst="rect">
                            <a:avLst/>
                          </a:prstGeom>
                          <a:noFill/>
                          <a:ln>
                            <a:noFill/>
                          </a:ln>
                        </pic:spPr>
                      </pic:pic>
                    </a:graphicData>
                  </a:graphic>
                </wp:inline>
              </w:drawing>
            </w:r>
          </w:p>
        </w:tc>
        <w:tc>
          <w:tcPr>
            <w:tcW w:w="710" w:type="dxa"/>
            <w:gridSpan w:val="2"/>
            <w:noWrap w:val="0"/>
            <w:vAlign w:val="center"/>
          </w:tcPr>
          <w:p w14:paraId="076ACEC9">
            <w:pPr>
              <w:jc w:val="both"/>
              <w:rPr>
                <w:highlight w:val="none"/>
                <w:vertAlign w:val="baseline"/>
              </w:rPr>
            </w:pPr>
          </w:p>
        </w:tc>
      </w:tr>
      <w:tr w14:paraId="425B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67AEC7">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2AE8D0E7">
            <w:pPr>
              <w:jc w:val="center"/>
              <w:rPr>
                <w:rFonts w:hint="eastAsia"/>
                <w:highlight w:val="none"/>
                <w:vertAlign w:val="baseline"/>
              </w:rPr>
            </w:pPr>
            <w:r>
              <w:rPr>
                <w:rFonts w:hint="eastAsia"/>
                <w:highlight w:val="none"/>
                <w:vertAlign w:val="baseline"/>
              </w:rPr>
              <w:t>标本柜</w:t>
            </w:r>
          </w:p>
        </w:tc>
        <w:tc>
          <w:tcPr>
            <w:tcW w:w="5928" w:type="dxa"/>
            <w:noWrap w:val="0"/>
            <w:vAlign w:val="center"/>
          </w:tcPr>
          <w:p w14:paraId="1FB3A18E">
            <w:pPr>
              <w:jc w:val="left"/>
              <w:rPr>
                <w:rFonts w:hint="eastAsia"/>
                <w:highlight w:val="none"/>
                <w:vertAlign w:val="baseline"/>
              </w:rPr>
            </w:pPr>
            <w:r>
              <w:rPr>
                <w:rFonts w:hint="eastAsia"/>
                <w:highlight w:val="none"/>
                <w:vertAlign w:val="baseline"/>
              </w:rPr>
              <w:t>1、规格：≥1000×500×2000mm</w:t>
            </w:r>
          </w:p>
          <w:p w14:paraId="08A6656D">
            <w:pPr>
              <w:jc w:val="left"/>
              <w:rPr>
                <w:rFonts w:hint="eastAsia"/>
                <w:highlight w:val="none"/>
                <w:vertAlign w:val="baseline"/>
              </w:rPr>
            </w:pPr>
            <w:r>
              <w:rPr>
                <w:rFonts w:hint="eastAsia"/>
                <w:highlight w:val="none"/>
                <w:vertAlign w:val="baseline"/>
              </w:rPr>
              <w:t>2、材质：四周采用A级18mm厚防潮三聚氰胺双贴面板，其截面由PVC封边带利用进口机械高温热熔胶封边，粘力强，密封性好，外形美观，经久耐用。</w:t>
            </w:r>
          </w:p>
          <w:p w14:paraId="170BDBB4">
            <w:pPr>
              <w:jc w:val="left"/>
              <w:rPr>
                <w:rFonts w:hint="eastAsia"/>
                <w:highlight w:val="none"/>
                <w:vertAlign w:val="baseline"/>
              </w:rPr>
            </w:pPr>
            <w:r>
              <w:rPr>
                <w:rFonts w:hint="eastAsia"/>
                <w:highlight w:val="none"/>
                <w:vertAlign w:val="baseline"/>
              </w:rPr>
              <w:t>3、框架：采用铝合金框架结构，主支柱为30×30mm的方形铝管，壁厚不小于1.0mm，壁厚允许误差±0.15mm。所有铝材表面经过环氧树脂粉末喷涂，防酸耐碱，美观、牢固耐用。</w:t>
            </w:r>
          </w:p>
          <w:p w14:paraId="3D0DBA04">
            <w:pPr>
              <w:jc w:val="left"/>
              <w:rPr>
                <w:rFonts w:hint="eastAsia"/>
                <w:highlight w:val="none"/>
                <w:vertAlign w:val="baseline"/>
              </w:rPr>
            </w:pPr>
            <w:r>
              <w:rPr>
                <w:rFonts w:hint="eastAsia"/>
                <w:highlight w:val="none"/>
                <w:vertAlign w:val="baseline"/>
              </w:rPr>
              <w:t>4、结构：上部四周采用5mm厚玻璃，二层玻璃托板，托板厚度为8mm厚玻璃，上门用5mm厚的推拉式玻璃门，边沿磨边。下部储物柜，对开门。内设一层隔板，隔板采用A级25mm优质三聚氰胺双贴面密度中纤板。</w:t>
            </w:r>
          </w:p>
          <w:p w14:paraId="163A2E8A">
            <w:pPr>
              <w:jc w:val="left"/>
              <w:rPr>
                <w:rFonts w:hint="eastAsia"/>
                <w:highlight w:val="none"/>
                <w:vertAlign w:val="baseline"/>
              </w:rPr>
            </w:pPr>
            <w:r>
              <w:rPr>
                <w:rFonts w:hint="eastAsia"/>
                <w:highlight w:val="none"/>
                <w:vertAlign w:val="baseline"/>
              </w:rPr>
              <w:t>5、拉手：不锈钢拉手。</w:t>
            </w:r>
          </w:p>
          <w:p w14:paraId="65D27EFE">
            <w:pPr>
              <w:jc w:val="left"/>
              <w:rPr>
                <w:rFonts w:hint="eastAsia"/>
                <w:highlight w:val="none"/>
                <w:vertAlign w:val="baseline"/>
              </w:rPr>
            </w:pPr>
            <w:r>
              <w:rPr>
                <w:rFonts w:hint="eastAsia"/>
                <w:highlight w:val="none"/>
                <w:vertAlign w:val="baseline"/>
              </w:rPr>
              <w:t>6、脚垫：进口工程塑料注塑一次成型，耐腐蚀，高低可调。</w:t>
            </w:r>
          </w:p>
        </w:tc>
        <w:tc>
          <w:tcPr>
            <w:tcW w:w="736" w:type="dxa"/>
            <w:noWrap w:val="0"/>
            <w:vAlign w:val="center"/>
          </w:tcPr>
          <w:p w14:paraId="42760C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834" w:type="dxa"/>
            <w:noWrap w:val="0"/>
            <w:vAlign w:val="center"/>
          </w:tcPr>
          <w:p w14:paraId="2AAE2F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52B12965">
            <w:pPr>
              <w:jc w:val="center"/>
              <w:rPr>
                <w:highlight w:val="none"/>
              </w:rPr>
            </w:pPr>
            <w:r>
              <w:rPr>
                <w:highlight w:val="none"/>
              </w:rPr>
              <w:drawing>
                <wp:inline distT="0" distB="0" distL="114300" distR="114300">
                  <wp:extent cx="1360170" cy="1019175"/>
                  <wp:effectExtent l="0" t="0" r="11430" b="9525"/>
                  <wp:docPr id="32" name="图片 62" descr="ecebfc57a72fe29203538e2ee8a5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2" descr="ecebfc57a72fe29203538e2ee8a51fe"/>
                          <pic:cNvPicPr>
                            <a:picLocks noChangeAspect="1"/>
                          </pic:cNvPicPr>
                        </pic:nvPicPr>
                        <pic:blipFill>
                          <a:blip r:embed="rId52"/>
                          <a:stretch>
                            <a:fillRect/>
                          </a:stretch>
                        </pic:blipFill>
                        <pic:spPr>
                          <a:xfrm>
                            <a:off x="0" y="0"/>
                            <a:ext cx="1360170" cy="1019175"/>
                          </a:xfrm>
                          <a:prstGeom prst="rect">
                            <a:avLst/>
                          </a:prstGeom>
                          <a:noFill/>
                          <a:ln>
                            <a:noFill/>
                          </a:ln>
                        </pic:spPr>
                      </pic:pic>
                    </a:graphicData>
                  </a:graphic>
                </wp:inline>
              </w:drawing>
            </w:r>
          </w:p>
        </w:tc>
        <w:tc>
          <w:tcPr>
            <w:tcW w:w="710" w:type="dxa"/>
            <w:gridSpan w:val="2"/>
            <w:noWrap w:val="0"/>
            <w:vAlign w:val="center"/>
          </w:tcPr>
          <w:p w14:paraId="1CF9AC99">
            <w:pPr>
              <w:jc w:val="both"/>
              <w:rPr>
                <w:highlight w:val="none"/>
                <w:vertAlign w:val="baseline"/>
              </w:rPr>
            </w:pPr>
          </w:p>
        </w:tc>
      </w:tr>
      <w:tr w14:paraId="5CFC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8113D1">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2BDE3C35">
            <w:pPr>
              <w:jc w:val="center"/>
              <w:rPr>
                <w:rFonts w:hint="eastAsia"/>
                <w:highlight w:val="none"/>
                <w:vertAlign w:val="baseline"/>
              </w:rPr>
            </w:pPr>
            <w:r>
              <w:rPr>
                <w:rFonts w:hint="eastAsia"/>
                <w:highlight w:val="none"/>
                <w:vertAlign w:val="baseline"/>
              </w:rPr>
              <w:t>仪器柜</w:t>
            </w:r>
          </w:p>
        </w:tc>
        <w:tc>
          <w:tcPr>
            <w:tcW w:w="5928" w:type="dxa"/>
            <w:noWrap w:val="0"/>
            <w:vAlign w:val="center"/>
          </w:tcPr>
          <w:p w14:paraId="3DCB72FF">
            <w:pPr>
              <w:jc w:val="left"/>
              <w:rPr>
                <w:rFonts w:hint="eastAsia"/>
                <w:highlight w:val="none"/>
                <w:vertAlign w:val="baseline"/>
              </w:rPr>
            </w:pPr>
            <w:r>
              <w:rPr>
                <w:rFonts w:hint="eastAsia"/>
                <w:highlight w:val="none"/>
                <w:vertAlign w:val="baseline"/>
              </w:rPr>
              <w:t>规格：≥1000×500×2000mm</w:t>
            </w:r>
          </w:p>
          <w:p w14:paraId="6CF4C184">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0BD9DDEB">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2EC5384F">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5B411D57">
            <w:pPr>
              <w:jc w:val="left"/>
              <w:rPr>
                <w:rFonts w:hint="eastAsia"/>
                <w:highlight w:val="none"/>
                <w:vertAlign w:val="baseline"/>
              </w:rPr>
            </w:pPr>
            <w:r>
              <w:rPr>
                <w:rFonts w:hint="eastAsia"/>
                <w:highlight w:val="none"/>
                <w:vertAlign w:val="baseline"/>
              </w:rPr>
              <w:t>4、层板：上柜配置两块活动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09CEA9BB">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66C026F3">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5F535054">
            <w:pPr>
              <w:jc w:val="left"/>
              <w:rPr>
                <w:rFonts w:hint="eastAsia"/>
                <w:highlight w:val="none"/>
                <w:vertAlign w:val="baseline"/>
              </w:rPr>
            </w:pPr>
            <w:r>
              <w:rPr>
                <w:rFonts w:hint="eastAsia"/>
                <w:highlight w:val="none"/>
                <w:vertAlign w:val="baseline"/>
              </w:rPr>
              <w:t>7、螺丝：不锈钢304材质。</w:t>
            </w:r>
          </w:p>
          <w:p w14:paraId="48B65640">
            <w:pPr>
              <w:jc w:val="left"/>
              <w:rPr>
                <w:rFonts w:hint="eastAsia"/>
                <w:highlight w:val="none"/>
                <w:vertAlign w:val="baseline"/>
              </w:rPr>
            </w:pPr>
            <w:r>
              <w:rPr>
                <w:rFonts w:hint="eastAsia"/>
                <w:highlight w:val="none"/>
                <w:vertAlign w:val="baseline"/>
              </w:rPr>
              <w:t>▲仪器柜整体通过GB/T 32487-2016 塑料家具通用技术条件检测，柜类强度和耐久性，塑料件外观，理化性能，有害物质限量。测试结果符合指标要求。备注：为确保产品质量，需提供具有CMA或CNAS标识的检测报告扫描件。</w:t>
            </w:r>
          </w:p>
        </w:tc>
        <w:tc>
          <w:tcPr>
            <w:tcW w:w="736" w:type="dxa"/>
            <w:noWrap w:val="0"/>
            <w:vAlign w:val="center"/>
          </w:tcPr>
          <w:p w14:paraId="739381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834" w:type="dxa"/>
            <w:noWrap w:val="0"/>
            <w:vAlign w:val="center"/>
          </w:tcPr>
          <w:p w14:paraId="4D8E70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545A53A0">
            <w:pPr>
              <w:jc w:val="center"/>
              <w:rPr>
                <w:highlight w:val="none"/>
              </w:rPr>
            </w:pPr>
            <w:r>
              <w:rPr>
                <w:highlight w:val="none"/>
              </w:rPr>
              <w:drawing>
                <wp:inline distT="0" distB="0" distL="114300" distR="114300">
                  <wp:extent cx="1769110" cy="2647950"/>
                  <wp:effectExtent l="0" t="0" r="8890" b="6350"/>
                  <wp:docPr id="5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3"/>
                          <pic:cNvPicPr>
                            <a:picLocks noChangeAspect="1"/>
                          </pic:cNvPicPr>
                        </pic:nvPicPr>
                        <pic:blipFill>
                          <a:blip r:embed="rId37"/>
                          <a:stretch>
                            <a:fillRect/>
                          </a:stretch>
                        </pic:blipFill>
                        <pic:spPr>
                          <a:xfrm>
                            <a:off x="0" y="0"/>
                            <a:ext cx="1769110" cy="2647950"/>
                          </a:xfrm>
                          <a:prstGeom prst="rect">
                            <a:avLst/>
                          </a:prstGeom>
                          <a:noFill/>
                          <a:ln>
                            <a:noFill/>
                          </a:ln>
                        </pic:spPr>
                      </pic:pic>
                    </a:graphicData>
                  </a:graphic>
                </wp:inline>
              </w:drawing>
            </w:r>
          </w:p>
        </w:tc>
        <w:tc>
          <w:tcPr>
            <w:tcW w:w="710" w:type="dxa"/>
            <w:gridSpan w:val="2"/>
            <w:noWrap w:val="0"/>
            <w:vAlign w:val="center"/>
          </w:tcPr>
          <w:p w14:paraId="5094E33B">
            <w:pPr>
              <w:jc w:val="both"/>
              <w:rPr>
                <w:highlight w:val="none"/>
                <w:vertAlign w:val="baseline"/>
              </w:rPr>
            </w:pPr>
          </w:p>
        </w:tc>
      </w:tr>
      <w:tr w14:paraId="5974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4189" w:type="dxa"/>
            <w:gridSpan w:val="9"/>
            <w:noWrap w:val="0"/>
            <w:vAlign w:val="center"/>
          </w:tcPr>
          <w:p w14:paraId="5DD38851">
            <w:pPr>
              <w:jc w:val="both"/>
              <w:rPr>
                <w:highlight w:val="none"/>
                <w:vertAlign w:val="baseline"/>
              </w:rPr>
            </w:pPr>
            <w:r>
              <w:rPr>
                <w:rFonts w:hint="eastAsia"/>
                <w:b/>
                <w:bCs/>
                <w:sz w:val="30"/>
                <w:szCs w:val="30"/>
                <w:highlight w:val="none"/>
                <w:vertAlign w:val="baseline"/>
              </w:rPr>
              <w:t>二、安装附件部分</w:t>
            </w:r>
          </w:p>
        </w:tc>
      </w:tr>
      <w:tr w14:paraId="6471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95" w:type="dxa"/>
            <w:noWrap w:val="0"/>
            <w:vAlign w:val="center"/>
          </w:tcPr>
          <w:p w14:paraId="6F2B6AD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1690" w:type="dxa"/>
            <w:noWrap w:val="0"/>
            <w:vAlign w:val="center"/>
          </w:tcPr>
          <w:p w14:paraId="64C6564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给/排水设备</w:t>
            </w:r>
          </w:p>
        </w:tc>
        <w:tc>
          <w:tcPr>
            <w:tcW w:w="5928" w:type="dxa"/>
            <w:noWrap w:val="0"/>
            <w:vAlign w:val="center"/>
          </w:tcPr>
          <w:p w14:paraId="0BF324F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1、给水：上水管和进水管为国标Ф25的PPR材质水管；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2、排水：采用Ф50的国标优质UPVC专用排水管；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2、配件：开关阀门，外丝连接件、PVC胶水等。</w:t>
            </w:r>
          </w:p>
        </w:tc>
        <w:tc>
          <w:tcPr>
            <w:tcW w:w="736" w:type="dxa"/>
            <w:noWrap w:val="0"/>
            <w:vAlign w:val="center"/>
          </w:tcPr>
          <w:p w14:paraId="71EB46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1C0C46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3396" w:type="dxa"/>
            <w:gridSpan w:val="2"/>
            <w:noWrap w:val="0"/>
            <w:vAlign w:val="center"/>
          </w:tcPr>
          <w:p w14:paraId="6FDC2833">
            <w:pPr>
              <w:jc w:val="center"/>
              <w:rPr>
                <w:highlight w:val="none"/>
              </w:rPr>
            </w:pPr>
          </w:p>
        </w:tc>
        <w:tc>
          <w:tcPr>
            <w:tcW w:w="710" w:type="dxa"/>
            <w:gridSpan w:val="2"/>
            <w:noWrap w:val="0"/>
            <w:vAlign w:val="center"/>
          </w:tcPr>
          <w:p w14:paraId="7803B0EA">
            <w:pPr>
              <w:jc w:val="both"/>
              <w:rPr>
                <w:highlight w:val="none"/>
                <w:vertAlign w:val="baseline"/>
              </w:rPr>
            </w:pPr>
          </w:p>
        </w:tc>
      </w:tr>
      <w:tr w14:paraId="5969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95" w:type="dxa"/>
            <w:noWrap w:val="0"/>
            <w:vAlign w:val="center"/>
          </w:tcPr>
          <w:p w14:paraId="155DE53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2</w:t>
            </w:r>
          </w:p>
        </w:tc>
        <w:tc>
          <w:tcPr>
            <w:tcW w:w="1690" w:type="dxa"/>
            <w:noWrap w:val="0"/>
            <w:vAlign w:val="center"/>
          </w:tcPr>
          <w:p w14:paraId="6BA1C3B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安装及调试</w:t>
            </w:r>
          </w:p>
        </w:tc>
        <w:tc>
          <w:tcPr>
            <w:tcW w:w="5928" w:type="dxa"/>
            <w:noWrap w:val="0"/>
            <w:vAlign w:val="center"/>
          </w:tcPr>
          <w:p w14:paraId="0DA8CB3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设备安装及调试。</w:t>
            </w:r>
          </w:p>
        </w:tc>
        <w:tc>
          <w:tcPr>
            <w:tcW w:w="736" w:type="dxa"/>
            <w:noWrap w:val="0"/>
            <w:vAlign w:val="center"/>
          </w:tcPr>
          <w:p w14:paraId="41C81E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006581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1B97870D">
            <w:pPr>
              <w:jc w:val="center"/>
              <w:rPr>
                <w:highlight w:val="none"/>
              </w:rPr>
            </w:pPr>
          </w:p>
        </w:tc>
        <w:tc>
          <w:tcPr>
            <w:tcW w:w="710" w:type="dxa"/>
            <w:gridSpan w:val="2"/>
            <w:noWrap w:val="0"/>
            <w:vAlign w:val="center"/>
          </w:tcPr>
          <w:p w14:paraId="1C1763A5">
            <w:pPr>
              <w:jc w:val="both"/>
              <w:rPr>
                <w:highlight w:val="none"/>
                <w:vertAlign w:val="baseline"/>
              </w:rPr>
            </w:pPr>
          </w:p>
        </w:tc>
      </w:tr>
      <w:tr w14:paraId="4E4F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4189" w:type="dxa"/>
            <w:gridSpan w:val="9"/>
            <w:noWrap w:val="0"/>
            <w:vAlign w:val="center"/>
          </w:tcPr>
          <w:p w14:paraId="053F1E9F">
            <w:pPr>
              <w:jc w:val="center"/>
              <w:rPr>
                <w:highlight w:val="none"/>
                <w:vertAlign w:val="baseline"/>
              </w:rPr>
            </w:pPr>
            <w:r>
              <w:rPr>
                <w:rFonts w:hint="eastAsia"/>
                <w:b/>
                <w:bCs/>
                <w:sz w:val="36"/>
                <w:szCs w:val="36"/>
                <w:highlight w:val="none"/>
                <w:vertAlign w:val="baseline"/>
              </w:rPr>
              <w:t>生物仪器室</w:t>
            </w:r>
          </w:p>
        </w:tc>
      </w:tr>
      <w:tr w14:paraId="5E73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895" w:type="dxa"/>
            <w:noWrap w:val="0"/>
            <w:vAlign w:val="center"/>
          </w:tcPr>
          <w:p w14:paraId="0FE64D1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79C21ED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6BC7939C">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389DF3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32BC7A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65AA242F">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1850E25D">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729B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189" w:type="dxa"/>
            <w:gridSpan w:val="9"/>
            <w:noWrap w:val="0"/>
            <w:vAlign w:val="center"/>
          </w:tcPr>
          <w:p w14:paraId="083955A2">
            <w:pPr>
              <w:jc w:val="both"/>
              <w:rPr>
                <w:highlight w:val="none"/>
                <w:vertAlign w:val="baseline"/>
              </w:rPr>
            </w:pPr>
            <w:r>
              <w:rPr>
                <w:rFonts w:hint="eastAsia"/>
                <w:b/>
                <w:bCs/>
                <w:sz w:val="30"/>
                <w:szCs w:val="30"/>
                <w:highlight w:val="none"/>
                <w:vertAlign w:val="baseline"/>
              </w:rPr>
              <w:t>一、仪器室设备</w:t>
            </w:r>
          </w:p>
        </w:tc>
      </w:tr>
      <w:tr w14:paraId="640B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50752A">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6DD70258">
            <w:pPr>
              <w:jc w:val="center"/>
              <w:rPr>
                <w:rFonts w:hint="eastAsia"/>
                <w:highlight w:val="none"/>
                <w:vertAlign w:val="baseline"/>
              </w:rPr>
            </w:pPr>
            <w:r>
              <w:rPr>
                <w:rFonts w:hint="eastAsia"/>
                <w:highlight w:val="none"/>
                <w:vertAlign w:val="baseline"/>
              </w:rPr>
              <w:t>仪器柜</w:t>
            </w:r>
          </w:p>
        </w:tc>
        <w:tc>
          <w:tcPr>
            <w:tcW w:w="5928" w:type="dxa"/>
            <w:noWrap w:val="0"/>
            <w:vAlign w:val="center"/>
          </w:tcPr>
          <w:p w14:paraId="42DF73F9">
            <w:pPr>
              <w:jc w:val="left"/>
              <w:rPr>
                <w:rFonts w:hint="eastAsia"/>
                <w:highlight w:val="none"/>
                <w:vertAlign w:val="baseline"/>
              </w:rPr>
            </w:pPr>
            <w:r>
              <w:rPr>
                <w:rFonts w:hint="eastAsia"/>
                <w:highlight w:val="none"/>
                <w:vertAlign w:val="baseline"/>
              </w:rPr>
              <w:t>规格：≥1000×500×2000mm</w:t>
            </w:r>
          </w:p>
          <w:p w14:paraId="54544F44">
            <w:pPr>
              <w:jc w:val="left"/>
              <w:rPr>
                <w:rFonts w:hint="eastAsia"/>
                <w:highlight w:val="none"/>
                <w:vertAlign w:val="baseline"/>
              </w:rPr>
            </w:pPr>
            <w:r>
              <w:rPr>
                <w:rFonts w:hint="eastAsia"/>
                <w:highlight w:val="none"/>
                <w:vertAlign w:val="baseline"/>
              </w:rPr>
              <w:t>1、柜体：侧板、顶底板采用改性PP材料模具一次成型，表面沙面和光面相结合处理，保证柜体之坚固及密封性，耐腐蚀性强，顶板、底板预留模具成型排风孔。底部镶嵌15×30mm厚度1.2mm钢制横梁，承重力强。</w:t>
            </w:r>
          </w:p>
          <w:p w14:paraId="0ABAAA84">
            <w:pPr>
              <w:jc w:val="left"/>
              <w:rPr>
                <w:rFonts w:hint="eastAsia"/>
                <w:highlight w:val="none"/>
                <w:vertAlign w:val="baseline"/>
              </w:rPr>
            </w:pPr>
            <w:r>
              <w:rPr>
                <w:rFonts w:hint="eastAsia"/>
                <w:highlight w:val="none"/>
                <w:vertAlign w:val="baseline"/>
              </w:rPr>
              <w:t>2、下柜柜门：内框采用改性PP材质模具一次成型，外嵌4mm厚钢化玻璃。上下拉手及三角对称五点固定，防止玻璃的松动或开合。伸缩式PP旋转门轴，四角圆弧倒角，内侧弧形圆边，配锁。</w:t>
            </w:r>
          </w:p>
          <w:p w14:paraId="0D4A3A1A">
            <w:pPr>
              <w:jc w:val="left"/>
              <w:rPr>
                <w:rFonts w:hint="eastAsia"/>
                <w:highlight w:val="none"/>
                <w:vertAlign w:val="baseline"/>
              </w:rPr>
            </w:pPr>
            <w:r>
              <w:rPr>
                <w:rFonts w:hint="eastAsia"/>
                <w:highlight w:val="none"/>
                <w:vertAlign w:val="baseline"/>
              </w:rPr>
              <w:t>3、上柜柜门：内框采用改性PP材质模具一次成型，外嵌4mm厚钢化玻璃，中间镂空制作。上下拉手及三角对称五点固定，防止玻璃的松动或开合。伸缩式PP旋转门轴，四角圆弧倒角，内侧弧形圆边。配锁。</w:t>
            </w:r>
          </w:p>
          <w:p w14:paraId="173DD415">
            <w:pPr>
              <w:jc w:val="left"/>
              <w:rPr>
                <w:rFonts w:hint="eastAsia"/>
                <w:highlight w:val="none"/>
                <w:vertAlign w:val="baseline"/>
              </w:rPr>
            </w:pPr>
            <w:r>
              <w:rPr>
                <w:rFonts w:hint="eastAsia"/>
                <w:highlight w:val="none"/>
                <w:vertAlign w:val="baseline"/>
              </w:rPr>
              <w:t>4、层板：上柜配置两块活动层板，下柜配置一块活动层板，层板全部采用改性PP材料模具一次成型，表面沙面和光面相结合处理，四周有阻水边，底部镶嵌两根15×30mm厚度1.2mm钢制横梁，承重力强。整体设计为活动式，可随意抽取放在合适的隔层，自由组合各层空间。</w:t>
            </w:r>
          </w:p>
          <w:p w14:paraId="42D16135">
            <w:pPr>
              <w:jc w:val="left"/>
              <w:rPr>
                <w:rFonts w:hint="eastAsia"/>
                <w:highlight w:val="none"/>
                <w:vertAlign w:val="baseline"/>
              </w:rPr>
            </w:pPr>
            <w:r>
              <w:rPr>
                <w:rFonts w:hint="eastAsia"/>
                <w:highlight w:val="none"/>
                <w:vertAlign w:val="baseline"/>
              </w:rPr>
              <w:t>5、拉手：采用改性PP材料模具一次成型，直角梯形四周倒圆与柜门平行，开启方便。</w:t>
            </w:r>
          </w:p>
          <w:p w14:paraId="6209D256">
            <w:pPr>
              <w:jc w:val="left"/>
              <w:rPr>
                <w:rFonts w:hint="eastAsia"/>
                <w:highlight w:val="none"/>
                <w:vertAlign w:val="baseline"/>
              </w:rPr>
            </w:pPr>
            <w:r>
              <w:rPr>
                <w:rFonts w:hint="eastAsia"/>
                <w:highlight w:val="none"/>
                <w:vertAlign w:val="baseline"/>
              </w:rPr>
              <w:t>6、门铰链：采用改性PP材料模具一次成型，伸缩式PP旋转门轴，永不生锈，耐腐蚀性好。</w:t>
            </w:r>
          </w:p>
          <w:p w14:paraId="7529299B">
            <w:pPr>
              <w:jc w:val="left"/>
              <w:rPr>
                <w:rFonts w:hint="eastAsia"/>
                <w:highlight w:val="none"/>
                <w:vertAlign w:val="baseline"/>
              </w:rPr>
            </w:pPr>
            <w:r>
              <w:rPr>
                <w:rFonts w:hint="eastAsia"/>
                <w:highlight w:val="none"/>
                <w:vertAlign w:val="baseline"/>
              </w:rPr>
              <w:t>7、螺丝：不锈钢304材质。</w:t>
            </w:r>
          </w:p>
          <w:p w14:paraId="18645676">
            <w:pPr>
              <w:jc w:val="left"/>
              <w:rPr>
                <w:rFonts w:hint="eastAsia"/>
                <w:highlight w:val="none"/>
                <w:vertAlign w:val="baseline"/>
              </w:rPr>
            </w:pPr>
            <w:r>
              <w:rPr>
                <w:rFonts w:hint="eastAsia"/>
                <w:highlight w:val="none"/>
                <w:vertAlign w:val="baseline"/>
              </w:rPr>
              <w:t>▲仪器柜整体通过GB/T 32487-2016 塑料家具通用技术条件检测，柜类强度和耐久性，塑料件外观，理化性能，有害物质限量。测试结果符合指标要求。备注：为确保产品质量，需提供具有CMA或CNAS标识的检测报告扫描件。</w:t>
            </w:r>
          </w:p>
        </w:tc>
        <w:tc>
          <w:tcPr>
            <w:tcW w:w="736" w:type="dxa"/>
            <w:noWrap w:val="0"/>
            <w:vAlign w:val="center"/>
          </w:tcPr>
          <w:p w14:paraId="4A4144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834" w:type="dxa"/>
            <w:noWrap w:val="0"/>
            <w:vAlign w:val="center"/>
          </w:tcPr>
          <w:p w14:paraId="42DFB2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3396" w:type="dxa"/>
            <w:gridSpan w:val="2"/>
            <w:noWrap w:val="0"/>
            <w:vAlign w:val="center"/>
          </w:tcPr>
          <w:p w14:paraId="11CC7804">
            <w:pPr>
              <w:jc w:val="center"/>
              <w:rPr>
                <w:highlight w:val="none"/>
              </w:rPr>
            </w:pPr>
            <w:r>
              <w:rPr>
                <w:highlight w:val="none"/>
              </w:rPr>
              <w:drawing>
                <wp:inline distT="0" distB="0" distL="114300" distR="114300">
                  <wp:extent cx="1791970" cy="2696210"/>
                  <wp:effectExtent l="0" t="0" r="11430" b="8890"/>
                  <wp:docPr id="2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4"/>
                          <pic:cNvPicPr>
                            <a:picLocks noChangeAspect="1"/>
                          </pic:cNvPicPr>
                        </pic:nvPicPr>
                        <pic:blipFill>
                          <a:blip r:embed="rId37"/>
                          <a:stretch>
                            <a:fillRect/>
                          </a:stretch>
                        </pic:blipFill>
                        <pic:spPr>
                          <a:xfrm>
                            <a:off x="0" y="0"/>
                            <a:ext cx="1791970" cy="2696210"/>
                          </a:xfrm>
                          <a:prstGeom prst="rect">
                            <a:avLst/>
                          </a:prstGeom>
                          <a:noFill/>
                          <a:ln>
                            <a:noFill/>
                          </a:ln>
                        </pic:spPr>
                      </pic:pic>
                    </a:graphicData>
                  </a:graphic>
                </wp:inline>
              </w:drawing>
            </w:r>
          </w:p>
        </w:tc>
        <w:tc>
          <w:tcPr>
            <w:tcW w:w="710" w:type="dxa"/>
            <w:gridSpan w:val="2"/>
            <w:noWrap w:val="0"/>
            <w:vAlign w:val="center"/>
          </w:tcPr>
          <w:p w14:paraId="6E8F5184">
            <w:pPr>
              <w:jc w:val="both"/>
              <w:rPr>
                <w:highlight w:val="none"/>
                <w:vertAlign w:val="baseline"/>
              </w:rPr>
            </w:pPr>
          </w:p>
        </w:tc>
      </w:tr>
      <w:tr w14:paraId="5A7D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4189" w:type="dxa"/>
            <w:gridSpan w:val="9"/>
            <w:noWrap w:val="0"/>
            <w:vAlign w:val="center"/>
          </w:tcPr>
          <w:p w14:paraId="000A1712">
            <w:pPr>
              <w:jc w:val="both"/>
              <w:rPr>
                <w:highlight w:val="none"/>
                <w:vertAlign w:val="baseline"/>
              </w:rPr>
            </w:pPr>
            <w:r>
              <w:rPr>
                <w:rFonts w:hint="eastAsia"/>
                <w:sz w:val="30"/>
                <w:szCs w:val="30"/>
                <w:highlight w:val="none"/>
                <w:vertAlign w:val="baseline"/>
              </w:rPr>
              <w:t>二、安装附件部分</w:t>
            </w:r>
          </w:p>
        </w:tc>
      </w:tr>
      <w:tr w14:paraId="406E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F31C84B">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1690" w:type="dxa"/>
            <w:noWrap w:val="0"/>
            <w:vAlign w:val="center"/>
          </w:tcPr>
          <w:p w14:paraId="737DC75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安装及调试</w:t>
            </w:r>
          </w:p>
        </w:tc>
        <w:tc>
          <w:tcPr>
            <w:tcW w:w="5928" w:type="dxa"/>
            <w:noWrap w:val="0"/>
            <w:vAlign w:val="center"/>
          </w:tcPr>
          <w:p w14:paraId="59FB438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设备安装及调试。</w:t>
            </w:r>
          </w:p>
        </w:tc>
        <w:tc>
          <w:tcPr>
            <w:tcW w:w="736" w:type="dxa"/>
            <w:noWrap w:val="0"/>
            <w:vAlign w:val="center"/>
          </w:tcPr>
          <w:p w14:paraId="4F9782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834" w:type="dxa"/>
            <w:noWrap w:val="0"/>
            <w:vAlign w:val="center"/>
          </w:tcPr>
          <w:p w14:paraId="0C2A79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w:t>
            </w:r>
          </w:p>
        </w:tc>
        <w:tc>
          <w:tcPr>
            <w:tcW w:w="3396" w:type="dxa"/>
            <w:gridSpan w:val="2"/>
            <w:noWrap w:val="0"/>
            <w:vAlign w:val="center"/>
          </w:tcPr>
          <w:p w14:paraId="1D09A059">
            <w:pPr>
              <w:jc w:val="center"/>
              <w:rPr>
                <w:highlight w:val="none"/>
              </w:rPr>
            </w:pPr>
          </w:p>
        </w:tc>
        <w:tc>
          <w:tcPr>
            <w:tcW w:w="710" w:type="dxa"/>
            <w:gridSpan w:val="2"/>
            <w:noWrap w:val="0"/>
            <w:vAlign w:val="center"/>
          </w:tcPr>
          <w:p w14:paraId="0003D43B">
            <w:pPr>
              <w:jc w:val="both"/>
              <w:rPr>
                <w:highlight w:val="none"/>
                <w:vertAlign w:val="baseline"/>
              </w:rPr>
            </w:pPr>
          </w:p>
        </w:tc>
      </w:tr>
      <w:tr w14:paraId="6BD9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4189" w:type="dxa"/>
            <w:gridSpan w:val="9"/>
            <w:noWrap w:val="0"/>
            <w:vAlign w:val="center"/>
          </w:tcPr>
          <w:p w14:paraId="04B6E901">
            <w:pPr>
              <w:jc w:val="center"/>
              <w:rPr>
                <w:highlight w:val="none"/>
                <w:vertAlign w:val="baseline"/>
              </w:rPr>
            </w:pPr>
            <w:r>
              <w:rPr>
                <w:rFonts w:hint="eastAsia"/>
                <w:b/>
                <w:bCs/>
                <w:sz w:val="36"/>
                <w:szCs w:val="36"/>
                <w:highlight w:val="none"/>
                <w:vertAlign w:val="baseline"/>
              </w:rPr>
              <w:t>理化生教学实验仪器部分</w:t>
            </w:r>
          </w:p>
        </w:tc>
      </w:tr>
      <w:tr w14:paraId="5911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189" w:type="dxa"/>
            <w:gridSpan w:val="9"/>
            <w:noWrap w:val="0"/>
            <w:vAlign w:val="center"/>
          </w:tcPr>
          <w:p w14:paraId="1901398E">
            <w:pPr>
              <w:keepNext w:val="0"/>
              <w:keepLines w:val="0"/>
              <w:widowControl/>
              <w:suppressLineNumbers w:val="0"/>
              <w:jc w:val="left"/>
              <w:textAlignment w:val="center"/>
              <w:rPr>
                <w:highlight w:val="none"/>
                <w:vertAlign w:val="baseline"/>
              </w:rPr>
            </w:pPr>
            <w:r>
              <w:rPr>
                <w:rFonts w:hint="eastAsia"/>
                <w:b/>
                <w:bCs/>
                <w:sz w:val="30"/>
                <w:szCs w:val="30"/>
                <w:highlight w:val="none"/>
                <w:vertAlign w:val="baseline"/>
              </w:rPr>
              <w:t>物理仪器及试剂</w:t>
            </w:r>
          </w:p>
        </w:tc>
      </w:tr>
      <w:tr w14:paraId="5A9B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95" w:type="dxa"/>
            <w:noWrap w:val="0"/>
            <w:vAlign w:val="center"/>
          </w:tcPr>
          <w:p w14:paraId="7366161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5303C2A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05815A48">
            <w:pPr>
              <w:keepNext w:val="0"/>
              <w:keepLines w:val="0"/>
              <w:widowControl/>
              <w:suppressLineNumbers w:val="0"/>
              <w:jc w:val="center"/>
              <w:textAlignment w:val="center"/>
              <w:rPr>
                <w:rFonts w:hint="eastAsia"/>
                <w:highlight w:val="none"/>
                <w:vertAlign w:val="baseline"/>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3E94D2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38FE9D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6B0330F1">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005D988C">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02CE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DF161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1690" w:type="dxa"/>
            <w:noWrap w:val="0"/>
            <w:vAlign w:val="center"/>
          </w:tcPr>
          <w:p w14:paraId="144DCA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实验服</w:t>
            </w:r>
          </w:p>
        </w:tc>
        <w:tc>
          <w:tcPr>
            <w:tcW w:w="5928" w:type="dxa"/>
            <w:noWrap w:val="0"/>
            <w:vAlign w:val="center"/>
          </w:tcPr>
          <w:p w14:paraId="5F72A50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白大褂</w:t>
            </w:r>
          </w:p>
        </w:tc>
        <w:tc>
          <w:tcPr>
            <w:tcW w:w="736" w:type="dxa"/>
            <w:noWrap w:val="0"/>
            <w:vAlign w:val="center"/>
          </w:tcPr>
          <w:p w14:paraId="456E32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148C66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2989CC7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4EE092A5">
            <w:pPr>
              <w:jc w:val="both"/>
              <w:rPr>
                <w:highlight w:val="none"/>
                <w:vertAlign w:val="baseline"/>
              </w:rPr>
            </w:pPr>
          </w:p>
        </w:tc>
      </w:tr>
      <w:tr w14:paraId="3C64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3827C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1690" w:type="dxa"/>
            <w:noWrap w:val="0"/>
            <w:vAlign w:val="center"/>
          </w:tcPr>
          <w:p w14:paraId="5FB11B9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剥线钳</w:t>
            </w:r>
          </w:p>
        </w:tc>
        <w:tc>
          <w:tcPr>
            <w:tcW w:w="5928" w:type="dxa"/>
            <w:noWrap w:val="0"/>
            <w:vAlign w:val="center"/>
          </w:tcPr>
          <w:p w14:paraId="694E5B9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剥线范围Φ0.5 mm～Φ2mm</w:t>
            </w:r>
          </w:p>
        </w:tc>
        <w:tc>
          <w:tcPr>
            <w:tcW w:w="736" w:type="dxa"/>
            <w:noWrap w:val="0"/>
            <w:vAlign w:val="center"/>
          </w:tcPr>
          <w:p w14:paraId="2D0F7CC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F53BD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227EE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5853E392">
            <w:pPr>
              <w:jc w:val="both"/>
              <w:rPr>
                <w:highlight w:val="none"/>
                <w:vertAlign w:val="baseline"/>
              </w:rPr>
            </w:pPr>
          </w:p>
        </w:tc>
      </w:tr>
      <w:tr w14:paraId="7346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34E64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1690" w:type="dxa"/>
            <w:noWrap w:val="0"/>
            <w:vAlign w:val="center"/>
          </w:tcPr>
          <w:p w14:paraId="59F4D5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钢丝钳</w:t>
            </w:r>
          </w:p>
        </w:tc>
        <w:tc>
          <w:tcPr>
            <w:tcW w:w="5928" w:type="dxa"/>
            <w:noWrap w:val="0"/>
            <w:vAlign w:val="center"/>
          </w:tcPr>
          <w:p w14:paraId="1CFB15A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160 mm</w:t>
            </w:r>
          </w:p>
        </w:tc>
        <w:tc>
          <w:tcPr>
            <w:tcW w:w="736" w:type="dxa"/>
            <w:noWrap w:val="0"/>
            <w:vAlign w:val="center"/>
          </w:tcPr>
          <w:p w14:paraId="750294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443174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49FFE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604F65C6">
            <w:pPr>
              <w:jc w:val="both"/>
              <w:rPr>
                <w:highlight w:val="none"/>
                <w:vertAlign w:val="baseline"/>
              </w:rPr>
            </w:pPr>
          </w:p>
        </w:tc>
      </w:tr>
      <w:tr w14:paraId="3C06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56A29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1690" w:type="dxa"/>
            <w:noWrap w:val="0"/>
            <w:vAlign w:val="center"/>
          </w:tcPr>
          <w:p w14:paraId="7E5B56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直角尺</w:t>
            </w:r>
          </w:p>
        </w:tc>
        <w:tc>
          <w:tcPr>
            <w:tcW w:w="5928" w:type="dxa"/>
            <w:noWrap w:val="0"/>
            <w:vAlign w:val="center"/>
          </w:tcPr>
          <w:p w14:paraId="106836A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宽座角尺，160 mm×100 mm</w:t>
            </w:r>
          </w:p>
        </w:tc>
        <w:tc>
          <w:tcPr>
            <w:tcW w:w="736" w:type="dxa"/>
            <w:noWrap w:val="0"/>
            <w:vAlign w:val="center"/>
          </w:tcPr>
          <w:p w14:paraId="459503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C0FEA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5DD1C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631F1B74">
            <w:pPr>
              <w:jc w:val="both"/>
              <w:rPr>
                <w:highlight w:val="none"/>
                <w:vertAlign w:val="baseline"/>
              </w:rPr>
            </w:pPr>
          </w:p>
        </w:tc>
      </w:tr>
      <w:tr w14:paraId="0877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EC38EE">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1690" w:type="dxa"/>
            <w:noWrap w:val="0"/>
            <w:vAlign w:val="center"/>
          </w:tcPr>
          <w:p w14:paraId="248962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乳胶手套</w:t>
            </w:r>
          </w:p>
        </w:tc>
        <w:tc>
          <w:tcPr>
            <w:tcW w:w="5928" w:type="dxa"/>
            <w:noWrap w:val="0"/>
            <w:vAlign w:val="center"/>
          </w:tcPr>
          <w:p w14:paraId="7682BD2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耐酸碱</w:t>
            </w:r>
          </w:p>
        </w:tc>
        <w:tc>
          <w:tcPr>
            <w:tcW w:w="736" w:type="dxa"/>
            <w:noWrap w:val="0"/>
            <w:vAlign w:val="center"/>
          </w:tcPr>
          <w:p w14:paraId="6D2F73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w:t>
            </w:r>
          </w:p>
        </w:tc>
        <w:tc>
          <w:tcPr>
            <w:tcW w:w="834" w:type="dxa"/>
            <w:noWrap w:val="0"/>
            <w:vAlign w:val="center"/>
          </w:tcPr>
          <w:p w14:paraId="71804C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56FFE1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74DB53C7">
            <w:pPr>
              <w:jc w:val="both"/>
              <w:rPr>
                <w:highlight w:val="none"/>
                <w:vertAlign w:val="baseline"/>
              </w:rPr>
            </w:pPr>
          </w:p>
        </w:tc>
      </w:tr>
      <w:tr w14:paraId="3A3D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5DBB7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1690" w:type="dxa"/>
            <w:noWrap w:val="0"/>
            <w:vAlign w:val="center"/>
          </w:tcPr>
          <w:p w14:paraId="69D1A3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机械危害防护手套</w:t>
            </w:r>
          </w:p>
        </w:tc>
        <w:tc>
          <w:tcPr>
            <w:tcW w:w="5928" w:type="dxa"/>
            <w:noWrap w:val="0"/>
            <w:vAlign w:val="center"/>
          </w:tcPr>
          <w:p w14:paraId="549EC48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 级</w:t>
            </w:r>
          </w:p>
        </w:tc>
        <w:tc>
          <w:tcPr>
            <w:tcW w:w="736" w:type="dxa"/>
            <w:noWrap w:val="0"/>
            <w:vAlign w:val="center"/>
          </w:tcPr>
          <w:p w14:paraId="66778F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w:t>
            </w:r>
          </w:p>
        </w:tc>
        <w:tc>
          <w:tcPr>
            <w:tcW w:w="834" w:type="dxa"/>
            <w:noWrap w:val="0"/>
            <w:vAlign w:val="center"/>
          </w:tcPr>
          <w:p w14:paraId="3BF8BC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w:t>
            </w:r>
          </w:p>
        </w:tc>
        <w:tc>
          <w:tcPr>
            <w:tcW w:w="3396" w:type="dxa"/>
            <w:gridSpan w:val="2"/>
            <w:noWrap w:val="0"/>
            <w:vAlign w:val="center"/>
          </w:tcPr>
          <w:p w14:paraId="0238C6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204D8DC4">
            <w:pPr>
              <w:jc w:val="both"/>
              <w:rPr>
                <w:highlight w:val="none"/>
                <w:vertAlign w:val="baseline"/>
              </w:rPr>
            </w:pPr>
          </w:p>
        </w:tc>
      </w:tr>
      <w:tr w14:paraId="3E58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B5FF50">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1690" w:type="dxa"/>
            <w:noWrap w:val="0"/>
            <w:vAlign w:val="center"/>
          </w:tcPr>
          <w:p w14:paraId="3049DA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激光防护镜</w:t>
            </w:r>
          </w:p>
        </w:tc>
        <w:tc>
          <w:tcPr>
            <w:tcW w:w="5928" w:type="dxa"/>
            <w:noWrap w:val="0"/>
            <w:vAlign w:val="center"/>
          </w:tcPr>
          <w:p w14:paraId="610BD74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激光类实验用</w:t>
            </w:r>
          </w:p>
        </w:tc>
        <w:tc>
          <w:tcPr>
            <w:tcW w:w="736" w:type="dxa"/>
            <w:noWrap w:val="0"/>
            <w:vAlign w:val="center"/>
          </w:tcPr>
          <w:p w14:paraId="3B7E68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F4A75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3396" w:type="dxa"/>
            <w:gridSpan w:val="2"/>
            <w:noWrap w:val="0"/>
            <w:vAlign w:val="center"/>
          </w:tcPr>
          <w:p w14:paraId="355FED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283E2116">
            <w:pPr>
              <w:jc w:val="both"/>
              <w:rPr>
                <w:highlight w:val="none"/>
                <w:vertAlign w:val="baseline"/>
              </w:rPr>
            </w:pPr>
          </w:p>
        </w:tc>
      </w:tr>
      <w:tr w14:paraId="4D70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99A5D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690" w:type="dxa"/>
            <w:noWrap w:val="0"/>
            <w:vAlign w:val="center"/>
          </w:tcPr>
          <w:p w14:paraId="39E712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护目镜</w:t>
            </w:r>
          </w:p>
        </w:tc>
        <w:tc>
          <w:tcPr>
            <w:tcW w:w="5928" w:type="dxa"/>
            <w:noWrap w:val="0"/>
            <w:vAlign w:val="center"/>
          </w:tcPr>
          <w:p w14:paraId="642CB0A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侧面完全遮挡</w:t>
            </w:r>
          </w:p>
        </w:tc>
        <w:tc>
          <w:tcPr>
            <w:tcW w:w="736" w:type="dxa"/>
            <w:noWrap w:val="0"/>
            <w:vAlign w:val="center"/>
          </w:tcPr>
          <w:p w14:paraId="410738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516A1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w:t>
            </w:r>
          </w:p>
        </w:tc>
        <w:tc>
          <w:tcPr>
            <w:tcW w:w="3396" w:type="dxa"/>
            <w:gridSpan w:val="2"/>
            <w:noWrap w:val="0"/>
            <w:vAlign w:val="center"/>
          </w:tcPr>
          <w:p w14:paraId="42155F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2BA7FED1">
            <w:pPr>
              <w:jc w:val="both"/>
              <w:rPr>
                <w:highlight w:val="none"/>
                <w:vertAlign w:val="baseline"/>
              </w:rPr>
            </w:pPr>
          </w:p>
        </w:tc>
      </w:tr>
      <w:tr w14:paraId="1291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C76E2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690" w:type="dxa"/>
            <w:noWrap w:val="0"/>
            <w:vAlign w:val="center"/>
          </w:tcPr>
          <w:p w14:paraId="4C0B6EF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简易急救箱</w:t>
            </w:r>
          </w:p>
        </w:tc>
        <w:tc>
          <w:tcPr>
            <w:tcW w:w="5928" w:type="dxa"/>
            <w:noWrap w:val="0"/>
            <w:vAlign w:val="center"/>
          </w:tcPr>
          <w:p w14:paraId="073740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塑料盒，常规要品</w:t>
            </w:r>
          </w:p>
        </w:tc>
        <w:tc>
          <w:tcPr>
            <w:tcW w:w="736" w:type="dxa"/>
            <w:noWrap w:val="0"/>
            <w:vAlign w:val="center"/>
          </w:tcPr>
          <w:p w14:paraId="4BC30A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44B23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B5D0E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3964A01A">
            <w:pPr>
              <w:jc w:val="both"/>
              <w:rPr>
                <w:highlight w:val="none"/>
                <w:vertAlign w:val="baseline"/>
              </w:rPr>
            </w:pPr>
          </w:p>
        </w:tc>
      </w:tr>
      <w:tr w14:paraId="7216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8732E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1690" w:type="dxa"/>
            <w:noWrap w:val="0"/>
            <w:vAlign w:val="center"/>
          </w:tcPr>
          <w:p w14:paraId="73DF76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电冰箱</w:t>
            </w:r>
          </w:p>
        </w:tc>
        <w:tc>
          <w:tcPr>
            <w:tcW w:w="5928" w:type="dxa"/>
            <w:noWrap w:val="0"/>
            <w:vAlign w:val="center"/>
          </w:tcPr>
          <w:p w14:paraId="6B55266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≥180 L</w:t>
            </w:r>
          </w:p>
        </w:tc>
        <w:tc>
          <w:tcPr>
            <w:tcW w:w="736" w:type="dxa"/>
            <w:noWrap w:val="0"/>
            <w:vAlign w:val="center"/>
          </w:tcPr>
          <w:p w14:paraId="60B4F5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5F3C7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2AFC4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380BB338">
            <w:pPr>
              <w:jc w:val="both"/>
              <w:rPr>
                <w:highlight w:val="none"/>
                <w:vertAlign w:val="baseline"/>
              </w:rPr>
            </w:pPr>
          </w:p>
        </w:tc>
      </w:tr>
      <w:tr w14:paraId="6373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85F8C4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1690" w:type="dxa"/>
            <w:noWrap w:val="0"/>
            <w:vAlign w:val="center"/>
          </w:tcPr>
          <w:p w14:paraId="309EF8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电磁炉</w:t>
            </w:r>
          </w:p>
        </w:tc>
        <w:tc>
          <w:tcPr>
            <w:tcW w:w="5928" w:type="dxa"/>
            <w:noWrap w:val="0"/>
            <w:vAlign w:val="center"/>
          </w:tcPr>
          <w:p w14:paraId="57C8ED0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功率可调，≥1600 W</w:t>
            </w:r>
          </w:p>
        </w:tc>
        <w:tc>
          <w:tcPr>
            <w:tcW w:w="736" w:type="dxa"/>
            <w:noWrap w:val="0"/>
            <w:vAlign w:val="center"/>
          </w:tcPr>
          <w:p w14:paraId="115CD0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11D5CF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59FDF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024E897D">
            <w:pPr>
              <w:jc w:val="both"/>
              <w:rPr>
                <w:highlight w:val="none"/>
                <w:vertAlign w:val="baseline"/>
              </w:rPr>
            </w:pPr>
          </w:p>
        </w:tc>
      </w:tr>
      <w:tr w14:paraId="5D81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3F1D9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w:t>
            </w:r>
          </w:p>
        </w:tc>
        <w:tc>
          <w:tcPr>
            <w:tcW w:w="1690" w:type="dxa"/>
            <w:noWrap w:val="0"/>
            <w:vAlign w:val="center"/>
          </w:tcPr>
          <w:p w14:paraId="0B14DE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吹风机</w:t>
            </w:r>
          </w:p>
        </w:tc>
        <w:tc>
          <w:tcPr>
            <w:tcW w:w="5928" w:type="dxa"/>
            <w:noWrap w:val="0"/>
            <w:vAlign w:val="center"/>
          </w:tcPr>
          <w:p w14:paraId="7AA85DC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功率≥1000 W</w:t>
            </w:r>
          </w:p>
        </w:tc>
        <w:tc>
          <w:tcPr>
            <w:tcW w:w="736" w:type="dxa"/>
            <w:noWrap w:val="0"/>
            <w:vAlign w:val="center"/>
          </w:tcPr>
          <w:p w14:paraId="6DA666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5C3C47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64E99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6A473F08">
            <w:pPr>
              <w:jc w:val="both"/>
              <w:rPr>
                <w:highlight w:val="none"/>
                <w:vertAlign w:val="baseline"/>
              </w:rPr>
            </w:pPr>
          </w:p>
        </w:tc>
      </w:tr>
      <w:tr w14:paraId="031B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9EEB3D1">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1690" w:type="dxa"/>
            <w:noWrap w:val="0"/>
            <w:vAlign w:val="center"/>
          </w:tcPr>
          <w:p w14:paraId="5D6032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超声波清洗机</w:t>
            </w:r>
          </w:p>
        </w:tc>
        <w:tc>
          <w:tcPr>
            <w:tcW w:w="5928" w:type="dxa"/>
            <w:noWrap w:val="0"/>
            <w:vAlign w:val="center"/>
          </w:tcPr>
          <w:p w14:paraId="4FA4BC8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 L～30 L</w:t>
            </w:r>
          </w:p>
        </w:tc>
        <w:tc>
          <w:tcPr>
            <w:tcW w:w="736" w:type="dxa"/>
            <w:noWrap w:val="0"/>
            <w:vAlign w:val="center"/>
          </w:tcPr>
          <w:p w14:paraId="4C1CC7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6F5DC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9AC16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16C307D4">
            <w:pPr>
              <w:jc w:val="both"/>
              <w:rPr>
                <w:highlight w:val="none"/>
                <w:vertAlign w:val="baseline"/>
              </w:rPr>
            </w:pPr>
          </w:p>
        </w:tc>
      </w:tr>
      <w:tr w14:paraId="7E03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879A3F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14</w:t>
            </w:r>
          </w:p>
        </w:tc>
        <w:tc>
          <w:tcPr>
            <w:tcW w:w="1690" w:type="dxa"/>
            <w:noWrap w:val="0"/>
            <w:vAlign w:val="center"/>
          </w:tcPr>
          <w:p w14:paraId="53F8F3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仪器小车</w:t>
            </w:r>
          </w:p>
        </w:tc>
        <w:tc>
          <w:tcPr>
            <w:tcW w:w="5928" w:type="dxa"/>
            <w:noWrap w:val="0"/>
            <w:vAlign w:val="center"/>
          </w:tcPr>
          <w:p w14:paraId="402090C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不锈钢、750*400*830mm</w:t>
            </w:r>
          </w:p>
        </w:tc>
        <w:tc>
          <w:tcPr>
            <w:tcW w:w="736" w:type="dxa"/>
            <w:noWrap w:val="0"/>
            <w:vAlign w:val="center"/>
          </w:tcPr>
          <w:p w14:paraId="0AC539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辆</w:t>
            </w:r>
          </w:p>
        </w:tc>
        <w:tc>
          <w:tcPr>
            <w:tcW w:w="834" w:type="dxa"/>
            <w:noWrap w:val="0"/>
            <w:vAlign w:val="center"/>
          </w:tcPr>
          <w:p w14:paraId="32EE1B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77FD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20C8F255">
            <w:pPr>
              <w:jc w:val="both"/>
              <w:rPr>
                <w:highlight w:val="none"/>
                <w:vertAlign w:val="baseline"/>
              </w:rPr>
            </w:pPr>
          </w:p>
        </w:tc>
      </w:tr>
      <w:tr w14:paraId="543B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F1A21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w:t>
            </w:r>
          </w:p>
        </w:tc>
        <w:tc>
          <w:tcPr>
            <w:tcW w:w="1690" w:type="dxa"/>
            <w:noWrap w:val="0"/>
            <w:vAlign w:val="center"/>
          </w:tcPr>
          <w:p w14:paraId="6049A7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小托盘</w:t>
            </w:r>
          </w:p>
        </w:tc>
        <w:tc>
          <w:tcPr>
            <w:tcW w:w="5928" w:type="dxa"/>
            <w:noWrap w:val="0"/>
            <w:vAlign w:val="center"/>
          </w:tcPr>
          <w:p w14:paraId="2DFD4D5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塑料制，36*27*13cm</w:t>
            </w:r>
          </w:p>
        </w:tc>
        <w:tc>
          <w:tcPr>
            <w:tcW w:w="736" w:type="dxa"/>
            <w:noWrap w:val="0"/>
            <w:vAlign w:val="center"/>
          </w:tcPr>
          <w:p w14:paraId="7FA4E8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F4E99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0026B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177B0662">
            <w:pPr>
              <w:jc w:val="both"/>
              <w:rPr>
                <w:highlight w:val="none"/>
                <w:vertAlign w:val="baseline"/>
              </w:rPr>
            </w:pPr>
          </w:p>
        </w:tc>
      </w:tr>
      <w:tr w14:paraId="7DE2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87D60C4">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w:t>
            </w:r>
          </w:p>
        </w:tc>
        <w:tc>
          <w:tcPr>
            <w:tcW w:w="1690" w:type="dxa"/>
            <w:noWrap w:val="0"/>
            <w:vAlign w:val="center"/>
          </w:tcPr>
          <w:p w14:paraId="3C1F88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大托盘</w:t>
            </w:r>
          </w:p>
        </w:tc>
        <w:tc>
          <w:tcPr>
            <w:tcW w:w="5928" w:type="dxa"/>
            <w:noWrap w:val="0"/>
            <w:vAlign w:val="center"/>
          </w:tcPr>
          <w:p w14:paraId="0E1B418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塑料制，42*31*15cm</w:t>
            </w:r>
          </w:p>
        </w:tc>
        <w:tc>
          <w:tcPr>
            <w:tcW w:w="736" w:type="dxa"/>
            <w:noWrap w:val="0"/>
            <w:vAlign w:val="center"/>
          </w:tcPr>
          <w:p w14:paraId="08677D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84557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F34D4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77094EA9">
            <w:pPr>
              <w:jc w:val="both"/>
              <w:rPr>
                <w:highlight w:val="none"/>
                <w:vertAlign w:val="baseline"/>
              </w:rPr>
            </w:pPr>
          </w:p>
        </w:tc>
      </w:tr>
      <w:tr w14:paraId="7D2E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7E932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w:t>
            </w:r>
          </w:p>
        </w:tc>
        <w:tc>
          <w:tcPr>
            <w:tcW w:w="1690" w:type="dxa"/>
            <w:noWrap w:val="0"/>
            <w:vAlign w:val="center"/>
          </w:tcPr>
          <w:p w14:paraId="3E20DD2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实验用品提篮</w:t>
            </w:r>
          </w:p>
        </w:tc>
        <w:tc>
          <w:tcPr>
            <w:tcW w:w="5928" w:type="dxa"/>
            <w:noWrap w:val="0"/>
            <w:vAlign w:val="center"/>
          </w:tcPr>
          <w:p w14:paraId="7A9E533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木制，配有提手,长42cm宽28cm高38cm，底部高8cm，木制</w:t>
            </w:r>
          </w:p>
        </w:tc>
        <w:tc>
          <w:tcPr>
            <w:tcW w:w="736" w:type="dxa"/>
            <w:noWrap w:val="0"/>
            <w:vAlign w:val="center"/>
          </w:tcPr>
          <w:p w14:paraId="259A14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1D272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CFF2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714DBE1E">
            <w:pPr>
              <w:jc w:val="both"/>
              <w:rPr>
                <w:highlight w:val="none"/>
                <w:vertAlign w:val="baseline"/>
              </w:rPr>
            </w:pPr>
          </w:p>
        </w:tc>
      </w:tr>
      <w:tr w14:paraId="0837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F66D00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18</w:t>
            </w:r>
          </w:p>
        </w:tc>
        <w:tc>
          <w:tcPr>
            <w:tcW w:w="1690" w:type="dxa"/>
            <w:noWrap w:val="0"/>
            <w:vAlign w:val="center"/>
          </w:tcPr>
          <w:p w14:paraId="57572E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整理箱</w:t>
            </w:r>
          </w:p>
        </w:tc>
        <w:tc>
          <w:tcPr>
            <w:tcW w:w="5928" w:type="dxa"/>
            <w:noWrap w:val="0"/>
            <w:vAlign w:val="center"/>
          </w:tcPr>
          <w:p w14:paraId="2A52FA6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PP材质</w:t>
            </w:r>
          </w:p>
        </w:tc>
        <w:tc>
          <w:tcPr>
            <w:tcW w:w="736" w:type="dxa"/>
            <w:noWrap w:val="0"/>
            <w:vAlign w:val="center"/>
          </w:tcPr>
          <w:p w14:paraId="1FA145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8ABF2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CAF2F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352353A6">
            <w:pPr>
              <w:jc w:val="both"/>
              <w:rPr>
                <w:highlight w:val="none"/>
                <w:vertAlign w:val="baseline"/>
              </w:rPr>
            </w:pPr>
          </w:p>
        </w:tc>
      </w:tr>
      <w:tr w14:paraId="7C26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43837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19</w:t>
            </w:r>
          </w:p>
        </w:tc>
        <w:tc>
          <w:tcPr>
            <w:tcW w:w="1690" w:type="dxa"/>
            <w:noWrap w:val="0"/>
            <w:vAlign w:val="center"/>
          </w:tcPr>
          <w:p w14:paraId="069D41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一字螺丝刀</w:t>
            </w:r>
          </w:p>
        </w:tc>
        <w:tc>
          <w:tcPr>
            <w:tcW w:w="5928" w:type="dxa"/>
            <w:noWrap w:val="0"/>
            <w:vAlign w:val="center"/>
          </w:tcPr>
          <w:p w14:paraId="51CF854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套装 Φ6 mm，Φ3 mm，各一把</w:t>
            </w:r>
          </w:p>
        </w:tc>
        <w:tc>
          <w:tcPr>
            <w:tcW w:w="736" w:type="dxa"/>
            <w:noWrap w:val="0"/>
            <w:vAlign w:val="center"/>
          </w:tcPr>
          <w:p w14:paraId="6523F4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73742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85EF1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710" w:type="dxa"/>
            <w:gridSpan w:val="2"/>
            <w:noWrap w:val="0"/>
            <w:vAlign w:val="center"/>
          </w:tcPr>
          <w:p w14:paraId="60FF9DFB">
            <w:pPr>
              <w:jc w:val="both"/>
              <w:rPr>
                <w:highlight w:val="none"/>
                <w:vertAlign w:val="baseline"/>
              </w:rPr>
            </w:pPr>
          </w:p>
        </w:tc>
      </w:tr>
      <w:tr w14:paraId="6976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547AC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1690" w:type="dxa"/>
            <w:noWrap w:val="0"/>
            <w:vAlign w:val="center"/>
          </w:tcPr>
          <w:p w14:paraId="37FEB70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十字螺丝刀</w:t>
            </w:r>
          </w:p>
        </w:tc>
        <w:tc>
          <w:tcPr>
            <w:tcW w:w="5928" w:type="dxa"/>
            <w:noWrap w:val="0"/>
            <w:vAlign w:val="center"/>
          </w:tcPr>
          <w:p w14:paraId="44F03D7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套装 Φ6 mm，Φ3 mm，各一把</w:t>
            </w:r>
          </w:p>
        </w:tc>
        <w:tc>
          <w:tcPr>
            <w:tcW w:w="736" w:type="dxa"/>
            <w:noWrap w:val="0"/>
            <w:vAlign w:val="center"/>
          </w:tcPr>
          <w:p w14:paraId="66F8ED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2C2A7D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9186EA6">
            <w:pPr>
              <w:jc w:val="center"/>
              <w:rPr>
                <w:highlight w:val="none"/>
              </w:rPr>
            </w:pPr>
          </w:p>
        </w:tc>
        <w:tc>
          <w:tcPr>
            <w:tcW w:w="710" w:type="dxa"/>
            <w:gridSpan w:val="2"/>
            <w:noWrap w:val="0"/>
            <w:vAlign w:val="center"/>
          </w:tcPr>
          <w:p w14:paraId="60056333">
            <w:pPr>
              <w:jc w:val="both"/>
              <w:rPr>
                <w:highlight w:val="none"/>
                <w:vertAlign w:val="baseline"/>
              </w:rPr>
            </w:pPr>
          </w:p>
        </w:tc>
      </w:tr>
      <w:tr w14:paraId="4773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C81CE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21</w:t>
            </w:r>
          </w:p>
        </w:tc>
        <w:tc>
          <w:tcPr>
            <w:tcW w:w="1690" w:type="dxa"/>
            <w:noWrap w:val="0"/>
            <w:vAlign w:val="center"/>
          </w:tcPr>
          <w:p w14:paraId="34E7A4E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手板锯</w:t>
            </w:r>
          </w:p>
        </w:tc>
        <w:tc>
          <w:tcPr>
            <w:tcW w:w="5928" w:type="dxa"/>
            <w:noWrap w:val="0"/>
            <w:vAlign w:val="center"/>
          </w:tcPr>
          <w:p w14:paraId="7298508E">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固定式普通型</w:t>
            </w:r>
          </w:p>
        </w:tc>
        <w:tc>
          <w:tcPr>
            <w:tcW w:w="736" w:type="dxa"/>
            <w:noWrap w:val="0"/>
            <w:vAlign w:val="center"/>
          </w:tcPr>
          <w:p w14:paraId="084A42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164FF6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BB03F8">
            <w:pPr>
              <w:jc w:val="center"/>
              <w:rPr>
                <w:highlight w:val="none"/>
              </w:rPr>
            </w:pPr>
          </w:p>
        </w:tc>
        <w:tc>
          <w:tcPr>
            <w:tcW w:w="710" w:type="dxa"/>
            <w:gridSpan w:val="2"/>
            <w:noWrap w:val="0"/>
            <w:vAlign w:val="center"/>
          </w:tcPr>
          <w:p w14:paraId="2908E4B2">
            <w:pPr>
              <w:jc w:val="both"/>
              <w:rPr>
                <w:highlight w:val="none"/>
                <w:vertAlign w:val="baseline"/>
              </w:rPr>
            </w:pPr>
          </w:p>
        </w:tc>
      </w:tr>
      <w:tr w14:paraId="3021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B26366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22</w:t>
            </w:r>
          </w:p>
        </w:tc>
        <w:tc>
          <w:tcPr>
            <w:tcW w:w="1690" w:type="dxa"/>
            <w:noWrap w:val="0"/>
            <w:vAlign w:val="center"/>
          </w:tcPr>
          <w:p w14:paraId="643FFCB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钢手锯</w:t>
            </w:r>
          </w:p>
        </w:tc>
        <w:tc>
          <w:tcPr>
            <w:tcW w:w="5928" w:type="dxa"/>
            <w:noWrap w:val="0"/>
            <w:vAlign w:val="center"/>
          </w:tcPr>
          <w:p w14:paraId="17A95FC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长度300 mm</w:t>
            </w:r>
          </w:p>
        </w:tc>
        <w:tc>
          <w:tcPr>
            <w:tcW w:w="736" w:type="dxa"/>
            <w:noWrap w:val="0"/>
            <w:vAlign w:val="center"/>
          </w:tcPr>
          <w:p w14:paraId="6371EA8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897C5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16F9948">
            <w:pPr>
              <w:jc w:val="center"/>
              <w:rPr>
                <w:highlight w:val="none"/>
              </w:rPr>
            </w:pPr>
          </w:p>
        </w:tc>
        <w:tc>
          <w:tcPr>
            <w:tcW w:w="710" w:type="dxa"/>
            <w:gridSpan w:val="2"/>
            <w:noWrap w:val="0"/>
            <w:vAlign w:val="center"/>
          </w:tcPr>
          <w:p w14:paraId="18E21EF2">
            <w:pPr>
              <w:jc w:val="both"/>
              <w:rPr>
                <w:highlight w:val="none"/>
                <w:vertAlign w:val="baseline"/>
              </w:rPr>
            </w:pPr>
          </w:p>
        </w:tc>
      </w:tr>
      <w:tr w14:paraId="7ED5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8F55E7">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23</w:t>
            </w:r>
          </w:p>
        </w:tc>
        <w:tc>
          <w:tcPr>
            <w:tcW w:w="1690" w:type="dxa"/>
            <w:noWrap w:val="0"/>
            <w:vAlign w:val="center"/>
          </w:tcPr>
          <w:p w14:paraId="192EE82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木工锯</w:t>
            </w:r>
          </w:p>
        </w:tc>
        <w:tc>
          <w:tcPr>
            <w:tcW w:w="5928" w:type="dxa"/>
            <w:noWrap w:val="0"/>
            <w:vAlign w:val="center"/>
          </w:tcPr>
          <w:p w14:paraId="5FC4906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框架式，两头用硬木，中间带横档</w:t>
            </w:r>
          </w:p>
        </w:tc>
        <w:tc>
          <w:tcPr>
            <w:tcW w:w="736" w:type="dxa"/>
            <w:noWrap w:val="0"/>
            <w:vAlign w:val="center"/>
          </w:tcPr>
          <w:p w14:paraId="6ADBA3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3A842A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AB4F4A2">
            <w:pPr>
              <w:jc w:val="center"/>
              <w:rPr>
                <w:highlight w:val="none"/>
              </w:rPr>
            </w:pPr>
          </w:p>
        </w:tc>
        <w:tc>
          <w:tcPr>
            <w:tcW w:w="710" w:type="dxa"/>
            <w:gridSpan w:val="2"/>
            <w:noWrap w:val="0"/>
            <w:vAlign w:val="center"/>
          </w:tcPr>
          <w:p w14:paraId="78D3F92C">
            <w:pPr>
              <w:jc w:val="both"/>
              <w:rPr>
                <w:highlight w:val="none"/>
                <w:vertAlign w:val="baseline"/>
              </w:rPr>
            </w:pPr>
          </w:p>
        </w:tc>
      </w:tr>
      <w:tr w14:paraId="3567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631B0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24</w:t>
            </w:r>
          </w:p>
        </w:tc>
        <w:tc>
          <w:tcPr>
            <w:tcW w:w="1690" w:type="dxa"/>
            <w:noWrap w:val="0"/>
            <w:vAlign w:val="center"/>
          </w:tcPr>
          <w:p w14:paraId="1EC7210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曲线锯</w:t>
            </w:r>
          </w:p>
        </w:tc>
        <w:tc>
          <w:tcPr>
            <w:tcW w:w="5928" w:type="dxa"/>
            <w:noWrap w:val="0"/>
            <w:vAlign w:val="center"/>
          </w:tcPr>
          <w:p w14:paraId="00C1468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可调速</w:t>
            </w:r>
          </w:p>
        </w:tc>
        <w:tc>
          <w:tcPr>
            <w:tcW w:w="736" w:type="dxa"/>
            <w:noWrap w:val="0"/>
            <w:vAlign w:val="center"/>
          </w:tcPr>
          <w:p w14:paraId="1E4E17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2A922AC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7E698D3">
            <w:pPr>
              <w:jc w:val="center"/>
              <w:rPr>
                <w:highlight w:val="none"/>
              </w:rPr>
            </w:pPr>
          </w:p>
        </w:tc>
        <w:tc>
          <w:tcPr>
            <w:tcW w:w="710" w:type="dxa"/>
            <w:gridSpan w:val="2"/>
            <w:noWrap w:val="0"/>
            <w:vAlign w:val="center"/>
          </w:tcPr>
          <w:p w14:paraId="749A94B3">
            <w:pPr>
              <w:jc w:val="both"/>
              <w:rPr>
                <w:highlight w:val="none"/>
                <w:vertAlign w:val="baseline"/>
              </w:rPr>
            </w:pPr>
          </w:p>
        </w:tc>
      </w:tr>
      <w:tr w14:paraId="27F9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F0666D4">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1690" w:type="dxa"/>
            <w:noWrap w:val="0"/>
            <w:vAlign w:val="center"/>
          </w:tcPr>
          <w:p w14:paraId="1793FBD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电锯</w:t>
            </w:r>
          </w:p>
        </w:tc>
        <w:tc>
          <w:tcPr>
            <w:tcW w:w="5928" w:type="dxa"/>
            <w:noWrap w:val="0"/>
            <w:vAlign w:val="center"/>
          </w:tcPr>
          <w:p w14:paraId="0B557D0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手持式</w:t>
            </w:r>
          </w:p>
        </w:tc>
        <w:tc>
          <w:tcPr>
            <w:tcW w:w="736" w:type="dxa"/>
            <w:noWrap w:val="0"/>
            <w:vAlign w:val="center"/>
          </w:tcPr>
          <w:p w14:paraId="267A3E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05FEF0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BFD75C3">
            <w:pPr>
              <w:jc w:val="center"/>
              <w:rPr>
                <w:highlight w:val="none"/>
              </w:rPr>
            </w:pPr>
          </w:p>
        </w:tc>
        <w:tc>
          <w:tcPr>
            <w:tcW w:w="710" w:type="dxa"/>
            <w:gridSpan w:val="2"/>
            <w:noWrap w:val="0"/>
            <w:vAlign w:val="center"/>
          </w:tcPr>
          <w:p w14:paraId="0EBC9792">
            <w:pPr>
              <w:jc w:val="both"/>
              <w:rPr>
                <w:highlight w:val="none"/>
                <w:vertAlign w:val="baseline"/>
              </w:rPr>
            </w:pPr>
          </w:p>
        </w:tc>
      </w:tr>
      <w:tr w14:paraId="30D5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D1FCD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26</w:t>
            </w:r>
          </w:p>
        </w:tc>
        <w:tc>
          <w:tcPr>
            <w:tcW w:w="1690" w:type="dxa"/>
            <w:noWrap w:val="0"/>
            <w:vAlign w:val="center"/>
          </w:tcPr>
          <w:p w14:paraId="078E4E1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木工锤</w:t>
            </w:r>
          </w:p>
        </w:tc>
        <w:tc>
          <w:tcPr>
            <w:tcW w:w="5928" w:type="dxa"/>
            <w:noWrap w:val="0"/>
            <w:vAlign w:val="center"/>
          </w:tcPr>
          <w:p w14:paraId="2DCB823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0.25kg</w:t>
            </w:r>
          </w:p>
        </w:tc>
        <w:tc>
          <w:tcPr>
            <w:tcW w:w="736" w:type="dxa"/>
            <w:noWrap w:val="0"/>
            <w:vAlign w:val="center"/>
          </w:tcPr>
          <w:p w14:paraId="2B9943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462FF4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FD301B0">
            <w:pPr>
              <w:jc w:val="center"/>
              <w:rPr>
                <w:highlight w:val="none"/>
              </w:rPr>
            </w:pPr>
          </w:p>
        </w:tc>
        <w:tc>
          <w:tcPr>
            <w:tcW w:w="710" w:type="dxa"/>
            <w:gridSpan w:val="2"/>
            <w:noWrap w:val="0"/>
            <w:vAlign w:val="center"/>
          </w:tcPr>
          <w:p w14:paraId="1F014A96">
            <w:pPr>
              <w:jc w:val="both"/>
              <w:rPr>
                <w:highlight w:val="none"/>
                <w:vertAlign w:val="baseline"/>
              </w:rPr>
            </w:pPr>
          </w:p>
        </w:tc>
      </w:tr>
      <w:tr w14:paraId="0782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895F77">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27</w:t>
            </w:r>
          </w:p>
        </w:tc>
        <w:tc>
          <w:tcPr>
            <w:tcW w:w="1690" w:type="dxa"/>
            <w:noWrap w:val="0"/>
            <w:vAlign w:val="center"/>
          </w:tcPr>
          <w:p w14:paraId="1ABDEB8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钳工锤</w:t>
            </w:r>
          </w:p>
        </w:tc>
        <w:tc>
          <w:tcPr>
            <w:tcW w:w="5928" w:type="dxa"/>
            <w:noWrap w:val="0"/>
            <w:vAlign w:val="center"/>
          </w:tcPr>
          <w:p w14:paraId="10813D9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0.3kg</w:t>
            </w:r>
          </w:p>
        </w:tc>
        <w:tc>
          <w:tcPr>
            <w:tcW w:w="736" w:type="dxa"/>
            <w:noWrap w:val="0"/>
            <w:vAlign w:val="center"/>
          </w:tcPr>
          <w:p w14:paraId="735AC7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F576F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6BDCF13">
            <w:pPr>
              <w:jc w:val="center"/>
              <w:rPr>
                <w:highlight w:val="none"/>
              </w:rPr>
            </w:pPr>
          </w:p>
        </w:tc>
        <w:tc>
          <w:tcPr>
            <w:tcW w:w="710" w:type="dxa"/>
            <w:gridSpan w:val="2"/>
            <w:noWrap w:val="0"/>
            <w:vAlign w:val="center"/>
          </w:tcPr>
          <w:p w14:paraId="7C4C99AE">
            <w:pPr>
              <w:jc w:val="both"/>
              <w:rPr>
                <w:highlight w:val="none"/>
                <w:vertAlign w:val="baseline"/>
              </w:rPr>
            </w:pPr>
          </w:p>
        </w:tc>
      </w:tr>
      <w:tr w14:paraId="25F6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FF1C4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28</w:t>
            </w:r>
          </w:p>
        </w:tc>
        <w:tc>
          <w:tcPr>
            <w:tcW w:w="1690" w:type="dxa"/>
            <w:noWrap w:val="0"/>
            <w:vAlign w:val="center"/>
          </w:tcPr>
          <w:p w14:paraId="0495CD0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斧</w:t>
            </w:r>
          </w:p>
        </w:tc>
        <w:tc>
          <w:tcPr>
            <w:tcW w:w="5928" w:type="dxa"/>
            <w:noWrap w:val="0"/>
            <w:vAlign w:val="center"/>
          </w:tcPr>
          <w:p w14:paraId="063D21C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1.25kg</w:t>
            </w:r>
          </w:p>
        </w:tc>
        <w:tc>
          <w:tcPr>
            <w:tcW w:w="736" w:type="dxa"/>
            <w:noWrap w:val="0"/>
            <w:vAlign w:val="center"/>
          </w:tcPr>
          <w:p w14:paraId="1BCFB2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31BBAD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9E82BFD">
            <w:pPr>
              <w:jc w:val="center"/>
              <w:rPr>
                <w:highlight w:val="none"/>
              </w:rPr>
            </w:pPr>
          </w:p>
        </w:tc>
        <w:tc>
          <w:tcPr>
            <w:tcW w:w="710" w:type="dxa"/>
            <w:gridSpan w:val="2"/>
            <w:noWrap w:val="0"/>
            <w:vAlign w:val="center"/>
          </w:tcPr>
          <w:p w14:paraId="47E90205">
            <w:pPr>
              <w:jc w:val="both"/>
              <w:rPr>
                <w:highlight w:val="none"/>
                <w:vertAlign w:val="baseline"/>
              </w:rPr>
            </w:pPr>
          </w:p>
        </w:tc>
      </w:tr>
      <w:tr w14:paraId="5F26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FB465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29</w:t>
            </w:r>
          </w:p>
        </w:tc>
        <w:tc>
          <w:tcPr>
            <w:tcW w:w="1690" w:type="dxa"/>
            <w:noWrap w:val="0"/>
            <w:vAlign w:val="center"/>
          </w:tcPr>
          <w:p w14:paraId="512AAB6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尖嘴钳</w:t>
            </w:r>
          </w:p>
        </w:tc>
        <w:tc>
          <w:tcPr>
            <w:tcW w:w="5928" w:type="dxa"/>
            <w:noWrap w:val="0"/>
            <w:vAlign w:val="center"/>
          </w:tcPr>
          <w:p w14:paraId="549BDB3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160mm</w:t>
            </w:r>
          </w:p>
        </w:tc>
        <w:tc>
          <w:tcPr>
            <w:tcW w:w="736" w:type="dxa"/>
            <w:noWrap w:val="0"/>
            <w:vAlign w:val="center"/>
          </w:tcPr>
          <w:p w14:paraId="0CA630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27EC72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71C027B">
            <w:pPr>
              <w:jc w:val="center"/>
              <w:rPr>
                <w:highlight w:val="none"/>
              </w:rPr>
            </w:pPr>
          </w:p>
        </w:tc>
        <w:tc>
          <w:tcPr>
            <w:tcW w:w="710" w:type="dxa"/>
            <w:gridSpan w:val="2"/>
            <w:noWrap w:val="0"/>
            <w:vAlign w:val="center"/>
          </w:tcPr>
          <w:p w14:paraId="0A246B79">
            <w:pPr>
              <w:jc w:val="both"/>
              <w:rPr>
                <w:highlight w:val="none"/>
                <w:vertAlign w:val="baseline"/>
              </w:rPr>
            </w:pPr>
          </w:p>
        </w:tc>
      </w:tr>
      <w:tr w14:paraId="43AC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49C56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1690" w:type="dxa"/>
            <w:noWrap w:val="0"/>
            <w:vAlign w:val="center"/>
          </w:tcPr>
          <w:p w14:paraId="0C728FF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平口钳</w:t>
            </w:r>
          </w:p>
        </w:tc>
        <w:tc>
          <w:tcPr>
            <w:tcW w:w="5928" w:type="dxa"/>
            <w:noWrap w:val="0"/>
            <w:vAlign w:val="center"/>
          </w:tcPr>
          <w:p w14:paraId="28022DD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钳口宽度100mm，最大张开度100mm</w:t>
            </w:r>
          </w:p>
        </w:tc>
        <w:tc>
          <w:tcPr>
            <w:tcW w:w="736" w:type="dxa"/>
            <w:noWrap w:val="0"/>
            <w:vAlign w:val="center"/>
          </w:tcPr>
          <w:p w14:paraId="415A22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7DFDAD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14B5D7C">
            <w:pPr>
              <w:jc w:val="center"/>
              <w:rPr>
                <w:highlight w:val="none"/>
              </w:rPr>
            </w:pPr>
          </w:p>
        </w:tc>
        <w:tc>
          <w:tcPr>
            <w:tcW w:w="710" w:type="dxa"/>
            <w:gridSpan w:val="2"/>
            <w:noWrap w:val="0"/>
            <w:vAlign w:val="center"/>
          </w:tcPr>
          <w:p w14:paraId="095745A1">
            <w:pPr>
              <w:jc w:val="both"/>
              <w:rPr>
                <w:highlight w:val="none"/>
                <w:vertAlign w:val="baseline"/>
              </w:rPr>
            </w:pPr>
          </w:p>
        </w:tc>
      </w:tr>
      <w:tr w14:paraId="1961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0AEC141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31</w:t>
            </w:r>
          </w:p>
        </w:tc>
        <w:tc>
          <w:tcPr>
            <w:tcW w:w="1690" w:type="dxa"/>
            <w:noWrap w:val="0"/>
            <w:vAlign w:val="center"/>
          </w:tcPr>
          <w:p w14:paraId="268F5F1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斜口钳</w:t>
            </w:r>
          </w:p>
        </w:tc>
        <w:tc>
          <w:tcPr>
            <w:tcW w:w="5928" w:type="dxa"/>
            <w:noWrap w:val="0"/>
            <w:vAlign w:val="center"/>
          </w:tcPr>
          <w:p w14:paraId="3A41E0B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125mm，双刃刀</w:t>
            </w:r>
          </w:p>
        </w:tc>
        <w:tc>
          <w:tcPr>
            <w:tcW w:w="736" w:type="dxa"/>
            <w:noWrap w:val="0"/>
            <w:vAlign w:val="center"/>
          </w:tcPr>
          <w:p w14:paraId="571EE9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3AC62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46EE360">
            <w:pPr>
              <w:jc w:val="center"/>
              <w:rPr>
                <w:highlight w:val="none"/>
              </w:rPr>
            </w:pPr>
          </w:p>
        </w:tc>
        <w:tc>
          <w:tcPr>
            <w:tcW w:w="710" w:type="dxa"/>
            <w:gridSpan w:val="2"/>
            <w:noWrap w:val="0"/>
            <w:vAlign w:val="center"/>
          </w:tcPr>
          <w:p w14:paraId="6FF0909D">
            <w:pPr>
              <w:jc w:val="both"/>
              <w:rPr>
                <w:highlight w:val="none"/>
                <w:vertAlign w:val="baseline"/>
              </w:rPr>
            </w:pPr>
          </w:p>
        </w:tc>
      </w:tr>
      <w:tr w14:paraId="3518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429A3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32</w:t>
            </w:r>
          </w:p>
        </w:tc>
        <w:tc>
          <w:tcPr>
            <w:tcW w:w="1690" w:type="dxa"/>
            <w:noWrap w:val="0"/>
            <w:vAlign w:val="center"/>
          </w:tcPr>
          <w:p w14:paraId="632FEAF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台虎钳</w:t>
            </w:r>
          </w:p>
        </w:tc>
        <w:tc>
          <w:tcPr>
            <w:tcW w:w="5928" w:type="dxa"/>
            <w:noWrap w:val="0"/>
            <w:vAlign w:val="center"/>
          </w:tcPr>
          <w:p w14:paraId="783006B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开口度不小于125 mm</w:t>
            </w:r>
          </w:p>
        </w:tc>
        <w:tc>
          <w:tcPr>
            <w:tcW w:w="736" w:type="dxa"/>
            <w:noWrap w:val="0"/>
            <w:vAlign w:val="center"/>
          </w:tcPr>
          <w:p w14:paraId="59B2DF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15047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AE01D3D">
            <w:pPr>
              <w:jc w:val="center"/>
              <w:rPr>
                <w:highlight w:val="none"/>
              </w:rPr>
            </w:pPr>
          </w:p>
        </w:tc>
        <w:tc>
          <w:tcPr>
            <w:tcW w:w="710" w:type="dxa"/>
            <w:gridSpan w:val="2"/>
            <w:noWrap w:val="0"/>
            <w:vAlign w:val="center"/>
          </w:tcPr>
          <w:p w14:paraId="5AC0A9FB">
            <w:pPr>
              <w:jc w:val="both"/>
              <w:rPr>
                <w:highlight w:val="none"/>
                <w:vertAlign w:val="baseline"/>
              </w:rPr>
            </w:pPr>
          </w:p>
        </w:tc>
      </w:tr>
      <w:tr w14:paraId="182D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6BC20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33</w:t>
            </w:r>
          </w:p>
        </w:tc>
        <w:tc>
          <w:tcPr>
            <w:tcW w:w="1690" w:type="dxa"/>
            <w:noWrap w:val="0"/>
            <w:vAlign w:val="center"/>
          </w:tcPr>
          <w:p w14:paraId="7CAEB2E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钳工锉</w:t>
            </w:r>
          </w:p>
        </w:tc>
        <w:tc>
          <w:tcPr>
            <w:tcW w:w="5928" w:type="dxa"/>
            <w:noWrap w:val="0"/>
            <w:vAlign w:val="center"/>
          </w:tcPr>
          <w:p w14:paraId="4B62364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平锉、三角锉、圆锉</w:t>
            </w:r>
          </w:p>
        </w:tc>
        <w:tc>
          <w:tcPr>
            <w:tcW w:w="736" w:type="dxa"/>
            <w:noWrap w:val="0"/>
            <w:vAlign w:val="center"/>
          </w:tcPr>
          <w:p w14:paraId="779E8E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D5468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31F7679">
            <w:pPr>
              <w:jc w:val="center"/>
              <w:rPr>
                <w:highlight w:val="none"/>
              </w:rPr>
            </w:pPr>
          </w:p>
        </w:tc>
        <w:tc>
          <w:tcPr>
            <w:tcW w:w="710" w:type="dxa"/>
            <w:gridSpan w:val="2"/>
            <w:noWrap w:val="0"/>
            <w:vAlign w:val="center"/>
          </w:tcPr>
          <w:p w14:paraId="3FD70235">
            <w:pPr>
              <w:jc w:val="both"/>
              <w:rPr>
                <w:highlight w:val="none"/>
                <w:vertAlign w:val="baseline"/>
              </w:rPr>
            </w:pPr>
          </w:p>
        </w:tc>
      </w:tr>
      <w:tr w14:paraId="3979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961EDE">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34</w:t>
            </w:r>
          </w:p>
        </w:tc>
        <w:tc>
          <w:tcPr>
            <w:tcW w:w="1690" w:type="dxa"/>
            <w:noWrap w:val="0"/>
            <w:vAlign w:val="center"/>
          </w:tcPr>
          <w:p w14:paraId="36A9730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木锉</w:t>
            </w:r>
          </w:p>
        </w:tc>
        <w:tc>
          <w:tcPr>
            <w:tcW w:w="5928" w:type="dxa"/>
            <w:noWrap w:val="0"/>
            <w:vAlign w:val="center"/>
          </w:tcPr>
          <w:p w14:paraId="72EDE11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平锉，中齿200mm</w:t>
            </w:r>
          </w:p>
        </w:tc>
        <w:tc>
          <w:tcPr>
            <w:tcW w:w="736" w:type="dxa"/>
            <w:noWrap w:val="0"/>
            <w:vAlign w:val="center"/>
          </w:tcPr>
          <w:p w14:paraId="601C6E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A0D6F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1AE1AB7">
            <w:pPr>
              <w:jc w:val="center"/>
              <w:rPr>
                <w:highlight w:val="none"/>
              </w:rPr>
            </w:pPr>
          </w:p>
        </w:tc>
        <w:tc>
          <w:tcPr>
            <w:tcW w:w="710" w:type="dxa"/>
            <w:gridSpan w:val="2"/>
            <w:noWrap w:val="0"/>
            <w:vAlign w:val="center"/>
          </w:tcPr>
          <w:p w14:paraId="009318AB">
            <w:pPr>
              <w:jc w:val="both"/>
              <w:rPr>
                <w:highlight w:val="none"/>
                <w:vertAlign w:val="baseline"/>
              </w:rPr>
            </w:pPr>
          </w:p>
        </w:tc>
      </w:tr>
      <w:tr w14:paraId="5462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2D6D22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35</w:t>
            </w:r>
          </w:p>
        </w:tc>
        <w:tc>
          <w:tcPr>
            <w:tcW w:w="1690" w:type="dxa"/>
            <w:noWrap w:val="0"/>
            <w:vAlign w:val="center"/>
          </w:tcPr>
          <w:p w14:paraId="0D7A71B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什锦锉</w:t>
            </w:r>
          </w:p>
        </w:tc>
        <w:tc>
          <w:tcPr>
            <w:tcW w:w="5928" w:type="dxa"/>
            <w:noWrap w:val="0"/>
            <w:vAlign w:val="center"/>
          </w:tcPr>
          <w:p w14:paraId="2F6EF95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10支不同锉刀，Φ4mm，长度不小于 150 mm</w:t>
            </w:r>
          </w:p>
        </w:tc>
        <w:tc>
          <w:tcPr>
            <w:tcW w:w="736" w:type="dxa"/>
            <w:noWrap w:val="0"/>
            <w:vAlign w:val="center"/>
          </w:tcPr>
          <w:p w14:paraId="0AD656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21642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4C40BDC">
            <w:pPr>
              <w:jc w:val="center"/>
              <w:rPr>
                <w:highlight w:val="none"/>
              </w:rPr>
            </w:pPr>
          </w:p>
        </w:tc>
        <w:tc>
          <w:tcPr>
            <w:tcW w:w="710" w:type="dxa"/>
            <w:gridSpan w:val="2"/>
            <w:noWrap w:val="0"/>
            <w:vAlign w:val="center"/>
          </w:tcPr>
          <w:p w14:paraId="6770BFF8">
            <w:pPr>
              <w:jc w:val="both"/>
              <w:rPr>
                <w:highlight w:val="none"/>
                <w:vertAlign w:val="baseline"/>
              </w:rPr>
            </w:pPr>
          </w:p>
        </w:tc>
      </w:tr>
      <w:tr w14:paraId="7E59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6340C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36</w:t>
            </w:r>
          </w:p>
        </w:tc>
        <w:tc>
          <w:tcPr>
            <w:tcW w:w="1690" w:type="dxa"/>
            <w:noWrap w:val="0"/>
            <w:vAlign w:val="center"/>
          </w:tcPr>
          <w:p w14:paraId="6B24572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刨子</w:t>
            </w:r>
          </w:p>
        </w:tc>
        <w:tc>
          <w:tcPr>
            <w:tcW w:w="5928" w:type="dxa"/>
            <w:noWrap w:val="0"/>
            <w:vAlign w:val="center"/>
          </w:tcPr>
          <w:p w14:paraId="59C71F1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250 mm，长刨</w:t>
            </w:r>
          </w:p>
        </w:tc>
        <w:tc>
          <w:tcPr>
            <w:tcW w:w="736" w:type="dxa"/>
            <w:noWrap w:val="0"/>
            <w:vAlign w:val="center"/>
          </w:tcPr>
          <w:p w14:paraId="3739FC0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1BECA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98B9B73">
            <w:pPr>
              <w:jc w:val="center"/>
              <w:rPr>
                <w:highlight w:val="none"/>
              </w:rPr>
            </w:pPr>
          </w:p>
        </w:tc>
        <w:tc>
          <w:tcPr>
            <w:tcW w:w="710" w:type="dxa"/>
            <w:gridSpan w:val="2"/>
            <w:noWrap w:val="0"/>
            <w:vAlign w:val="center"/>
          </w:tcPr>
          <w:p w14:paraId="1978C06A">
            <w:pPr>
              <w:jc w:val="both"/>
              <w:rPr>
                <w:highlight w:val="none"/>
                <w:vertAlign w:val="baseline"/>
              </w:rPr>
            </w:pPr>
          </w:p>
        </w:tc>
      </w:tr>
      <w:tr w14:paraId="7D21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44243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37</w:t>
            </w:r>
          </w:p>
        </w:tc>
        <w:tc>
          <w:tcPr>
            <w:tcW w:w="1690" w:type="dxa"/>
            <w:noWrap w:val="0"/>
            <w:vAlign w:val="center"/>
          </w:tcPr>
          <w:p w14:paraId="135DE57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活扳手</w:t>
            </w:r>
          </w:p>
        </w:tc>
        <w:tc>
          <w:tcPr>
            <w:tcW w:w="5928" w:type="dxa"/>
            <w:noWrap w:val="0"/>
            <w:vAlign w:val="center"/>
          </w:tcPr>
          <w:p w14:paraId="66985B4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200 mm</w:t>
            </w:r>
          </w:p>
        </w:tc>
        <w:tc>
          <w:tcPr>
            <w:tcW w:w="736" w:type="dxa"/>
            <w:noWrap w:val="0"/>
            <w:vAlign w:val="center"/>
          </w:tcPr>
          <w:p w14:paraId="34402A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0C551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45E2462">
            <w:pPr>
              <w:jc w:val="center"/>
              <w:rPr>
                <w:highlight w:val="none"/>
              </w:rPr>
            </w:pPr>
          </w:p>
        </w:tc>
        <w:tc>
          <w:tcPr>
            <w:tcW w:w="710" w:type="dxa"/>
            <w:gridSpan w:val="2"/>
            <w:noWrap w:val="0"/>
            <w:vAlign w:val="center"/>
          </w:tcPr>
          <w:p w14:paraId="5B44D581">
            <w:pPr>
              <w:jc w:val="both"/>
              <w:rPr>
                <w:highlight w:val="none"/>
                <w:vertAlign w:val="baseline"/>
              </w:rPr>
            </w:pPr>
          </w:p>
        </w:tc>
      </w:tr>
      <w:tr w14:paraId="3E99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22B94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38</w:t>
            </w:r>
          </w:p>
        </w:tc>
        <w:tc>
          <w:tcPr>
            <w:tcW w:w="1690" w:type="dxa"/>
            <w:noWrap w:val="0"/>
            <w:vAlign w:val="center"/>
          </w:tcPr>
          <w:p w14:paraId="7B7D102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丝攻</w:t>
            </w:r>
          </w:p>
        </w:tc>
        <w:tc>
          <w:tcPr>
            <w:tcW w:w="5928" w:type="dxa"/>
            <w:noWrap w:val="0"/>
            <w:vAlign w:val="center"/>
          </w:tcPr>
          <w:p w14:paraId="1735672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3、4、5、8、10mm，配丝攻扳手</w:t>
            </w:r>
          </w:p>
        </w:tc>
        <w:tc>
          <w:tcPr>
            <w:tcW w:w="736" w:type="dxa"/>
            <w:noWrap w:val="0"/>
            <w:vAlign w:val="center"/>
          </w:tcPr>
          <w:p w14:paraId="54068E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9A197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C414CDE">
            <w:pPr>
              <w:jc w:val="center"/>
              <w:rPr>
                <w:highlight w:val="none"/>
              </w:rPr>
            </w:pPr>
          </w:p>
        </w:tc>
        <w:tc>
          <w:tcPr>
            <w:tcW w:w="710" w:type="dxa"/>
            <w:gridSpan w:val="2"/>
            <w:noWrap w:val="0"/>
            <w:vAlign w:val="center"/>
          </w:tcPr>
          <w:p w14:paraId="78A2852A">
            <w:pPr>
              <w:jc w:val="both"/>
              <w:rPr>
                <w:highlight w:val="none"/>
                <w:vertAlign w:val="baseline"/>
              </w:rPr>
            </w:pPr>
          </w:p>
        </w:tc>
      </w:tr>
      <w:tr w14:paraId="72FF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8DB7C5C">
            <w:pPr>
              <w:jc w:val="center"/>
              <w:rPr>
                <w:rFonts w:hint="default"/>
                <w:highlight w:val="none"/>
                <w:vertAlign w:val="baseline"/>
                <w:lang w:val="en-US" w:eastAsia="zh-CN"/>
              </w:rPr>
            </w:pPr>
            <w:r>
              <w:rPr>
                <w:rFonts w:hint="eastAsia"/>
                <w:highlight w:val="none"/>
                <w:vertAlign w:val="baseline"/>
                <w:lang w:val="en-US" w:eastAsia="zh-CN"/>
              </w:rPr>
              <w:t>39</w:t>
            </w:r>
          </w:p>
        </w:tc>
        <w:tc>
          <w:tcPr>
            <w:tcW w:w="1690" w:type="dxa"/>
            <w:noWrap w:val="0"/>
            <w:vAlign w:val="center"/>
          </w:tcPr>
          <w:p w14:paraId="750B8B4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铁皮剪刀</w:t>
            </w:r>
          </w:p>
        </w:tc>
        <w:tc>
          <w:tcPr>
            <w:tcW w:w="5928" w:type="dxa"/>
            <w:noWrap w:val="0"/>
            <w:vAlign w:val="center"/>
          </w:tcPr>
          <w:p w14:paraId="6CE908F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不小于21mm</w:t>
            </w:r>
          </w:p>
        </w:tc>
        <w:tc>
          <w:tcPr>
            <w:tcW w:w="736" w:type="dxa"/>
            <w:noWrap w:val="0"/>
            <w:vAlign w:val="center"/>
          </w:tcPr>
          <w:p w14:paraId="65D1967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26BC71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B1074F6">
            <w:pPr>
              <w:jc w:val="center"/>
              <w:rPr>
                <w:highlight w:val="none"/>
              </w:rPr>
            </w:pPr>
          </w:p>
        </w:tc>
        <w:tc>
          <w:tcPr>
            <w:tcW w:w="710" w:type="dxa"/>
            <w:gridSpan w:val="2"/>
            <w:noWrap w:val="0"/>
            <w:vAlign w:val="center"/>
          </w:tcPr>
          <w:p w14:paraId="08BADF05">
            <w:pPr>
              <w:jc w:val="both"/>
              <w:rPr>
                <w:highlight w:val="none"/>
                <w:vertAlign w:val="baseline"/>
              </w:rPr>
            </w:pPr>
          </w:p>
        </w:tc>
      </w:tr>
      <w:tr w14:paraId="20C5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C4DF28">
            <w:pPr>
              <w:jc w:val="center"/>
              <w:rPr>
                <w:rFonts w:hint="default"/>
                <w:highlight w:val="none"/>
                <w:vertAlign w:val="baseline"/>
                <w:lang w:val="en-US" w:eastAsia="zh-CN"/>
              </w:rPr>
            </w:pPr>
            <w:r>
              <w:rPr>
                <w:rFonts w:hint="eastAsia"/>
                <w:highlight w:val="none"/>
                <w:vertAlign w:val="baseline"/>
                <w:lang w:val="en-US" w:eastAsia="zh-CN"/>
              </w:rPr>
              <w:t>40</w:t>
            </w:r>
          </w:p>
        </w:tc>
        <w:tc>
          <w:tcPr>
            <w:tcW w:w="1690" w:type="dxa"/>
            <w:noWrap w:val="0"/>
            <w:vAlign w:val="center"/>
          </w:tcPr>
          <w:p w14:paraId="50EA949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民用剪刀</w:t>
            </w:r>
          </w:p>
        </w:tc>
        <w:tc>
          <w:tcPr>
            <w:tcW w:w="5928" w:type="dxa"/>
            <w:noWrap w:val="0"/>
            <w:vAlign w:val="center"/>
          </w:tcPr>
          <w:p w14:paraId="7955009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 号 ，150 mm，A 型</w:t>
            </w:r>
          </w:p>
        </w:tc>
        <w:tc>
          <w:tcPr>
            <w:tcW w:w="736" w:type="dxa"/>
            <w:noWrap w:val="0"/>
            <w:vAlign w:val="center"/>
          </w:tcPr>
          <w:p w14:paraId="71ABA9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3B2980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88F8008">
            <w:pPr>
              <w:jc w:val="center"/>
              <w:rPr>
                <w:highlight w:val="none"/>
              </w:rPr>
            </w:pPr>
          </w:p>
        </w:tc>
        <w:tc>
          <w:tcPr>
            <w:tcW w:w="710" w:type="dxa"/>
            <w:gridSpan w:val="2"/>
            <w:noWrap w:val="0"/>
            <w:vAlign w:val="center"/>
          </w:tcPr>
          <w:p w14:paraId="2E360343">
            <w:pPr>
              <w:jc w:val="both"/>
              <w:rPr>
                <w:highlight w:val="none"/>
                <w:vertAlign w:val="baseline"/>
              </w:rPr>
            </w:pPr>
          </w:p>
        </w:tc>
      </w:tr>
      <w:tr w14:paraId="4CB4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0E4B23">
            <w:pPr>
              <w:jc w:val="center"/>
              <w:rPr>
                <w:rFonts w:hint="default"/>
                <w:highlight w:val="none"/>
                <w:vertAlign w:val="baseline"/>
                <w:lang w:val="en-US" w:eastAsia="zh-CN"/>
              </w:rPr>
            </w:pPr>
            <w:r>
              <w:rPr>
                <w:rFonts w:hint="eastAsia"/>
                <w:highlight w:val="none"/>
                <w:vertAlign w:val="baseline"/>
                <w:lang w:val="en-US" w:eastAsia="zh-CN"/>
              </w:rPr>
              <w:t>41</w:t>
            </w:r>
          </w:p>
        </w:tc>
        <w:tc>
          <w:tcPr>
            <w:tcW w:w="1690" w:type="dxa"/>
            <w:noWrap w:val="0"/>
            <w:vAlign w:val="center"/>
          </w:tcPr>
          <w:p w14:paraId="7994B0A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电工刀</w:t>
            </w:r>
          </w:p>
        </w:tc>
        <w:tc>
          <w:tcPr>
            <w:tcW w:w="5928" w:type="dxa"/>
            <w:noWrap w:val="0"/>
            <w:vAlign w:val="center"/>
          </w:tcPr>
          <w:p w14:paraId="4372832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直型</w:t>
            </w:r>
          </w:p>
        </w:tc>
        <w:tc>
          <w:tcPr>
            <w:tcW w:w="736" w:type="dxa"/>
            <w:noWrap w:val="0"/>
            <w:vAlign w:val="center"/>
          </w:tcPr>
          <w:p w14:paraId="4D2979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3AED35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8EF41A8">
            <w:pPr>
              <w:jc w:val="center"/>
              <w:rPr>
                <w:highlight w:val="none"/>
              </w:rPr>
            </w:pPr>
          </w:p>
        </w:tc>
        <w:tc>
          <w:tcPr>
            <w:tcW w:w="710" w:type="dxa"/>
            <w:gridSpan w:val="2"/>
            <w:noWrap w:val="0"/>
            <w:vAlign w:val="center"/>
          </w:tcPr>
          <w:p w14:paraId="4E8FE6D9">
            <w:pPr>
              <w:jc w:val="both"/>
              <w:rPr>
                <w:highlight w:val="none"/>
                <w:vertAlign w:val="baseline"/>
              </w:rPr>
            </w:pPr>
          </w:p>
        </w:tc>
      </w:tr>
      <w:tr w14:paraId="516E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3F71BE">
            <w:pPr>
              <w:jc w:val="center"/>
              <w:rPr>
                <w:rFonts w:hint="default"/>
                <w:highlight w:val="none"/>
                <w:vertAlign w:val="baseline"/>
                <w:lang w:val="en-US" w:eastAsia="zh-CN"/>
              </w:rPr>
            </w:pPr>
            <w:r>
              <w:rPr>
                <w:rFonts w:hint="eastAsia"/>
                <w:highlight w:val="none"/>
                <w:vertAlign w:val="baseline"/>
                <w:lang w:val="en-US" w:eastAsia="zh-CN"/>
              </w:rPr>
              <w:t>42</w:t>
            </w:r>
          </w:p>
        </w:tc>
        <w:tc>
          <w:tcPr>
            <w:tcW w:w="1690" w:type="dxa"/>
            <w:noWrap w:val="0"/>
            <w:vAlign w:val="center"/>
          </w:tcPr>
          <w:p w14:paraId="3489541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桌面型切割机</w:t>
            </w:r>
          </w:p>
        </w:tc>
        <w:tc>
          <w:tcPr>
            <w:tcW w:w="5928" w:type="dxa"/>
            <w:noWrap w:val="0"/>
            <w:vAlign w:val="center"/>
          </w:tcPr>
          <w:p w14:paraId="6A20079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配有内置虎钳，底座和虎钳为铸铝</w:t>
            </w:r>
          </w:p>
        </w:tc>
        <w:tc>
          <w:tcPr>
            <w:tcW w:w="736" w:type="dxa"/>
            <w:noWrap w:val="0"/>
            <w:vAlign w:val="center"/>
          </w:tcPr>
          <w:p w14:paraId="6B40DCA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947DA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46EA31B">
            <w:pPr>
              <w:jc w:val="center"/>
              <w:rPr>
                <w:highlight w:val="none"/>
              </w:rPr>
            </w:pPr>
          </w:p>
        </w:tc>
        <w:tc>
          <w:tcPr>
            <w:tcW w:w="710" w:type="dxa"/>
            <w:gridSpan w:val="2"/>
            <w:noWrap w:val="0"/>
            <w:vAlign w:val="center"/>
          </w:tcPr>
          <w:p w14:paraId="6C097D57">
            <w:pPr>
              <w:jc w:val="both"/>
              <w:rPr>
                <w:highlight w:val="none"/>
                <w:vertAlign w:val="baseline"/>
              </w:rPr>
            </w:pPr>
          </w:p>
        </w:tc>
      </w:tr>
      <w:tr w14:paraId="0BCE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CF2FF9">
            <w:pPr>
              <w:jc w:val="center"/>
              <w:rPr>
                <w:rFonts w:hint="default"/>
                <w:highlight w:val="none"/>
                <w:vertAlign w:val="baseline"/>
                <w:lang w:val="en-US" w:eastAsia="zh-CN"/>
              </w:rPr>
            </w:pPr>
            <w:r>
              <w:rPr>
                <w:rFonts w:hint="eastAsia"/>
                <w:highlight w:val="none"/>
                <w:vertAlign w:val="baseline"/>
                <w:lang w:val="en-US" w:eastAsia="zh-CN"/>
              </w:rPr>
              <w:t>43</w:t>
            </w:r>
          </w:p>
        </w:tc>
        <w:tc>
          <w:tcPr>
            <w:tcW w:w="1690" w:type="dxa"/>
            <w:noWrap w:val="0"/>
            <w:vAlign w:val="center"/>
          </w:tcPr>
          <w:p w14:paraId="13B3CE5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电烙铁套装</w:t>
            </w:r>
          </w:p>
        </w:tc>
        <w:tc>
          <w:tcPr>
            <w:tcW w:w="5928" w:type="dxa"/>
            <w:noWrap w:val="0"/>
            <w:vAlign w:val="center"/>
          </w:tcPr>
          <w:p w14:paraId="5898563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不小于20W内热式，含烙铁架</w:t>
            </w:r>
          </w:p>
        </w:tc>
        <w:tc>
          <w:tcPr>
            <w:tcW w:w="736" w:type="dxa"/>
            <w:noWrap w:val="0"/>
            <w:vAlign w:val="center"/>
          </w:tcPr>
          <w:p w14:paraId="7D4755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68A58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1D02895">
            <w:pPr>
              <w:jc w:val="center"/>
              <w:rPr>
                <w:highlight w:val="none"/>
              </w:rPr>
            </w:pPr>
          </w:p>
        </w:tc>
        <w:tc>
          <w:tcPr>
            <w:tcW w:w="710" w:type="dxa"/>
            <w:gridSpan w:val="2"/>
            <w:noWrap w:val="0"/>
            <w:vAlign w:val="center"/>
          </w:tcPr>
          <w:p w14:paraId="40D3D59B">
            <w:pPr>
              <w:jc w:val="both"/>
              <w:rPr>
                <w:highlight w:val="none"/>
                <w:vertAlign w:val="baseline"/>
              </w:rPr>
            </w:pPr>
          </w:p>
        </w:tc>
      </w:tr>
      <w:tr w14:paraId="7D35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2FA648">
            <w:pPr>
              <w:jc w:val="center"/>
              <w:rPr>
                <w:rFonts w:hint="default"/>
                <w:highlight w:val="none"/>
                <w:vertAlign w:val="baseline"/>
                <w:lang w:val="en-US" w:eastAsia="zh-CN"/>
              </w:rPr>
            </w:pPr>
            <w:r>
              <w:rPr>
                <w:rFonts w:hint="eastAsia"/>
                <w:highlight w:val="none"/>
                <w:vertAlign w:val="baseline"/>
                <w:lang w:val="en-US" w:eastAsia="zh-CN"/>
              </w:rPr>
              <w:t>44</w:t>
            </w:r>
          </w:p>
        </w:tc>
        <w:tc>
          <w:tcPr>
            <w:tcW w:w="1690" w:type="dxa"/>
            <w:noWrap w:val="0"/>
            <w:vAlign w:val="center"/>
          </w:tcPr>
          <w:p w14:paraId="7DB0274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电烙铁套装</w:t>
            </w:r>
          </w:p>
        </w:tc>
        <w:tc>
          <w:tcPr>
            <w:tcW w:w="5928" w:type="dxa"/>
            <w:noWrap w:val="0"/>
            <w:vAlign w:val="center"/>
          </w:tcPr>
          <w:p w14:paraId="062E524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80W内热式，含烙铁架</w:t>
            </w:r>
          </w:p>
        </w:tc>
        <w:tc>
          <w:tcPr>
            <w:tcW w:w="736" w:type="dxa"/>
            <w:noWrap w:val="0"/>
            <w:vAlign w:val="center"/>
          </w:tcPr>
          <w:p w14:paraId="02A610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3787C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19D1BF6">
            <w:pPr>
              <w:jc w:val="center"/>
              <w:rPr>
                <w:highlight w:val="none"/>
              </w:rPr>
            </w:pPr>
          </w:p>
        </w:tc>
        <w:tc>
          <w:tcPr>
            <w:tcW w:w="710" w:type="dxa"/>
            <w:gridSpan w:val="2"/>
            <w:noWrap w:val="0"/>
            <w:vAlign w:val="center"/>
          </w:tcPr>
          <w:p w14:paraId="5D4746DC">
            <w:pPr>
              <w:jc w:val="both"/>
              <w:rPr>
                <w:highlight w:val="none"/>
                <w:vertAlign w:val="baseline"/>
              </w:rPr>
            </w:pPr>
          </w:p>
        </w:tc>
      </w:tr>
      <w:tr w14:paraId="58B7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1160B85">
            <w:pPr>
              <w:jc w:val="center"/>
              <w:rPr>
                <w:rFonts w:hint="default"/>
                <w:highlight w:val="none"/>
                <w:vertAlign w:val="baseline"/>
                <w:lang w:val="en-US" w:eastAsia="zh-CN"/>
              </w:rPr>
            </w:pPr>
            <w:r>
              <w:rPr>
                <w:rFonts w:hint="eastAsia"/>
                <w:highlight w:val="none"/>
                <w:vertAlign w:val="baseline"/>
                <w:lang w:val="en-US" w:eastAsia="zh-CN"/>
              </w:rPr>
              <w:t>45</w:t>
            </w:r>
          </w:p>
        </w:tc>
        <w:tc>
          <w:tcPr>
            <w:tcW w:w="1690" w:type="dxa"/>
            <w:noWrap w:val="0"/>
            <w:vAlign w:val="center"/>
          </w:tcPr>
          <w:p w14:paraId="366C91F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焊锡膏</w:t>
            </w:r>
          </w:p>
        </w:tc>
        <w:tc>
          <w:tcPr>
            <w:tcW w:w="5928" w:type="dxa"/>
            <w:noWrap w:val="0"/>
            <w:vAlign w:val="center"/>
          </w:tcPr>
          <w:p w14:paraId="7C3170B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中性，100g/盒</w:t>
            </w:r>
          </w:p>
        </w:tc>
        <w:tc>
          <w:tcPr>
            <w:tcW w:w="736" w:type="dxa"/>
            <w:noWrap w:val="0"/>
            <w:vAlign w:val="center"/>
          </w:tcPr>
          <w:p w14:paraId="1E408A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60FB8A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93ADABF">
            <w:pPr>
              <w:jc w:val="center"/>
              <w:rPr>
                <w:highlight w:val="none"/>
              </w:rPr>
            </w:pPr>
          </w:p>
        </w:tc>
        <w:tc>
          <w:tcPr>
            <w:tcW w:w="710" w:type="dxa"/>
            <w:gridSpan w:val="2"/>
            <w:noWrap w:val="0"/>
            <w:vAlign w:val="center"/>
          </w:tcPr>
          <w:p w14:paraId="6F1B1942">
            <w:pPr>
              <w:jc w:val="both"/>
              <w:rPr>
                <w:highlight w:val="none"/>
                <w:vertAlign w:val="baseline"/>
              </w:rPr>
            </w:pPr>
          </w:p>
        </w:tc>
      </w:tr>
      <w:tr w14:paraId="2395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A7ADE6D">
            <w:pPr>
              <w:jc w:val="center"/>
              <w:rPr>
                <w:rFonts w:hint="default"/>
                <w:highlight w:val="none"/>
                <w:vertAlign w:val="baseline"/>
                <w:lang w:val="en-US" w:eastAsia="zh-CN"/>
              </w:rPr>
            </w:pPr>
            <w:r>
              <w:rPr>
                <w:rFonts w:hint="eastAsia"/>
                <w:highlight w:val="none"/>
                <w:vertAlign w:val="baseline"/>
                <w:lang w:val="en-US" w:eastAsia="zh-CN"/>
              </w:rPr>
              <w:t>46</w:t>
            </w:r>
          </w:p>
        </w:tc>
        <w:tc>
          <w:tcPr>
            <w:tcW w:w="1690" w:type="dxa"/>
            <w:noWrap w:val="0"/>
            <w:vAlign w:val="center"/>
          </w:tcPr>
          <w:p w14:paraId="480651C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焊锡丝</w:t>
            </w:r>
          </w:p>
        </w:tc>
        <w:tc>
          <w:tcPr>
            <w:tcW w:w="5928" w:type="dxa"/>
            <w:noWrap w:val="0"/>
            <w:vAlign w:val="center"/>
          </w:tcPr>
          <w:p w14:paraId="6DA1A9D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无铅100g</w:t>
            </w:r>
          </w:p>
        </w:tc>
        <w:tc>
          <w:tcPr>
            <w:tcW w:w="736" w:type="dxa"/>
            <w:noWrap w:val="0"/>
            <w:vAlign w:val="center"/>
          </w:tcPr>
          <w:p w14:paraId="503C75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卷</w:t>
            </w:r>
          </w:p>
        </w:tc>
        <w:tc>
          <w:tcPr>
            <w:tcW w:w="834" w:type="dxa"/>
            <w:noWrap w:val="0"/>
            <w:vAlign w:val="center"/>
          </w:tcPr>
          <w:p w14:paraId="39F292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7328EE93">
            <w:pPr>
              <w:jc w:val="center"/>
              <w:rPr>
                <w:highlight w:val="none"/>
              </w:rPr>
            </w:pPr>
          </w:p>
        </w:tc>
        <w:tc>
          <w:tcPr>
            <w:tcW w:w="710" w:type="dxa"/>
            <w:gridSpan w:val="2"/>
            <w:noWrap w:val="0"/>
            <w:vAlign w:val="center"/>
          </w:tcPr>
          <w:p w14:paraId="2B162AA5">
            <w:pPr>
              <w:jc w:val="both"/>
              <w:rPr>
                <w:highlight w:val="none"/>
                <w:vertAlign w:val="baseline"/>
              </w:rPr>
            </w:pPr>
          </w:p>
        </w:tc>
      </w:tr>
      <w:tr w14:paraId="4B37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63FAD6">
            <w:pPr>
              <w:jc w:val="center"/>
              <w:rPr>
                <w:rFonts w:hint="default"/>
                <w:highlight w:val="none"/>
                <w:vertAlign w:val="baseline"/>
                <w:lang w:val="en-US" w:eastAsia="zh-CN"/>
              </w:rPr>
            </w:pPr>
            <w:r>
              <w:rPr>
                <w:rFonts w:hint="eastAsia"/>
                <w:highlight w:val="none"/>
                <w:vertAlign w:val="baseline"/>
                <w:lang w:val="en-US" w:eastAsia="zh-CN"/>
              </w:rPr>
              <w:t>47</w:t>
            </w:r>
          </w:p>
        </w:tc>
        <w:tc>
          <w:tcPr>
            <w:tcW w:w="1690" w:type="dxa"/>
            <w:noWrap w:val="0"/>
            <w:vAlign w:val="center"/>
          </w:tcPr>
          <w:p w14:paraId="4CA5763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松香</w:t>
            </w:r>
          </w:p>
        </w:tc>
        <w:tc>
          <w:tcPr>
            <w:tcW w:w="5928" w:type="dxa"/>
            <w:noWrap w:val="0"/>
            <w:vAlign w:val="center"/>
          </w:tcPr>
          <w:p w14:paraId="5172AC8E">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助焊，100g/盒</w:t>
            </w:r>
          </w:p>
        </w:tc>
        <w:tc>
          <w:tcPr>
            <w:tcW w:w="736" w:type="dxa"/>
            <w:noWrap w:val="0"/>
            <w:vAlign w:val="center"/>
          </w:tcPr>
          <w:p w14:paraId="4575ED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1405B1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EDEF6A2">
            <w:pPr>
              <w:jc w:val="center"/>
              <w:rPr>
                <w:highlight w:val="none"/>
              </w:rPr>
            </w:pPr>
          </w:p>
        </w:tc>
        <w:tc>
          <w:tcPr>
            <w:tcW w:w="710" w:type="dxa"/>
            <w:gridSpan w:val="2"/>
            <w:noWrap w:val="0"/>
            <w:vAlign w:val="center"/>
          </w:tcPr>
          <w:p w14:paraId="71453BB4">
            <w:pPr>
              <w:jc w:val="both"/>
              <w:rPr>
                <w:highlight w:val="none"/>
                <w:vertAlign w:val="baseline"/>
              </w:rPr>
            </w:pPr>
          </w:p>
        </w:tc>
      </w:tr>
      <w:tr w14:paraId="3BD1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CEC00D">
            <w:pPr>
              <w:jc w:val="center"/>
              <w:rPr>
                <w:rFonts w:hint="default"/>
                <w:highlight w:val="none"/>
                <w:vertAlign w:val="baseline"/>
                <w:lang w:val="en-US" w:eastAsia="zh-CN"/>
              </w:rPr>
            </w:pPr>
            <w:r>
              <w:rPr>
                <w:rFonts w:hint="eastAsia"/>
                <w:highlight w:val="none"/>
                <w:vertAlign w:val="baseline"/>
                <w:lang w:val="en-US" w:eastAsia="zh-CN"/>
              </w:rPr>
              <w:t>48</w:t>
            </w:r>
          </w:p>
        </w:tc>
        <w:tc>
          <w:tcPr>
            <w:tcW w:w="1690" w:type="dxa"/>
            <w:noWrap w:val="0"/>
            <w:vAlign w:val="center"/>
          </w:tcPr>
          <w:p w14:paraId="3102239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吸锡器</w:t>
            </w:r>
          </w:p>
        </w:tc>
        <w:tc>
          <w:tcPr>
            <w:tcW w:w="5928" w:type="dxa"/>
            <w:noWrap w:val="0"/>
            <w:vAlign w:val="center"/>
          </w:tcPr>
          <w:p w14:paraId="402104D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手动</w:t>
            </w:r>
          </w:p>
        </w:tc>
        <w:tc>
          <w:tcPr>
            <w:tcW w:w="736" w:type="dxa"/>
            <w:noWrap w:val="0"/>
            <w:vAlign w:val="center"/>
          </w:tcPr>
          <w:p w14:paraId="3D3C14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313FF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783F2BB">
            <w:pPr>
              <w:jc w:val="center"/>
              <w:rPr>
                <w:highlight w:val="none"/>
              </w:rPr>
            </w:pPr>
          </w:p>
        </w:tc>
        <w:tc>
          <w:tcPr>
            <w:tcW w:w="710" w:type="dxa"/>
            <w:gridSpan w:val="2"/>
            <w:noWrap w:val="0"/>
            <w:vAlign w:val="center"/>
          </w:tcPr>
          <w:p w14:paraId="77371486">
            <w:pPr>
              <w:jc w:val="both"/>
              <w:rPr>
                <w:highlight w:val="none"/>
                <w:vertAlign w:val="baseline"/>
              </w:rPr>
            </w:pPr>
          </w:p>
        </w:tc>
      </w:tr>
      <w:tr w14:paraId="4188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F88AED">
            <w:pPr>
              <w:jc w:val="center"/>
              <w:rPr>
                <w:rFonts w:hint="default"/>
                <w:highlight w:val="none"/>
                <w:vertAlign w:val="baseline"/>
                <w:lang w:val="en-US" w:eastAsia="zh-CN"/>
              </w:rPr>
            </w:pPr>
            <w:r>
              <w:rPr>
                <w:rFonts w:hint="eastAsia"/>
                <w:highlight w:val="none"/>
                <w:vertAlign w:val="baseline"/>
                <w:lang w:val="en-US" w:eastAsia="zh-CN"/>
              </w:rPr>
              <w:t>49</w:t>
            </w:r>
          </w:p>
        </w:tc>
        <w:tc>
          <w:tcPr>
            <w:tcW w:w="1690" w:type="dxa"/>
            <w:noWrap w:val="0"/>
            <w:vAlign w:val="center"/>
          </w:tcPr>
          <w:p w14:paraId="7641278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胶枪</w:t>
            </w:r>
          </w:p>
        </w:tc>
        <w:tc>
          <w:tcPr>
            <w:tcW w:w="5928" w:type="dxa"/>
            <w:noWrap w:val="0"/>
            <w:vAlign w:val="center"/>
          </w:tcPr>
          <w:p w14:paraId="4981A08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60W，热熔胶</w:t>
            </w:r>
          </w:p>
        </w:tc>
        <w:tc>
          <w:tcPr>
            <w:tcW w:w="736" w:type="dxa"/>
            <w:noWrap w:val="0"/>
            <w:vAlign w:val="center"/>
          </w:tcPr>
          <w:p w14:paraId="64CE5A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1EABE3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B4A7E39">
            <w:pPr>
              <w:jc w:val="center"/>
              <w:rPr>
                <w:highlight w:val="none"/>
              </w:rPr>
            </w:pPr>
          </w:p>
        </w:tc>
        <w:tc>
          <w:tcPr>
            <w:tcW w:w="710" w:type="dxa"/>
            <w:gridSpan w:val="2"/>
            <w:noWrap w:val="0"/>
            <w:vAlign w:val="center"/>
          </w:tcPr>
          <w:p w14:paraId="17D28C87">
            <w:pPr>
              <w:jc w:val="both"/>
              <w:rPr>
                <w:highlight w:val="none"/>
                <w:vertAlign w:val="baseline"/>
              </w:rPr>
            </w:pPr>
          </w:p>
        </w:tc>
      </w:tr>
      <w:tr w14:paraId="29A5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4E797A">
            <w:pPr>
              <w:jc w:val="center"/>
              <w:rPr>
                <w:rFonts w:hint="default"/>
                <w:highlight w:val="none"/>
                <w:vertAlign w:val="baseline"/>
                <w:lang w:val="en-US" w:eastAsia="zh-CN"/>
              </w:rPr>
            </w:pPr>
            <w:r>
              <w:rPr>
                <w:rFonts w:hint="eastAsia"/>
                <w:highlight w:val="none"/>
                <w:vertAlign w:val="baseline"/>
                <w:lang w:val="en-US" w:eastAsia="zh-CN"/>
              </w:rPr>
              <w:t>50</w:t>
            </w:r>
          </w:p>
        </w:tc>
        <w:tc>
          <w:tcPr>
            <w:tcW w:w="1690" w:type="dxa"/>
            <w:noWrap w:val="0"/>
            <w:vAlign w:val="center"/>
          </w:tcPr>
          <w:p w14:paraId="69B1587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台钻</w:t>
            </w:r>
          </w:p>
        </w:tc>
        <w:tc>
          <w:tcPr>
            <w:tcW w:w="5928" w:type="dxa"/>
            <w:noWrap w:val="0"/>
            <w:vAlign w:val="center"/>
          </w:tcPr>
          <w:p w14:paraId="00F973B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Φl～Φ13mm，带机架，单相</w:t>
            </w:r>
          </w:p>
        </w:tc>
        <w:tc>
          <w:tcPr>
            <w:tcW w:w="736" w:type="dxa"/>
            <w:noWrap w:val="0"/>
            <w:vAlign w:val="center"/>
          </w:tcPr>
          <w:p w14:paraId="7E4696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D1D17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DC9859C">
            <w:pPr>
              <w:jc w:val="center"/>
              <w:rPr>
                <w:highlight w:val="none"/>
              </w:rPr>
            </w:pPr>
          </w:p>
        </w:tc>
        <w:tc>
          <w:tcPr>
            <w:tcW w:w="710" w:type="dxa"/>
            <w:gridSpan w:val="2"/>
            <w:noWrap w:val="0"/>
            <w:vAlign w:val="center"/>
          </w:tcPr>
          <w:p w14:paraId="188090F5">
            <w:pPr>
              <w:jc w:val="both"/>
              <w:rPr>
                <w:highlight w:val="none"/>
                <w:vertAlign w:val="baseline"/>
              </w:rPr>
            </w:pPr>
          </w:p>
        </w:tc>
      </w:tr>
      <w:tr w14:paraId="758E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56E603">
            <w:pPr>
              <w:jc w:val="center"/>
              <w:rPr>
                <w:rFonts w:hint="default"/>
                <w:highlight w:val="none"/>
                <w:vertAlign w:val="baseline"/>
                <w:lang w:val="en-US" w:eastAsia="zh-CN"/>
              </w:rPr>
            </w:pPr>
            <w:r>
              <w:rPr>
                <w:rFonts w:hint="eastAsia"/>
                <w:highlight w:val="none"/>
                <w:vertAlign w:val="baseline"/>
                <w:lang w:val="en-US" w:eastAsia="zh-CN"/>
              </w:rPr>
              <w:t>51</w:t>
            </w:r>
          </w:p>
        </w:tc>
        <w:tc>
          <w:tcPr>
            <w:tcW w:w="1690" w:type="dxa"/>
            <w:noWrap w:val="0"/>
            <w:vAlign w:val="center"/>
          </w:tcPr>
          <w:p w14:paraId="12B97D9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手电钻</w:t>
            </w:r>
          </w:p>
        </w:tc>
        <w:tc>
          <w:tcPr>
            <w:tcW w:w="5928" w:type="dxa"/>
            <w:noWrap w:val="0"/>
            <w:vAlign w:val="center"/>
          </w:tcPr>
          <w:p w14:paraId="3FCCB63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Φ1～Φ10 mm</w:t>
            </w:r>
          </w:p>
        </w:tc>
        <w:tc>
          <w:tcPr>
            <w:tcW w:w="736" w:type="dxa"/>
            <w:noWrap w:val="0"/>
            <w:vAlign w:val="center"/>
          </w:tcPr>
          <w:p w14:paraId="3E8253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C08D1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DE4D0A7">
            <w:pPr>
              <w:jc w:val="center"/>
              <w:rPr>
                <w:highlight w:val="none"/>
              </w:rPr>
            </w:pPr>
          </w:p>
        </w:tc>
        <w:tc>
          <w:tcPr>
            <w:tcW w:w="710" w:type="dxa"/>
            <w:gridSpan w:val="2"/>
            <w:noWrap w:val="0"/>
            <w:vAlign w:val="center"/>
          </w:tcPr>
          <w:p w14:paraId="49E24D02">
            <w:pPr>
              <w:jc w:val="both"/>
              <w:rPr>
                <w:highlight w:val="none"/>
                <w:vertAlign w:val="baseline"/>
              </w:rPr>
            </w:pPr>
          </w:p>
        </w:tc>
      </w:tr>
      <w:tr w14:paraId="5247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688F33">
            <w:pPr>
              <w:jc w:val="center"/>
              <w:rPr>
                <w:rFonts w:hint="default"/>
                <w:highlight w:val="none"/>
                <w:vertAlign w:val="baseline"/>
                <w:lang w:val="en-US" w:eastAsia="zh-CN"/>
              </w:rPr>
            </w:pPr>
            <w:r>
              <w:rPr>
                <w:rFonts w:hint="eastAsia"/>
                <w:highlight w:val="none"/>
                <w:vertAlign w:val="baseline"/>
                <w:lang w:val="en-US" w:eastAsia="zh-CN"/>
              </w:rPr>
              <w:t>52</w:t>
            </w:r>
          </w:p>
        </w:tc>
        <w:tc>
          <w:tcPr>
            <w:tcW w:w="1690" w:type="dxa"/>
            <w:noWrap w:val="0"/>
            <w:vAlign w:val="center"/>
          </w:tcPr>
          <w:p w14:paraId="5BFB497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钻头</w:t>
            </w:r>
          </w:p>
        </w:tc>
        <w:tc>
          <w:tcPr>
            <w:tcW w:w="5928" w:type="dxa"/>
            <w:noWrap w:val="0"/>
            <w:vAlign w:val="center"/>
          </w:tcPr>
          <w:p w14:paraId="298DFE3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直柄短麻花钻Φ1～13mm；钻螺纹底孔用2.5、3.2、4.2、6.8mm</w:t>
            </w:r>
          </w:p>
        </w:tc>
        <w:tc>
          <w:tcPr>
            <w:tcW w:w="736" w:type="dxa"/>
            <w:noWrap w:val="0"/>
            <w:vAlign w:val="center"/>
          </w:tcPr>
          <w:p w14:paraId="750B67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F8392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8E1ABDC">
            <w:pPr>
              <w:jc w:val="center"/>
              <w:rPr>
                <w:highlight w:val="none"/>
              </w:rPr>
            </w:pPr>
          </w:p>
        </w:tc>
        <w:tc>
          <w:tcPr>
            <w:tcW w:w="710" w:type="dxa"/>
            <w:gridSpan w:val="2"/>
            <w:noWrap w:val="0"/>
            <w:vAlign w:val="center"/>
          </w:tcPr>
          <w:p w14:paraId="651EA5E1">
            <w:pPr>
              <w:jc w:val="both"/>
              <w:rPr>
                <w:highlight w:val="none"/>
                <w:vertAlign w:val="baseline"/>
              </w:rPr>
            </w:pPr>
          </w:p>
        </w:tc>
      </w:tr>
      <w:tr w14:paraId="0927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F9ABAD">
            <w:pPr>
              <w:jc w:val="center"/>
              <w:rPr>
                <w:rFonts w:hint="default"/>
                <w:highlight w:val="none"/>
                <w:vertAlign w:val="baseline"/>
                <w:lang w:val="en-US" w:eastAsia="zh-CN"/>
              </w:rPr>
            </w:pPr>
            <w:r>
              <w:rPr>
                <w:rFonts w:hint="eastAsia"/>
                <w:highlight w:val="none"/>
                <w:vertAlign w:val="baseline"/>
                <w:lang w:val="en-US" w:eastAsia="zh-CN"/>
              </w:rPr>
              <w:t>53</w:t>
            </w:r>
          </w:p>
        </w:tc>
        <w:tc>
          <w:tcPr>
            <w:tcW w:w="1690" w:type="dxa"/>
            <w:noWrap w:val="0"/>
            <w:vAlign w:val="center"/>
          </w:tcPr>
          <w:p w14:paraId="4E214CF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打孔器</w:t>
            </w:r>
          </w:p>
        </w:tc>
        <w:tc>
          <w:tcPr>
            <w:tcW w:w="5928" w:type="dxa"/>
            <w:noWrap w:val="0"/>
            <w:vAlign w:val="center"/>
          </w:tcPr>
          <w:p w14:paraId="7A9A1DE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齿口式、不锈钢材质，每组4支</w:t>
            </w:r>
          </w:p>
        </w:tc>
        <w:tc>
          <w:tcPr>
            <w:tcW w:w="736" w:type="dxa"/>
            <w:noWrap w:val="0"/>
            <w:vAlign w:val="center"/>
          </w:tcPr>
          <w:p w14:paraId="667BEF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BD5D5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76B7535">
            <w:pPr>
              <w:jc w:val="center"/>
              <w:rPr>
                <w:highlight w:val="none"/>
              </w:rPr>
            </w:pPr>
          </w:p>
        </w:tc>
        <w:tc>
          <w:tcPr>
            <w:tcW w:w="710" w:type="dxa"/>
            <w:gridSpan w:val="2"/>
            <w:noWrap w:val="0"/>
            <w:vAlign w:val="center"/>
          </w:tcPr>
          <w:p w14:paraId="7532422A">
            <w:pPr>
              <w:jc w:val="both"/>
              <w:rPr>
                <w:highlight w:val="none"/>
                <w:vertAlign w:val="baseline"/>
              </w:rPr>
            </w:pPr>
          </w:p>
        </w:tc>
      </w:tr>
      <w:tr w14:paraId="4032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5E529D1">
            <w:pPr>
              <w:jc w:val="center"/>
              <w:rPr>
                <w:rFonts w:hint="default"/>
                <w:highlight w:val="none"/>
                <w:vertAlign w:val="baseline"/>
                <w:lang w:val="en-US" w:eastAsia="zh-CN"/>
              </w:rPr>
            </w:pPr>
            <w:r>
              <w:rPr>
                <w:rFonts w:hint="eastAsia"/>
                <w:highlight w:val="none"/>
                <w:vertAlign w:val="baseline"/>
                <w:lang w:val="en-US" w:eastAsia="zh-CN"/>
              </w:rPr>
              <w:t>54</w:t>
            </w:r>
          </w:p>
        </w:tc>
        <w:tc>
          <w:tcPr>
            <w:tcW w:w="1690" w:type="dxa"/>
            <w:noWrap w:val="0"/>
            <w:vAlign w:val="center"/>
          </w:tcPr>
          <w:p w14:paraId="28DFC5D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FF0000"/>
                <w:kern w:val="0"/>
                <w:sz w:val="20"/>
                <w:szCs w:val="20"/>
                <w:highlight w:val="none"/>
                <w:u w:val="none"/>
                <w:lang w:val="en-US" w:eastAsia="zh-CN" w:bidi="ar"/>
              </w:rPr>
              <w:t>打孔器夹板</w:t>
            </w:r>
          </w:p>
        </w:tc>
        <w:tc>
          <w:tcPr>
            <w:tcW w:w="5928" w:type="dxa"/>
            <w:noWrap w:val="0"/>
            <w:vAlign w:val="center"/>
          </w:tcPr>
          <w:p w14:paraId="2EFE13B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塑料的</w:t>
            </w:r>
          </w:p>
        </w:tc>
        <w:tc>
          <w:tcPr>
            <w:tcW w:w="736" w:type="dxa"/>
            <w:noWrap w:val="0"/>
            <w:vAlign w:val="center"/>
          </w:tcPr>
          <w:p w14:paraId="0363A9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83F0FC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664A624">
            <w:pPr>
              <w:jc w:val="center"/>
              <w:rPr>
                <w:highlight w:val="none"/>
              </w:rPr>
            </w:pPr>
          </w:p>
        </w:tc>
        <w:tc>
          <w:tcPr>
            <w:tcW w:w="710" w:type="dxa"/>
            <w:gridSpan w:val="2"/>
            <w:noWrap w:val="0"/>
            <w:vAlign w:val="center"/>
          </w:tcPr>
          <w:p w14:paraId="01142C0A">
            <w:pPr>
              <w:jc w:val="both"/>
              <w:rPr>
                <w:highlight w:val="none"/>
                <w:vertAlign w:val="baseline"/>
              </w:rPr>
            </w:pPr>
          </w:p>
        </w:tc>
      </w:tr>
      <w:tr w14:paraId="74A7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580233">
            <w:pPr>
              <w:jc w:val="center"/>
              <w:rPr>
                <w:rFonts w:hint="default"/>
                <w:highlight w:val="none"/>
                <w:vertAlign w:val="baseline"/>
                <w:lang w:val="en-US" w:eastAsia="zh-CN"/>
              </w:rPr>
            </w:pPr>
            <w:r>
              <w:rPr>
                <w:rFonts w:hint="eastAsia"/>
                <w:highlight w:val="none"/>
                <w:vertAlign w:val="baseline"/>
                <w:lang w:val="en-US" w:eastAsia="zh-CN"/>
              </w:rPr>
              <w:t>55</w:t>
            </w:r>
          </w:p>
        </w:tc>
        <w:tc>
          <w:tcPr>
            <w:tcW w:w="1690" w:type="dxa"/>
            <w:noWrap w:val="0"/>
            <w:vAlign w:val="center"/>
          </w:tcPr>
          <w:p w14:paraId="7718741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手摇钻</w:t>
            </w:r>
          </w:p>
        </w:tc>
        <w:tc>
          <w:tcPr>
            <w:tcW w:w="5928" w:type="dxa"/>
            <w:noWrap w:val="0"/>
            <w:vAlign w:val="center"/>
          </w:tcPr>
          <w:p w14:paraId="6706F3A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手持式</w:t>
            </w:r>
          </w:p>
        </w:tc>
        <w:tc>
          <w:tcPr>
            <w:tcW w:w="736" w:type="dxa"/>
            <w:noWrap w:val="0"/>
            <w:vAlign w:val="center"/>
          </w:tcPr>
          <w:p w14:paraId="6C661D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C7919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1C7ACCD">
            <w:pPr>
              <w:jc w:val="center"/>
              <w:rPr>
                <w:highlight w:val="none"/>
              </w:rPr>
            </w:pPr>
          </w:p>
        </w:tc>
        <w:tc>
          <w:tcPr>
            <w:tcW w:w="710" w:type="dxa"/>
            <w:gridSpan w:val="2"/>
            <w:noWrap w:val="0"/>
            <w:vAlign w:val="center"/>
          </w:tcPr>
          <w:p w14:paraId="5FCD9503">
            <w:pPr>
              <w:jc w:val="both"/>
              <w:rPr>
                <w:highlight w:val="none"/>
                <w:vertAlign w:val="baseline"/>
              </w:rPr>
            </w:pPr>
          </w:p>
        </w:tc>
      </w:tr>
      <w:tr w14:paraId="6A53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699C2A">
            <w:pPr>
              <w:jc w:val="center"/>
              <w:rPr>
                <w:rFonts w:hint="default"/>
                <w:highlight w:val="none"/>
                <w:vertAlign w:val="baseline"/>
                <w:lang w:val="en-US" w:eastAsia="zh-CN"/>
              </w:rPr>
            </w:pPr>
            <w:r>
              <w:rPr>
                <w:rFonts w:hint="eastAsia"/>
                <w:highlight w:val="none"/>
                <w:vertAlign w:val="baseline"/>
                <w:lang w:val="en-US" w:eastAsia="zh-CN"/>
              </w:rPr>
              <w:t>56</w:t>
            </w:r>
          </w:p>
        </w:tc>
        <w:tc>
          <w:tcPr>
            <w:tcW w:w="1690" w:type="dxa"/>
            <w:noWrap w:val="0"/>
            <w:vAlign w:val="center"/>
          </w:tcPr>
          <w:p w14:paraId="6DEDFD5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锥子</w:t>
            </w:r>
          </w:p>
        </w:tc>
        <w:tc>
          <w:tcPr>
            <w:tcW w:w="5928" w:type="dxa"/>
            <w:noWrap w:val="0"/>
            <w:vAlign w:val="center"/>
          </w:tcPr>
          <w:p w14:paraId="3E65123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锥头长不小于70mm，锥杆直径渐变</w:t>
            </w:r>
          </w:p>
        </w:tc>
        <w:tc>
          <w:tcPr>
            <w:tcW w:w="736" w:type="dxa"/>
            <w:noWrap w:val="0"/>
            <w:vAlign w:val="center"/>
          </w:tcPr>
          <w:p w14:paraId="53EBA3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4432A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6207A79">
            <w:pPr>
              <w:jc w:val="center"/>
              <w:rPr>
                <w:highlight w:val="none"/>
              </w:rPr>
            </w:pPr>
          </w:p>
        </w:tc>
        <w:tc>
          <w:tcPr>
            <w:tcW w:w="710" w:type="dxa"/>
            <w:gridSpan w:val="2"/>
            <w:noWrap w:val="0"/>
            <w:vAlign w:val="center"/>
          </w:tcPr>
          <w:p w14:paraId="1AD3869B">
            <w:pPr>
              <w:jc w:val="both"/>
              <w:rPr>
                <w:highlight w:val="none"/>
                <w:vertAlign w:val="baseline"/>
              </w:rPr>
            </w:pPr>
          </w:p>
        </w:tc>
      </w:tr>
      <w:tr w14:paraId="6CC5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EA6FEA">
            <w:pPr>
              <w:jc w:val="center"/>
              <w:rPr>
                <w:rFonts w:hint="default"/>
                <w:highlight w:val="none"/>
                <w:vertAlign w:val="baseline"/>
                <w:lang w:val="en-US" w:eastAsia="zh-CN"/>
              </w:rPr>
            </w:pPr>
            <w:r>
              <w:rPr>
                <w:rFonts w:hint="eastAsia"/>
                <w:highlight w:val="none"/>
                <w:vertAlign w:val="baseline"/>
                <w:lang w:val="en-US" w:eastAsia="zh-CN"/>
              </w:rPr>
              <w:t>57</w:t>
            </w:r>
          </w:p>
        </w:tc>
        <w:tc>
          <w:tcPr>
            <w:tcW w:w="1690" w:type="dxa"/>
            <w:noWrap w:val="0"/>
            <w:vAlign w:val="center"/>
          </w:tcPr>
          <w:p w14:paraId="263392B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镊子</w:t>
            </w:r>
          </w:p>
        </w:tc>
        <w:tc>
          <w:tcPr>
            <w:tcW w:w="5928" w:type="dxa"/>
            <w:noWrap w:val="0"/>
            <w:vAlign w:val="center"/>
          </w:tcPr>
          <w:p w14:paraId="34FEFB4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金属制，平头，长 125 mm</w:t>
            </w:r>
          </w:p>
        </w:tc>
        <w:tc>
          <w:tcPr>
            <w:tcW w:w="736" w:type="dxa"/>
            <w:noWrap w:val="0"/>
            <w:vAlign w:val="center"/>
          </w:tcPr>
          <w:p w14:paraId="6C18A1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8964F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D3E95B5">
            <w:pPr>
              <w:jc w:val="center"/>
              <w:rPr>
                <w:highlight w:val="none"/>
              </w:rPr>
            </w:pPr>
          </w:p>
        </w:tc>
        <w:tc>
          <w:tcPr>
            <w:tcW w:w="710" w:type="dxa"/>
            <w:gridSpan w:val="2"/>
            <w:noWrap w:val="0"/>
            <w:vAlign w:val="center"/>
          </w:tcPr>
          <w:p w14:paraId="7A118408">
            <w:pPr>
              <w:jc w:val="both"/>
              <w:rPr>
                <w:highlight w:val="none"/>
                <w:vertAlign w:val="baseline"/>
              </w:rPr>
            </w:pPr>
          </w:p>
        </w:tc>
      </w:tr>
      <w:tr w14:paraId="46D4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99FF0F">
            <w:pPr>
              <w:jc w:val="center"/>
              <w:rPr>
                <w:rFonts w:hint="default"/>
                <w:highlight w:val="none"/>
                <w:vertAlign w:val="baseline"/>
                <w:lang w:val="en-US" w:eastAsia="zh-CN"/>
              </w:rPr>
            </w:pPr>
            <w:r>
              <w:rPr>
                <w:rFonts w:hint="eastAsia"/>
                <w:highlight w:val="none"/>
                <w:vertAlign w:val="baseline"/>
                <w:lang w:val="en-US" w:eastAsia="zh-CN"/>
              </w:rPr>
              <w:t>58</w:t>
            </w:r>
          </w:p>
        </w:tc>
        <w:tc>
          <w:tcPr>
            <w:tcW w:w="1690" w:type="dxa"/>
            <w:noWrap w:val="0"/>
            <w:vAlign w:val="center"/>
          </w:tcPr>
          <w:p w14:paraId="2E2C7DB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水准器</w:t>
            </w:r>
          </w:p>
        </w:tc>
        <w:tc>
          <w:tcPr>
            <w:tcW w:w="5928" w:type="dxa"/>
            <w:noWrap w:val="0"/>
            <w:vAlign w:val="center"/>
          </w:tcPr>
          <w:p w14:paraId="01A7221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气泡水准器</w:t>
            </w:r>
          </w:p>
        </w:tc>
        <w:tc>
          <w:tcPr>
            <w:tcW w:w="736" w:type="dxa"/>
            <w:noWrap w:val="0"/>
            <w:vAlign w:val="center"/>
          </w:tcPr>
          <w:p w14:paraId="0E6700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11401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BBA2C03">
            <w:pPr>
              <w:jc w:val="center"/>
              <w:rPr>
                <w:highlight w:val="none"/>
              </w:rPr>
            </w:pPr>
          </w:p>
        </w:tc>
        <w:tc>
          <w:tcPr>
            <w:tcW w:w="710" w:type="dxa"/>
            <w:gridSpan w:val="2"/>
            <w:noWrap w:val="0"/>
            <w:vAlign w:val="center"/>
          </w:tcPr>
          <w:p w14:paraId="60448C85">
            <w:pPr>
              <w:jc w:val="both"/>
              <w:rPr>
                <w:highlight w:val="none"/>
                <w:vertAlign w:val="baseline"/>
              </w:rPr>
            </w:pPr>
          </w:p>
        </w:tc>
      </w:tr>
      <w:tr w14:paraId="3C09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BF909CA">
            <w:pPr>
              <w:jc w:val="center"/>
              <w:rPr>
                <w:rFonts w:hint="default"/>
                <w:highlight w:val="none"/>
                <w:vertAlign w:val="baseline"/>
                <w:lang w:val="en-US" w:eastAsia="zh-CN"/>
              </w:rPr>
            </w:pPr>
            <w:r>
              <w:rPr>
                <w:rFonts w:hint="eastAsia"/>
                <w:highlight w:val="none"/>
                <w:vertAlign w:val="baseline"/>
                <w:lang w:val="en-US" w:eastAsia="zh-CN"/>
              </w:rPr>
              <w:t>59</w:t>
            </w:r>
          </w:p>
        </w:tc>
        <w:tc>
          <w:tcPr>
            <w:tcW w:w="1690" w:type="dxa"/>
            <w:noWrap w:val="0"/>
            <w:vAlign w:val="center"/>
          </w:tcPr>
          <w:p w14:paraId="4484942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工具箱</w:t>
            </w:r>
          </w:p>
        </w:tc>
        <w:tc>
          <w:tcPr>
            <w:tcW w:w="5928" w:type="dxa"/>
            <w:noWrap w:val="0"/>
            <w:vAlign w:val="center"/>
          </w:tcPr>
          <w:p w14:paraId="29B7A42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含民用剪刀、平口钳、尖嘴钳、剥线钳、斜口钳、钢丝钳、一字和十字螺丝刀、锥子、镊子等</w:t>
            </w:r>
          </w:p>
        </w:tc>
        <w:tc>
          <w:tcPr>
            <w:tcW w:w="736" w:type="dxa"/>
            <w:noWrap w:val="0"/>
            <w:vAlign w:val="center"/>
          </w:tcPr>
          <w:p w14:paraId="60D61E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箱</w:t>
            </w:r>
          </w:p>
        </w:tc>
        <w:tc>
          <w:tcPr>
            <w:tcW w:w="834" w:type="dxa"/>
            <w:noWrap w:val="0"/>
            <w:vAlign w:val="center"/>
          </w:tcPr>
          <w:p w14:paraId="3DD8DF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CB54A4B">
            <w:pPr>
              <w:jc w:val="center"/>
              <w:rPr>
                <w:highlight w:val="none"/>
              </w:rPr>
            </w:pPr>
          </w:p>
        </w:tc>
        <w:tc>
          <w:tcPr>
            <w:tcW w:w="710" w:type="dxa"/>
            <w:gridSpan w:val="2"/>
            <w:noWrap w:val="0"/>
            <w:vAlign w:val="center"/>
          </w:tcPr>
          <w:p w14:paraId="4899BB99">
            <w:pPr>
              <w:jc w:val="both"/>
              <w:rPr>
                <w:highlight w:val="none"/>
                <w:vertAlign w:val="baseline"/>
              </w:rPr>
            </w:pPr>
          </w:p>
        </w:tc>
      </w:tr>
      <w:tr w14:paraId="22EC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57AD010">
            <w:pPr>
              <w:jc w:val="center"/>
              <w:rPr>
                <w:rFonts w:hint="default"/>
                <w:highlight w:val="none"/>
                <w:vertAlign w:val="baseline"/>
                <w:lang w:val="en-US" w:eastAsia="zh-CN"/>
              </w:rPr>
            </w:pPr>
            <w:r>
              <w:rPr>
                <w:rFonts w:hint="eastAsia"/>
                <w:highlight w:val="none"/>
                <w:vertAlign w:val="baseline"/>
                <w:lang w:val="en-US" w:eastAsia="zh-CN"/>
              </w:rPr>
              <w:t>60</w:t>
            </w:r>
          </w:p>
        </w:tc>
        <w:tc>
          <w:tcPr>
            <w:tcW w:w="1690" w:type="dxa"/>
            <w:noWrap w:val="0"/>
            <w:vAlign w:val="center"/>
          </w:tcPr>
          <w:p w14:paraId="1962018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钳工工作台</w:t>
            </w:r>
          </w:p>
        </w:tc>
        <w:tc>
          <w:tcPr>
            <w:tcW w:w="5928" w:type="dxa"/>
            <w:noWrap w:val="0"/>
            <w:vAlign w:val="center"/>
          </w:tcPr>
          <w:p w14:paraId="5590DCF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实木制，1150×530×780mm，</w:t>
            </w:r>
          </w:p>
        </w:tc>
        <w:tc>
          <w:tcPr>
            <w:tcW w:w="736" w:type="dxa"/>
            <w:noWrap w:val="0"/>
            <w:vAlign w:val="center"/>
          </w:tcPr>
          <w:p w14:paraId="245714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A584B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15A67F6">
            <w:pPr>
              <w:jc w:val="center"/>
              <w:rPr>
                <w:highlight w:val="none"/>
              </w:rPr>
            </w:pPr>
          </w:p>
        </w:tc>
        <w:tc>
          <w:tcPr>
            <w:tcW w:w="710" w:type="dxa"/>
            <w:gridSpan w:val="2"/>
            <w:noWrap w:val="0"/>
            <w:vAlign w:val="center"/>
          </w:tcPr>
          <w:p w14:paraId="5AB204E0">
            <w:pPr>
              <w:jc w:val="both"/>
              <w:rPr>
                <w:highlight w:val="none"/>
                <w:vertAlign w:val="baseline"/>
              </w:rPr>
            </w:pPr>
          </w:p>
        </w:tc>
      </w:tr>
      <w:tr w14:paraId="5162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BEB2CD">
            <w:pPr>
              <w:jc w:val="center"/>
              <w:rPr>
                <w:rFonts w:hint="default"/>
                <w:highlight w:val="none"/>
                <w:vertAlign w:val="baseline"/>
                <w:lang w:val="en-US" w:eastAsia="zh-CN"/>
              </w:rPr>
            </w:pPr>
            <w:r>
              <w:rPr>
                <w:rFonts w:hint="eastAsia"/>
                <w:highlight w:val="none"/>
                <w:vertAlign w:val="baseline"/>
                <w:lang w:val="en-US" w:eastAsia="zh-CN"/>
              </w:rPr>
              <w:t>61</w:t>
            </w:r>
          </w:p>
        </w:tc>
        <w:tc>
          <w:tcPr>
            <w:tcW w:w="1690" w:type="dxa"/>
            <w:noWrap w:val="0"/>
            <w:vAlign w:val="center"/>
          </w:tcPr>
          <w:p w14:paraId="42114E8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寒暑表</w:t>
            </w:r>
          </w:p>
        </w:tc>
        <w:tc>
          <w:tcPr>
            <w:tcW w:w="5928" w:type="dxa"/>
            <w:noWrap w:val="0"/>
            <w:vAlign w:val="center"/>
          </w:tcPr>
          <w:p w14:paraId="4068DFA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木质，量程-40～50℃，分度值1℃</w:t>
            </w:r>
          </w:p>
        </w:tc>
        <w:tc>
          <w:tcPr>
            <w:tcW w:w="736" w:type="dxa"/>
            <w:noWrap w:val="0"/>
            <w:vAlign w:val="center"/>
          </w:tcPr>
          <w:p w14:paraId="2D0291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C5BA1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ED7D92F">
            <w:pPr>
              <w:jc w:val="center"/>
              <w:rPr>
                <w:highlight w:val="none"/>
              </w:rPr>
            </w:pPr>
          </w:p>
        </w:tc>
        <w:tc>
          <w:tcPr>
            <w:tcW w:w="710" w:type="dxa"/>
            <w:gridSpan w:val="2"/>
            <w:noWrap w:val="0"/>
            <w:vAlign w:val="center"/>
          </w:tcPr>
          <w:p w14:paraId="27987C31">
            <w:pPr>
              <w:jc w:val="both"/>
              <w:rPr>
                <w:highlight w:val="none"/>
                <w:vertAlign w:val="baseline"/>
              </w:rPr>
            </w:pPr>
          </w:p>
        </w:tc>
      </w:tr>
      <w:tr w14:paraId="13B5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6B4B29">
            <w:pPr>
              <w:jc w:val="center"/>
              <w:rPr>
                <w:rFonts w:hint="default"/>
                <w:highlight w:val="none"/>
                <w:vertAlign w:val="baseline"/>
                <w:lang w:val="en-US" w:eastAsia="zh-CN"/>
              </w:rPr>
            </w:pPr>
            <w:r>
              <w:rPr>
                <w:rFonts w:hint="eastAsia"/>
                <w:highlight w:val="none"/>
                <w:vertAlign w:val="baseline"/>
                <w:lang w:val="en-US" w:eastAsia="zh-CN"/>
              </w:rPr>
              <w:t>62</w:t>
            </w:r>
          </w:p>
        </w:tc>
        <w:tc>
          <w:tcPr>
            <w:tcW w:w="1690" w:type="dxa"/>
            <w:noWrap w:val="0"/>
            <w:vAlign w:val="center"/>
          </w:tcPr>
          <w:p w14:paraId="6F42CAD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体温计</w:t>
            </w:r>
          </w:p>
        </w:tc>
        <w:tc>
          <w:tcPr>
            <w:tcW w:w="5928" w:type="dxa"/>
            <w:noWrap w:val="0"/>
            <w:vAlign w:val="center"/>
          </w:tcPr>
          <w:p w14:paraId="6FDB70F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口腔水银，量程35～42℃，分度值0.1℃，</w:t>
            </w:r>
          </w:p>
        </w:tc>
        <w:tc>
          <w:tcPr>
            <w:tcW w:w="736" w:type="dxa"/>
            <w:noWrap w:val="0"/>
            <w:vAlign w:val="center"/>
          </w:tcPr>
          <w:p w14:paraId="1E427D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291D19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E99BCE9">
            <w:pPr>
              <w:jc w:val="center"/>
              <w:rPr>
                <w:highlight w:val="none"/>
              </w:rPr>
            </w:pPr>
          </w:p>
        </w:tc>
        <w:tc>
          <w:tcPr>
            <w:tcW w:w="710" w:type="dxa"/>
            <w:gridSpan w:val="2"/>
            <w:noWrap w:val="0"/>
            <w:vAlign w:val="center"/>
          </w:tcPr>
          <w:p w14:paraId="31FB92C0">
            <w:pPr>
              <w:jc w:val="both"/>
              <w:rPr>
                <w:highlight w:val="none"/>
                <w:vertAlign w:val="baseline"/>
              </w:rPr>
            </w:pPr>
          </w:p>
        </w:tc>
      </w:tr>
      <w:tr w14:paraId="3EDB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BC17F1D">
            <w:pPr>
              <w:jc w:val="center"/>
              <w:rPr>
                <w:rFonts w:hint="default"/>
                <w:highlight w:val="none"/>
                <w:vertAlign w:val="baseline"/>
                <w:lang w:val="en-US" w:eastAsia="zh-CN"/>
              </w:rPr>
            </w:pPr>
            <w:r>
              <w:rPr>
                <w:rFonts w:hint="eastAsia"/>
                <w:highlight w:val="none"/>
                <w:vertAlign w:val="baseline"/>
                <w:lang w:val="en-US" w:eastAsia="zh-CN"/>
              </w:rPr>
              <w:t>63</w:t>
            </w:r>
          </w:p>
        </w:tc>
        <w:tc>
          <w:tcPr>
            <w:tcW w:w="1690" w:type="dxa"/>
            <w:noWrap w:val="0"/>
            <w:vAlign w:val="center"/>
          </w:tcPr>
          <w:p w14:paraId="7077A14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电子体温计</w:t>
            </w:r>
          </w:p>
        </w:tc>
        <w:tc>
          <w:tcPr>
            <w:tcW w:w="5928" w:type="dxa"/>
            <w:noWrap w:val="0"/>
            <w:vAlign w:val="center"/>
          </w:tcPr>
          <w:p w14:paraId="167498E5">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量程35.0℃～41.0℃，分辨力0.1℃</w:t>
            </w:r>
          </w:p>
        </w:tc>
        <w:tc>
          <w:tcPr>
            <w:tcW w:w="736" w:type="dxa"/>
            <w:noWrap w:val="0"/>
            <w:vAlign w:val="center"/>
          </w:tcPr>
          <w:p w14:paraId="01F26B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8B8CF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8CE54D1">
            <w:pPr>
              <w:jc w:val="center"/>
              <w:rPr>
                <w:highlight w:val="none"/>
              </w:rPr>
            </w:pPr>
          </w:p>
        </w:tc>
        <w:tc>
          <w:tcPr>
            <w:tcW w:w="710" w:type="dxa"/>
            <w:gridSpan w:val="2"/>
            <w:noWrap w:val="0"/>
            <w:vAlign w:val="center"/>
          </w:tcPr>
          <w:p w14:paraId="227A2EB2">
            <w:pPr>
              <w:jc w:val="both"/>
              <w:rPr>
                <w:highlight w:val="none"/>
                <w:vertAlign w:val="baseline"/>
              </w:rPr>
            </w:pPr>
          </w:p>
        </w:tc>
      </w:tr>
      <w:tr w14:paraId="1DD5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E249C3">
            <w:pPr>
              <w:jc w:val="center"/>
              <w:rPr>
                <w:rFonts w:hint="default"/>
                <w:highlight w:val="none"/>
                <w:vertAlign w:val="baseline"/>
                <w:lang w:val="en-US" w:eastAsia="zh-CN"/>
              </w:rPr>
            </w:pPr>
            <w:r>
              <w:rPr>
                <w:rFonts w:hint="eastAsia"/>
                <w:highlight w:val="none"/>
                <w:vertAlign w:val="baseline"/>
                <w:lang w:val="en-US" w:eastAsia="zh-CN"/>
              </w:rPr>
              <w:t>64</w:t>
            </w:r>
          </w:p>
        </w:tc>
        <w:tc>
          <w:tcPr>
            <w:tcW w:w="1690" w:type="dxa"/>
            <w:noWrap w:val="0"/>
            <w:vAlign w:val="center"/>
          </w:tcPr>
          <w:p w14:paraId="6266327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红液温度计</w:t>
            </w:r>
          </w:p>
        </w:tc>
        <w:tc>
          <w:tcPr>
            <w:tcW w:w="5928" w:type="dxa"/>
            <w:noWrap w:val="0"/>
            <w:vAlign w:val="center"/>
          </w:tcPr>
          <w:p w14:paraId="2DF179A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 ℃～100 ℃</w:t>
            </w:r>
          </w:p>
        </w:tc>
        <w:tc>
          <w:tcPr>
            <w:tcW w:w="736" w:type="dxa"/>
            <w:noWrap w:val="0"/>
            <w:vAlign w:val="center"/>
          </w:tcPr>
          <w:p w14:paraId="6A7ACF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0C323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13C4EBFB">
            <w:pPr>
              <w:jc w:val="center"/>
              <w:rPr>
                <w:highlight w:val="none"/>
              </w:rPr>
            </w:pPr>
          </w:p>
        </w:tc>
        <w:tc>
          <w:tcPr>
            <w:tcW w:w="710" w:type="dxa"/>
            <w:gridSpan w:val="2"/>
            <w:noWrap w:val="0"/>
            <w:vAlign w:val="center"/>
          </w:tcPr>
          <w:p w14:paraId="0FE9BE7C">
            <w:pPr>
              <w:jc w:val="both"/>
              <w:rPr>
                <w:highlight w:val="none"/>
                <w:vertAlign w:val="baseline"/>
              </w:rPr>
            </w:pPr>
          </w:p>
        </w:tc>
      </w:tr>
      <w:tr w14:paraId="78A2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6B7AE1">
            <w:pPr>
              <w:jc w:val="center"/>
              <w:rPr>
                <w:rFonts w:hint="default"/>
                <w:highlight w:val="none"/>
                <w:vertAlign w:val="baseline"/>
                <w:lang w:val="en-US" w:eastAsia="zh-CN"/>
              </w:rPr>
            </w:pPr>
            <w:r>
              <w:rPr>
                <w:rFonts w:hint="eastAsia"/>
                <w:highlight w:val="none"/>
                <w:vertAlign w:val="baseline"/>
                <w:lang w:val="en-US" w:eastAsia="zh-CN"/>
              </w:rPr>
              <w:t>65</w:t>
            </w:r>
          </w:p>
        </w:tc>
        <w:tc>
          <w:tcPr>
            <w:tcW w:w="1690" w:type="dxa"/>
            <w:noWrap w:val="0"/>
            <w:vAlign w:val="center"/>
          </w:tcPr>
          <w:p w14:paraId="3B29694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水银温度计</w:t>
            </w:r>
          </w:p>
        </w:tc>
        <w:tc>
          <w:tcPr>
            <w:tcW w:w="5928" w:type="dxa"/>
            <w:noWrap w:val="0"/>
            <w:vAlign w:val="center"/>
          </w:tcPr>
          <w:p w14:paraId="2E589F5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 ℃～200 ℃</w:t>
            </w:r>
          </w:p>
        </w:tc>
        <w:tc>
          <w:tcPr>
            <w:tcW w:w="736" w:type="dxa"/>
            <w:noWrap w:val="0"/>
            <w:vAlign w:val="center"/>
          </w:tcPr>
          <w:p w14:paraId="66C22F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18A26F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B8A86E2">
            <w:pPr>
              <w:jc w:val="center"/>
              <w:rPr>
                <w:highlight w:val="none"/>
              </w:rPr>
            </w:pPr>
          </w:p>
        </w:tc>
        <w:tc>
          <w:tcPr>
            <w:tcW w:w="710" w:type="dxa"/>
            <w:gridSpan w:val="2"/>
            <w:noWrap w:val="0"/>
            <w:vAlign w:val="center"/>
          </w:tcPr>
          <w:p w14:paraId="3BFA0910">
            <w:pPr>
              <w:jc w:val="both"/>
              <w:rPr>
                <w:highlight w:val="none"/>
                <w:vertAlign w:val="baseline"/>
              </w:rPr>
            </w:pPr>
          </w:p>
        </w:tc>
      </w:tr>
      <w:tr w14:paraId="4EAB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31AB7A">
            <w:pPr>
              <w:jc w:val="center"/>
              <w:rPr>
                <w:rFonts w:hint="default"/>
                <w:highlight w:val="none"/>
                <w:vertAlign w:val="baseline"/>
                <w:lang w:val="en-US" w:eastAsia="zh-CN"/>
              </w:rPr>
            </w:pPr>
            <w:r>
              <w:rPr>
                <w:rFonts w:hint="eastAsia"/>
                <w:highlight w:val="none"/>
                <w:vertAlign w:val="baseline"/>
                <w:lang w:val="en-US" w:eastAsia="zh-CN"/>
              </w:rPr>
              <w:t>66</w:t>
            </w:r>
          </w:p>
        </w:tc>
        <w:tc>
          <w:tcPr>
            <w:tcW w:w="1690" w:type="dxa"/>
            <w:noWrap w:val="0"/>
            <w:vAlign w:val="center"/>
          </w:tcPr>
          <w:p w14:paraId="2B72472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演示温度计</w:t>
            </w:r>
          </w:p>
        </w:tc>
        <w:tc>
          <w:tcPr>
            <w:tcW w:w="5928" w:type="dxa"/>
            <w:noWrap w:val="0"/>
            <w:vAlign w:val="center"/>
          </w:tcPr>
          <w:p w14:paraId="0BF5D35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铝合金面板，长565mm</w:t>
            </w:r>
          </w:p>
        </w:tc>
        <w:tc>
          <w:tcPr>
            <w:tcW w:w="736" w:type="dxa"/>
            <w:noWrap w:val="0"/>
            <w:vAlign w:val="center"/>
          </w:tcPr>
          <w:p w14:paraId="5FAE06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45F7D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1BB9815">
            <w:pPr>
              <w:jc w:val="center"/>
              <w:rPr>
                <w:highlight w:val="none"/>
              </w:rPr>
            </w:pPr>
          </w:p>
        </w:tc>
        <w:tc>
          <w:tcPr>
            <w:tcW w:w="710" w:type="dxa"/>
            <w:gridSpan w:val="2"/>
            <w:noWrap w:val="0"/>
            <w:vAlign w:val="center"/>
          </w:tcPr>
          <w:p w14:paraId="71F0D157">
            <w:pPr>
              <w:jc w:val="both"/>
              <w:rPr>
                <w:highlight w:val="none"/>
                <w:vertAlign w:val="baseline"/>
              </w:rPr>
            </w:pPr>
          </w:p>
        </w:tc>
      </w:tr>
      <w:tr w14:paraId="3206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B2AD66">
            <w:pPr>
              <w:jc w:val="center"/>
              <w:rPr>
                <w:rFonts w:hint="default"/>
                <w:highlight w:val="none"/>
                <w:vertAlign w:val="baseline"/>
                <w:lang w:val="en-US" w:eastAsia="zh-CN"/>
              </w:rPr>
            </w:pPr>
            <w:r>
              <w:rPr>
                <w:rFonts w:hint="eastAsia"/>
                <w:highlight w:val="none"/>
                <w:vertAlign w:val="baseline"/>
                <w:lang w:val="en-US" w:eastAsia="zh-CN"/>
              </w:rPr>
              <w:t>67</w:t>
            </w:r>
          </w:p>
        </w:tc>
        <w:tc>
          <w:tcPr>
            <w:tcW w:w="1690" w:type="dxa"/>
            <w:noWrap w:val="0"/>
            <w:vAlign w:val="center"/>
          </w:tcPr>
          <w:p w14:paraId="3709159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数字温度计</w:t>
            </w:r>
          </w:p>
        </w:tc>
        <w:tc>
          <w:tcPr>
            <w:tcW w:w="5928" w:type="dxa"/>
            <w:noWrap w:val="0"/>
            <w:vAlign w:val="center"/>
          </w:tcPr>
          <w:p w14:paraId="4EBAF2A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量程-10 ℃～110 ℃，分辨力 0.1 ℃，误差&lt;±1.5 ℃；不接电脑，可独立运行，自带显示屏，显示屏尺寸≥30 mm×40 mm</w:t>
            </w:r>
          </w:p>
        </w:tc>
        <w:tc>
          <w:tcPr>
            <w:tcW w:w="736" w:type="dxa"/>
            <w:noWrap w:val="0"/>
            <w:vAlign w:val="center"/>
          </w:tcPr>
          <w:p w14:paraId="3D8E20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16D72A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B9412DC">
            <w:pPr>
              <w:jc w:val="center"/>
              <w:rPr>
                <w:highlight w:val="none"/>
              </w:rPr>
            </w:pPr>
          </w:p>
        </w:tc>
        <w:tc>
          <w:tcPr>
            <w:tcW w:w="710" w:type="dxa"/>
            <w:gridSpan w:val="2"/>
            <w:noWrap w:val="0"/>
            <w:vAlign w:val="center"/>
          </w:tcPr>
          <w:p w14:paraId="34EED9B5">
            <w:pPr>
              <w:jc w:val="both"/>
              <w:rPr>
                <w:highlight w:val="none"/>
                <w:vertAlign w:val="baseline"/>
              </w:rPr>
            </w:pPr>
          </w:p>
        </w:tc>
      </w:tr>
      <w:tr w14:paraId="10E0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F5A106">
            <w:pPr>
              <w:jc w:val="center"/>
              <w:rPr>
                <w:rFonts w:hint="default"/>
                <w:highlight w:val="none"/>
                <w:vertAlign w:val="baseline"/>
                <w:lang w:val="en-US" w:eastAsia="zh-CN"/>
              </w:rPr>
            </w:pPr>
            <w:r>
              <w:rPr>
                <w:rFonts w:hint="eastAsia"/>
                <w:highlight w:val="none"/>
                <w:vertAlign w:val="baseline"/>
                <w:lang w:val="en-US" w:eastAsia="zh-CN"/>
              </w:rPr>
              <w:t>68</w:t>
            </w:r>
          </w:p>
        </w:tc>
        <w:tc>
          <w:tcPr>
            <w:tcW w:w="1690" w:type="dxa"/>
            <w:noWrap w:val="0"/>
            <w:vAlign w:val="center"/>
          </w:tcPr>
          <w:p w14:paraId="60149A7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数字测温计</w:t>
            </w:r>
          </w:p>
        </w:tc>
        <w:tc>
          <w:tcPr>
            <w:tcW w:w="5928" w:type="dxa"/>
            <w:noWrap w:val="0"/>
            <w:vAlign w:val="center"/>
          </w:tcPr>
          <w:p w14:paraId="5D6F1AA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集成温度传感器，-50度～+150度，分辨率0.1度</w:t>
            </w:r>
          </w:p>
        </w:tc>
        <w:tc>
          <w:tcPr>
            <w:tcW w:w="736" w:type="dxa"/>
            <w:noWrap w:val="0"/>
            <w:vAlign w:val="center"/>
          </w:tcPr>
          <w:p w14:paraId="547694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3E1138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ABB132E">
            <w:pPr>
              <w:jc w:val="center"/>
              <w:rPr>
                <w:highlight w:val="none"/>
              </w:rPr>
            </w:pPr>
          </w:p>
        </w:tc>
        <w:tc>
          <w:tcPr>
            <w:tcW w:w="710" w:type="dxa"/>
            <w:gridSpan w:val="2"/>
            <w:noWrap w:val="0"/>
            <w:vAlign w:val="center"/>
          </w:tcPr>
          <w:p w14:paraId="2B9826DC">
            <w:pPr>
              <w:jc w:val="both"/>
              <w:rPr>
                <w:highlight w:val="none"/>
                <w:vertAlign w:val="baseline"/>
              </w:rPr>
            </w:pPr>
          </w:p>
        </w:tc>
      </w:tr>
      <w:tr w14:paraId="4992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99BA87">
            <w:pPr>
              <w:jc w:val="center"/>
              <w:rPr>
                <w:rFonts w:hint="default"/>
                <w:highlight w:val="none"/>
                <w:vertAlign w:val="baseline"/>
                <w:lang w:val="en-US" w:eastAsia="zh-CN"/>
              </w:rPr>
            </w:pPr>
            <w:r>
              <w:rPr>
                <w:rFonts w:hint="eastAsia"/>
                <w:highlight w:val="none"/>
                <w:vertAlign w:val="baseline"/>
                <w:lang w:val="en-US" w:eastAsia="zh-CN"/>
              </w:rPr>
              <w:t>69</w:t>
            </w:r>
          </w:p>
        </w:tc>
        <w:tc>
          <w:tcPr>
            <w:tcW w:w="1690" w:type="dxa"/>
            <w:noWrap w:val="0"/>
            <w:vAlign w:val="center"/>
          </w:tcPr>
          <w:p w14:paraId="7C6E901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双金属片温度计</w:t>
            </w:r>
          </w:p>
        </w:tc>
        <w:tc>
          <w:tcPr>
            <w:tcW w:w="5928" w:type="dxa"/>
            <w:noWrap w:val="0"/>
            <w:vAlign w:val="center"/>
          </w:tcPr>
          <w:p w14:paraId="2FD7C68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指针式，双金属游丝测温</w:t>
            </w:r>
          </w:p>
        </w:tc>
        <w:tc>
          <w:tcPr>
            <w:tcW w:w="736" w:type="dxa"/>
            <w:noWrap w:val="0"/>
            <w:vAlign w:val="center"/>
          </w:tcPr>
          <w:p w14:paraId="350CD7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4AA45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03CCB30">
            <w:pPr>
              <w:jc w:val="center"/>
              <w:rPr>
                <w:highlight w:val="none"/>
              </w:rPr>
            </w:pPr>
          </w:p>
        </w:tc>
        <w:tc>
          <w:tcPr>
            <w:tcW w:w="710" w:type="dxa"/>
            <w:gridSpan w:val="2"/>
            <w:noWrap w:val="0"/>
            <w:vAlign w:val="center"/>
          </w:tcPr>
          <w:p w14:paraId="28DC78DA">
            <w:pPr>
              <w:jc w:val="both"/>
              <w:rPr>
                <w:highlight w:val="none"/>
                <w:vertAlign w:val="baseline"/>
              </w:rPr>
            </w:pPr>
          </w:p>
        </w:tc>
      </w:tr>
      <w:tr w14:paraId="305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B1D3E6">
            <w:pPr>
              <w:jc w:val="center"/>
              <w:rPr>
                <w:rFonts w:hint="default"/>
                <w:highlight w:val="none"/>
                <w:vertAlign w:val="baseline"/>
                <w:lang w:val="en-US" w:eastAsia="zh-CN"/>
              </w:rPr>
            </w:pPr>
            <w:r>
              <w:rPr>
                <w:rFonts w:hint="eastAsia"/>
                <w:highlight w:val="none"/>
                <w:vertAlign w:val="baseline"/>
                <w:lang w:val="en-US" w:eastAsia="zh-CN"/>
              </w:rPr>
              <w:t>70</w:t>
            </w:r>
          </w:p>
        </w:tc>
        <w:tc>
          <w:tcPr>
            <w:tcW w:w="1690" w:type="dxa"/>
            <w:noWrap w:val="0"/>
            <w:vAlign w:val="center"/>
          </w:tcPr>
          <w:p w14:paraId="283F0C5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红外温度计</w:t>
            </w:r>
          </w:p>
        </w:tc>
        <w:tc>
          <w:tcPr>
            <w:tcW w:w="5928" w:type="dxa"/>
            <w:noWrap w:val="0"/>
            <w:vAlign w:val="center"/>
          </w:tcPr>
          <w:p w14:paraId="06347A5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分辨力 0.1 ℃</w:t>
            </w:r>
          </w:p>
        </w:tc>
        <w:tc>
          <w:tcPr>
            <w:tcW w:w="736" w:type="dxa"/>
            <w:noWrap w:val="0"/>
            <w:vAlign w:val="center"/>
          </w:tcPr>
          <w:p w14:paraId="53DD3F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3A4C8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0FC9EA3">
            <w:pPr>
              <w:jc w:val="center"/>
              <w:rPr>
                <w:highlight w:val="none"/>
              </w:rPr>
            </w:pPr>
          </w:p>
        </w:tc>
        <w:tc>
          <w:tcPr>
            <w:tcW w:w="710" w:type="dxa"/>
            <w:gridSpan w:val="2"/>
            <w:noWrap w:val="0"/>
            <w:vAlign w:val="center"/>
          </w:tcPr>
          <w:p w14:paraId="5D7E3C41">
            <w:pPr>
              <w:jc w:val="both"/>
              <w:rPr>
                <w:highlight w:val="none"/>
                <w:vertAlign w:val="baseline"/>
              </w:rPr>
            </w:pPr>
          </w:p>
        </w:tc>
      </w:tr>
      <w:tr w14:paraId="6CE2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08CE9A">
            <w:pPr>
              <w:jc w:val="center"/>
              <w:rPr>
                <w:rFonts w:hint="default"/>
                <w:highlight w:val="none"/>
                <w:vertAlign w:val="baseline"/>
                <w:lang w:val="en-US" w:eastAsia="zh-CN"/>
              </w:rPr>
            </w:pPr>
            <w:r>
              <w:rPr>
                <w:rFonts w:hint="eastAsia"/>
                <w:highlight w:val="none"/>
                <w:vertAlign w:val="baseline"/>
                <w:lang w:val="en-US" w:eastAsia="zh-CN"/>
              </w:rPr>
              <w:t>71</w:t>
            </w:r>
          </w:p>
        </w:tc>
        <w:tc>
          <w:tcPr>
            <w:tcW w:w="1690" w:type="dxa"/>
            <w:noWrap w:val="0"/>
            <w:vAlign w:val="center"/>
          </w:tcPr>
          <w:p w14:paraId="1CDD883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湿度计</w:t>
            </w:r>
          </w:p>
        </w:tc>
        <w:tc>
          <w:tcPr>
            <w:tcW w:w="5928" w:type="dxa"/>
            <w:noWrap w:val="0"/>
            <w:vAlign w:val="center"/>
          </w:tcPr>
          <w:p w14:paraId="2299961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指针式</w:t>
            </w:r>
          </w:p>
        </w:tc>
        <w:tc>
          <w:tcPr>
            <w:tcW w:w="736" w:type="dxa"/>
            <w:noWrap w:val="0"/>
            <w:vAlign w:val="center"/>
          </w:tcPr>
          <w:p w14:paraId="4B40CA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8DA8E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91A402C">
            <w:pPr>
              <w:jc w:val="center"/>
              <w:rPr>
                <w:highlight w:val="none"/>
              </w:rPr>
            </w:pPr>
          </w:p>
        </w:tc>
        <w:tc>
          <w:tcPr>
            <w:tcW w:w="710" w:type="dxa"/>
            <w:gridSpan w:val="2"/>
            <w:noWrap w:val="0"/>
            <w:vAlign w:val="center"/>
          </w:tcPr>
          <w:p w14:paraId="44C09FDA">
            <w:pPr>
              <w:jc w:val="both"/>
              <w:rPr>
                <w:highlight w:val="none"/>
                <w:vertAlign w:val="baseline"/>
              </w:rPr>
            </w:pPr>
          </w:p>
        </w:tc>
      </w:tr>
      <w:tr w14:paraId="3931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97BAD0">
            <w:pPr>
              <w:jc w:val="center"/>
              <w:rPr>
                <w:rFonts w:hint="default"/>
                <w:highlight w:val="none"/>
                <w:vertAlign w:val="baseline"/>
                <w:lang w:val="en-US" w:eastAsia="zh-CN"/>
              </w:rPr>
            </w:pPr>
            <w:r>
              <w:rPr>
                <w:rFonts w:hint="eastAsia"/>
                <w:highlight w:val="none"/>
                <w:vertAlign w:val="baseline"/>
                <w:lang w:val="en-US" w:eastAsia="zh-CN"/>
              </w:rPr>
              <w:t>72</w:t>
            </w:r>
          </w:p>
        </w:tc>
        <w:tc>
          <w:tcPr>
            <w:tcW w:w="1690" w:type="dxa"/>
            <w:noWrap w:val="0"/>
            <w:vAlign w:val="center"/>
          </w:tcPr>
          <w:p w14:paraId="1915758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蒸发皿</w:t>
            </w:r>
          </w:p>
        </w:tc>
        <w:tc>
          <w:tcPr>
            <w:tcW w:w="5928" w:type="dxa"/>
            <w:noWrap w:val="0"/>
            <w:vAlign w:val="center"/>
          </w:tcPr>
          <w:p w14:paraId="4F87410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瓷，60mm</w:t>
            </w:r>
          </w:p>
        </w:tc>
        <w:tc>
          <w:tcPr>
            <w:tcW w:w="736" w:type="dxa"/>
            <w:noWrap w:val="0"/>
            <w:vAlign w:val="center"/>
          </w:tcPr>
          <w:p w14:paraId="143E7F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3A095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C0DA682">
            <w:pPr>
              <w:jc w:val="center"/>
              <w:rPr>
                <w:highlight w:val="none"/>
              </w:rPr>
            </w:pPr>
          </w:p>
        </w:tc>
        <w:tc>
          <w:tcPr>
            <w:tcW w:w="710" w:type="dxa"/>
            <w:gridSpan w:val="2"/>
            <w:noWrap w:val="0"/>
            <w:vAlign w:val="center"/>
          </w:tcPr>
          <w:p w14:paraId="57F32DEE">
            <w:pPr>
              <w:jc w:val="both"/>
              <w:rPr>
                <w:highlight w:val="none"/>
                <w:vertAlign w:val="baseline"/>
              </w:rPr>
            </w:pPr>
          </w:p>
        </w:tc>
      </w:tr>
      <w:tr w14:paraId="2195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F973DA">
            <w:pPr>
              <w:jc w:val="center"/>
              <w:rPr>
                <w:rFonts w:hint="default"/>
                <w:highlight w:val="none"/>
                <w:vertAlign w:val="baseline"/>
                <w:lang w:val="en-US" w:eastAsia="zh-CN"/>
              </w:rPr>
            </w:pPr>
            <w:r>
              <w:rPr>
                <w:rFonts w:hint="eastAsia"/>
                <w:highlight w:val="none"/>
                <w:vertAlign w:val="baseline"/>
                <w:lang w:val="en-US" w:eastAsia="zh-CN"/>
              </w:rPr>
              <w:t>73</w:t>
            </w:r>
          </w:p>
        </w:tc>
        <w:tc>
          <w:tcPr>
            <w:tcW w:w="1690" w:type="dxa"/>
            <w:noWrap w:val="0"/>
            <w:vAlign w:val="center"/>
          </w:tcPr>
          <w:p w14:paraId="6FF9F6E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橡胶塞</w:t>
            </w:r>
          </w:p>
        </w:tc>
        <w:tc>
          <w:tcPr>
            <w:tcW w:w="5928" w:type="dxa"/>
            <w:noWrap w:val="0"/>
            <w:vAlign w:val="center"/>
          </w:tcPr>
          <w:p w14:paraId="7414E63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0～4号</w:t>
            </w:r>
          </w:p>
        </w:tc>
        <w:tc>
          <w:tcPr>
            <w:tcW w:w="736" w:type="dxa"/>
            <w:noWrap w:val="0"/>
            <w:vAlign w:val="center"/>
          </w:tcPr>
          <w:p w14:paraId="0F8424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0A153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1892CDD3">
            <w:pPr>
              <w:jc w:val="center"/>
              <w:rPr>
                <w:highlight w:val="none"/>
              </w:rPr>
            </w:pPr>
          </w:p>
        </w:tc>
        <w:tc>
          <w:tcPr>
            <w:tcW w:w="710" w:type="dxa"/>
            <w:gridSpan w:val="2"/>
            <w:noWrap w:val="0"/>
            <w:vAlign w:val="center"/>
          </w:tcPr>
          <w:p w14:paraId="141331AD">
            <w:pPr>
              <w:jc w:val="both"/>
              <w:rPr>
                <w:highlight w:val="none"/>
                <w:vertAlign w:val="baseline"/>
              </w:rPr>
            </w:pPr>
          </w:p>
        </w:tc>
      </w:tr>
      <w:tr w14:paraId="49D3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DA6ED5">
            <w:pPr>
              <w:jc w:val="center"/>
              <w:rPr>
                <w:rFonts w:hint="default"/>
                <w:highlight w:val="none"/>
                <w:vertAlign w:val="baseline"/>
                <w:lang w:val="en-US" w:eastAsia="zh-CN"/>
              </w:rPr>
            </w:pPr>
            <w:r>
              <w:rPr>
                <w:rFonts w:hint="eastAsia"/>
                <w:highlight w:val="none"/>
                <w:vertAlign w:val="baseline"/>
                <w:lang w:val="en-US" w:eastAsia="zh-CN"/>
              </w:rPr>
              <w:t>74</w:t>
            </w:r>
          </w:p>
        </w:tc>
        <w:tc>
          <w:tcPr>
            <w:tcW w:w="1690" w:type="dxa"/>
            <w:noWrap w:val="0"/>
            <w:vAlign w:val="center"/>
          </w:tcPr>
          <w:p w14:paraId="3E497ED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043534A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Φ 15 mm × 150 mm玻璃制</w:t>
            </w:r>
          </w:p>
        </w:tc>
        <w:tc>
          <w:tcPr>
            <w:tcW w:w="736" w:type="dxa"/>
            <w:noWrap w:val="0"/>
            <w:vAlign w:val="center"/>
          </w:tcPr>
          <w:p w14:paraId="30B704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3595D9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72F0DDD8">
            <w:pPr>
              <w:jc w:val="center"/>
              <w:rPr>
                <w:highlight w:val="none"/>
              </w:rPr>
            </w:pPr>
          </w:p>
        </w:tc>
        <w:tc>
          <w:tcPr>
            <w:tcW w:w="710" w:type="dxa"/>
            <w:gridSpan w:val="2"/>
            <w:noWrap w:val="0"/>
            <w:vAlign w:val="center"/>
          </w:tcPr>
          <w:p w14:paraId="77311385">
            <w:pPr>
              <w:jc w:val="both"/>
              <w:rPr>
                <w:highlight w:val="none"/>
                <w:vertAlign w:val="baseline"/>
              </w:rPr>
            </w:pPr>
          </w:p>
        </w:tc>
      </w:tr>
      <w:tr w14:paraId="0955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BE1CCF">
            <w:pPr>
              <w:jc w:val="center"/>
              <w:rPr>
                <w:rFonts w:hint="default"/>
                <w:highlight w:val="none"/>
                <w:vertAlign w:val="baseline"/>
                <w:lang w:val="en-US" w:eastAsia="zh-CN"/>
              </w:rPr>
            </w:pPr>
            <w:r>
              <w:rPr>
                <w:rFonts w:hint="eastAsia"/>
                <w:highlight w:val="none"/>
                <w:vertAlign w:val="baseline"/>
                <w:lang w:val="en-US" w:eastAsia="zh-CN"/>
              </w:rPr>
              <w:t>75</w:t>
            </w:r>
          </w:p>
        </w:tc>
        <w:tc>
          <w:tcPr>
            <w:tcW w:w="1690" w:type="dxa"/>
            <w:noWrap w:val="0"/>
            <w:vAlign w:val="center"/>
          </w:tcPr>
          <w:p w14:paraId="4020350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288389EE">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Φ30 mm×200 mm透明，硼硅酸盐玻璃制</w:t>
            </w:r>
          </w:p>
        </w:tc>
        <w:tc>
          <w:tcPr>
            <w:tcW w:w="736" w:type="dxa"/>
            <w:noWrap w:val="0"/>
            <w:vAlign w:val="center"/>
          </w:tcPr>
          <w:p w14:paraId="6B7757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53A0C3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034ED4D">
            <w:pPr>
              <w:jc w:val="center"/>
              <w:rPr>
                <w:highlight w:val="none"/>
              </w:rPr>
            </w:pPr>
          </w:p>
        </w:tc>
        <w:tc>
          <w:tcPr>
            <w:tcW w:w="710" w:type="dxa"/>
            <w:gridSpan w:val="2"/>
            <w:noWrap w:val="0"/>
            <w:vAlign w:val="center"/>
          </w:tcPr>
          <w:p w14:paraId="48F90B22">
            <w:pPr>
              <w:jc w:val="both"/>
              <w:rPr>
                <w:highlight w:val="none"/>
                <w:vertAlign w:val="baseline"/>
              </w:rPr>
            </w:pPr>
          </w:p>
        </w:tc>
      </w:tr>
      <w:tr w14:paraId="41CA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558A7B43">
            <w:pPr>
              <w:jc w:val="center"/>
              <w:rPr>
                <w:rFonts w:hint="default"/>
                <w:highlight w:val="none"/>
                <w:vertAlign w:val="baseline"/>
                <w:lang w:val="en-US" w:eastAsia="zh-CN"/>
              </w:rPr>
            </w:pPr>
            <w:r>
              <w:rPr>
                <w:rFonts w:hint="eastAsia"/>
                <w:highlight w:val="none"/>
                <w:vertAlign w:val="baseline"/>
                <w:lang w:val="en-US" w:eastAsia="zh-CN"/>
              </w:rPr>
              <w:t>76</w:t>
            </w:r>
          </w:p>
        </w:tc>
        <w:tc>
          <w:tcPr>
            <w:tcW w:w="1690" w:type="dxa"/>
            <w:noWrap w:val="0"/>
            <w:vAlign w:val="center"/>
          </w:tcPr>
          <w:p w14:paraId="7C3FA67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烧瓶</w:t>
            </w:r>
          </w:p>
        </w:tc>
        <w:tc>
          <w:tcPr>
            <w:tcW w:w="5928" w:type="dxa"/>
            <w:noWrap w:val="0"/>
            <w:vAlign w:val="center"/>
          </w:tcPr>
          <w:p w14:paraId="094ECEF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圆、长，500 mL透明玻璃制</w:t>
            </w:r>
          </w:p>
        </w:tc>
        <w:tc>
          <w:tcPr>
            <w:tcW w:w="736" w:type="dxa"/>
            <w:noWrap w:val="0"/>
            <w:vAlign w:val="center"/>
          </w:tcPr>
          <w:p w14:paraId="125F02D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ACB1F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1202F835">
            <w:pPr>
              <w:jc w:val="center"/>
              <w:rPr>
                <w:highlight w:val="none"/>
              </w:rPr>
            </w:pPr>
          </w:p>
        </w:tc>
        <w:tc>
          <w:tcPr>
            <w:tcW w:w="710" w:type="dxa"/>
            <w:gridSpan w:val="2"/>
            <w:noWrap w:val="0"/>
            <w:vAlign w:val="center"/>
          </w:tcPr>
          <w:p w14:paraId="53A67035">
            <w:pPr>
              <w:jc w:val="both"/>
              <w:rPr>
                <w:highlight w:val="none"/>
                <w:vertAlign w:val="baseline"/>
              </w:rPr>
            </w:pPr>
          </w:p>
        </w:tc>
      </w:tr>
      <w:tr w14:paraId="2715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3B7207">
            <w:pPr>
              <w:jc w:val="center"/>
              <w:rPr>
                <w:rFonts w:hint="default"/>
                <w:highlight w:val="none"/>
                <w:vertAlign w:val="baseline"/>
                <w:lang w:val="en-US" w:eastAsia="zh-CN"/>
              </w:rPr>
            </w:pPr>
            <w:r>
              <w:rPr>
                <w:rFonts w:hint="eastAsia"/>
                <w:highlight w:val="none"/>
                <w:vertAlign w:val="baseline"/>
                <w:lang w:val="en-US" w:eastAsia="zh-CN"/>
              </w:rPr>
              <w:t>77</w:t>
            </w:r>
          </w:p>
        </w:tc>
        <w:tc>
          <w:tcPr>
            <w:tcW w:w="1690" w:type="dxa"/>
            <w:noWrap w:val="0"/>
            <w:vAlign w:val="center"/>
          </w:tcPr>
          <w:p w14:paraId="096B00A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烧瓶</w:t>
            </w:r>
          </w:p>
        </w:tc>
        <w:tc>
          <w:tcPr>
            <w:tcW w:w="5928" w:type="dxa"/>
            <w:noWrap w:val="0"/>
            <w:vAlign w:val="center"/>
          </w:tcPr>
          <w:p w14:paraId="36293D3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250 mL ，平底,玻璃制</w:t>
            </w:r>
          </w:p>
        </w:tc>
        <w:tc>
          <w:tcPr>
            <w:tcW w:w="736" w:type="dxa"/>
            <w:noWrap w:val="0"/>
            <w:vAlign w:val="center"/>
          </w:tcPr>
          <w:p w14:paraId="650143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1C35B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1A8B285">
            <w:pPr>
              <w:jc w:val="center"/>
              <w:rPr>
                <w:highlight w:val="none"/>
              </w:rPr>
            </w:pPr>
          </w:p>
        </w:tc>
        <w:tc>
          <w:tcPr>
            <w:tcW w:w="710" w:type="dxa"/>
            <w:gridSpan w:val="2"/>
            <w:noWrap w:val="0"/>
            <w:vAlign w:val="center"/>
          </w:tcPr>
          <w:p w14:paraId="71A46BE2">
            <w:pPr>
              <w:jc w:val="both"/>
              <w:rPr>
                <w:highlight w:val="none"/>
                <w:vertAlign w:val="baseline"/>
              </w:rPr>
            </w:pPr>
          </w:p>
        </w:tc>
      </w:tr>
      <w:tr w14:paraId="5975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963319">
            <w:pPr>
              <w:jc w:val="center"/>
              <w:rPr>
                <w:rFonts w:hint="default"/>
                <w:highlight w:val="none"/>
                <w:vertAlign w:val="baseline"/>
                <w:lang w:val="en-US" w:eastAsia="zh-CN"/>
              </w:rPr>
            </w:pPr>
            <w:r>
              <w:rPr>
                <w:rFonts w:hint="eastAsia"/>
                <w:highlight w:val="none"/>
                <w:vertAlign w:val="baseline"/>
                <w:lang w:val="en-US" w:eastAsia="zh-CN"/>
              </w:rPr>
              <w:t>78</w:t>
            </w:r>
          </w:p>
        </w:tc>
        <w:tc>
          <w:tcPr>
            <w:tcW w:w="1690" w:type="dxa"/>
            <w:noWrap w:val="0"/>
            <w:vAlign w:val="center"/>
          </w:tcPr>
          <w:p w14:paraId="23F69D4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5E3433F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 mL,玻璃制</w:t>
            </w:r>
          </w:p>
        </w:tc>
        <w:tc>
          <w:tcPr>
            <w:tcW w:w="736" w:type="dxa"/>
            <w:noWrap w:val="0"/>
            <w:vAlign w:val="center"/>
          </w:tcPr>
          <w:p w14:paraId="2EFABC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38CFD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34CDAC9F">
            <w:pPr>
              <w:jc w:val="center"/>
              <w:rPr>
                <w:highlight w:val="none"/>
              </w:rPr>
            </w:pPr>
          </w:p>
        </w:tc>
        <w:tc>
          <w:tcPr>
            <w:tcW w:w="710" w:type="dxa"/>
            <w:gridSpan w:val="2"/>
            <w:noWrap w:val="0"/>
            <w:vAlign w:val="center"/>
          </w:tcPr>
          <w:p w14:paraId="661BB082">
            <w:pPr>
              <w:jc w:val="both"/>
              <w:rPr>
                <w:highlight w:val="none"/>
                <w:vertAlign w:val="baseline"/>
              </w:rPr>
            </w:pPr>
          </w:p>
        </w:tc>
      </w:tr>
      <w:tr w14:paraId="695C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2911C5">
            <w:pPr>
              <w:jc w:val="center"/>
              <w:rPr>
                <w:rFonts w:hint="default"/>
                <w:highlight w:val="none"/>
                <w:vertAlign w:val="baseline"/>
                <w:lang w:val="en-US" w:eastAsia="zh-CN"/>
              </w:rPr>
            </w:pPr>
            <w:r>
              <w:rPr>
                <w:rFonts w:hint="eastAsia"/>
                <w:highlight w:val="none"/>
                <w:vertAlign w:val="baseline"/>
                <w:lang w:val="en-US" w:eastAsia="zh-CN"/>
              </w:rPr>
              <w:t>79</w:t>
            </w:r>
          </w:p>
        </w:tc>
        <w:tc>
          <w:tcPr>
            <w:tcW w:w="1690" w:type="dxa"/>
            <w:noWrap w:val="0"/>
            <w:vAlign w:val="center"/>
          </w:tcPr>
          <w:p w14:paraId="23F6CAF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2B31E0B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150ml透明玻璃制</w:t>
            </w:r>
          </w:p>
        </w:tc>
        <w:tc>
          <w:tcPr>
            <w:tcW w:w="736" w:type="dxa"/>
            <w:noWrap w:val="0"/>
            <w:vAlign w:val="center"/>
          </w:tcPr>
          <w:p w14:paraId="61A06D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C4150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64489FDD">
            <w:pPr>
              <w:jc w:val="center"/>
              <w:rPr>
                <w:highlight w:val="none"/>
              </w:rPr>
            </w:pPr>
          </w:p>
        </w:tc>
        <w:tc>
          <w:tcPr>
            <w:tcW w:w="710" w:type="dxa"/>
            <w:gridSpan w:val="2"/>
            <w:noWrap w:val="0"/>
            <w:vAlign w:val="center"/>
          </w:tcPr>
          <w:p w14:paraId="37AAC6CC">
            <w:pPr>
              <w:jc w:val="both"/>
              <w:rPr>
                <w:highlight w:val="none"/>
                <w:vertAlign w:val="baseline"/>
              </w:rPr>
            </w:pPr>
          </w:p>
        </w:tc>
      </w:tr>
      <w:tr w14:paraId="7E3B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DC0B74">
            <w:pPr>
              <w:jc w:val="center"/>
              <w:rPr>
                <w:rFonts w:hint="default"/>
                <w:highlight w:val="none"/>
                <w:vertAlign w:val="baseline"/>
                <w:lang w:val="en-US" w:eastAsia="zh-CN"/>
              </w:rPr>
            </w:pPr>
            <w:r>
              <w:rPr>
                <w:rFonts w:hint="eastAsia"/>
                <w:highlight w:val="none"/>
                <w:vertAlign w:val="baseline"/>
                <w:lang w:val="en-US" w:eastAsia="zh-CN"/>
              </w:rPr>
              <w:t>80</w:t>
            </w:r>
          </w:p>
        </w:tc>
        <w:tc>
          <w:tcPr>
            <w:tcW w:w="1690" w:type="dxa"/>
            <w:noWrap w:val="0"/>
            <w:vAlign w:val="center"/>
          </w:tcPr>
          <w:p w14:paraId="596EECB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370BA5B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250 mL 玻璃制</w:t>
            </w:r>
          </w:p>
        </w:tc>
        <w:tc>
          <w:tcPr>
            <w:tcW w:w="736" w:type="dxa"/>
            <w:noWrap w:val="0"/>
            <w:vAlign w:val="center"/>
          </w:tcPr>
          <w:p w14:paraId="5689B4F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78BF1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0DD593DB">
            <w:pPr>
              <w:jc w:val="center"/>
              <w:rPr>
                <w:highlight w:val="none"/>
              </w:rPr>
            </w:pPr>
          </w:p>
        </w:tc>
        <w:tc>
          <w:tcPr>
            <w:tcW w:w="710" w:type="dxa"/>
            <w:gridSpan w:val="2"/>
            <w:noWrap w:val="0"/>
            <w:vAlign w:val="center"/>
          </w:tcPr>
          <w:p w14:paraId="36533214">
            <w:pPr>
              <w:jc w:val="both"/>
              <w:rPr>
                <w:highlight w:val="none"/>
                <w:vertAlign w:val="baseline"/>
              </w:rPr>
            </w:pPr>
          </w:p>
        </w:tc>
      </w:tr>
      <w:tr w14:paraId="0307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42FB08">
            <w:pPr>
              <w:jc w:val="center"/>
              <w:rPr>
                <w:rFonts w:hint="default"/>
                <w:highlight w:val="none"/>
                <w:vertAlign w:val="baseline"/>
                <w:lang w:val="en-US" w:eastAsia="zh-CN"/>
              </w:rPr>
            </w:pPr>
            <w:r>
              <w:rPr>
                <w:rFonts w:hint="eastAsia"/>
                <w:highlight w:val="none"/>
                <w:vertAlign w:val="baseline"/>
                <w:lang w:val="en-US" w:eastAsia="zh-CN"/>
              </w:rPr>
              <w:t>81</w:t>
            </w:r>
          </w:p>
        </w:tc>
        <w:tc>
          <w:tcPr>
            <w:tcW w:w="1690" w:type="dxa"/>
            <w:noWrap w:val="0"/>
            <w:vAlign w:val="center"/>
          </w:tcPr>
          <w:p w14:paraId="026F45B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76FCB97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300 mL透明玻璃制</w:t>
            </w:r>
          </w:p>
        </w:tc>
        <w:tc>
          <w:tcPr>
            <w:tcW w:w="736" w:type="dxa"/>
            <w:noWrap w:val="0"/>
            <w:vAlign w:val="center"/>
          </w:tcPr>
          <w:p w14:paraId="7B7685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2C1C6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74BF558E">
            <w:pPr>
              <w:jc w:val="center"/>
              <w:rPr>
                <w:highlight w:val="none"/>
              </w:rPr>
            </w:pPr>
          </w:p>
        </w:tc>
        <w:tc>
          <w:tcPr>
            <w:tcW w:w="710" w:type="dxa"/>
            <w:gridSpan w:val="2"/>
            <w:noWrap w:val="0"/>
            <w:vAlign w:val="center"/>
          </w:tcPr>
          <w:p w14:paraId="500481C6">
            <w:pPr>
              <w:jc w:val="both"/>
              <w:rPr>
                <w:highlight w:val="none"/>
                <w:vertAlign w:val="baseline"/>
              </w:rPr>
            </w:pPr>
          </w:p>
        </w:tc>
      </w:tr>
      <w:tr w14:paraId="13EC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1A809F41">
            <w:pPr>
              <w:jc w:val="center"/>
              <w:rPr>
                <w:rFonts w:hint="default"/>
                <w:highlight w:val="none"/>
                <w:vertAlign w:val="baseline"/>
                <w:lang w:val="en-US" w:eastAsia="zh-CN"/>
              </w:rPr>
            </w:pPr>
            <w:r>
              <w:rPr>
                <w:rFonts w:hint="eastAsia"/>
                <w:highlight w:val="none"/>
                <w:vertAlign w:val="baseline"/>
                <w:lang w:val="en-US" w:eastAsia="zh-CN"/>
              </w:rPr>
              <w:t>82</w:t>
            </w:r>
          </w:p>
        </w:tc>
        <w:tc>
          <w:tcPr>
            <w:tcW w:w="1690" w:type="dxa"/>
            <w:noWrap w:val="0"/>
            <w:vAlign w:val="center"/>
          </w:tcPr>
          <w:p w14:paraId="44D1DF1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54232C9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center"/>
          </w:tcPr>
          <w:p w14:paraId="11C260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8DA9F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136C689">
            <w:pPr>
              <w:jc w:val="center"/>
              <w:rPr>
                <w:highlight w:val="none"/>
              </w:rPr>
            </w:pPr>
          </w:p>
        </w:tc>
        <w:tc>
          <w:tcPr>
            <w:tcW w:w="710" w:type="dxa"/>
            <w:gridSpan w:val="2"/>
            <w:noWrap w:val="0"/>
            <w:vAlign w:val="center"/>
          </w:tcPr>
          <w:p w14:paraId="3D8FE836">
            <w:pPr>
              <w:jc w:val="both"/>
              <w:rPr>
                <w:highlight w:val="none"/>
                <w:vertAlign w:val="baseline"/>
              </w:rPr>
            </w:pPr>
          </w:p>
        </w:tc>
      </w:tr>
      <w:tr w14:paraId="737F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292015D">
            <w:pPr>
              <w:jc w:val="center"/>
              <w:rPr>
                <w:rFonts w:hint="default"/>
                <w:highlight w:val="none"/>
                <w:vertAlign w:val="baseline"/>
                <w:lang w:val="en-US" w:eastAsia="zh-CN"/>
              </w:rPr>
            </w:pPr>
            <w:r>
              <w:rPr>
                <w:rFonts w:hint="eastAsia"/>
                <w:highlight w:val="none"/>
                <w:vertAlign w:val="baseline"/>
                <w:lang w:val="en-US" w:eastAsia="zh-CN"/>
              </w:rPr>
              <w:t>83</w:t>
            </w:r>
          </w:p>
        </w:tc>
        <w:tc>
          <w:tcPr>
            <w:tcW w:w="1690" w:type="dxa"/>
            <w:noWrap w:val="0"/>
            <w:vAlign w:val="center"/>
          </w:tcPr>
          <w:p w14:paraId="1D08DB4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酒精灯</w:t>
            </w:r>
          </w:p>
        </w:tc>
        <w:tc>
          <w:tcPr>
            <w:tcW w:w="5928" w:type="dxa"/>
            <w:noWrap w:val="0"/>
            <w:vAlign w:val="center"/>
          </w:tcPr>
          <w:p w14:paraId="67CE29E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150 mL,玻璃制,配灯芯</w:t>
            </w:r>
          </w:p>
        </w:tc>
        <w:tc>
          <w:tcPr>
            <w:tcW w:w="736" w:type="dxa"/>
            <w:noWrap w:val="0"/>
            <w:vAlign w:val="center"/>
          </w:tcPr>
          <w:p w14:paraId="011C1A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D4F88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4BFB5D2C">
            <w:pPr>
              <w:jc w:val="center"/>
              <w:rPr>
                <w:highlight w:val="none"/>
              </w:rPr>
            </w:pPr>
          </w:p>
        </w:tc>
        <w:tc>
          <w:tcPr>
            <w:tcW w:w="710" w:type="dxa"/>
            <w:gridSpan w:val="2"/>
            <w:noWrap w:val="0"/>
            <w:vAlign w:val="center"/>
          </w:tcPr>
          <w:p w14:paraId="46964650">
            <w:pPr>
              <w:jc w:val="both"/>
              <w:rPr>
                <w:highlight w:val="none"/>
                <w:vertAlign w:val="baseline"/>
              </w:rPr>
            </w:pPr>
          </w:p>
        </w:tc>
      </w:tr>
      <w:tr w14:paraId="3803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CB63EE">
            <w:pPr>
              <w:jc w:val="center"/>
              <w:rPr>
                <w:rFonts w:hint="default"/>
                <w:highlight w:val="none"/>
                <w:vertAlign w:val="baseline"/>
                <w:lang w:val="en-US" w:eastAsia="zh-CN"/>
              </w:rPr>
            </w:pPr>
            <w:r>
              <w:rPr>
                <w:rFonts w:hint="eastAsia"/>
                <w:highlight w:val="none"/>
                <w:vertAlign w:val="baseline"/>
                <w:lang w:val="en-US" w:eastAsia="zh-CN"/>
              </w:rPr>
              <w:t>84</w:t>
            </w:r>
          </w:p>
        </w:tc>
        <w:tc>
          <w:tcPr>
            <w:tcW w:w="1690" w:type="dxa"/>
            <w:noWrap w:val="0"/>
            <w:vAlign w:val="center"/>
          </w:tcPr>
          <w:p w14:paraId="644EA1A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漏斗</w:t>
            </w:r>
          </w:p>
        </w:tc>
        <w:tc>
          <w:tcPr>
            <w:tcW w:w="5928" w:type="dxa"/>
            <w:noWrap w:val="0"/>
            <w:vAlign w:val="center"/>
          </w:tcPr>
          <w:p w14:paraId="174B3E4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90 mm,玻璃制</w:t>
            </w:r>
          </w:p>
        </w:tc>
        <w:tc>
          <w:tcPr>
            <w:tcW w:w="736" w:type="dxa"/>
            <w:noWrap w:val="0"/>
            <w:vAlign w:val="center"/>
          </w:tcPr>
          <w:p w14:paraId="47937F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29E85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1C5802EC">
            <w:pPr>
              <w:jc w:val="center"/>
              <w:rPr>
                <w:highlight w:val="none"/>
              </w:rPr>
            </w:pPr>
          </w:p>
        </w:tc>
        <w:tc>
          <w:tcPr>
            <w:tcW w:w="710" w:type="dxa"/>
            <w:gridSpan w:val="2"/>
            <w:noWrap w:val="0"/>
            <w:vAlign w:val="center"/>
          </w:tcPr>
          <w:p w14:paraId="6F10B667">
            <w:pPr>
              <w:jc w:val="both"/>
              <w:rPr>
                <w:highlight w:val="none"/>
                <w:vertAlign w:val="baseline"/>
              </w:rPr>
            </w:pPr>
          </w:p>
        </w:tc>
      </w:tr>
      <w:tr w14:paraId="5596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6081A9">
            <w:pPr>
              <w:jc w:val="center"/>
              <w:rPr>
                <w:rFonts w:hint="default"/>
                <w:highlight w:val="none"/>
                <w:vertAlign w:val="baseline"/>
                <w:lang w:val="en-US" w:eastAsia="zh-CN"/>
              </w:rPr>
            </w:pPr>
            <w:r>
              <w:rPr>
                <w:rFonts w:hint="eastAsia"/>
                <w:highlight w:val="none"/>
                <w:vertAlign w:val="baseline"/>
                <w:lang w:val="en-US" w:eastAsia="zh-CN"/>
              </w:rPr>
              <w:t>85</w:t>
            </w:r>
          </w:p>
        </w:tc>
        <w:tc>
          <w:tcPr>
            <w:tcW w:w="1690" w:type="dxa"/>
            <w:noWrap w:val="0"/>
            <w:vAlign w:val="center"/>
          </w:tcPr>
          <w:p w14:paraId="7EE7C74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电子打火枪</w:t>
            </w:r>
          </w:p>
        </w:tc>
        <w:tc>
          <w:tcPr>
            <w:tcW w:w="5928" w:type="dxa"/>
            <w:noWrap w:val="0"/>
            <w:vAlign w:val="center"/>
          </w:tcPr>
          <w:p w14:paraId="32865B4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26cm天然气</w:t>
            </w:r>
          </w:p>
        </w:tc>
        <w:tc>
          <w:tcPr>
            <w:tcW w:w="736" w:type="dxa"/>
            <w:noWrap w:val="0"/>
            <w:vAlign w:val="center"/>
          </w:tcPr>
          <w:p w14:paraId="734956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D70BBF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C776716">
            <w:pPr>
              <w:jc w:val="center"/>
              <w:rPr>
                <w:highlight w:val="none"/>
              </w:rPr>
            </w:pPr>
          </w:p>
        </w:tc>
        <w:tc>
          <w:tcPr>
            <w:tcW w:w="710" w:type="dxa"/>
            <w:gridSpan w:val="2"/>
            <w:noWrap w:val="0"/>
            <w:vAlign w:val="center"/>
          </w:tcPr>
          <w:p w14:paraId="3D047EA3">
            <w:pPr>
              <w:jc w:val="both"/>
              <w:rPr>
                <w:highlight w:val="none"/>
                <w:vertAlign w:val="baseline"/>
              </w:rPr>
            </w:pPr>
          </w:p>
        </w:tc>
      </w:tr>
      <w:tr w14:paraId="2472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BD6D1F2">
            <w:pPr>
              <w:jc w:val="center"/>
              <w:rPr>
                <w:rFonts w:hint="default"/>
                <w:highlight w:val="none"/>
                <w:vertAlign w:val="baseline"/>
                <w:lang w:val="en-US" w:eastAsia="zh-CN"/>
              </w:rPr>
            </w:pPr>
            <w:r>
              <w:rPr>
                <w:rFonts w:hint="eastAsia"/>
                <w:highlight w:val="none"/>
                <w:vertAlign w:val="baseline"/>
                <w:lang w:val="en-US" w:eastAsia="zh-CN"/>
              </w:rPr>
              <w:t>86</w:t>
            </w:r>
          </w:p>
        </w:tc>
        <w:tc>
          <w:tcPr>
            <w:tcW w:w="1690" w:type="dxa"/>
            <w:noWrap w:val="0"/>
            <w:vAlign w:val="center"/>
          </w:tcPr>
          <w:p w14:paraId="3107DED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烧杯用电加热器</w:t>
            </w:r>
          </w:p>
        </w:tc>
        <w:tc>
          <w:tcPr>
            <w:tcW w:w="5928" w:type="dxa"/>
            <w:noWrap w:val="0"/>
            <w:vAlign w:val="center"/>
          </w:tcPr>
          <w:p w14:paraId="7A5C046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0～250W，可调；密封式</w:t>
            </w:r>
          </w:p>
        </w:tc>
        <w:tc>
          <w:tcPr>
            <w:tcW w:w="736" w:type="dxa"/>
            <w:noWrap w:val="0"/>
            <w:vAlign w:val="center"/>
          </w:tcPr>
          <w:p w14:paraId="5C8796F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B4445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4EACEB2">
            <w:pPr>
              <w:jc w:val="center"/>
              <w:rPr>
                <w:highlight w:val="none"/>
              </w:rPr>
            </w:pPr>
          </w:p>
        </w:tc>
        <w:tc>
          <w:tcPr>
            <w:tcW w:w="710" w:type="dxa"/>
            <w:gridSpan w:val="2"/>
            <w:noWrap w:val="0"/>
            <w:vAlign w:val="center"/>
          </w:tcPr>
          <w:p w14:paraId="31E28852">
            <w:pPr>
              <w:jc w:val="both"/>
              <w:rPr>
                <w:highlight w:val="none"/>
                <w:vertAlign w:val="baseline"/>
              </w:rPr>
            </w:pPr>
          </w:p>
        </w:tc>
      </w:tr>
      <w:tr w14:paraId="5402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A3CA43">
            <w:pPr>
              <w:jc w:val="center"/>
              <w:rPr>
                <w:rFonts w:hint="default"/>
                <w:highlight w:val="none"/>
                <w:vertAlign w:val="baseline"/>
                <w:lang w:val="en-US" w:eastAsia="zh-CN"/>
              </w:rPr>
            </w:pPr>
            <w:r>
              <w:rPr>
                <w:rFonts w:hint="eastAsia"/>
                <w:highlight w:val="none"/>
                <w:vertAlign w:val="baseline"/>
                <w:lang w:val="en-US" w:eastAsia="zh-CN"/>
              </w:rPr>
              <w:t>87</w:t>
            </w:r>
          </w:p>
        </w:tc>
        <w:tc>
          <w:tcPr>
            <w:tcW w:w="1690" w:type="dxa"/>
            <w:noWrap w:val="0"/>
            <w:vAlign w:val="center"/>
          </w:tcPr>
          <w:p w14:paraId="1989CDB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烧瓶用电加热器</w:t>
            </w:r>
          </w:p>
        </w:tc>
        <w:tc>
          <w:tcPr>
            <w:tcW w:w="5928" w:type="dxa"/>
            <w:noWrap w:val="0"/>
            <w:vAlign w:val="center"/>
          </w:tcPr>
          <w:p w14:paraId="62AFD32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0～250W，可调；密封式</w:t>
            </w:r>
          </w:p>
        </w:tc>
        <w:tc>
          <w:tcPr>
            <w:tcW w:w="736" w:type="dxa"/>
            <w:noWrap w:val="0"/>
            <w:vAlign w:val="center"/>
          </w:tcPr>
          <w:p w14:paraId="3E7E17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9055B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70D89F5">
            <w:pPr>
              <w:jc w:val="center"/>
              <w:rPr>
                <w:highlight w:val="none"/>
              </w:rPr>
            </w:pPr>
          </w:p>
        </w:tc>
        <w:tc>
          <w:tcPr>
            <w:tcW w:w="710" w:type="dxa"/>
            <w:gridSpan w:val="2"/>
            <w:noWrap w:val="0"/>
            <w:vAlign w:val="center"/>
          </w:tcPr>
          <w:p w14:paraId="02E64686">
            <w:pPr>
              <w:jc w:val="both"/>
              <w:rPr>
                <w:highlight w:val="none"/>
                <w:vertAlign w:val="baseline"/>
              </w:rPr>
            </w:pPr>
          </w:p>
        </w:tc>
      </w:tr>
      <w:tr w14:paraId="1704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7D1A0A6">
            <w:pPr>
              <w:jc w:val="center"/>
              <w:rPr>
                <w:rFonts w:hint="default"/>
                <w:highlight w:val="none"/>
                <w:vertAlign w:val="baseline"/>
                <w:lang w:val="en-US" w:eastAsia="zh-CN"/>
              </w:rPr>
            </w:pPr>
            <w:r>
              <w:rPr>
                <w:rFonts w:hint="eastAsia"/>
                <w:highlight w:val="none"/>
                <w:vertAlign w:val="baseline"/>
                <w:lang w:val="en-US" w:eastAsia="zh-CN"/>
              </w:rPr>
              <w:t>88</w:t>
            </w:r>
          </w:p>
        </w:tc>
        <w:tc>
          <w:tcPr>
            <w:tcW w:w="1690" w:type="dxa"/>
            <w:noWrap w:val="0"/>
            <w:vAlign w:val="center"/>
          </w:tcPr>
          <w:p w14:paraId="627B91F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注射器</w:t>
            </w:r>
          </w:p>
        </w:tc>
        <w:tc>
          <w:tcPr>
            <w:tcW w:w="5928" w:type="dxa"/>
            <w:noWrap w:val="0"/>
            <w:vAlign w:val="center"/>
          </w:tcPr>
          <w:p w14:paraId="6529E09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100mL，分度值10mL</w:t>
            </w:r>
          </w:p>
        </w:tc>
        <w:tc>
          <w:tcPr>
            <w:tcW w:w="736" w:type="dxa"/>
            <w:noWrap w:val="0"/>
            <w:vAlign w:val="center"/>
          </w:tcPr>
          <w:p w14:paraId="5DD6AB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2FEC9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708A27B">
            <w:pPr>
              <w:jc w:val="center"/>
              <w:rPr>
                <w:highlight w:val="none"/>
              </w:rPr>
            </w:pPr>
          </w:p>
        </w:tc>
        <w:tc>
          <w:tcPr>
            <w:tcW w:w="710" w:type="dxa"/>
            <w:gridSpan w:val="2"/>
            <w:noWrap w:val="0"/>
            <w:vAlign w:val="center"/>
          </w:tcPr>
          <w:p w14:paraId="13DACC2D">
            <w:pPr>
              <w:jc w:val="both"/>
              <w:rPr>
                <w:highlight w:val="none"/>
                <w:vertAlign w:val="baseline"/>
              </w:rPr>
            </w:pPr>
          </w:p>
        </w:tc>
      </w:tr>
      <w:tr w14:paraId="10FB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4062EE">
            <w:pPr>
              <w:jc w:val="center"/>
              <w:rPr>
                <w:rFonts w:hint="default"/>
                <w:highlight w:val="none"/>
                <w:vertAlign w:val="baseline"/>
                <w:lang w:val="en-US" w:eastAsia="zh-CN"/>
              </w:rPr>
            </w:pPr>
            <w:r>
              <w:rPr>
                <w:rFonts w:hint="eastAsia"/>
                <w:highlight w:val="none"/>
                <w:vertAlign w:val="baseline"/>
                <w:lang w:val="en-US" w:eastAsia="zh-CN"/>
              </w:rPr>
              <w:t>89</w:t>
            </w:r>
          </w:p>
        </w:tc>
        <w:tc>
          <w:tcPr>
            <w:tcW w:w="1690" w:type="dxa"/>
            <w:noWrap w:val="0"/>
            <w:vAlign w:val="center"/>
          </w:tcPr>
          <w:p w14:paraId="3941B9A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三通连接管</w:t>
            </w:r>
          </w:p>
        </w:tc>
        <w:tc>
          <w:tcPr>
            <w:tcW w:w="5928" w:type="dxa"/>
            <w:noWrap w:val="0"/>
            <w:vAlign w:val="center"/>
          </w:tcPr>
          <w:p w14:paraId="69F0B1C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T 形，塑料</w:t>
            </w:r>
          </w:p>
        </w:tc>
        <w:tc>
          <w:tcPr>
            <w:tcW w:w="736" w:type="dxa"/>
            <w:noWrap w:val="0"/>
            <w:vAlign w:val="center"/>
          </w:tcPr>
          <w:p w14:paraId="1F0BBA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3DC9B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017A610">
            <w:pPr>
              <w:jc w:val="center"/>
              <w:rPr>
                <w:highlight w:val="none"/>
              </w:rPr>
            </w:pPr>
          </w:p>
        </w:tc>
        <w:tc>
          <w:tcPr>
            <w:tcW w:w="710" w:type="dxa"/>
            <w:gridSpan w:val="2"/>
            <w:noWrap w:val="0"/>
            <w:vAlign w:val="center"/>
          </w:tcPr>
          <w:p w14:paraId="230A71D6">
            <w:pPr>
              <w:jc w:val="both"/>
              <w:rPr>
                <w:highlight w:val="none"/>
                <w:vertAlign w:val="baseline"/>
              </w:rPr>
            </w:pPr>
          </w:p>
        </w:tc>
      </w:tr>
      <w:tr w14:paraId="7C8C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F29B6C">
            <w:pPr>
              <w:jc w:val="center"/>
              <w:rPr>
                <w:rFonts w:hint="default"/>
                <w:highlight w:val="none"/>
                <w:vertAlign w:val="baseline"/>
                <w:lang w:val="en-US" w:eastAsia="zh-CN"/>
              </w:rPr>
            </w:pPr>
            <w:r>
              <w:rPr>
                <w:rFonts w:hint="eastAsia"/>
                <w:highlight w:val="none"/>
                <w:vertAlign w:val="baseline"/>
                <w:lang w:val="en-US" w:eastAsia="zh-CN"/>
              </w:rPr>
              <w:t>90</w:t>
            </w:r>
          </w:p>
        </w:tc>
        <w:tc>
          <w:tcPr>
            <w:tcW w:w="1690" w:type="dxa"/>
            <w:noWrap w:val="0"/>
            <w:vAlign w:val="center"/>
          </w:tcPr>
          <w:p w14:paraId="1FDF8DC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陶土网</w:t>
            </w:r>
          </w:p>
        </w:tc>
        <w:tc>
          <w:tcPr>
            <w:tcW w:w="5928" w:type="dxa"/>
            <w:noWrap w:val="0"/>
            <w:vAlign w:val="center"/>
          </w:tcPr>
          <w:p w14:paraId="268E0D2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功能等同于石棉网，尺寸≥125 mm×125 mm，耐火材料为陶土</w:t>
            </w:r>
          </w:p>
        </w:tc>
        <w:tc>
          <w:tcPr>
            <w:tcW w:w="736" w:type="dxa"/>
            <w:noWrap w:val="0"/>
            <w:vAlign w:val="center"/>
          </w:tcPr>
          <w:p w14:paraId="60C8EB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E3A14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4B5CDBC">
            <w:pPr>
              <w:jc w:val="center"/>
              <w:rPr>
                <w:highlight w:val="none"/>
              </w:rPr>
            </w:pPr>
          </w:p>
        </w:tc>
        <w:tc>
          <w:tcPr>
            <w:tcW w:w="710" w:type="dxa"/>
            <w:gridSpan w:val="2"/>
            <w:noWrap w:val="0"/>
            <w:vAlign w:val="center"/>
          </w:tcPr>
          <w:p w14:paraId="715A59B0">
            <w:pPr>
              <w:jc w:val="both"/>
              <w:rPr>
                <w:highlight w:val="none"/>
                <w:vertAlign w:val="baseline"/>
              </w:rPr>
            </w:pPr>
          </w:p>
        </w:tc>
      </w:tr>
      <w:tr w14:paraId="6EE3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64755B">
            <w:pPr>
              <w:jc w:val="center"/>
              <w:rPr>
                <w:rFonts w:hint="default"/>
                <w:highlight w:val="none"/>
                <w:vertAlign w:val="baseline"/>
                <w:lang w:val="en-US" w:eastAsia="zh-CN"/>
              </w:rPr>
            </w:pPr>
            <w:r>
              <w:rPr>
                <w:rFonts w:hint="eastAsia"/>
                <w:highlight w:val="none"/>
                <w:vertAlign w:val="baseline"/>
                <w:lang w:val="en-US" w:eastAsia="zh-CN"/>
              </w:rPr>
              <w:t>91</w:t>
            </w:r>
          </w:p>
        </w:tc>
        <w:tc>
          <w:tcPr>
            <w:tcW w:w="1690" w:type="dxa"/>
            <w:noWrap w:val="0"/>
            <w:vAlign w:val="center"/>
          </w:tcPr>
          <w:p w14:paraId="4A37D34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打气筒</w:t>
            </w:r>
          </w:p>
        </w:tc>
        <w:tc>
          <w:tcPr>
            <w:tcW w:w="5928" w:type="dxa"/>
            <w:noWrap w:val="0"/>
            <w:vAlign w:val="center"/>
          </w:tcPr>
          <w:p w14:paraId="528D517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手持式，气嘴外径8mm，</w:t>
            </w:r>
          </w:p>
        </w:tc>
        <w:tc>
          <w:tcPr>
            <w:tcW w:w="736" w:type="dxa"/>
            <w:noWrap w:val="0"/>
            <w:vAlign w:val="center"/>
          </w:tcPr>
          <w:p w14:paraId="7EFAFE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ADFEB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71F962E">
            <w:pPr>
              <w:jc w:val="center"/>
              <w:rPr>
                <w:highlight w:val="none"/>
              </w:rPr>
            </w:pPr>
          </w:p>
        </w:tc>
        <w:tc>
          <w:tcPr>
            <w:tcW w:w="710" w:type="dxa"/>
            <w:gridSpan w:val="2"/>
            <w:noWrap w:val="0"/>
            <w:vAlign w:val="center"/>
          </w:tcPr>
          <w:p w14:paraId="7D359AEA">
            <w:pPr>
              <w:jc w:val="both"/>
              <w:rPr>
                <w:highlight w:val="none"/>
                <w:vertAlign w:val="baseline"/>
              </w:rPr>
            </w:pPr>
          </w:p>
        </w:tc>
      </w:tr>
      <w:tr w14:paraId="5311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5A94C9">
            <w:pPr>
              <w:jc w:val="center"/>
              <w:rPr>
                <w:rFonts w:hint="default"/>
                <w:highlight w:val="none"/>
                <w:vertAlign w:val="baseline"/>
                <w:lang w:val="en-US" w:eastAsia="zh-CN"/>
              </w:rPr>
            </w:pPr>
            <w:r>
              <w:rPr>
                <w:rFonts w:hint="eastAsia"/>
                <w:highlight w:val="none"/>
                <w:vertAlign w:val="baseline"/>
                <w:lang w:val="en-US" w:eastAsia="zh-CN"/>
              </w:rPr>
              <w:t>92</w:t>
            </w:r>
          </w:p>
        </w:tc>
        <w:tc>
          <w:tcPr>
            <w:tcW w:w="1690" w:type="dxa"/>
            <w:noWrap w:val="0"/>
            <w:vAlign w:val="center"/>
          </w:tcPr>
          <w:p w14:paraId="1210C31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两用气筒</w:t>
            </w:r>
          </w:p>
        </w:tc>
        <w:tc>
          <w:tcPr>
            <w:tcW w:w="5928" w:type="dxa"/>
            <w:noWrap w:val="0"/>
            <w:vAlign w:val="center"/>
          </w:tcPr>
          <w:p w14:paraId="2833F65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手持式</w:t>
            </w:r>
          </w:p>
        </w:tc>
        <w:tc>
          <w:tcPr>
            <w:tcW w:w="736" w:type="dxa"/>
            <w:noWrap w:val="0"/>
            <w:vAlign w:val="center"/>
          </w:tcPr>
          <w:p w14:paraId="36A3C2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7EAA2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0CAE333">
            <w:pPr>
              <w:jc w:val="center"/>
              <w:rPr>
                <w:highlight w:val="none"/>
              </w:rPr>
            </w:pPr>
          </w:p>
        </w:tc>
        <w:tc>
          <w:tcPr>
            <w:tcW w:w="710" w:type="dxa"/>
            <w:gridSpan w:val="2"/>
            <w:noWrap w:val="0"/>
            <w:vAlign w:val="center"/>
          </w:tcPr>
          <w:p w14:paraId="1F9E098B">
            <w:pPr>
              <w:jc w:val="both"/>
              <w:rPr>
                <w:highlight w:val="none"/>
                <w:vertAlign w:val="baseline"/>
              </w:rPr>
            </w:pPr>
          </w:p>
        </w:tc>
      </w:tr>
      <w:tr w14:paraId="6B62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1EA9D6F">
            <w:pPr>
              <w:jc w:val="center"/>
              <w:rPr>
                <w:rFonts w:hint="default"/>
                <w:highlight w:val="none"/>
                <w:vertAlign w:val="baseline"/>
                <w:lang w:val="en-US" w:eastAsia="zh-CN"/>
              </w:rPr>
            </w:pPr>
            <w:r>
              <w:rPr>
                <w:rFonts w:hint="eastAsia"/>
                <w:highlight w:val="none"/>
                <w:vertAlign w:val="baseline"/>
                <w:lang w:val="en-US" w:eastAsia="zh-CN"/>
              </w:rPr>
              <w:t>93</w:t>
            </w:r>
          </w:p>
        </w:tc>
        <w:tc>
          <w:tcPr>
            <w:tcW w:w="1690" w:type="dxa"/>
            <w:noWrap w:val="0"/>
            <w:vAlign w:val="center"/>
          </w:tcPr>
          <w:p w14:paraId="76BD6D0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物理支架</w:t>
            </w:r>
          </w:p>
        </w:tc>
        <w:tc>
          <w:tcPr>
            <w:tcW w:w="5928" w:type="dxa"/>
            <w:noWrap w:val="0"/>
            <w:vAlign w:val="center"/>
          </w:tcPr>
          <w:p w14:paraId="2C507A9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由立杆、底座，平行夹，垂直夹，烧瓶夹，万向夹，台边夹，大铁环，圆托盘、绝缘杆、吊杆、吊钩等组成</w:t>
            </w:r>
          </w:p>
        </w:tc>
        <w:tc>
          <w:tcPr>
            <w:tcW w:w="736" w:type="dxa"/>
            <w:noWrap w:val="0"/>
            <w:vAlign w:val="center"/>
          </w:tcPr>
          <w:p w14:paraId="46EA9F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7CA77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5A8C19C">
            <w:pPr>
              <w:jc w:val="center"/>
              <w:rPr>
                <w:highlight w:val="none"/>
              </w:rPr>
            </w:pPr>
          </w:p>
        </w:tc>
        <w:tc>
          <w:tcPr>
            <w:tcW w:w="710" w:type="dxa"/>
            <w:gridSpan w:val="2"/>
            <w:noWrap w:val="0"/>
            <w:vAlign w:val="center"/>
          </w:tcPr>
          <w:p w14:paraId="7905D24D">
            <w:pPr>
              <w:jc w:val="both"/>
              <w:rPr>
                <w:highlight w:val="none"/>
                <w:vertAlign w:val="baseline"/>
              </w:rPr>
            </w:pPr>
          </w:p>
        </w:tc>
      </w:tr>
      <w:tr w14:paraId="759C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04C1C2">
            <w:pPr>
              <w:jc w:val="center"/>
              <w:rPr>
                <w:rFonts w:hint="default"/>
                <w:highlight w:val="none"/>
                <w:vertAlign w:val="baseline"/>
                <w:lang w:val="en-US" w:eastAsia="zh-CN"/>
              </w:rPr>
            </w:pPr>
            <w:r>
              <w:rPr>
                <w:rFonts w:hint="eastAsia"/>
                <w:highlight w:val="none"/>
                <w:vertAlign w:val="baseline"/>
                <w:lang w:val="en-US" w:eastAsia="zh-CN"/>
              </w:rPr>
              <w:t>94</w:t>
            </w:r>
          </w:p>
        </w:tc>
        <w:tc>
          <w:tcPr>
            <w:tcW w:w="1690" w:type="dxa"/>
            <w:noWrap w:val="0"/>
            <w:vAlign w:val="center"/>
          </w:tcPr>
          <w:p w14:paraId="714BCBE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方座支架（好的）</w:t>
            </w:r>
          </w:p>
        </w:tc>
        <w:tc>
          <w:tcPr>
            <w:tcW w:w="5928" w:type="dxa"/>
            <w:noWrap w:val="0"/>
            <w:vAlign w:val="center"/>
          </w:tcPr>
          <w:p w14:paraId="4CD07AD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立杆12*600mm，方形底210*135，质量1.5KG，配平行夹1个，垂直夹2个，烧瓶夹1个，大铁环小铁环各1个，吊杆1个。</w:t>
            </w:r>
          </w:p>
        </w:tc>
        <w:tc>
          <w:tcPr>
            <w:tcW w:w="736" w:type="dxa"/>
            <w:noWrap w:val="0"/>
            <w:vAlign w:val="center"/>
          </w:tcPr>
          <w:p w14:paraId="05F4CC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43F4C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FF2F073">
            <w:pPr>
              <w:jc w:val="center"/>
              <w:rPr>
                <w:highlight w:val="none"/>
              </w:rPr>
            </w:pPr>
          </w:p>
        </w:tc>
        <w:tc>
          <w:tcPr>
            <w:tcW w:w="710" w:type="dxa"/>
            <w:gridSpan w:val="2"/>
            <w:noWrap w:val="0"/>
            <w:vAlign w:val="center"/>
          </w:tcPr>
          <w:p w14:paraId="36D44490">
            <w:pPr>
              <w:jc w:val="both"/>
              <w:rPr>
                <w:highlight w:val="none"/>
                <w:vertAlign w:val="baseline"/>
              </w:rPr>
            </w:pPr>
          </w:p>
        </w:tc>
      </w:tr>
      <w:tr w14:paraId="369E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EE7AAB">
            <w:pPr>
              <w:jc w:val="center"/>
              <w:rPr>
                <w:rFonts w:hint="default"/>
                <w:highlight w:val="none"/>
                <w:vertAlign w:val="baseline"/>
                <w:lang w:val="en-US" w:eastAsia="zh-CN"/>
              </w:rPr>
            </w:pPr>
            <w:r>
              <w:rPr>
                <w:rFonts w:hint="eastAsia"/>
                <w:highlight w:val="none"/>
                <w:vertAlign w:val="baseline"/>
                <w:lang w:val="en-US" w:eastAsia="zh-CN"/>
              </w:rPr>
              <w:t>95</w:t>
            </w:r>
          </w:p>
        </w:tc>
        <w:tc>
          <w:tcPr>
            <w:tcW w:w="1690" w:type="dxa"/>
            <w:noWrap w:val="0"/>
            <w:vAlign w:val="center"/>
          </w:tcPr>
          <w:p w14:paraId="355B572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多功能实验支架</w:t>
            </w:r>
          </w:p>
        </w:tc>
        <w:tc>
          <w:tcPr>
            <w:tcW w:w="5928" w:type="dxa"/>
            <w:noWrap w:val="0"/>
            <w:vAlign w:val="center"/>
          </w:tcPr>
          <w:p w14:paraId="7017A2D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由立杆、底座，平行夹，垂直夹，烧瓶夹，万向夹，台边夹，大铁环，圆托盘、漏斗架、绝缘杆、吊杆、吊钩等组成</w:t>
            </w:r>
          </w:p>
        </w:tc>
        <w:tc>
          <w:tcPr>
            <w:tcW w:w="736" w:type="dxa"/>
            <w:noWrap w:val="0"/>
            <w:vAlign w:val="center"/>
          </w:tcPr>
          <w:p w14:paraId="63EC00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FE04D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62275A1">
            <w:pPr>
              <w:jc w:val="center"/>
              <w:rPr>
                <w:highlight w:val="none"/>
              </w:rPr>
            </w:pPr>
          </w:p>
        </w:tc>
        <w:tc>
          <w:tcPr>
            <w:tcW w:w="710" w:type="dxa"/>
            <w:gridSpan w:val="2"/>
            <w:noWrap w:val="0"/>
            <w:vAlign w:val="center"/>
          </w:tcPr>
          <w:p w14:paraId="0153556B">
            <w:pPr>
              <w:jc w:val="both"/>
              <w:rPr>
                <w:highlight w:val="none"/>
                <w:vertAlign w:val="baseline"/>
              </w:rPr>
            </w:pPr>
          </w:p>
        </w:tc>
      </w:tr>
      <w:tr w14:paraId="0212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27206E">
            <w:pPr>
              <w:jc w:val="center"/>
              <w:rPr>
                <w:rFonts w:hint="default"/>
                <w:highlight w:val="none"/>
                <w:vertAlign w:val="baseline"/>
                <w:lang w:val="en-US" w:eastAsia="zh-CN"/>
              </w:rPr>
            </w:pPr>
            <w:r>
              <w:rPr>
                <w:rFonts w:hint="eastAsia"/>
                <w:highlight w:val="none"/>
                <w:vertAlign w:val="baseline"/>
                <w:lang w:val="en-US" w:eastAsia="zh-CN"/>
              </w:rPr>
              <w:t>96</w:t>
            </w:r>
          </w:p>
        </w:tc>
        <w:tc>
          <w:tcPr>
            <w:tcW w:w="1690" w:type="dxa"/>
            <w:noWrap w:val="0"/>
            <w:vAlign w:val="center"/>
          </w:tcPr>
          <w:p w14:paraId="5A8A0F5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升降台</w:t>
            </w:r>
          </w:p>
        </w:tc>
        <w:tc>
          <w:tcPr>
            <w:tcW w:w="5928" w:type="dxa"/>
            <w:noWrap w:val="0"/>
            <w:vAlign w:val="center"/>
          </w:tcPr>
          <w:p w14:paraId="1E01391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不锈钢台面，有效面积不小于100×100mm</w:t>
            </w:r>
          </w:p>
        </w:tc>
        <w:tc>
          <w:tcPr>
            <w:tcW w:w="736" w:type="dxa"/>
            <w:noWrap w:val="0"/>
            <w:vAlign w:val="center"/>
          </w:tcPr>
          <w:p w14:paraId="61092E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BD1DD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29E1534">
            <w:pPr>
              <w:jc w:val="center"/>
              <w:rPr>
                <w:highlight w:val="none"/>
              </w:rPr>
            </w:pPr>
          </w:p>
        </w:tc>
        <w:tc>
          <w:tcPr>
            <w:tcW w:w="710" w:type="dxa"/>
            <w:gridSpan w:val="2"/>
            <w:noWrap w:val="0"/>
            <w:vAlign w:val="center"/>
          </w:tcPr>
          <w:p w14:paraId="6CE58AF0">
            <w:pPr>
              <w:jc w:val="both"/>
              <w:rPr>
                <w:highlight w:val="none"/>
                <w:vertAlign w:val="baseline"/>
              </w:rPr>
            </w:pPr>
          </w:p>
        </w:tc>
      </w:tr>
      <w:tr w14:paraId="0F95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C616DD">
            <w:pPr>
              <w:jc w:val="center"/>
              <w:rPr>
                <w:rFonts w:hint="default"/>
                <w:highlight w:val="none"/>
                <w:vertAlign w:val="baseline"/>
                <w:lang w:val="en-US" w:eastAsia="zh-CN"/>
              </w:rPr>
            </w:pPr>
            <w:r>
              <w:rPr>
                <w:rFonts w:hint="eastAsia"/>
                <w:highlight w:val="none"/>
                <w:vertAlign w:val="baseline"/>
                <w:lang w:val="en-US" w:eastAsia="zh-CN"/>
              </w:rPr>
              <w:t>97</w:t>
            </w:r>
          </w:p>
        </w:tc>
        <w:tc>
          <w:tcPr>
            <w:tcW w:w="1690" w:type="dxa"/>
            <w:noWrap w:val="0"/>
            <w:vAlign w:val="center"/>
          </w:tcPr>
          <w:p w14:paraId="0A313E0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半导体致冷器</w:t>
            </w:r>
          </w:p>
        </w:tc>
        <w:tc>
          <w:tcPr>
            <w:tcW w:w="5928" w:type="dxa"/>
            <w:noWrap w:val="0"/>
            <w:vAlign w:val="center"/>
          </w:tcPr>
          <w:p w14:paraId="3D60AE4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致冷加热和温差发电两用</w:t>
            </w:r>
          </w:p>
        </w:tc>
        <w:tc>
          <w:tcPr>
            <w:tcW w:w="736" w:type="dxa"/>
            <w:noWrap w:val="0"/>
            <w:vAlign w:val="center"/>
          </w:tcPr>
          <w:p w14:paraId="1CA65B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FF0C8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B78AD00">
            <w:pPr>
              <w:jc w:val="center"/>
              <w:rPr>
                <w:highlight w:val="none"/>
              </w:rPr>
            </w:pPr>
          </w:p>
        </w:tc>
        <w:tc>
          <w:tcPr>
            <w:tcW w:w="710" w:type="dxa"/>
            <w:gridSpan w:val="2"/>
            <w:noWrap w:val="0"/>
            <w:vAlign w:val="center"/>
          </w:tcPr>
          <w:p w14:paraId="33B78F6C">
            <w:pPr>
              <w:jc w:val="both"/>
              <w:rPr>
                <w:highlight w:val="none"/>
                <w:vertAlign w:val="baseline"/>
              </w:rPr>
            </w:pPr>
          </w:p>
        </w:tc>
      </w:tr>
      <w:tr w14:paraId="53DB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D967CA4">
            <w:pPr>
              <w:jc w:val="center"/>
              <w:rPr>
                <w:rFonts w:hint="default"/>
                <w:highlight w:val="none"/>
                <w:vertAlign w:val="baseline"/>
                <w:lang w:val="en-US" w:eastAsia="zh-CN"/>
              </w:rPr>
            </w:pPr>
            <w:r>
              <w:rPr>
                <w:rFonts w:hint="eastAsia"/>
                <w:highlight w:val="none"/>
                <w:vertAlign w:val="baseline"/>
                <w:lang w:val="en-US" w:eastAsia="zh-CN"/>
              </w:rPr>
              <w:t>98</w:t>
            </w:r>
          </w:p>
        </w:tc>
        <w:tc>
          <w:tcPr>
            <w:tcW w:w="1690" w:type="dxa"/>
            <w:noWrap w:val="0"/>
            <w:vAlign w:val="center"/>
          </w:tcPr>
          <w:p w14:paraId="6AA3E25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晶体熔化与凝固实验器(荼的熔解)</w:t>
            </w:r>
          </w:p>
        </w:tc>
        <w:tc>
          <w:tcPr>
            <w:tcW w:w="5928" w:type="dxa"/>
            <w:noWrap w:val="0"/>
            <w:vAlign w:val="center"/>
          </w:tcPr>
          <w:p w14:paraId="3426FC9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包括透明容器、试管、温度计</w:t>
            </w:r>
          </w:p>
        </w:tc>
        <w:tc>
          <w:tcPr>
            <w:tcW w:w="736" w:type="dxa"/>
            <w:noWrap w:val="0"/>
            <w:vAlign w:val="center"/>
          </w:tcPr>
          <w:p w14:paraId="67BD11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0D3D0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83FDCC2">
            <w:pPr>
              <w:jc w:val="center"/>
              <w:rPr>
                <w:highlight w:val="none"/>
              </w:rPr>
            </w:pPr>
          </w:p>
        </w:tc>
        <w:tc>
          <w:tcPr>
            <w:tcW w:w="710" w:type="dxa"/>
            <w:gridSpan w:val="2"/>
            <w:noWrap w:val="0"/>
            <w:vAlign w:val="center"/>
          </w:tcPr>
          <w:p w14:paraId="710547BF">
            <w:pPr>
              <w:jc w:val="both"/>
              <w:rPr>
                <w:highlight w:val="none"/>
                <w:vertAlign w:val="baseline"/>
              </w:rPr>
            </w:pPr>
          </w:p>
        </w:tc>
      </w:tr>
      <w:tr w14:paraId="40D7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46BB45">
            <w:pPr>
              <w:jc w:val="center"/>
              <w:rPr>
                <w:rFonts w:hint="default"/>
                <w:highlight w:val="none"/>
                <w:vertAlign w:val="baseline"/>
                <w:lang w:val="en-US" w:eastAsia="zh-CN"/>
              </w:rPr>
            </w:pPr>
            <w:r>
              <w:rPr>
                <w:rFonts w:hint="eastAsia"/>
                <w:highlight w:val="none"/>
                <w:vertAlign w:val="baseline"/>
                <w:lang w:val="en-US" w:eastAsia="zh-CN"/>
              </w:rPr>
              <w:t>99</w:t>
            </w:r>
          </w:p>
        </w:tc>
        <w:tc>
          <w:tcPr>
            <w:tcW w:w="1690" w:type="dxa"/>
            <w:noWrap w:val="0"/>
            <w:vAlign w:val="center"/>
          </w:tcPr>
          <w:p w14:paraId="49D046D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碘升华凝华管</w:t>
            </w:r>
          </w:p>
        </w:tc>
        <w:tc>
          <w:tcPr>
            <w:tcW w:w="5928" w:type="dxa"/>
            <w:noWrap w:val="0"/>
            <w:vAlign w:val="center"/>
          </w:tcPr>
          <w:p w14:paraId="42690C0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Φ 34 mm×28 mm,玻璃制</w:t>
            </w:r>
          </w:p>
        </w:tc>
        <w:tc>
          <w:tcPr>
            <w:tcW w:w="736" w:type="dxa"/>
            <w:noWrap w:val="0"/>
            <w:vAlign w:val="center"/>
          </w:tcPr>
          <w:p w14:paraId="3503F7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466D0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396" w:type="dxa"/>
            <w:gridSpan w:val="2"/>
            <w:noWrap w:val="0"/>
            <w:vAlign w:val="center"/>
          </w:tcPr>
          <w:p w14:paraId="6FFED911">
            <w:pPr>
              <w:jc w:val="center"/>
              <w:rPr>
                <w:highlight w:val="none"/>
              </w:rPr>
            </w:pPr>
          </w:p>
        </w:tc>
        <w:tc>
          <w:tcPr>
            <w:tcW w:w="710" w:type="dxa"/>
            <w:gridSpan w:val="2"/>
            <w:noWrap w:val="0"/>
            <w:vAlign w:val="center"/>
          </w:tcPr>
          <w:p w14:paraId="53B63AF2">
            <w:pPr>
              <w:jc w:val="both"/>
              <w:rPr>
                <w:highlight w:val="none"/>
                <w:vertAlign w:val="baseline"/>
              </w:rPr>
            </w:pPr>
          </w:p>
        </w:tc>
      </w:tr>
      <w:tr w14:paraId="072E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E1AF49">
            <w:pPr>
              <w:jc w:val="center"/>
              <w:rPr>
                <w:rFonts w:hint="default"/>
                <w:highlight w:val="none"/>
                <w:vertAlign w:val="baseline"/>
                <w:lang w:val="en-US" w:eastAsia="zh-CN"/>
              </w:rPr>
            </w:pPr>
            <w:r>
              <w:rPr>
                <w:rFonts w:hint="eastAsia"/>
                <w:highlight w:val="none"/>
                <w:vertAlign w:val="baseline"/>
                <w:lang w:val="en-US" w:eastAsia="zh-CN"/>
              </w:rPr>
              <w:t>100</w:t>
            </w:r>
          </w:p>
        </w:tc>
        <w:tc>
          <w:tcPr>
            <w:tcW w:w="1690" w:type="dxa"/>
            <w:noWrap w:val="0"/>
            <w:vAlign w:val="center"/>
          </w:tcPr>
          <w:p w14:paraId="0ADDEC4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制作简易温度计实验材料</w:t>
            </w:r>
          </w:p>
        </w:tc>
        <w:tc>
          <w:tcPr>
            <w:tcW w:w="5928" w:type="dxa"/>
            <w:noWrap w:val="0"/>
            <w:vAlign w:val="center"/>
          </w:tcPr>
          <w:p w14:paraId="271A3D7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玻璃瓶带盖，细管、色素</w:t>
            </w:r>
          </w:p>
        </w:tc>
        <w:tc>
          <w:tcPr>
            <w:tcW w:w="736" w:type="dxa"/>
            <w:noWrap w:val="0"/>
            <w:vAlign w:val="center"/>
          </w:tcPr>
          <w:p w14:paraId="2F9F1F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4E0ED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FF6416D">
            <w:pPr>
              <w:jc w:val="center"/>
              <w:rPr>
                <w:highlight w:val="none"/>
              </w:rPr>
            </w:pPr>
          </w:p>
        </w:tc>
        <w:tc>
          <w:tcPr>
            <w:tcW w:w="710" w:type="dxa"/>
            <w:gridSpan w:val="2"/>
            <w:noWrap w:val="0"/>
            <w:vAlign w:val="center"/>
          </w:tcPr>
          <w:p w14:paraId="7854DD97">
            <w:pPr>
              <w:jc w:val="both"/>
              <w:rPr>
                <w:highlight w:val="none"/>
                <w:vertAlign w:val="baseline"/>
              </w:rPr>
            </w:pPr>
          </w:p>
        </w:tc>
      </w:tr>
      <w:tr w14:paraId="6E79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3F15E2">
            <w:pPr>
              <w:jc w:val="center"/>
              <w:rPr>
                <w:rFonts w:hint="default"/>
                <w:highlight w:val="none"/>
                <w:vertAlign w:val="baseline"/>
                <w:lang w:val="en-US" w:eastAsia="zh-CN"/>
              </w:rPr>
            </w:pPr>
            <w:r>
              <w:rPr>
                <w:rFonts w:hint="eastAsia"/>
                <w:highlight w:val="none"/>
                <w:vertAlign w:val="baseline"/>
                <w:lang w:val="en-US" w:eastAsia="zh-CN"/>
              </w:rPr>
              <w:t>101</w:t>
            </w:r>
          </w:p>
        </w:tc>
        <w:tc>
          <w:tcPr>
            <w:tcW w:w="1690" w:type="dxa"/>
            <w:noWrap w:val="0"/>
            <w:vAlign w:val="center"/>
          </w:tcPr>
          <w:p w14:paraId="691445E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物质弹性实验材料</w:t>
            </w:r>
          </w:p>
        </w:tc>
        <w:tc>
          <w:tcPr>
            <w:tcW w:w="5928" w:type="dxa"/>
            <w:noWrap w:val="0"/>
            <w:vAlign w:val="center"/>
          </w:tcPr>
          <w:p w14:paraId="2D8F9CD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软、硬弹簧、橡皮筋、橡皮泥、海绵、钢尺</w:t>
            </w:r>
          </w:p>
        </w:tc>
        <w:tc>
          <w:tcPr>
            <w:tcW w:w="736" w:type="dxa"/>
            <w:noWrap w:val="0"/>
            <w:vAlign w:val="center"/>
          </w:tcPr>
          <w:p w14:paraId="4905F5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4D146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3B44E85">
            <w:pPr>
              <w:jc w:val="center"/>
              <w:rPr>
                <w:highlight w:val="none"/>
              </w:rPr>
            </w:pPr>
          </w:p>
        </w:tc>
        <w:tc>
          <w:tcPr>
            <w:tcW w:w="710" w:type="dxa"/>
            <w:gridSpan w:val="2"/>
            <w:noWrap w:val="0"/>
            <w:vAlign w:val="center"/>
          </w:tcPr>
          <w:p w14:paraId="7993D4F8">
            <w:pPr>
              <w:jc w:val="both"/>
              <w:rPr>
                <w:highlight w:val="none"/>
                <w:vertAlign w:val="baseline"/>
              </w:rPr>
            </w:pPr>
          </w:p>
        </w:tc>
      </w:tr>
      <w:tr w14:paraId="59B7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2BD8D31">
            <w:pPr>
              <w:jc w:val="center"/>
              <w:rPr>
                <w:rFonts w:hint="default"/>
                <w:highlight w:val="none"/>
                <w:vertAlign w:val="baseline"/>
                <w:lang w:val="en-US" w:eastAsia="zh-CN"/>
              </w:rPr>
            </w:pPr>
            <w:r>
              <w:rPr>
                <w:rFonts w:hint="eastAsia"/>
                <w:highlight w:val="none"/>
                <w:vertAlign w:val="baseline"/>
                <w:lang w:val="en-US" w:eastAsia="zh-CN"/>
              </w:rPr>
              <w:t>102</w:t>
            </w:r>
          </w:p>
        </w:tc>
        <w:tc>
          <w:tcPr>
            <w:tcW w:w="1690" w:type="dxa"/>
            <w:noWrap w:val="0"/>
            <w:vAlign w:val="center"/>
          </w:tcPr>
          <w:p w14:paraId="734C3B6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物质磁性实验材料</w:t>
            </w:r>
          </w:p>
        </w:tc>
        <w:tc>
          <w:tcPr>
            <w:tcW w:w="5928" w:type="dxa"/>
            <w:noWrap w:val="0"/>
            <w:vAlign w:val="center"/>
          </w:tcPr>
          <w:p w14:paraId="3758C7B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铜、块、铝、木块、磁体、镍片、回形针</w:t>
            </w:r>
          </w:p>
        </w:tc>
        <w:tc>
          <w:tcPr>
            <w:tcW w:w="736" w:type="dxa"/>
            <w:noWrap w:val="0"/>
            <w:vAlign w:val="center"/>
          </w:tcPr>
          <w:p w14:paraId="1C8E2B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13CC4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F09FCEF">
            <w:pPr>
              <w:jc w:val="center"/>
              <w:rPr>
                <w:highlight w:val="none"/>
              </w:rPr>
            </w:pPr>
          </w:p>
        </w:tc>
        <w:tc>
          <w:tcPr>
            <w:tcW w:w="710" w:type="dxa"/>
            <w:gridSpan w:val="2"/>
            <w:noWrap w:val="0"/>
            <w:vAlign w:val="center"/>
          </w:tcPr>
          <w:p w14:paraId="79C1C168">
            <w:pPr>
              <w:jc w:val="both"/>
              <w:rPr>
                <w:highlight w:val="none"/>
                <w:vertAlign w:val="baseline"/>
              </w:rPr>
            </w:pPr>
          </w:p>
        </w:tc>
      </w:tr>
      <w:tr w14:paraId="772B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F09BC7">
            <w:pPr>
              <w:jc w:val="center"/>
              <w:rPr>
                <w:rFonts w:hint="default"/>
                <w:highlight w:val="none"/>
                <w:vertAlign w:val="baseline"/>
                <w:lang w:val="en-US" w:eastAsia="zh-CN"/>
              </w:rPr>
            </w:pPr>
            <w:r>
              <w:rPr>
                <w:rFonts w:hint="eastAsia"/>
                <w:highlight w:val="none"/>
                <w:vertAlign w:val="baseline"/>
                <w:lang w:val="en-US" w:eastAsia="zh-CN"/>
              </w:rPr>
              <w:t>103</w:t>
            </w:r>
          </w:p>
        </w:tc>
        <w:tc>
          <w:tcPr>
            <w:tcW w:w="1690" w:type="dxa"/>
            <w:noWrap w:val="0"/>
            <w:vAlign w:val="center"/>
          </w:tcPr>
          <w:p w14:paraId="1823500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磁悬浮原理实验器</w:t>
            </w:r>
          </w:p>
        </w:tc>
        <w:tc>
          <w:tcPr>
            <w:tcW w:w="5928" w:type="dxa"/>
            <w:noWrap w:val="0"/>
            <w:vAlign w:val="center"/>
          </w:tcPr>
          <w:p w14:paraId="39A53CA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3个圆柱形磁体、透明管、底座</w:t>
            </w:r>
          </w:p>
        </w:tc>
        <w:tc>
          <w:tcPr>
            <w:tcW w:w="736" w:type="dxa"/>
            <w:noWrap w:val="0"/>
            <w:vAlign w:val="center"/>
          </w:tcPr>
          <w:p w14:paraId="02A97E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31F61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708BC04">
            <w:pPr>
              <w:jc w:val="center"/>
              <w:rPr>
                <w:highlight w:val="none"/>
              </w:rPr>
            </w:pPr>
          </w:p>
        </w:tc>
        <w:tc>
          <w:tcPr>
            <w:tcW w:w="710" w:type="dxa"/>
            <w:gridSpan w:val="2"/>
            <w:noWrap w:val="0"/>
            <w:vAlign w:val="center"/>
          </w:tcPr>
          <w:p w14:paraId="5A502C27">
            <w:pPr>
              <w:jc w:val="both"/>
              <w:rPr>
                <w:highlight w:val="none"/>
                <w:vertAlign w:val="baseline"/>
              </w:rPr>
            </w:pPr>
          </w:p>
        </w:tc>
      </w:tr>
      <w:tr w14:paraId="3377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041C1B">
            <w:pPr>
              <w:jc w:val="center"/>
              <w:rPr>
                <w:rFonts w:hint="default"/>
                <w:highlight w:val="none"/>
                <w:vertAlign w:val="baseline"/>
                <w:lang w:val="en-US" w:eastAsia="zh-CN"/>
              </w:rPr>
            </w:pPr>
            <w:r>
              <w:rPr>
                <w:rFonts w:hint="eastAsia"/>
                <w:highlight w:val="none"/>
                <w:vertAlign w:val="baseline"/>
                <w:lang w:val="en-US" w:eastAsia="zh-CN"/>
              </w:rPr>
              <w:t>104</w:t>
            </w:r>
          </w:p>
        </w:tc>
        <w:tc>
          <w:tcPr>
            <w:tcW w:w="1690" w:type="dxa"/>
            <w:noWrap w:val="0"/>
            <w:vAlign w:val="center"/>
          </w:tcPr>
          <w:p w14:paraId="69F305D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物质导电性实验材料</w:t>
            </w:r>
          </w:p>
        </w:tc>
        <w:tc>
          <w:tcPr>
            <w:tcW w:w="5928" w:type="dxa"/>
            <w:noWrap w:val="0"/>
            <w:vAlign w:val="center"/>
          </w:tcPr>
          <w:p w14:paraId="6C01C0B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金属、碳棒、塑料、木、玻璃，接导体材能使 LED 发光</w:t>
            </w:r>
          </w:p>
        </w:tc>
        <w:tc>
          <w:tcPr>
            <w:tcW w:w="736" w:type="dxa"/>
            <w:noWrap w:val="0"/>
            <w:vAlign w:val="center"/>
          </w:tcPr>
          <w:p w14:paraId="139090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10B354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C16E78B">
            <w:pPr>
              <w:jc w:val="center"/>
              <w:rPr>
                <w:highlight w:val="none"/>
              </w:rPr>
            </w:pPr>
          </w:p>
        </w:tc>
        <w:tc>
          <w:tcPr>
            <w:tcW w:w="710" w:type="dxa"/>
            <w:gridSpan w:val="2"/>
            <w:noWrap w:val="0"/>
            <w:vAlign w:val="center"/>
          </w:tcPr>
          <w:p w14:paraId="5541C43A">
            <w:pPr>
              <w:jc w:val="both"/>
              <w:rPr>
                <w:highlight w:val="none"/>
                <w:vertAlign w:val="baseline"/>
              </w:rPr>
            </w:pPr>
          </w:p>
        </w:tc>
      </w:tr>
      <w:tr w14:paraId="400E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2A6923C">
            <w:pPr>
              <w:jc w:val="center"/>
              <w:rPr>
                <w:rFonts w:hint="default"/>
                <w:highlight w:val="none"/>
                <w:vertAlign w:val="baseline"/>
                <w:lang w:val="en-US" w:eastAsia="zh-CN"/>
              </w:rPr>
            </w:pPr>
            <w:r>
              <w:rPr>
                <w:rFonts w:hint="eastAsia"/>
                <w:highlight w:val="none"/>
                <w:vertAlign w:val="baseline"/>
                <w:lang w:val="en-US" w:eastAsia="zh-CN"/>
              </w:rPr>
              <w:t>105</w:t>
            </w:r>
          </w:p>
        </w:tc>
        <w:tc>
          <w:tcPr>
            <w:tcW w:w="1690" w:type="dxa"/>
            <w:noWrap w:val="0"/>
            <w:vAlign w:val="center"/>
          </w:tcPr>
          <w:p w14:paraId="77DB5A9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电缆结构与材料套材</w:t>
            </w:r>
          </w:p>
        </w:tc>
        <w:tc>
          <w:tcPr>
            <w:tcW w:w="5928" w:type="dxa"/>
            <w:noWrap w:val="0"/>
            <w:vAlign w:val="center"/>
          </w:tcPr>
          <w:p w14:paraId="4C1877C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裸电线、漆包线、电线电缆、电力电缆、通信电缆</w:t>
            </w:r>
          </w:p>
        </w:tc>
        <w:tc>
          <w:tcPr>
            <w:tcW w:w="736" w:type="dxa"/>
            <w:noWrap w:val="0"/>
            <w:vAlign w:val="center"/>
          </w:tcPr>
          <w:p w14:paraId="16C0C0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7F861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71CC033">
            <w:pPr>
              <w:jc w:val="center"/>
              <w:rPr>
                <w:highlight w:val="none"/>
              </w:rPr>
            </w:pPr>
          </w:p>
        </w:tc>
        <w:tc>
          <w:tcPr>
            <w:tcW w:w="710" w:type="dxa"/>
            <w:gridSpan w:val="2"/>
            <w:noWrap w:val="0"/>
            <w:vAlign w:val="center"/>
          </w:tcPr>
          <w:p w14:paraId="576F08CF">
            <w:pPr>
              <w:jc w:val="both"/>
              <w:rPr>
                <w:highlight w:val="none"/>
                <w:vertAlign w:val="baseline"/>
              </w:rPr>
            </w:pPr>
          </w:p>
        </w:tc>
      </w:tr>
      <w:tr w14:paraId="26FB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962398">
            <w:pPr>
              <w:jc w:val="center"/>
              <w:rPr>
                <w:rFonts w:hint="default"/>
                <w:highlight w:val="none"/>
                <w:vertAlign w:val="baseline"/>
                <w:lang w:val="en-US" w:eastAsia="zh-CN"/>
              </w:rPr>
            </w:pPr>
            <w:r>
              <w:rPr>
                <w:rFonts w:hint="eastAsia"/>
                <w:highlight w:val="none"/>
                <w:vertAlign w:val="baseline"/>
                <w:lang w:val="en-US" w:eastAsia="zh-CN"/>
              </w:rPr>
              <w:t>106</w:t>
            </w:r>
          </w:p>
        </w:tc>
        <w:tc>
          <w:tcPr>
            <w:tcW w:w="1690" w:type="dxa"/>
            <w:noWrap w:val="0"/>
            <w:vAlign w:val="center"/>
          </w:tcPr>
          <w:p w14:paraId="63DEE51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人体发电趣味演示仪</w:t>
            </w:r>
          </w:p>
        </w:tc>
        <w:tc>
          <w:tcPr>
            <w:tcW w:w="5928" w:type="dxa"/>
            <w:noWrap w:val="0"/>
            <w:vAlign w:val="center"/>
          </w:tcPr>
          <w:p w14:paraId="54232FA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铝电极和铜电极，带检流计</w:t>
            </w:r>
          </w:p>
        </w:tc>
        <w:tc>
          <w:tcPr>
            <w:tcW w:w="736" w:type="dxa"/>
            <w:noWrap w:val="0"/>
            <w:vAlign w:val="center"/>
          </w:tcPr>
          <w:p w14:paraId="512A98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42A52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7E884E7">
            <w:pPr>
              <w:jc w:val="center"/>
              <w:rPr>
                <w:highlight w:val="none"/>
              </w:rPr>
            </w:pPr>
          </w:p>
        </w:tc>
        <w:tc>
          <w:tcPr>
            <w:tcW w:w="710" w:type="dxa"/>
            <w:gridSpan w:val="2"/>
            <w:noWrap w:val="0"/>
            <w:vAlign w:val="center"/>
          </w:tcPr>
          <w:p w14:paraId="3AEAD435">
            <w:pPr>
              <w:jc w:val="both"/>
              <w:rPr>
                <w:highlight w:val="none"/>
                <w:vertAlign w:val="baseline"/>
              </w:rPr>
            </w:pPr>
          </w:p>
        </w:tc>
      </w:tr>
      <w:tr w14:paraId="639A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27B6A7A">
            <w:pPr>
              <w:jc w:val="center"/>
              <w:rPr>
                <w:rFonts w:hint="default"/>
                <w:highlight w:val="none"/>
                <w:vertAlign w:val="baseline"/>
                <w:lang w:val="en-US" w:eastAsia="zh-CN"/>
              </w:rPr>
            </w:pPr>
            <w:r>
              <w:rPr>
                <w:rFonts w:hint="eastAsia"/>
                <w:highlight w:val="none"/>
                <w:vertAlign w:val="baseline"/>
                <w:lang w:val="en-US" w:eastAsia="zh-CN"/>
              </w:rPr>
              <w:t>107</w:t>
            </w:r>
          </w:p>
        </w:tc>
        <w:tc>
          <w:tcPr>
            <w:tcW w:w="1690" w:type="dxa"/>
            <w:noWrap w:val="0"/>
            <w:vAlign w:val="center"/>
          </w:tcPr>
          <w:p w14:paraId="2E169DE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物质导热性实验材料</w:t>
            </w:r>
          </w:p>
        </w:tc>
        <w:tc>
          <w:tcPr>
            <w:tcW w:w="5928" w:type="dxa"/>
            <w:noWrap w:val="0"/>
            <w:vAlign w:val="center"/>
          </w:tcPr>
          <w:p w14:paraId="66CC67D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包括铜、铁、铝，陶瓷、木材等</w:t>
            </w:r>
          </w:p>
        </w:tc>
        <w:tc>
          <w:tcPr>
            <w:tcW w:w="736" w:type="dxa"/>
            <w:noWrap w:val="0"/>
            <w:vAlign w:val="center"/>
          </w:tcPr>
          <w:p w14:paraId="4617A9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890C8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0C97E07">
            <w:pPr>
              <w:jc w:val="center"/>
              <w:rPr>
                <w:highlight w:val="none"/>
              </w:rPr>
            </w:pPr>
          </w:p>
        </w:tc>
        <w:tc>
          <w:tcPr>
            <w:tcW w:w="710" w:type="dxa"/>
            <w:gridSpan w:val="2"/>
            <w:noWrap w:val="0"/>
            <w:vAlign w:val="center"/>
          </w:tcPr>
          <w:p w14:paraId="1DA28618">
            <w:pPr>
              <w:jc w:val="both"/>
              <w:rPr>
                <w:highlight w:val="none"/>
                <w:vertAlign w:val="baseline"/>
              </w:rPr>
            </w:pPr>
          </w:p>
        </w:tc>
      </w:tr>
      <w:tr w14:paraId="1896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8D4D0DE">
            <w:pPr>
              <w:jc w:val="center"/>
              <w:rPr>
                <w:rFonts w:hint="default"/>
                <w:highlight w:val="none"/>
                <w:vertAlign w:val="baseline"/>
                <w:lang w:val="en-US" w:eastAsia="zh-CN"/>
              </w:rPr>
            </w:pPr>
            <w:r>
              <w:rPr>
                <w:rFonts w:hint="eastAsia"/>
                <w:highlight w:val="none"/>
                <w:vertAlign w:val="baseline"/>
                <w:lang w:val="en-US" w:eastAsia="zh-CN"/>
              </w:rPr>
              <w:t>108</w:t>
            </w:r>
          </w:p>
        </w:tc>
        <w:tc>
          <w:tcPr>
            <w:tcW w:w="1690" w:type="dxa"/>
            <w:noWrap w:val="0"/>
            <w:vAlign w:val="center"/>
          </w:tcPr>
          <w:p w14:paraId="07EC16A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热传导演示器</w:t>
            </w:r>
          </w:p>
        </w:tc>
        <w:tc>
          <w:tcPr>
            <w:tcW w:w="5928" w:type="dxa"/>
            <w:noWrap w:val="0"/>
            <w:vAlign w:val="center"/>
          </w:tcPr>
          <w:p w14:paraId="582B7DC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包括纯铜、铝、铁、不锈钢等5种导热棒</w:t>
            </w:r>
          </w:p>
        </w:tc>
        <w:tc>
          <w:tcPr>
            <w:tcW w:w="736" w:type="dxa"/>
            <w:noWrap w:val="0"/>
            <w:vAlign w:val="center"/>
          </w:tcPr>
          <w:p w14:paraId="41963D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D5412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3C63BC6">
            <w:pPr>
              <w:jc w:val="center"/>
              <w:rPr>
                <w:highlight w:val="none"/>
              </w:rPr>
            </w:pPr>
          </w:p>
        </w:tc>
        <w:tc>
          <w:tcPr>
            <w:tcW w:w="710" w:type="dxa"/>
            <w:gridSpan w:val="2"/>
            <w:noWrap w:val="0"/>
            <w:vAlign w:val="center"/>
          </w:tcPr>
          <w:p w14:paraId="568CD383">
            <w:pPr>
              <w:jc w:val="both"/>
              <w:rPr>
                <w:highlight w:val="none"/>
                <w:vertAlign w:val="baseline"/>
              </w:rPr>
            </w:pPr>
          </w:p>
        </w:tc>
      </w:tr>
      <w:tr w14:paraId="4592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5B85E4E2">
            <w:pPr>
              <w:jc w:val="center"/>
              <w:rPr>
                <w:rFonts w:hint="default"/>
                <w:highlight w:val="none"/>
                <w:vertAlign w:val="baseline"/>
                <w:lang w:val="en-US" w:eastAsia="zh-CN"/>
              </w:rPr>
            </w:pPr>
            <w:r>
              <w:rPr>
                <w:rFonts w:hint="eastAsia"/>
                <w:highlight w:val="none"/>
                <w:vertAlign w:val="baseline"/>
                <w:lang w:val="en-US" w:eastAsia="zh-CN"/>
              </w:rPr>
              <w:t>109</w:t>
            </w:r>
          </w:p>
        </w:tc>
        <w:tc>
          <w:tcPr>
            <w:tcW w:w="1690" w:type="dxa"/>
            <w:noWrap w:val="0"/>
            <w:vAlign w:val="center"/>
          </w:tcPr>
          <w:p w14:paraId="747625B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双金属片</w:t>
            </w:r>
          </w:p>
        </w:tc>
        <w:tc>
          <w:tcPr>
            <w:tcW w:w="5928" w:type="dxa"/>
            <w:noWrap w:val="0"/>
            <w:vAlign w:val="center"/>
          </w:tcPr>
          <w:p w14:paraId="3652E97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铜、铁双金属片</w:t>
            </w:r>
          </w:p>
        </w:tc>
        <w:tc>
          <w:tcPr>
            <w:tcW w:w="736" w:type="dxa"/>
            <w:noWrap w:val="0"/>
            <w:vAlign w:val="center"/>
          </w:tcPr>
          <w:p w14:paraId="7FA973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585DD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2F4E93B">
            <w:pPr>
              <w:jc w:val="center"/>
              <w:rPr>
                <w:highlight w:val="none"/>
              </w:rPr>
            </w:pPr>
          </w:p>
        </w:tc>
        <w:tc>
          <w:tcPr>
            <w:tcW w:w="710" w:type="dxa"/>
            <w:gridSpan w:val="2"/>
            <w:noWrap w:val="0"/>
            <w:vAlign w:val="center"/>
          </w:tcPr>
          <w:p w14:paraId="4A22D633">
            <w:pPr>
              <w:jc w:val="both"/>
              <w:rPr>
                <w:highlight w:val="none"/>
                <w:vertAlign w:val="baseline"/>
              </w:rPr>
            </w:pPr>
          </w:p>
        </w:tc>
      </w:tr>
      <w:tr w14:paraId="6080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24AF77">
            <w:pPr>
              <w:jc w:val="center"/>
              <w:rPr>
                <w:rFonts w:hint="default"/>
                <w:highlight w:val="none"/>
                <w:vertAlign w:val="baseline"/>
                <w:lang w:val="en-US" w:eastAsia="zh-CN"/>
              </w:rPr>
            </w:pPr>
            <w:r>
              <w:rPr>
                <w:rFonts w:hint="eastAsia"/>
                <w:highlight w:val="none"/>
                <w:vertAlign w:val="baseline"/>
                <w:lang w:val="en-US" w:eastAsia="zh-CN"/>
              </w:rPr>
              <w:t>110</w:t>
            </w:r>
          </w:p>
        </w:tc>
        <w:tc>
          <w:tcPr>
            <w:tcW w:w="1690" w:type="dxa"/>
            <w:noWrap w:val="0"/>
            <w:vAlign w:val="center"/>
          </w:tcPr>
          <w:p w14:paraId="06B94B4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托盘天平</w:t>
            </w:r>
          </w:p>
        </w:tc>
        <w:tc>
          <w:tcPr>
            <w:tcW w:w="5928" w:type="dxa"/>
            <w:noWrap w:val="0"/>
            <w:vAlign w:val="center"/>
          </w:tcPr>
          <w:p w14:paraId="5BD2D4C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200g,0.2g</w:t>
            </w:r>
          </w:p>
        </w:tc>
        <w:tc>
          <w:tcPr>
            <w:tcW w:w="736" w:type="dxa"/>
            <w:noWrap w:val="0"/>
            <w:vAlign w:val="center"/>
          </w:tcPr>
          <w:p w14:paraId="4D76C9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17DED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2C00CE3">
            <w:pPr>
              <w:jc w:val="center"/>
              <w:rPr>
                <w:highlight w:val="none"/>
              </w:rPr>
            </w:pPr>
          </w:p>
        </w:tc>
        <w:tc>
          <w:tcPr>
            <w:tcW w:w="710" w:type="dxa"/>
            <w:gridSpan w:val="2"/>
            <w:noWrap w:val="0"/>
            <w:vAlign w:val="center"/>
          </w:tcPr>
          <w:p w14:paraId="787C6B46">
            <w:pPr>
              <w:jc w:val="both"/>
              <w:rPr>
                <w:highlight w:val="none"/>
                <w:vertAlign w:val="baseline"/>
              </w:rPr>
            </w:pPr>
          </w:p>
        </w:tc>
      </w:tr>
      <w:tr w14:paraId="3E90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927065">
            <w:pPr>
              <w:jc w:val="center"/>
              <w:rPr>
                <w:rFonts w:hint="default"/>
                <w:highlight w:val="none"/>
                <w:vertAlign w:val="baseline"/>
                <w:lang w:val="en-US" w:eastAsia="zh-CN"/>
              </w:rPr>
            </w:pPr>
            <w:r>
              <w:rPr>
                <w:rFonts w:hint="eastAsia"/>
                <w:highlight w:val="none"/>
                <w:vertAlign w:val="baseline"/>
                <w:lang w:val="en-US" w:eastAsia="zh-CN"/>
              </w:rPr>
              <w:t>111</w:t>
            </w:r>
          </w:p>
        </w:tc>
        <w:tc>
          <w:tcPr>
            <w:tcW w:w="1690" w:type="dxa"/>
            <w:noWrap w:val="0"/>
            <w:vAlign w:val="center"/>
          </w:tcPr>
          <w:p w14:paraId="6CACAF0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托盘天平</w:t>
            </w:r>
          </w:p>
        </w:tc>
        <w:tc>
          <w:tcPr>
            <w:tcW w:w="5928" w:type="dxa"/>
            <w:noWrap w:val="0"/>
            <w:vAlign w:val="center"/>
          </w:tcPr>
          <w:p w14:paraId="7DCBB86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500g,0.5g</w:t>
            </w:r>
          </w:p>
        </w:tc>
        <w:tc>
          <w:tcPr>
            <w:tcW w:w="736" w:type="dxa"/>
            <w:noWrap w:val="0"/>
            <w:vAlign w:val="center"/>
          </w:tcPr>
          <w:p w14:paraId="34602A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47BEB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8BB2D17">
            <w:pPr>
              <w:jc w:val="center"/>
              <w:rPr>
                <w:highlight w:val="none"/>
              </w:rPr>
            </w:pPr>
          </w:p>
        </w:tc>
        <w:tc>
          <w:tcPr>
            <w:tcW w:w="710" w:type="dxa"/>
            <w:gridSpan w:val="2"/>
            <w:noWrap w:val="0"/>
            <w:vAlign w:val="center"/>
          </w:tcPr>
          <w:p w14:paraId="39FDCD20">
            <w:pPr>
              <w:jc w:val="both"/>
              <w:rPr>
                <w:highlight w:val="none"/>
                <w:vertAlign w:val="baseline"/>
              </w:rPr>
            </w:pPr>
          </w:p>
        </w:tc>
      </w:tr>
      <w:tr w14:paraId="113E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D29BBA">
            <w:pPr>
              <w:jc w:val="center"/>
              <w:rPr>
                <w:rFonts w:hint="default"/>
                <w:highlight w:val="none"/>
                <w:vertAlign w:val="baseline"/>
                <w:lang w:val="en-US" w:eastAsia="zh-CN"/>
              </w:rPr>
            </w:pPr>
            <w:r>
              <w:rPr>
                <w:rFonts w:hint="eastAsia"/>
                <w:highlight w:val="none"/>
                <w:vertAlign w:val="baseline"/>
                <w:lang w:val="en-US" w:eastAsia="zh-CN"/>
              </w:rPr>
              <w:t>112</w:t>
            </w:r>
          </w:p>
        </w:tc>
        <w:tc>
          <w:tcPr>
            <w:tcW w:w="1690" w:type="dxa"/>
            <w:noWrap w:val="0"/>
            <w:vAlign w:val="center"/>
          </w:tcPr>
          <w:p w14:paraId="58CB654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电子天平</w:t>
            </w:r>
          </w:p>
        </w:tc>
        <w:tc>
          <w:tcPr>
            <w:tcW w:w="5928" w:type="dxa"/>
            <w:noWrap w:val="0"/>
            <w:vAlign w:val="center"/>
          </w:tcPr>
          <w:p w14:paraId="782E835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1000g，0.1</w:t>
            </w:r>
          </w:p>
        </w:tc>
        <w:tc>
          <w:tcPr>
            <w:tcW w:w="736" w:type="dxa"/>
            <w:noWrap w:val="0"/>
            <w:vAlign w:val="center"/>
          </w:tcPr>
          <w:p w14:paraId="195998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FD136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EB0C4BD">
            <w:pPr>
              <w:jc w:val="center"/>
              <w:rPr>
                <w:highlight w:val="none"/>
              </w:rPr>
            </w:pPr>
          </w:p>
        </w:tc>
        <w:tc>
          <w:tcPr>
            <w:tcW w:w="710" w:type="dxa"/>
            <w:gridSpan w:val="2"/>
            <w:noWrap w:val="0"/>
            <w:vAlign w:val="center"/>
          </w:tcPr>
          <w:p w14:paraId="1009A502">
            <w:pPr>
              <w:jc w:val="both"/>
              <w:rPr>
                <w:highlight w:val="none"/>
                <w:vertAlign w:val="baseline"/>
              </w:rPr>
            </w:pPr>
          </w:p>
        </w:tc>
      </w:tr>
      <w:tr w14:paraId="4753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54A5F4">
            <w:pPr>
              <w:jc w:val="center"/>
              <w:rPr>
                <w:rFonts w:hint="default"/>
                <w:highlight w:val="none"/>
                <w:vertAlign w:val="baseline"/>
                <w:lang w:val="en-US" w:eastAsia="zh-CN"/>
              </w:rPr>
            </w:pPr>
            <w:r>
              <w:rPr>
                <w:rFonts w:hint="eastAsia"/>
                <w:highlight w:val="none"/>
                <w:vertAlign w:val="baseline"/>
                <w:lang w:val="en-US" w:eastAsia="zh-CN"/>
              </w:rPr>
              <w:t>113</w:t>
            </w:r>
          </w:p>
        </w:tc>
        <w:tc>
          <w:tcPr>
            <w:tcW w:w="1690" w:type="dxa"/>
            <w:noWrap w:val="0"/>
            <w:vAlign w:val="center"/>
          </w:tcPr>
          <w:p w14:paraId="75D7665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指针式体重计</w:t>
            </w:r>
          </w:p>
        </w:tc>
        <w:tc>
          <w:tcPr>
            <w:tcW w:w="5928" w:type="dxa"/>
            <w:noWrap w:val="0"/>
            <w:vAlign w:val="center"/>
          </w:tcPr>
          <w:p w14:paraId="1DC96A3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0g～160kg，500g</w:t>
            </w:r>
          </w:p>
        </w:tc>
        <w:tc>
          <w:tcPr>
            <w:tcW w:w="736" w:type="dxa"/>
            <w:noWrap w:val="0"/>
            <w:vAlign w:val="center"/>
          </w:tcPr>
          <w:p w14:paraId="65632B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3490E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7E050A7">
            <w:pPr>
              <w:jc w:val="center"/>
              <w:rPr>
                <w:highlight w:val="none"/>
              </w:rPr>
            </w:pPr>
          </w:p>
        </w:tc>
        <w:tc>
          <w:tcPr>
            <w:tcW w:w="710" w:type="dxa"/>
            <w:gridSpan w:val="2"/>
            <w:noWrap w:val="0"/>
            <w:vAlign w:val="center"/>
          </w:tcPr>
          <w:p w14:paraId="30DED590">
            <w:pPr>
              <w:jc w:val="both"/>
              <w:rPr>
                <w:highlight w:val="none"/>
                <w:vertAlign w:val="baseline"/>
              </w:rPr>
            </w:pPr>
          </w:p>
        </w:tc>
      </w:tr>
      <w:tr w14:paraId="1989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7E9E813">
            <w:pPr>
              <w:jc w:val="center"/>
              <w:rPr>
                <w:rFonts w:hint="default"/>
                <w:highlight w:val="none"/>
                <w:vertAlign w:val="baseline"/>
                <w:lang w:val="en-US" w:eastAsia="zh-CN"/>
              </w:rPr>
            </w:pPr>
            <w:r>
              <w:rPr>
                <w:rFonts w:hint="eastAsia"/>
                <w:highlight w:val="none"/>
                <w:vertAlign w:val="baseline"/>
                <w:lang w:val="en-US" w:eastAsia="zh-CN"/>
              </w:rPr>
              <w:t>114</w:t>
            </w:r>
          </w:p>
        </w:tc>
        <w:tc>
          <w:tcPr>
            <w:tcW w:w="1690" w:type="dxa"/>
            <w:noWrap w:val="0"/>
            <w:vAlign w:val="center"/>
          </w:tcPr>
          <w:p w14:paraId="36B75E4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物理天平</w:t>
            </w:r>
          </w:p>
        </w:tc>
        <w:tc>
          <w:tcPr>
            <w:tcW w:w="5928" w:type="dxa"/>
            <w:noWrap w:val="0"/>
            <w:vAlign w:val="center"/>
          </w:tcPr>
          <w:p w14:paraId="57D0B2F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500g,0.02g</w:t>
            </w:r>
          </w:p>
        </w:tc>
        <w:tc>
          <w:tcPr>
            <w:tcW w:w="736" w:type="dxa"/>
            <w:noWrap w:val="0"/>
            <w:vAlign w:val="center"/>
          </w:tcPr>
          <w:p w14:paraId="0DC3BD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1A617B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E19575D">
            <w:pPr>
              <w:jc w:val="center"/>
              <w:rPr>
                <w:highlight w:val="none"/>
              </w:rPr>
            </w:pPr>
          </w:p>
        </w:tc>
        <w:tc>
          <w:tcPr>
            <w:tcW w:w="710" w:type="dxa"/>
            <w:gridSpan w:val="2"/>
            <w:noWrap w:val="0"/>
            <w:vAlign w:val="center"/>
          </w:tcPr>
          <w:p w14:paraId="4FB19BF7">
            <w:pPr>
              <w:jc w:val="both"/>
              <w:rPr>
                <w:highlight w:val="none"/>
                <w:vertAlign w:val="baseline"/>
              </w:rPr>
            </w:pPr>
          </w:p>
        </w:tc>
      </w:tr>
      <w:tr w14:paraId="2073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FDA4BD">
            <w:pPr>
              <w:jc w:val="center"/>
              <w:rPr>
                <w:rFonts w:hint="default"/>
                <w:highlight w:val="none"/>
                <w:vertAlign w:val="baseline"/>
                <w:lang w:val="en-US" w:eastAsia="zh-CN"/>
              </w:rPr>
            </w:pPr>
            <w:r>
              <w:rPr>
                <w:rFonts w:hint="eastAsia"/>
                <w:highlight w:val="none"/>
                <w:vertAlign w:val="baseline"/>
                <w:lang w:val="en-US" w:eastAsia="zh-CN"/>
              </w:rPr>
              <w:t>115</w:t>
            </w:r>
          </w:p>
        </w:tc>
        <w:tc>
          <w:tcPr>
            <w:tcW w:w="1690" w:type="dxa"/>
            <w:noWrap w:val="0"/>
            <w:vAlign w:val="center"/>
          </w:tcPr>
          <w:p w14:paraId="30B9656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案秤</w:t>
            </w:r>
          </w:p>
        </w:tc>
        <w:tc>
          <w:tcPr>
            <w:tcW w:w="5928" w:type="dxa"/>
            <w:noWrap w:val="0"/>
            <w:vAlign w:val="center"/>
          </w:tcPr>
          <w:p w14:paraId="17263F2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10kg，10g</w:t>
            </w:r>
          </w:p>
        </w:tc>
        <w:tc>
          <w:tcPr>
            <w:tcW w:w="736" w:type="dxa"/>
            <w:noWrap w:val="0"/>
            <w:vAlign w:val="center"/>
          </w:tcPr>
          <w:p w14:paraId="4CC462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1B1A3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C8AB0D5">
            <w:pPr>
              <w:jc w:val="center"/>
              <w:rPr>
                <w:highlight w:val="none"/>
              </w:rPr>
            </w:pPr>
          </w:p>
        </w:tc>
        <w:tc>
          <w:tcPr>
            <w:tcW w:w="710" w:type="dxa"/>
            <w:gridSpan w:val="2"/>
            <w:noWrap w:val="0"/>
            <w:vAlign w:val="center"/>
          </w:tcPr>
          <w:p w14:paraId="6AFED192">
            <w:pPr>
              <w:jc w:val="both"/>
              <w:rPr>
                <w:highlight w:val="none"/>
                <w:vertAlign w:val="baseline"/>
              </w:rPr>
            </w:pPr>
          </w:p>
        </w:tc>
      </w:tr>
      <w:tr w14:paraId="0F27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09D0C6">
            <w:pPr>
              <w:jc w:val="center"/>
              <w:rPr>
                <w:rFonts w:hint="default"/>
                <w:highlight w:val="none"/>
                <w:vertAlign w:val="baseline"/>
                <w:lang w:val="en-US" w:eastAsia="zh-CN"/>
              </w:rPr>
            </w:pPr>
            <w:r>
              <w:rPr>
                <w:rFonts w:hint="eastAsia"/>
                <w:highlight w:val="none"/>
                <w:vertAlign w:val="baseline"/>
                <w:lang w:val="en-US" w:eastAsia="zh-CN"/>
              </w:rPr>
              <w:t>116</w:t>
            </w:r>
          </w:p>
        </w:tc>
        <w:tc>
          <w:tcPr>
            <w:tcW w:w="1690" w:type="dxa"/>
            <w:noWrap w:val="0"/>
            <w:vAlign w:val="center"/>
          </w:tcPr>
          <w:p w14:paraId="49CD114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弹簧度盘秤</w:t>
            </w:r>
          </w:p>
        </w:tc>
        <w:tc>
          <w:tcPr>
            <w:tcW w:w="5928" w:type="dxa"/>
            <w:noWrap w:val="0"/>
            <w:vAlign w:val="center"/>
          </w:tcPr>
          <w:p w14:paraId="09D6662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8kg或10kg，分度值 8 g</w:t>
            </w:r>
          </w:p>
        </w:tc>
        <w:tc>
          <w:tcPr>
            <w:tcW w:w="736" w:type="dxa"/>
            <w:noWrap w:val="0"/>
            <w:vAlign w:val="center"/>
          </w:tcPr>
          <w:p w14:paraId="2AF01D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D4C60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85EABD5">
            <w:pPr>
              <w:jc w:val="center"/>
              <w:rPr>
                <w:highlight w:val="none"/>
              </w:rPr>
            </w:pPr>
          </w:p>
        </w:tc>
        <w:tc>
          <w:tcPr>
            <w:tcW w:w="710" w:type="dxa"/>
            <w:gridSpan w:val="2"/>
            <w:noWrap w:val="0"/>
            <w:vAlign w:val="center"/>
          </w:tcPr>
          <w:p w14:paraId="6C391E4A">
            <w:pPr>
              <w:jc w:val="both"/>
              <w:rPr>
                <w:highlight w:val="none"/>
                <w:vertAlign w:val="baseline"/>
              </w:rPr>
            </w:pPr>
          </w:p>
        </w:tc>
      </w:tr>
      <w:tr w14:paraId="2AB1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3A90596D">
            <w:pPr>
              <w:jc w:val="center"/>
              <w:rPr>
                <w:rFonts w:hint="default"/>
                <w:highlight w:val="none"/>
                <w:vertAlign w:val="baseline"/>
                <w:lang w:val="en-US" w:eastAsia="zh-CN"/>
              </w:rPr>
            </w:pPr>
            <w:r>
              <w:rPr>
                <w:rFonts w:hint="eastAsia"/>
                <w:highlight w:val="none"/>
                <w:vertAlign w:val="baseline"/>
                <w:lang w:val="en-US" w:eastAsia="zh-CN"/>
              </w:rPr>
              <w:t>117</w:t>
            </w:r>
          </w:p>
        </w:tc>
        <w:tc>
          <w:tcPr>
            <w:tcW w:w="1690" w:type="dxa"/>
            <w:noWrap w:val="0"/>
            <w:vAlign w:val="center"/>
          </w:tcPr>
          <w:p w14:paraId="12D0BCC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杆秤</w:t>
            </w:r>
          </w:p>
        </w:tc>
        <w:tc>
          <w:tcPr>
            <w:tcW w:w="5928" w:type="dxa"/>
            <w:noWrap w:val="0"/>
            <w:vAlign w:val="center"/>
          </w:tcPr>
          <w:p w14:paraId="69801FD5">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 0 kg〜2.5 kg</w:t>
            </w:r>
          </w:p>
        </w:tc>
        <w:tc>
          <w:tcPr>
            <w:tcW w:w="736" w:type="dxa"/>
            <w:noWrap w:val="0"/>
            <w:vAlign w:val="center"/>
          </w:tcPr>
          <w:p w14:paraId="187638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杆</w:t>
            </w:r>
          </w:p>
        </w:tc>
        <w:tc>
          <w:tcPr>
            <w:tcW w:w="834" w:type="dxa"/>
            <w:noWrap w:val="0"/>
            <w:vAlign w:val="center"/>
          </w:tcPr>
          <w:p w14:paraId="1C2771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D202482">
            <w:pPr>
              <w:jc w:val="center"/>
              <w:rPr>
                <w:highlight w:val="none"/>
              </w:rPr>
            </w:pPr>
          </w:p>
        </w:tc>
        <w:tc>
          <w:tcPr>
            <w:tcW w:w="710" w:type="dxa"/>
            <w:gridSpan w:val="2"/>
            <w:noWrap w:val="0"/>
            <w:vAlign w:val="center"/>
          </w:tcPr>
          <w:p w14:paraId="3CDEB373">
            <w:pPr>
              <w:jc w:val="both"/>
              <w:rPr>
                <w:highlight w:val="none"/>
                <w:vertAlign w:val="baseline"/>
              </w:rPr>
            </w:pPr>
          </w:p>
        </w:tc>
      </w:tr>
      <w:tr w14:paraId="6883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25708CE">
            <w:pPr>
              <w:jc w:val="center"/>
              <w:rPr>
                <w:rFonts w:hint="default"/>
                <w:highlight w:val="none"/>
                <w:vertAlign w:val="baseline"/>
                <w:lang w:val="en-US" w:eastAsia="zh-CN"/>
              </w:rPr>
            </w:pPr>
            <w:r>
              <w:rPr>
                <w:rFonts w:hint="eastAsia"/>
                <w:highlight w:val="none"/>
                <w:vertAlign w:val="baseline"/>
                <w:lang w:val="en-US" w:eastAsia="zh-CN"/>
              </w:rPr>
              <w:t>118</w:t>
            </w:r>
          </w:p>
        </w:tc>
        <w:tc>
          <w:tcPr>
            <w:tcW w:w="1690" w:type="dxa"/>
            <w:noWrap w:val="0"/>
            <w:vAlign w:val="center"/>
          </w:tcPr>
          <w:p w14:paraId="18D5627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戥子</w:t>
            </w:r>
          </w:p>
        </w:tc>
        <w:tc>
          <w:tcPr>
            <w:tcW w:w="5928" w:type="dxa"/>
            <w:noWrap w:val="0"/>
            <w:vAlign w:val="center"/>
          </w:tcPr>
          <w:p w14:paraId="6721C7F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 0 g〜250 g</w:t>
            </w:r>
          </w:p>
        </w:tc>
        <w:tc>
          <w:tcPr>
            <w:tcW w:w="736" w:type="dxa"/>
            <w:noWrap w:val="0"/>
            <w:vAlign w:val="center"/>
          </w:tcPr>
          <w:p w14:paraId="43BC1A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杆</w:t>
            </w:r>
          </w:p>
        </w:tc>
        <w:tc>
          <w:tcPr>
            <w:tcW w:w="834" w:type="dxa"/>
            <w:noWrap w:val="0"/>
            <w:vAlign w:val="center"/>
          </w:tcPr>
          <w:p w14:paraId="768AC7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72254CC">
            <w:pPr>
              <w:jc w:val="center"/>
              <w:rPr>
                <w:highlight w:val="none"/>
              </w:rPr>
            </w:pPr>
          </w:p>
        </w:tc>
        <w:tc>
          <w:tcPr>
            <w:tcW w:w="710" w:type="dxa"/>
            <w:gridSpan w:val="2"/>
            <w:noWrap w:val="0"/>
            <w:vAlign w:val="center"/>
          </w:tcPr>
          <w:p w14:paraId="5C4F0A9B">
            <w:pPr>
              <w:jc w:val="both"/>
              <w:rPr>
                <w:highlight w:val="none"/>
                <w:vertAlign w:val="baseline"/>
              </w:rPr>
            </w:pPr>
          </w:p>
        </w:tc>
      </w:tr>
      <w:tr w14:paraId="3A5A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BD568F9">
            <w:pPr>
              <w:jc w:val="center"/>
              <w:rPr>
                <w:rFonts w:hint="default"/>
                <w:highlight w:val="none"/>
                <w:vertAlign w:val="baseline"/>
                <w:lang w:val="en-US" w:eastAsia="zh-CN"/>
              </w:rPr>
            </w:pPr>
            <w:r>
              <w:rPr>
                <w:rFonts w:hint="eastAsia"/>
                <w:highlight w:val="none"/>
                <w:vertAlign w:val="baseline"/>
                <w:lang w:val="en-US" w:eastAsia="zh-CN"/>
              </w:rPr>
              <w:t>119</w:t>
            </w:r>
          </w:p>
        </w:tc>
        <w:tc>
          <w:tcPr>
            <w:tcW w:w="1690" w:type="dxa"/>
            <w:noWrap w:val="0"/>
            <w:vAlign w:val="center"/>
          </w:tcPr>
          <w:p w14:paraId="237FDBD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圆柱体组</w:t>
            </w:r>
          </w:p>
        </w:tc>
        <w:tc>
          <w:tcPr>
            <w:tcW w:w="5928" w:type="dxa"/>
            <w:noWrap w:val="0"/>
            <w:vAlign w:val="center"/>
          </w:tcPr>
          <w:p w14:paraId="7715090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铜、铝、铁直径20mm，高32 mm</w:t>
            </w:r>
          </w:p>
        </w:tc>
        <w:tc>
          <w:tcPr>
            <w:tcW w:w="736" w:type="dxa"/>
            <w:noWrap w:val="0"/>
            <w:vAlign w:val="center"/>
          </w:tcPr>
          <w:p w14:paraId="068246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AB797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E31CFF1">
            <w:pPr>
              <w:jc w:val="center"/>
              <w:rPr>
                <w:highlight w:val="none"/>
              </w:rPr>
            </w:pPr>
          </w:p>
        </w:tc>
        <w:tc>
          <w:tcPr>
            <w:tcW w:w="710" w:type="dxa"/>
            <w:gridSpan w:val="2"/>
            <w:noWrap w:val="0"/>
            <w:vAlign w:val="center"/>
          </w:tcPr>
          <w:p w14:paraId="6627F806">
            <w:pPr>
              <w:jc w:val="both"/>
              <w:rPr>
                <w:highlight w:val="none"/>
                <w:vertAlign w:val="baseline"/>
              </w:rPr>
            </w:pPr>
          </w:p>
        </w:tc>
      </w:tr>
      <w:tr w14:paraId="0930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A08817">
            <w:pPr>
              <w:jc w:val="center"/>
              <w:rPr>
                <w:rFonts w:hint="default"/>
                <w:highlight w:val="none"/>
                <w:vertAlign w:val="baseline"/>
                <w:lang w:val="en-US" w:eastAsia="zh-CN"/>
              </w:rPr>
            </w:pPr>
            <w:r>
              <w:rPr>
                <w:rFonts w:hint="eastAsia"/>
                <w:highlight w:val="none"/>
                <w:vertAlign w:val="baseline"/>
                <w:lang w:val="en-US" w:eastAsia="zh-CN"/>
              </w:rPr>
              <w:t>120</w:t>
            </w:r>
          </w:p>
        </w:tc>
        <w:tc>
          <w:tcPr>
            <w:tcW w:w="1690" w:type="dxa"/>
            <w:noWrap w:val="0"/>
            <w:vAlign w:val="center"/>
          </w:tcPr>
          <w:p w14:paraId="019057E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立方体组(新款)</w:t>
            </w:r>
          </w:p>
        </w:tc>
        <w:tc>
          <w:tcPr>
            <w:tcW w:w="5928" w:type="dxa"/>
            <w:noWrap w:val="0"/>
            <w:vAlign w:val="center"/>
          </w:tcPr>
          <w:p w14:paraId="00AF95A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铜、铁、铝、木共5个立方体，带挂钩</w:t>
            </w:r>
          </w:p>
        </w:tc>
        <w:tc>
          <w:tcPr>
            <w:tcW w:w="736" w:type="dxa"/>
            <w:noWrap w:val="0"/>
            <w:vAlign w:val="center"/>
          </w:tcPr>
          <w:p w14:paraId="7B8033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2E0CB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D0F985F">
            <w:pPr>
              <w:jc w:val="center"/>
              <w:rPr>
                <w:highlight w:val="none"/>
              </w:rPr>
            </w:pPr>
          </w:p>
        </w:tc>
        <w:tc>
          <w:tcPr>
            <w:tcW w:w="710" w:type="dxa"/>
            <w:gridSpan w:val="2"/>
            <w:noWrap w:val="0"/>
            <w:vAlign w:val="center"/>
          </w:tcPr>
          <w:p w14:paraId="77D4B2EA">
            <w:pPr>
              <w:jc w:val="both"/>
              <w:rPr>
                <w:highlight w:val="none"/>
                <w:vertAlign w:val="baseline"/>
              </w:rPr>
            </w:pPr>
          </w:p>
        </w:tc>
      </w:tr>
      <w:tr w14:paraId="0A5D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862488">
            <w:pPr>
              <w:jc w:val="center"/>
              <w:rPr>
                <w:rFonts w:hint="default"/>
                <w:highlight w:val="none"/>
                <w:vertAlign w:val="baseline"/>
                <w:lang w:val="en-US" w:eastAsia="zh-CN"/>
              </w:rPr>
            </w:pPr>
            <w:r>
              <w:rPr>
                <w:rFonts w:hint="eastAsia"/>
                <w:highlight w:val="none"/>
                <w:vertAlign w:val="baseline"/>
                <w:lang w:val="en-US" w:eastAsia="zh-CN"/>
              </w:rPr>
              <w:t>121</w:t>
            </w:r>
          </w:p>
        </w:tc>
        <w:tc>
          <w:tcPr>
            <w:tcW w:w="1690" w:type="dxa"/>
            <w:noWrap w:val="0"/>
            <w:vAlign w:val="center"/>
          </w:tcPr>
          <w:p w14:paraId="258B614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长方体组</w:t>
            </w:r>
          </w:p>
        </w:tc>
        <w:tc>
          <w:tcPr>
            <w:tcW w:w="5928" w:type="dxa"/>
            <w:noWrap w:val="0"/>
            <w:vAlign w:val="center"/>
          </w:tcPr>
          <w:p w14:paraId="467DDA4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铜、铁、铝、木共6种不同体积</w:t>
            </w:r>
          </w:p>
        </w:tc>
        <w:tc>
          <w:tcPr>
            <w:tcW w:w="736" w:type="dxa"/>
            <w:noWrap w:val="0"/>
            <w:vAlign w:val="center"/>
          </w:tcPr>
          <w:p w14:paraId="5D162F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9855E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5903844A">
            <w:pPr>
              <w:jc w:val="center"/>
              <w:rPr>
                <w:highlight w:val="none"/>
              </w:rPr>
            </w:pPr>
          </w:p>
        </w:tc>
        <w:tc>
          <w:tcPr>
            <w:tcW w:w="710" w:type="dxa"/>
            <w:gridSpan w:val="2"/>
            <w:noWrap w:val="0"/>
            <w:vAlign w:val="center"/>
          </w:tcPr>
          <w:p w14:paraId="7F60F263">
            <w:pPr>
              <w:jc w:val="both"/>
              <w:rPr>
                <w:highlight w:val="none"/>
                <w:vertAlign w:val="baseline"/>
              </w:rPr>
            </w:pPr>
          </w:p>
        </w:tc>
      </w:tr>
      <w:tr w14:paraId="5CAF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D53D75">
            <w:pPr>
              <w:jc w:val="center"/>
              <w:rPr>
                <w:rFonts w:hint="default"/>
                <w:highlight w:val="none"/>
                <w:vertAlign w:val="baseline"/>
                <w:lang w:val="en-US" w:eastAsia="zh-CN"/>
              </w:rPr>
            </w:pPr>
            <w:r>
              <w:rPr>
                <w:rFonts w:hint="eastAsia"/>
                <w:highlight w:val="none"/>
                <w:vertAlign w:val="baseline"/>
                <w:lang w:val="en-US" w:eastAsia="zh-CN"/>
              </w:rPr>
              <w:t>122</w:t>
            </w:r>
          </w:p>
        </w:tc>
        <w:tc>
          <w:tcPr>
            <w:tcW w:w="1690" w:type="dxa"/>
            <w:noWrap w:val="0"/>
            <w:vAlign w:val="center"/>
          </w:tcPr>
          <w:p w14:paraId="03D16E5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33454FD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center"/>
          </w:tcPr>
          <w:p w14:paraId="38E6B9A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76068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1F48AB42">
            <w:pPr>
              <w:jc w:val="center"/>
              <w:rPr>
                <w:highlight w:val="none"/>
              </w:rPr>
            </w:pPr>
          </w:p>
        </w:tc>
        <w:tc>
          <w:tcPr>
            <w:tcW w:w="710" w:type="dxa"/>
            <w:gridSpan w:val="2"/>
            <w:noWrap w:val="0"/>
            <w:vAlign w:val="center"/>
          </w:tcPr>
          <w:p w14:paraId="4EDC693C">
            <w:pPr>
              <w:jc w:val="both"/>
              <w:rPr>
                <w:highlight w:val="none"/>
                <w:vertAlign w:val="baseline"/>
              </w:rPr>
            </w:pPr>
          </w:p>
        </w:tc>
      </w:tr>
      <w:tr w14:paraId="3366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7E75599">
            <w:pPr>
              <w:jc w:val="center"/>
              <w:rPr>
                <w:rFonts w:hint="default"/>
                <w:highlight w:val="none"/>
                <w:vertAlign w:val="baseline"/>
                <w:lang w:val="en-US" w:eastAsia="zh-CN"/>
              </w:rPr>
            </w:pPr>
            <w:r>
              <w:rPr>
                <w:rFonts w:hint="eastAsia"/>
                <w:highlight w:val="none"/>
                <w:vertAlign w:val="baseline"/>
                <w:lang w:val="en-US" w:eastAsia="zh-CN"/>
              </w:rPr>
              <w:t>123</w:t>
            </w:r>
          </w:p>
        </w:tc>
        <w:tc>
          <w:tcPr>
            <w:tcW w:w="1690" w:type="dxa"/>
            <w:noWrap w:val="0"/>
            <w:vAlign w:val="center"/>
          </w:tcPr>
          <w:p w14:paraId="385388E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3DBB87E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250 mL，透明玻璃制</w:t>
            </w:r>
          </w:p>
        </w:tc>
        <w:tc>
          <w:tcPr>
            <w:tcW w:w="736" w:type="dxa"/>
            <w:noWrap w:val="0"/>
            <w:vAlign w:val="center"/>
          </w:tcPr>
          <w:p w14:paraId="60DBFE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6BD6D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CF5EACF">
            <w:pPr>
              <w:jc w:val="center"/>
              <w:rPr>
                <w:highlight w:val="none"/>
              </w:rPr>
            </w:pPr>
          </w:p>
        </w:tc>
        <w:tc>
          <w:tcPr>
            <w:tcW w:w="710" w:type="dxa"/>
            <w:gridSpan w:val="2"/>
            <w:noWrap w:val="0"/>
            <w:vAlign w:val="center"/>
          </w:tcPr>
          <w:p w14:paraId="4DA8410A">
            <w:pPr>
              <w:jc w:val="both"/>
              <w:rPr>
                <w:highlight w:val="none"/>
                <w:vertAlign w:val="baseline"/>
              </w:rPr>
            </w:pPr>
          </w:p>
        </w:tc>
      </w:tr>
      <w:tr w14:paraId="1BB3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7181126">
            <w:pPr>
              <w:jc w:val="center"/>
              <w:rPr>
                <w:rFonts w:hint="default"/>
                <w:highlight w:val="none"/>
                <w:vertAlign w:val="baseline"/>
                <w:lang w:val="en-US" w:eastAsia="zh-CN"/>
              </w:rPr>
            </w:pPr>
            <w:r>
              <w:rPr>
                <w:rFonts w:hint="eastAsia"/>
                <w:highlight w:val="none"/>
                <w:vertAlign w:val="baseline"/>
                <w:lang w:val="en-US" w:eastAsia="zh-CN"/>
              </w:rPr>
              <w:t>124</w:t>
            </w:r>
          </w:p>
        </w:tc>
        <w:tc>
          <w:tcPr>
            <w:tcW w:w="1690" w:type="dxa"/>
            <w:noWrap w:val="0"/>
            <w:vAlign w:val="center"/>
          </w:tcPr>
          <w:p w14:paraId="12757C6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5E0C2A0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100ml.玻璃制</w:t>
            </w:r>
          </w:p>
        </w:tc>
        <w:tc>
          <w:tcPr>
            <w:tcW w:w="736" w:type="dxa"/>
            <w:noWrap w:val="0"/>
            <w:vAlign w:val="center"/>
          </w:tcPr>
          <w:p w14:paraId="5000E1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2ECB1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3A26590B">
            <w:pPr>
              <w:jc w:val="center"/>
              <w:rPr>
                <w:highlight w:val="none"/>
              </w:rPr>
            </w:pPr>
          </w:p>
        </w:tc>
        <w:tc>
          <w:tcPr>
            <w:tcW w:w="710" w:type="dxa"/>
            <w:gridSpan w:val="2"/>
            <w:noWrap w:val="0"/>
            <w:vAlign w:val="center"/>
          </w:tcPr>
          <w:p w14:paraId="21744137">
            <w:pPr>
              <w:jc w:val="both"/>
              <w:rPr>
                <w:highlight w:val="none"/>
                <w:vertAlign w:val="baseline"/>
              </w:rPr>
            </w:pPr>
          </w:p>
        </w:tc>
      </w:tr>
      <w:tr w14:paraId="458E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3C3B6A">
            <w:pPr>
              <w:jc w:val="center"/>
              <w:rPr>
                <w:rFonts w:hint="default"/>
                <w:highlight w:val="none"/>
                <w:vertAlign w:val="baseline"/>
                <w:lang w:val="en-US" w:eastAsia="zh-CN"/>
              </w:rPr>
            </w:pPr>
            <w:r>
              <w:rPr>
                <w:rFonts w:hint="eastAsia"/>
                <w:highlight w:val="none"/>
                <w:vertAlign w:val="baseline"/>
                <w:lang w:val="en-US" w:eastAsia="zh-CN"/>
              </w:rPr>
              <w:t>125</w:t>
            </w:r>
          </w:p>
        </w:tc>
        <w:tc>
          <w:tcPr>
            <w:tcW w:w="1690" w:type="dxa"/>
            <w:noWrap w:val="0"/>
            <w:vAlign w:val="center"/>
          </w:tcPr>
          <w:p w14:paraId="75A84AF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量杯</w:t>
            </w:r>
          </w:p>
        </w:tc>
        <w:tc>
          <w:tcPr>
            <w:tcW w:w="5928" w:type="dxa"/>
            <w:noWrap w:val="0"/>
            <w:vAlign w:val="center"/>
          </w:tcPr>
          <w:p w14:paraId="398FA97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250 mL，无色透明玻璃制，口部应熔光，壁厚≥1.2 mm，耐水性 HGB3 级</w:t>
            </w:r>
          </w:p>
        </w:tc>
        <w:tc>
          <w:tcPr>
            <w:tcW w:w="736" w:type="dxa"/>
            <w:noWrap w:val="0"/>
            <w:vAlign w:val="center"/>
          </w:tcPr>
          <w:p w14:paraId="7464E8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82E96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00FAA6D">
            <w:pPr>
              <w:jc w:val="center"/>
              <w:rPr>
                <w:highlight w:val="none"/>
              </w:rPr>
            </w:pPr>
          </w:p>
        </w:tc>
        <w:tc>
          <w:tcPr>
            <w:tcW w:w="710" w:type="dxa"/>
            <w:gridSpan w:val="2"/>
            <w:noWrap w:val="0"/>
            <w:vAlign w:val="center"/>
          </w:tcPr>
          <w:p w14:paraId="31C4CCBC">
            <w:pPr>
              <w:jc w:val="both"/>
              <w:rPr>
                <w:highlight w:val="none"/>
                <w:vertAlign w:val="baseline"/>
              </w:rPr>
            </w:pPr>
          </w:p>
        </w:tc>
      </w:tr>
      <w:tr w14:paraId="139E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3A8EF0">
            <w:pPr>
              <w:jc w:val="center"/>
              <w:rPr>
                <w:rFonts w:hint="default"/>
                <w:highlight w:val="none"/>
                <w:vertAlign w:val="baseline"/>
                <w:lang w:val="en-US" w:eastAsia="zh-CN"/>
              </w:rPr>
            </w:pPr>
            <w:r>
              <w:rPr>
                <w:rFonts w:hint="eastAsia"/>
                <w:highlight w:val="none"/>
                <w:vertAlign w:val="baseline"/>
                <w:lang w:val="en-US" w:eastAsia="zh-CN"/>
              </w:rPr>
              <w:t>126</w:t>
            </w:r>
          </w:p>
        </w:tc>
        <w:tc>
          <w:tcPr>
            <w:tcW w:w="1690" w:type="dxa"/>
            <w:noWrap w:val="0"/>
            <w:vAlign w:val="center"/>
          </w:tcPr>
          <w:p w14:paraId="503CD39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密度计（比重计）</w:t>
            </w:r>
          </w:p>
        </w:tc>
        <w:tc>
          <w:tcPr>
            <w:tcW w:w="5928" w:type="dxa"/>
            <w:noWrap w:val="0"/>
            <w:vAlign w:val="center"/>
          </w:tcPr>
          <w:p w14:paraId="0AE2982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 g/cm，0-70</w:t>
            </w:r>
          </w:p>
        </w:tc>
        <w:tc>
          <w:tcPr>
            <w:tcW w:w="736" w:type="dxa"/>
            <w:noWrap w:val="0"/>
            <w:vAlign w:val="center"/>
          </w:tcPr>
          <w:p w14:paraId="3C9894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01F420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108C432">
            <w:pPr>
              <w:jc w:val="center"/>
              <w:rPr>
                <w:highlight w:val="none"/>
              </w:rPr>
            </w:pPr>
          </w:p>
        </w:tc>
        <w:tc>
          <w:tcPr>
            <w:tcW w:w="710" w:type="dxa"/>
            <w:gridSpan w:val="2"/>
            <w:noWrap w:val="0"/>
            <w:vAlign w:val="center"/>
          </w:tcPr>
          <w:p w14:paraId="61D4B484">
            <w:pPr>
              <w:jc w:val="both"/>
              <w:rPr>
                <w:highlight w:val="none"/>
                <w:vertAlign w:val="baseline"/>
              </w:rPr>
            </w:pPr>
          </w:p>
        </w:tc>
      </w:tr>
      <w:tr w14:paraId="659E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61D96E">
            <w:pPr>
              <w:jc w:val="center"/>
              <w:rPr>
                <w:rFonts w:hint="default"/>
                <w:highlight w:val="none"/>
                <w:vertAlign w:val="baseline"/>
                <w:lang w:val="en-US" w:eastAsia="zh-CN"/>
              </w:rPr>
            </w:pPr>
            <w:r>
              <w:rPr>
                <w:rFonts w:hint="eastAsia"/>
                <w:highlight w:val="none"/>
                <w:vertAlign w:val="baseline"/>
                <w:lang w:val="en-US" w:eastAsia="zh-CN"/>
              </w:rPr>
              <w:t>127</w:t>
            </w:r>
          </w:p>
        </w:tc>
        <w:tc>
          <w:tcPr>
            <w:tcW w:w="1690" w:type="dxa"/>
            <w:noWrap w:val="0"/>
            <w:vAlign w:val="center"/>
          </w:tcPr>
          <w:p w14:paraId="3E1F54F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密度计（比轻计）</w:t>
            </w:r>
          </w:p>
        </w:tc>
        <w:tc>
          <w:tcPr>
            <w:tcW w:w="5928" w:type="dxa"/>
            <w:noWrap w:val="0"/>
            <w:vAlign w:val="center"/>
          </w:tcPr>
          <w:p w14:paraId="632CCBA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 g/cm，0.7-1</w:t>
            </w:r>
          </w:p>
        </w:tc>
        <w:tc>
          <w:tcPr>
            <w:tcW w:w="736" w:type="dxa"/>
            <w:noWrap w:val="0"/>
            <w:vAlign w:val="center"/>
          </w:tcPr>
          <w:p w14:paraId="21ED02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68C2A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E07DFB8">
            <w:pPr>
              <w:jc w:val="center"/>
              <w:rPr>
                <w:highlight w:val="none"/>
              </w:rPr>
            </w:pPr>
          </w:p>
        </w:tc>
        <w:tc>
          <w:tcPr>
            <w:tcW w:w="710" w:type="dxa"/>
            <w:gridSpan w:val="2"/>
            <w:noWrap w:val="0"/>
            <w:vAlign w:val="center"/>
          </w:tcPr>
          <w:p w14:paraId="1126E481">
            <w:pPr>
              <w:jc w:val="both"/>
              <w:rPr>
                <w:highlight w:val="none"/>
                <w:vertAlign w:val="baseline"/>
              </w:rPr>
            </w:pPr>
          </w:p>
        </w:tc>
      </w:tr>
      <w:tr w14:paraId="2EA2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265738">
            <w:pPr>
              <w:jc w:val="center"/>
              <w:rPr>
                <w:rFonts w:hint="default"/>
                <w:highlight w:val="none"/>
                <w:vertAlign w:val="baseline"/>
                <w:lang w:val="en-US" w:eastAsia="zh-CN"/>
              </w:rPr>
            </w:pPr>
            <w:r>
              <w:rPr>
                <w:rFonts w:hint="eastAsia"/>
                <w:highlight w:val="none"/>
                <w:vertAlign w:val="baseline"/>
                <w:lang w:val="en-US" w:eastAsia="zh-CN"/>
              </w:rPr>
              <w:t>128</w:t>
            </w:r>
          </w:p>
        </w:tc>
        <w:tc>
          <w:tcPr>
            <w:tcW w:w="1690" w:type="dxa"/>
            <w:noWrap w:val="0"/>
            <w:vAlign w:val="center"/>
          </w:tcPr>
          <w:p w14:paraId="6FA67B6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光学显微镜</w:t>
            </w:r>
          </w:p>
        </w:tc>
        <w:tc>
          <w:tcPr>
            <w:tcW w:w="5928" w:type="dxa"/>
            <w:noWrap w:val="0"/>
            <w:vAlign w:val="center"/>
          </w:tcPr>
          <w:p w14:paraId="21F5F5B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640×，带反光源</w:t>
            </w:r>
          </w:p>
        </w:tc>
        <w:tc>
          <w:tcPr>
            <w:tcW w:w="736" w:type="dxa"/>
            <w:noWrap w:val="0"/>
            <w:vAlign w:val="center"/>
          </w:tcPr>
          <w:p w14:paraId="3354E3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C383D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4C2A8CB">
            <w:pPr>
              <w:jc w:val="center"/>
              <w:rPr>
                <w:highlight w:val="none"/>
              </w:rPr>
            </w:pPr>
          </w:p>
        </w:tc>
        <w:tc>
          <w:tcPr>
            <w:tcW w:w="710" w:type="dxa"/>
            <w:gridSpan w:val="2"/>
            <w:noWrap w:val="0"/>
            <w:vAlign w:val="center"/>
          </w:tcPr>
          <w:p w14:paraId="7D9DBEC6">
            <w:pPr>
              <w:jc w:val="both"/>
              <w:rPr>
                <w:highlight w:val="none"/>
                <w:vertAlign w:val="baseline"/>
              </w:rPr>
            </w:pPr>
          </w:p>
        </w:tc>
      </w:tr>
      <w:tr w14:paraId="0993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1C1676">
            <w:pPr>
              <w:jc w:val="center"/>
              <w:rPr>
                <w:rFonts w:hint="default"/>
                <w:highlight w:val="none"/>
                <w:vertAlign w:val="baseline"/>
                <w:lang w:val="en-US" w:eastAsia="zh-CN"/>
              </w:rPr>
            </w:pPr>
            <w:r>
              <w:rPr>
                <w:rFonts w:hint="eastAsia"/>
                <w:highlight w:val="none"/>
                <w:vertAlign w:val="baseline"/>
                <w:lang w:val="en-US" w:eastAsia="zh-CN"/>
              </w:rPr>
              <w:t>129</w:t>
            </w:r>
          </w:p>
        </w:tc>
        <w:tc>
          <w:tcPr>
            <w:tcW w:w="1690" w:type="dxa"/>
            <w:noWrap w:val="0"/>
            <w:vAlign w:val="center"/>
          </w:tcPr>
          <w:p w14:paraId="0A05559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放大镜</w:t>
            </w:r>
          </w:p>
        </w:tc>
        <w:tc>
          <w:tcPr>
            <w:tcW w:w="5928" w:type="dxa"/>
            <w:noWrap w:val="0"/>
            <w:vAlign w:val="center"/>
          </w:tcPr>
          <w:p w14:paraId="5C5E882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手持式 ,5 倍</w:t>
            </w:r>
          </w:p>
        </w:tc>
        <w:tc>
          <w:tcPr>
            <w:tcW w:w="736" w:type="dxa"/>
            <w:noWrap w:val="0"/>
            <w:vAlign w:val="center"/>
          </w:tcPr>
          <w:p w14:paraId="0AB4C8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8B91F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F8B53C0">
            <w:pPr>
              <w:jc w:val="center"/>
              <w:rPr>
                <w:highlight w:val="none"/>
              </w:rPr>
            </w:pPr>
          </w:p>
        </w:tc>
        <w:tc>
          <w:tcPr>
            <w:tcW w:w="710" w:type="dxa"/>
            <w:gridSpan w:val="2"/>
            <w:noWrap w:val="0"/>
            <w:vAlign w:val="center"/>
          </w:tcPr>
          <w:p w14:paraId="3263A812">
            <w:pPr>
              <w:jc w:val="both"/>
              <w:rPr>
                <w:highlight w:val="none"/>
                <w:vertAlign w:val="baseline"/>
              </w:rPr>
            </w:pPr>
          </w:p>
        </w:tc>
      </w:tr>
      <w:tr w14:paraId="45C1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0C6BD7">
            <w:pPr>
              <w:jc w:val="center"/>
              <w:rPr>
                <w:rFonts w:hint="default"/>
                <w:highlight w:val="none"/>
                <w:vertAlign w:val="baseline"/>
                <w:lang w:val="en-US" w:eastAsia="zh-CN"/>
              </w:rPr>
            </w:pPr>
            <w:r>
              <w:rPr>
                <w:rFonts w:hint="eastAsia"/>
                <w:highlight w:val="none"/>
                <w:vertAlign w:val="baseline"/>
                <w:lang w:val="en-US" w:eastAsia="zh-CN"/>
              </w:rPr>
              <w:t>130</w:t>
            </w:r>
          </w:p>
        </w:tc>
        <w:tc>
          <w:tcPr>
            <w:tcW w:w="1690" w:type="dxa"/>
            <w:noWrap w:val="0"/>
            <w:vAlign w:val="center"/>
          </w:tcPr>
          <w:p w14:paraId="2BEEA88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望远镜</w:t>
            </w:r>
          </w:p>
        </w:tc>
        <w:tc>
          <w:tcPr>
            <w:tcW w:w="5928" w:type="dxa"/>
            <w:noWrap w:val="0"/>
            <w:vAlign w:val="center"/>
          </w:tcPr>
          <w:p w14:paraId="5BA18DE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双筒 7*35</w:t>
            </w:r>
          </w:p>
        </w:tc>
        <w:tc>
          <w:tcPr>
            <w:tcW w:w="736" w:type="dxa"/>
            <w:noWrap w:val="0"/>
            <w:vAlign w:val="center"/>
          </w:tcPr>
          <w:p w14:paraId="49B1CE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9B6B4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2418798">
            <w:pPr>
              <w:jc w:val="center"/>
              <w:rPr>
                <w:highlight w:val="none"/>
              </w:rPr>
            </w:pPr>
          </w:p>
        </w:tc>
        <w:tc>
          <w:tcPr>
            <w:tcW w:w="710" w:type="dxa"/>
            <w:gridSpan w:val="2"/>
            <w:noWrap w:val="0"/>
            <w:vAlign w:val="center"/>
          </w:tcPr>
          <w:p w14:paraId="018BAC12">
            <w:pPr>
              <w:jc w:val="both"/>
              <w:rPr>
                <w:highlight w:val="none"/>
                <w:vertAlign w:val="baseline"/>
              </w:rPr>
            </w:pPr>
          </w:p>
        </w:tc>
      </w:tr>
      <w:tr w14:paraId="61AA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5D178E">
            <w:pPr>
              <w:jc w:val="center"/>
              <w:rPr>
                <w:rFonts w:hint="default"/>
                <w:highlight w:val="none"/>
                <w:vertAlign w:val="baseline"/>
                <w:lang w:val="en-US" w:eastAsia="zh-CN"/>
              </w:rPr>
            </w:pPr>
            <w:r>
              <w:rPr>
                <w:rFonts w:hint="eastAsia"/>
                <w:highlight w:val="none"/>
                <w:vertAlign w:val="baseline"/>
                <w:lang w:val="en-US" w:eastAsia="zh-CN"/>
              </w:rPr>
              <w:t>131</w:t>
            </w:r>
          </w:p>
        </w:tc>
        <w:tc>
          <w:tcPr>
            <w:tcW w:w="1690" w:type="dxa"/>
            <w:noWrap w:val="0"/>
            <w:vAlign w:val="center"/>
          </w:tcPr>
          <w:p w14:paraId="36B6EAE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半导体性质实验材料</w:t>
            </w:r>
          </w:p>
        </w:tc>
        <w:tc>
          <w:tcPr>
            <w:tcW w:w="5928" w:type="dxa"/>
            <w:noWrap w:val="0"/>
            <w:vAlign w:val="center"/>
          </w:tcPr>
          <w:p w14:paraId="655F048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二极管、三极管接入电路</w:t>
            </w:r>
          </w:p>
        </w:tc>
        <w:tc>
          <w:tcPr>
            <w:tcW w:w="736" w:type="dxa"/>
            <w:noWrap w:val="0"/>
            <w:vAlign w:val="center"/>
          </w:tcPr>
          <w:p w14:paraId="69EE90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1E9DF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9111223">
            <w:pPr>
              <w:jc w:val="center"/>
              <w:rPr>
                <w:highlight w:val="none"/>
              </w:rPr>
            </w:pPr>
          </w:p>
        </w:tc>
        <w:tc>
          <w:tcPr>
            <w:tcW w:w="710" w:type="dxa"/>
            <w:gridSpan w:val="2"/>
            <w:noWrap w:val="0"/>
            <w:vAlign w:val="center"/>
          </w:tcPr>
          <w:p w14:paraId="48305D57">
            <w:pPr>
              <w:jc w:val="both"/>
              <w:rPr>
                <w:highlight w:val="none"/>
                <w:vertAlign w:val="baseline"/>
              </w:rPr>
            </w:pPr>
          </w:p>
        </w:tc>
      </w:tr>
      <w:tr w14:paraId="3594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4869F1">
            <w:pPr>
              <w:jc w:val="center"/>
              <w:rPr>
                <w:rFonts w:hint="default"/>
                <w:highlight w:val="none"/>
                <w:vertAlign w:val="baseline"/>
                <w:lang w:val="en-US" w:eastAsia="zh-CN"/>
              </w:rPr>
            </w:pPr>
            <w:r>
              <w:rPr>
                <w:rFonts w:hint="eastAsia"/>
                <w:highlight w:val="none"/>
                <w:vertAlign w:val="baseline"/>
                <w:lang w:val="en-US" w:eastAsia="zh-CN"/>
              </w:rPr>
              <w:t>132</w:t>
            </w:r>
          </w:p>
        </w:tc>
        <w:tc>
          <w:tcPr>
            <w:tcW w:w="1690" w:type="dxa"/>
            <w:noWrap w:val="0"/>
            <w:vAlign w:val="center"/>
          </w:tcPr>
          <w:p w14:paraId="2171BEF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纳米特性实验盒</w:t>
            </w:r>
          </w:p>
        </w:tc>
        <w:tc>
          <w:tcPr>
            <w:tcW w:w="5928" w:type="dxa"/>
            <w:noWrap w:val="0"/>
            <w:vAlign w:val="center"/>
          </w:tcPr>
          <w:p w14:paraId="66AF5BCE">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纳米磁流体、自洁玻璃、纳米布等</w:t>
            </w:r>
          </w:p>
        </w:tc>
        <w:tc>
          <w:tcPr>
            <w:tcW w:w="736" w:type="dxa"/>
            <w:noWrap w:val="0"/>
            <w:vAlign w:val="center"/>
          </w:tcPr>
          <w:p w14:paraId="028545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E33E7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D2FCF09">
            <w:pPr>
              <w:jc w:val="center"/>
              <w:rPr>
                <w:highlight w:val="none"/>
              </w:rPr>
            </w:pPr>
          </w:p>
        </w:tc>
        <w:tc>
          <w:tcPr>
            <w:tcW w:w="710" w:type="dxa"/>
            <w:gridSpan w:val="2"/>
            <w:noWrap w:val="0"/>
            <w:vAlign w:val="center"/>
          </w:tcPr>
          <w:p w14:paraId="670C3029">
            <w:pPr>
              <w:jc w:val="both"/>
              <w:rPr>
                <w:highlight w:val="none"/>
                <w:vertAlign w:val="baseline"/>
              </w:rPr>
            </w:pPr>
          </w:p>
        </w:tc>
      </w:tr>
      <w:tr w14:paraId="0633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7238A7">
            <w:pPr>
              <w:jc w:val="center"/>
              <w:rPr>
                <w:rFonts w:hint="default"/>
                <w:highlight w:val="none"/>
                <w:vertAlign w:val="baseline"/>
                <w:lang w:val="en-US" w:eastAsia="zh-CN"/>
              </w:rPr>
            </w:pPr>
            <w:r>
              <w:rPr>
                <w:rFonts w:hint="eastAsia"/>
                <w:highlight w:val="none"/>
                <w:vertAlign w:val="baseline"/>
                <w:lang w:val="en-US" w:eastAsia="zh-CN"/>
              </w:rPr>
              <w:t>134</w:t>
            </w:r>
          </w:p>
        </w:tc>
        <w:tc>
          <w:tcPr>
            <w:tcW w:w="1690" w:type="dxa"/>
            <w:noWrap w:val="0"/>
            <w:vAlign w:val="center"/>
          </w:tcPr>
          <w:p w14:paraId="6245E8F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分子间作用力模型</w:t>
            </w:r>
          </w:p>
        </w:tc>
        <w:tc>
          <w:tcPr>
            <w:tcW w:w="5928" w:type="dxa"/>
            <w:noWrap w:val="0"/>
            <w:vAlign w:val="center"/>
          </w:tcPr>
          <w:p w14:paraId="5CA38E9E">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 弹簧长 13 cm，Φ2 cm，能直观表现出分子间斥力、分子间引力</w:t>
            </w:r>
          </w:p>
        </w:tc>
        <w:tc>
          <w:tcPr>
            <w:tcW w:w="736" w:type="dxa"/>
            <w:noWrap w:val="0"/>
            <w:vAlign w:val="center"/>
          </w:tcPr>
          <w:p w14:paraId="5C2256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CC79A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59E8B88">
            <w:pPr>
              <w:jc w:val="center"/>
              <w:rPr>
                <w:highlight w:val="none"/>
              </w:rPr>
            </w:pPr>
          </w:p>
        </w:tc>
        <w:tc>
          <w:tcPr>
            <w:tcW w:w="710" w:type="dxa"/>
            <w:gridSpan w:val="2"/>
            <w:noWrap w:val="0"/>
            <w:vAlign w:val="center"/>
          </w:tcPr>
          <w:p w14:paraId="168053B0">
            <w:pPr>
              <w:jc w:val="both"/>
              <w:rPr>
                <w:highlight w:val="none"/>
                <w:vertAlign w:val="baseline"/>
              </w:rPr>
            </w:pPr>
          </w:p>
        </w:tc>
      </w:tr>
      <w:tr w14:paraId="3D08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5D85D3">
            <w:pPr>
              <w:jc w:val="center"/>
              <w:rPr>
                <w:rFonts w:hint="default"/>
                <w:highlight w:val="none"/>
                <w:vertAlign w:val="baseline"/>
                <w:lang w:val="en-US" w:eastAsia="zh-CN"/>
              </w:rPr>
            </w:pPr>
            <w:r>
              <w:rPr>
                <w:rFonts w:hint="eastAsia"/>
                <w:highlight w:val="none"/>
                <w:vertAlign w:val="baseline"/>
                <w:lang w:val="en-US" w:eastAsia="zh-CN"/>
              </w:rPr>
              <w:t>135</w:t>
            </w:r>
          </w:p>
        </w:tc>
        <w:tc>
          <w:tcPr>
            <w:tcW w:w="1690" w:type="dxa"/>
            <w:noWrap w:val="0"/>
            <w:vAlign w:val="center"/>
          </w:tcPr>
          <w:p w14:paraId="74CE817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内聚力演示器</w:t>
            </w:r>
          </w:p>
        </w:tc>
        <w:tc>
          <w:tcPr>
            <w:tcW w:w="5928" w:type="dxa"/>
            <w:noWrap w:val="0"/>
            <w:vAlign w:val="center"/>
          </w:tcPr>
          <w:p w14:paraId="6A49DB1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由 2 个铅圆柱体、旋转式刮削器、挤压器和2 根扳杆组成 </w:t>
            </w:r>
          </w:p>
        </w:tc>
        <w:tc>
          <w:tcPr>
            <w:tcW w:w="736" w:type="dxa"/>
            <w:noWrap w:val="0"/>
            <w:vAlign w:val="center"/>
          </w:tcPr>
          <w:p w14:paraId="5A3B5B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B5116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6942EDF">
            <w:pPr>
              <w:jc w:val="center"/>
              <w:rPr>
                <w:highlight w:val="none"/>
              </w:rPr>
            </w:pPr>
          </w:p>
        </w:tc>
        <w:tc>
          <w:tcPr>
            <w:tcW w:w="710" w:type="dxa"/>
            <w:gridSpan w:val="2"/>
            <w:noWrap w:val="0"/>
            <w:vAlign w:val="center"/>
          </w:tcPr>
          <w:p w14:paraId="01E230B5">
            <w:pPr>
              <w:jc w:val="both"/>
              <w:rPr>
                <w:highlight w:val="none"/>
                <w:vertAlign w:val="baseline"/>
              </w:rPr>
            </w:pPr>
          </w:p>
        </w:tc>
      </w:tr>
      <w:tr w14:paraId="589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A4FE6F">
            <w:pPr>
              <w:jc w:val="center"/>
              <w:rPr>
                <w:rFonts w:hint="default"/>
                <w:highlight w:val="none"/>
                <w:vertAlign w:val="baseline"/>
                <w:lang w:val="en-US" w:eastAsia="zh-CN"/>
              </w:rPr>
            </w:pPr>
            <w:r>
              <w:rPr>
                <w:rFonts w:hint="eastAsia"/>
                <w:highlight w:val="none"/>
                <w:vertAlign w:val="baseline"/>
                <w:lang w:val="en-US" w:eastAsia="zh-CN"/>
              </w:rPr>
              <w:t>136</w:t>
            </w:r>
          </w:p>
        </w:tc>
        <w:tc>
          <w:tcPr>
            <w:tcW w:w="1690" w:type="dxa"/>
            <w:noWrap w:val="0"/>
            <w:vAlign w:val="center"/>
          </w:tcPr>
          <w:p w14:paraId="40DE29B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演示直尺</w:t>
            </w:r>
          </w:p>
        </w:tc>
        <w:tc>
          <w:tcPr>
            <w:tcW w:w="5928" w:type="dxa"/>
            <w:noWrap w:val="0"/>
            <w:vAlign w:val="center"/>
          </w:tcPr>
          <w:p w14:paraId="5C5063C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木制,长度应为 1000 mm</w:t>
            </w:r>
          </w:p>
        </w:tc>
        <w:tc>
          <w:tcPr>
            <w:tcW w:w="736" w:type="dxa"/>
            <w:noWrap w:val="0"/>
            <w:vAlign w:val="center"/>
          </w:tcPr>
          <w:p w14:paraId="0259D4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25F5AC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B9C36A7">
            <w:pPr>
              <w:jc w:val="center"/>
              <w:rPr>
                <w:highlight w:val="none"/>
              </w:rPr>
            </w:pPr>
          </w:p>
        </w:tc>
        <w:tc>
          <w:tcPr>
            <w:tcW w:w="710" w:type="dxa"/>
            <w:gridSpan w:val="2"/>
            <w:noWrap w:val="0"/>
            <w:vAlign w:val="center"/>
          </w:tcPr>
          <w:p w14:paraId="2D9AB206">
            <w:pPr>
              <w:jc w:val="both"/>
              <w:rPr>
                <w:highlight w:val="none"/>
                <w:vertAlign w:val="baseline"/>
              </w:rPr>
            </w:pPr>
          </w:p>
        </w:tc>
      </w:tr>
      <w:tr w14:paraId="5982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88B9637">
            <w:pPr>
              <w:jc w:val="center"/>
              <w:rPr>
                <w:rFonts w:hint="default"/>
                <w:highlight w:val="none"/>
                <w:vertAlign w:val="baseline"/>
                <w:lang w:val="en-US" w:eastAsia="zh-CN"/>
              </w:rPr>
            </w:pPr>
            <w:r>
              <w:rPr>
                <w:rFonts w:hint="eastAsia"/>
                <w:highlight w:val="none"/>
                <w:vertAlign w:val="baseline"/>
                <w:lang w:val="en-US" w:eastAsia="zh-CN"/>
              </w:rPr>
              <w:t>137</w:t>
            </w:r>
          </w:p>
        </w:tc>
        <w:tc>
          <w:tcPr>
            <w:tcW w:w="1690" w:type="dxa"/>
            <w:noWrap w:val="0"/>
            <w:vAlign w:val="center"/>
          </w:tcPr>
          <w:p w14:paraId="3F4DA84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钢直尺</w:t>
            </w:r>
          </w:p>
        </w:tc>
        <w:tc>
          <w:tcPr>
            <w:tcW w:w="5928" w:type="dxa"/>
            <w:noWrap w:val="0"/>
            <w:vAlign w:val="center"/>
          </w:tcPr>
          <w:p w14:paraId="5B2A3DC5">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1000mm</w:t>
            </w:r>
          </w:p>
        </w:tc>
        <w:tc>
          <w:tcPr>
            <w:tcW w:w="736" w:type="dxa"/>
            <w:noWrap w:val="0"/>
            <w:vAlign w:val="center"/>
          </w:tcPr>
          <w:p w14:paraId="6C03F9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46D1C7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725947E3">
            <w:pPr>
              <w:jc w:val="center"/>
              <w:rPr>
                <w:highlight w:val="none"/>
              </w:rPr>
            </w:pPr>
          </w:p>
        </w:tc>
        <w:tc>
          <w:tcPr>
            <w:tcW w:w="710" w:type="dxa"/>
            <w:gridSpan w:val="2"/>
            <w:noWrap w:val="0"/>
            <w:vAlign w:val="center"/>
          </w:tcPr>
          <w:p w14:paraId="227AD5BF">
            <w:pPr>
              <w:jc w:val="both"/>
              <w:rPr>
                <w:highlight w:val="none"/>
                <w:vertAlign w:val="baseline"/>
              </w:rPr>
            </w:pPr>
          </w:p>
        </w:tc>
      </w:tr>
      <w:tr w14:paraId="19F3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BAA18B2">
            <w:pPr>
              <w:jc w:val="center"/>
              <w:rPr>
                <w:rFonts w:hint="default"/>
                <w:highlight w:val="none"/>
                <w:vertAlign w:val="baseline"/>
                <w:lang w:val="en-US" w:eastAsia="zh-CN"/>
              </w:rPr>
            </w:pPr>
            <w:r>
              <w:rPr>
                <w:rFonts w:hint="eastAsia"/>
                <w:highlight w:val="none"/>
                <w:vertAlign w:val="baseline"/>
                <w:lang w:val="en-US" w:eastAsia="zh-CN"/>
              </w:rPr>
              <w:t>138</w:t>
            </w:r>
          </w:p>
        </w:tc>
        <w:tc>
          <w:tcPr>
            <w:tcW w:w="1690" w:type="dxa"/>
            <w:noWrap w:val="0"/>
            <w:vAlign w:val="center"/>
          </w:tcPr>
          <w:p w14:paraId="2A8B968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钢直尺</w:t>
            </w:r>
          </w:p>
        </w:tc>
        <w:tc>
          <w:tcPr>
            <w:tcW w:w="5928" w:type="dxa"/>
            <w:noWrap w:val="0"/>
            <w:vAlign w:val="center"/>
          </w:tcPr>
          <w:p w14:paraId="39C5499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600mm</w:t>
            </w:r>
          </w:p>
        </w:tc>
        <w:tc>
          <w:tcPr>
            <w:tcW w:w="736" w:type="dxa"/>
            <w:noWrap w:val="0"/>
            <w:vAlign w:val="center"/>
          </w:tcPr>
          <w:p w14:paraId="7BD327A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177FA85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AEE570B">
            <w:pPr>
              <w:jc w:val="center"/>
              <w:rPr>
                <w:highlight w:val="none"/>
              </w:rPr>
            </w:pPr>
          </w:p>
        </w:tc>
        <w:tc>
          <w:tcPr>
            <w:tcW w:w="710" w:type="dxa"/>
            <w:gridSpan w:val="2"/>
            <w:noWrap w:val="0"/>
            <w:vAlign w:val="center"/>
          </w:tcPr>
          <w:p w14:paraId="316FF8CC">
            <w:pPr>
              <w:jc w:val="both"/>
              <w:rPr>
                <w:highlight w:val="none"/>
                <w:vertAlign w:val="baseline"/>
              </w:rPr>
            </w:pPr>
          </w:p>
        </w:tc>
      </w:tr>
      <w:tr w14:paraId="195F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731A5E">
            <w:pPr>
              <w:jc w:val="center"/>
              <w:rPr>
                <w:rFonts w:hint="default"/>
                <w:highlight w:val="none"/>
                <w:vertAlign w:val="baseline"/>
                <w:lang w:val="en-US" w:eastAsia="zh-CN"/>
              </w:rPr>
            </w:pPr>
            <w:r>
              <w:rPr>
                <w:rFonts w:hint="eastAsia"/>
                <w:highlight w:val="none"/>
                <w:vertAlign w:val="baseline"/>
                <w:lang w:val="en-US" w:eastAsia="zh-CN"/>
              </w:rPr>
              <w:t>139</w:t>
            </w:r>
          </w:p>
        </w:tc>
        <w:tc>
          <w:tcPr>
            <w:tcW w:w="1690" w:type="dxa"/>
            <w:noWrap w:val="0"/>
            <w:vAlign w:val="center"/>
          </w:tcPr>
          <w:p w14:paraId="2C2B889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钢直尺</w:t>
            </w:r>
          </w:p>
        </w:tc>
        <w:tc>
          <w:tcPr>
            <w:tcW w:w="5928" w:type="dxa"/>
            <w:noWrap w:val="0"/>
            <w:vAlign w:val="center"/>
          </w:tcPr>
          <w:p w14:paraId="6D78B50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300 mm</w:t>
            </w:r>
          </w:p>
        </w:tc>
        <w:tc>
          <w:tcPr>
            <w:tcW w:w="736" w:type="dxa"/>
            <w:noWrap w:val="0"/>
            <w:vAlign w:val="center"/>
          </w:tcPr>
          <w:p w14:paraId="442151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1A670C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2B407D3">
            <w:pPr>
              <w:jc w:val="center"/>
              <w:rPr>
                <w:highlight w:val="none"/>
              </w:rPr>
            </w:pPr>
          </w:p>
        </w:tc>
        <w:tc>
          <w:tcPr>
            <w:tcW w:w="710" w:type="dxa"/>
            <w:gridSpan w:val="2"/>
            <w:noWrap w:val="0"/>
            <w:vAlign w:val="center"/>
          </w:tcPr>
          <w:p w14:paraId="74E2DDDA">
            <w:pPr>
              <w:jc w:val="both"/>
              <w:rPr>
                <w:highlight w:val="none"/>
                <w:vertAlign w:val="baseline"/>
              </w:rPr>
            </w:pPr>
          </w:p>
        </w:tc>
      </w:tr>
      <w:tr w14:paraId="4C77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3C51B8">
            <w:pPr>
              <w:jc w:val="center"/>
              <w:rPr>
                <w:rFonts w:hint="default"/>
                <w:highlight w:val="none"/>
                <w:vertAlign w:val="baseline"/>
                <w:lang w:val="en-US" w:eastAsia="zh-CN"/>
              </w:rPr>
            </w:pPr>
            <w:r>
              <w:rPr>
                <w:rFonts w:hint="eastAsia"/>
                <w:highlight w:val="none"/>
                <w:vertAlign w:val="baseline"/>
                <w:lang w:val="en-US" w:eastAsia="zh-CN"/>
              </w:rPr>
              <w:t>140</w:t>
            </w:r>
          </w:p>
        </w:tc>
        <w:tc>
          <w:tcPr>
            <w:tcW w:w="1690" w:type="dxa"/>
            <w:noWrap w:val="0"/>
            <w:vAlign w:val="center"/>
          </w:tcPr>
          <w:p w14:paraId="7CDD451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钢卷尺</w:t>
            </w:r>
          </w:p>
        </w:tc>
        <w:tc>
          <w:tcPr>
            <w:tcW w:w="5928" w:type="dxa"/>
            <w:noWrap w:val="0"/>
            <w:vAlign w:val="center"/>
          </w:tcPr>
          <w:p w14:paraId="48E76CC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 0 mm～2000 mm</w:t>
            </w:r>
          </w:p>
        </w:tc>
        <w:tc>
          <w:tcPr>
            <w:tcW w:w="736" w:type="dxa"/>
            <w:noWrap w:val="0"/>
            <w:vAlign w:val="center"/>
          </w:tcPr>
          <w:p w14:paraId="613BF9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4B44BA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92265A3">
            <w:pPr>
              <w:jc w:val="center"/>
              <w:rPr>
                <w:highlight w:val="none"/>
              </w:rPr>
            </w:pPr>
          </w:p>
        </w:tc>
        <w:tc>
          <w:tcPr>
            <w:tcW w:w="710" w:type="dxa"/>
            <w:gridSpan w:val="2"/>
            <w:noWrap w:val="0"/>
            <w:vAlign w:val="center"/>
          </w:tcPr>
          <w:p w14:paraId="0FFC9911">
            <w:pPr>
              <w:jc w:val="both"/>
              <w:rPr>
                <w:highlight w:val="none"/>
                <w:vertAlign w:val="baseline"/>
              </w:rPr>
            </w:pPr>
          </w:p>
        </w:tc>
      </w:tr>
      <w:tr w14:paraId="5F22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BB50DA">
            <w:pPr>
              <w:jc w:val="center"/>
              <w:rPr>
                <w:rFonts w:hint="default"/>
                <w:highlight w:val="none"/>
                <w:vertAlign w:val="baseline"/>
                <w:lang w:val="en-US" w:eastAsia="zh-CN"/>
              </w:rPr>
            </w:pPr>
            <w:r>
              <w:rPr>
                <w:rFonts w:hint="eastAsia"/>
                <w:highlight w:val="none"/>
                <w:vertAlign w:val="baseline"/>
                <w:lang w:val="en-US" w:eastAsia="zh-CN"/>
              </w:rPr>
              <w:t>141</w:t>
            </w:r>
          </w:p>
        </w:tc>
        <w:tc>
          <w:tcPr>
            <w:tcW w:w="1690" w:type="dxa"/>
            <w:noWrap w:val="0"/>
            <w:vAlign w:val="center"/>
          </w:tcPr>
          <w:p w14:paraId="2A59696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布纤维卷尺</w:t>
            </w:r>
          </w:p>
        </w:tc>
        <w:tc>
          <w:tcPr>
            <w:tcW w:w="5928" w:type="dxa"/>
            <w:noWrap w:val="0"/>
            <w:vAlign w:val="center"/>
          </w:tcPr>
          <w:p w14:paraId="67AA1E3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30 m</w:t>
            </w:r>
          </w:p>
        </w:tc>
        <w:tc>
          <w:tcPr>
            <w:tcW w:w="736" w:type="dxa"/>
            <w:noWrap w:val="0"/>
            <w:vAlign w:val="center"/>
          </w:tcPr>
          <w:p w14:paraId="2BF072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3ABF66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253D35AF">
            <w:pPr>
              <w:jc w:val="center"/>
              <w:rPr>
                <w:highlight w:val="none"/>
              </w:rPr>
            </w:pPr>
          </w:p>
        </w:tc>
        <w:tc>
          <w:tcPr>
            <w:tcW w:w="710" w:type="dxa"/>
            <w:gridSpan w:val="2"/>
            <w:noWrap w:val="0"/>
            <w:vAlign w:val="center"/>
          </w:tcPr>
          <w:p w14:paraId="1CE3EA7B">
            <w:pPr>
              <w:jc w:val="both"/>
              <w:rPr>
                <w:highlight w:val="none"/>
                <w:vertAlign w:val="baseline"/>
              </w:rPr>
            </w:pPr>
          </w:p>
        </w:tc>
      </w:tr>
      <w:tr w14:paraId="3EFE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85430D">
            <w:pPr>
              <w:jc w:val="center"/>
              <w:rPr>
                <w:rFonts w:hint="default"/>
                <w:highlight w:val="none"/>
                <w:vertAlign w:val="baseline"/>
                <w:lang w:val="en-US" w:eastAsia="zh-CN"/>
              </w:rPr>
            </w:pPr>
            <w:r>
              <w:rPr>
                <w:rFonts w:hint="eastAsia"/>
                <w:highlight w:val="none"/>
                <w:vertAlign w:val="baseline"/>
                <w:lang w:val="en-US" w:eastAsia="zh-CN"/>
              </w:rPr>
              <w:t>142</w:t>
            </w:r>
          </w:p>
        </w:tc>
        <w:tc>
          <w:tcPr>
            <w:tcW w:w="1690" w:type="dxa"/>
            <w:noWrap w:val="0"/>
            <w:vAlign w:val="center"/>
          </w:tcPr>
          <w:p w14:paraId="28436E3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游标卡尺</w:t>
            </w:r>
          </w:p>
        </w:tc>
        <w:tc>
          <w:tcPr>
            <w:tcW w:w="5928" w:type="dxa"/>
            <w:noWrap w:val="0"/>
            <w:vAlign w:val="center"/>
          </w:tcPr>
          <w:p w14:paraId="7714BAC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150mm，0.02mm，50分度</w:t>
            </w:r>
          </w:p>
        </w:tc>
        <w:tc>
          <w:tcPr>
            <w:tcW w:w="736" w:type="dxa"/>
            <w:noWrap w:val="0"/>
            <w:vAlign w:val="center"/>
          </w:tcPr>
          <w:p w14:paraId="447C37F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4D0C79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654AB03">
            <w:pPr>
              <w:jc w:val="center"/>
              <w:rPr>
                <w:highlight w:val="none"/>
              </w:rPr>
            </w:pPr>
          </w:p>
        </w:tc>
        <w:tc>
          <w:tcPr>
            <w:tcW w:w="710" w:type="dxa"/>
            <w:gridSpan w:val="2"/>
            <w:noWrap w:val="0"/>
            <w:vAlign w:val="center"/>
          </w:tcPr>
          <w:p w14:paraId="01B65910">
            <w:pPr>
              <w:jc w:val="both"/>
              <w:rPr>
                <w:highlight w:val="none"/>
                <w:vertAlign w:val="baseline"/>
              </w:rPr>
            </w:pPr>
          </w:p>
        </w:tc>
      </w:tr>
      <w:tr w14:paraId="28F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D19EAF">
            <w:pPr>
              <w:jc w:val="center"/>
              <w:rPr>
                <w:rFonts w:hint="default"/>
                <w:highlight w:val="none"/>
                <w:vertAlign w:val="baseline"/>
                <w:lang w:val="en-US" w:eastAsia="zh-CN"/>
              </w:rPr>
            </w:pPr>
            <w:r>
              <w:rPr>
                <w:rFonts w:hint="eastAsia"/>
                <w:highlight w:val="none"/>
                <w:vertAlign w:val="baseline"/>
                <w:lang w:val="en-US" w:eastAsia="zh-CN"/>
              </w:rPr>
              <w:t>143</w:t>
            </w:r>
          </w:p>
        </w:tc>
        <w:tc>
          <w:tcPr>
            <w:tcW w:w="1690" w:type="dxa"/>
            <w:noWrap w:val="0"/>
            <w:vAlign w:val="center"/>
          </w:tcPr>
          <w:p w14:paraId="4229DC0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数显游标卡尺</w:t>
            </w:r>
          </w:p>
        </w:tc>
        <w:tc>
          <w:tcPr>
            <w:tcW w:w="5928" w:type="dxa"/>
            <w:noWrap w:val="0"/>
            <w:vAlign w:val="center"/>
          </w:tcPr>
          <w:p w14:paraId="3000315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150mm，0.01mm</w:t>
            </w:r>
          </w:p>
        </w:tc>
        <w:tc>
          <w:tcPr>
            <w:tcW w:w="736" w:type="dxa"/>
            <w:noWrap w:val="0"/>
            <w:vAlign w:val="center"/>
          </w:tcPr>
          <w:p w14:paraId="59F057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C8B89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5B2308E">
            <w:pPr>
              <w:jc w:val="center"/>
              <w:rPr>
                <w:highlight w:val="none"/>
              </w:rPr>
            </w:pPr>
          </w:p>
        </w:tc>
        <w:tc>
          <w:tcPr>
            <w:tcW w:w="710" w:type="dxa"/>
            <w:gridSpan w:val="2"/>
            <w:noWrap w:val="0"/>
            <w:vAlign w:val="center"/>
          </w:tcPr>
          <w:p w14:paraId="4C932A4F">
            <w:pPr>
              <w:jc w:val="both"/>
              <w:rPr>
                <w:highlight w:val="none"/>
                <w:vertAlign w:val="baseline"/>
              </w:rPr>
            </w:pPr>
          </w:p>
        </w:tc>
      </w:tr>
      <w:tr w14:paraId="10F6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72EA21">
            <w:pPr>
              <w:jc w:val="center"/>
              <w:rPr>
                <w:rFonts w:hint="default"/>
                <w:highlight w:val="none"/>
                <w:vertAlign w:val="baseline"/>
                <w:lang w:val="en-US" w:eastAsia="zh-CN"/>
              </w:rPr>
            </w:pPr>
            <w:r>
              <w:rPr>
                <w:rFonts w:hint="eastAsia"/>
                <w:highlight w:val="none"/>
                <w:vertAlign w:val="baseline"/>
                <w:lang w:val="en-US" w:eastAsia="zh-CN"/>
              </w:rPr>
              <w:t>144</w:t>
            </w:r>
          </w:p>
        </w:tc>
        <w:tc>
          <w:tcPr>
            <w:tcW w:w="1690" w:type="dxa"/>
            <w:noWrap w:val="0"/>
            <w:vAlign w:val="center"/>
          </w:tcPr>
          <w:p w14:paraId="4C990CE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外径千分尺(螺旋测微器)</w:t>
            </w:r>
          </w:p>
        </w:tc>
        <w:tc>
          <w:tcPr>
            <w:tcW w:w="5928" w:type="dxa"/>
            <w:noWrap w:val="0"/>
            <w:vAlign w:val="center"/>
          </w:tcPr>
          <w:p w14:paraId="0A4E534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0-25mm</w:t>
            </w:r>
          </w:p>
        </w:tc>
        <w:tc>
          <w:tcPr>
            <w:tcW w:w="736" w:type="dxa"/>
            <w:noWrap w:val="0"/>
            <w:vAlign w:val="center"/>
          </w:tcPr>
          <w:p w14:paraId="318A26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18369F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0FDE1F4">
            <w:pPr>
              <w:jc w:val="center"/>
              <w:rPr>
                <w:highlight w:val="none"/>
              </w:rPr>
            </w:pPr>
          </w:p>
        </w:tc>
        <w:tc>
          <w:tcPr>
            <w:tcW w:w="710" w:type="dxa"/>
            <w:gridSpan w:val="2"/>
            <w:noWrap w:val="0"/>
            <w:vAlign w:val="center"/>
          </w:tcPr>
          <w:p w14:paraId="34FBE5B5">
            <w:pPr>
              <w:jc w:val="both"/>
              <w:rPr>
                <w:highlight w:val="none"/>
                <w:vertAlign w:val="baseline"/>
              </w:rPr>
            </w:pPr>
          </w:p>
        </w:tc>
      </w:tr>
      <w:tr w14:paraId="0A07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43E2980">
            <w:pPr>
              <w:jc w:val="center"/>
              <w:rPr>
                <w:rFonts w:hint="default"/>
                <w:highlight w:val="none"/>
                <w:vertAlign w:val="baseline"/>
                <w:lang w:val="en-US" w:eastAsia="zh-CN"/>
              </w:rPr>
            </w:pPr>
            <w:r>
              <w:rPr>
                <w:rFonts w:hint="eastAsia"/>
                <w:highlight w:val="none"/>
                <w:vertAlign w:val="baseline"/>
                <w:lang w:val="en-US" w:eastAsia="zh-CN"/>
              </w:rPr>
              <w:t>145</w:t>
            </w:r>
          </w:p>
        </w:tc>
        <w:tc>
          <w:tcPr>
            <w:tcW w:w="1690" w:type="dxa"/>
            <w:noWrap w:val="0"/>
            <w:vAlign w:val="center"/>
          </w:tcPr>
          <w:p w14:paraId="1D67F22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数显外径千分尺</w:t>
            </w:r>
          </w:p>
        </w:tc>
        <w:tc>
          <w:tcPr>
            <w:tcW w:w="5928" w:type="dxa"/>
            <w:noWrap w:val="0"/>
            <w:vAlign w:val="center"/>
          </w:tcPr>
          <w:p w14:paraId="5763A88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 0 mm～25 mm</w:t>
            </w:r>
          </w:p>
        </w:tc>
        <w:tc>
          <w:tcPr>
            <w:tcW w:w="736" w:type="dxa"/>
            <w:noWrap w:val="0"/>
            <w:vAlign w:val="center"/>
          </w:tcPr>
          <w:p w14:paraId="69C159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244CEA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EE41BA7">
            <w:pPr>
              <w:jc w:val="center"/>
              <w:rPr>
                <w:highlight w:val="none"/>
              </w:rPr>
            </w:pPr>
          </w:p>
        </w:tc>
        <w:tc>
          <w:tcPr>
            <w:tcW w:w="710" w:type="dxa"/>
            <w:gridSpan w:val="2"/>
            <w:noWrap w:val="0"/>
            <w:vAlign w:val="center"/>
          </w:tcPr>
          <w:p w14:paraId="406C7CF6">
            <w:pPr>
              <w:jc w:val="both"/>
              <w:rPr>
                <w:highlight w:val="none"/>
                <w:vertAlign w:val="baseline"/>
              </w:rPr>
            </w:pPr>
          </w:p>
        </w:tc>
      </w:tr>
      <w:tr w14:paraId="4D3D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D42FF5">
            <w:pPr>
              <w:jc w:val="center"/>
              <w:rPr>
                <w:rFonts w:hint="default"/>
                <w:highlight w:val="none"/>
                <w:vertAlign w:val="baseline"/>
                <w:lang w:val="en-US" w:eastAsia="zh-CN"/>
              </w:rPr>
            </w:pPr>
            <w:r>
              <w:rPr>
                <w:rFonts w:hint="eastAsia"/>
                <w:highlight w:val="none"/>
                <w:vertAlign w:val="baseline"/>
                <w:lang w:val="en-US" w:eastAsia="zh-CN"/>
              </w:rPr>
              <w:t>146</w:t>
            </w:r>
          </w:p>
        </w:tc>
        <w:tc>
          <w:tcPr>
            <w:tcW w:w="1690" w:type="dxa"/>
            <w:noWrap w:val="0"/>
            <w:vAlign w:val="center"/>
          </w:tcPr>
          <w:p w14:paraId="68E6D97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激光测距仪</w:t>
            </w:r>
          </w:p>
        </w:tc>
        <w:tc>
          <w:tcPr>
            <w:tcW w:w="5928" w:type="dxa"/>
            <w:noWrap w:val="0"/>
            <w:vAlign w:val="center"/>
          </w:tcPr>
          <w:p w14:paraId="54400E76">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手持式，1 mm～100 m，1 mm；</w:t>
            </w:r>
          </w:p>
        </w:tc>
        <w:tc>
          <w:tcPr>
            <w:tcW w:w="736" w:type="dxa"/>
            <w:noWrap w:val="0"/>
            <w:vAlign w:val="center"/>
          </w:tcPr>
          <w:p w14:paraId="6B0FF9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B979E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0D2A24F">
            <w:pPr>
              <w:jc w:val="center"/>
              <w:rPr>
                <w:highlight w:val="none"/>
              </w:rPr>
            </w:pPr>
          </w:p>
        </w:tc>
        <w:tc>
          <w:tcPr>
            <w:tcW w:w="710" w:type="dxa"/>
            <w:gridSpan w:val="2"/>
            <w:noWrap w:val="0"/>
            <w:vAlign w:val="center"/>
          </w:tcPr>
          <w:p w14:paraId="2304E375">
            <w:pPr>
              <w:jc w:val="both"/>
              <w:rPr>
                <w:highlight w:val="none"/>
                <w:vertAlign w:val="baseline"/>
              </w:rPr>
            </w:pPr>
          </w:p>
        </w:tc>
      </w:tr>
      <w:tr w14:paraId="1EEE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558C0A">
            <w:pPr>
              <w:jc w:val="center"/>
              <w:rPr>
                <w:rFonts w:hint="default"/>
                <w:highlight w:val="none"/>
                <w:vertAlign w:val="baseline"/>
                <w:lang w:val="en-US" w:eastAsia="zh-CN"/>
              </w:rPr>
            </w:pPr>
            <w:r>
              <w:rPr>
                <w:rFonts w:hint="eastAsia"/>
                <w:highlight w:val="none"/>
                <w:vertAlign w:val="baseline"/>
                <w:lang w:val="en-US" w:eastAsia="zh-CN"/>
              </w:rPr>
              <w:t>147</w:t>
            </w:r>
          </w:p>
        </w:tc>
        <w:tc>
          <w:tcPr>
            <w:tcW w:w="1690" w:type="dxa"/>
            <w:noWrap w:val="0"/>
            <w:vAlign w:val="center"/>
          </w:tcPr>
          <w:p w14:paraId="4626E2C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机械秒表</w:t>
            </w:r>
          </w:p>
        </w:tc>
        <w:tc>
          <w:tcPr>
            <w:tcW w:w="5928" w:type="dxa"/>
            <w:noWrap w:val="0"/>
            <w:vAlign w:val="center"/>
          </w:tcPr>
          <w:p w14:paraId="3D3DFFE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分度值 0.1 s，一等</w:t>
            </w:r>
          </w:p>
        </w:tc>
        <w:tc>
          <w:tcPr>
            <w:tcW w:w="736" w:type="dxa"/>
            <w:noWrap w:val="0"/>
            <w:vAlign w:val="center"/>
          </w:tcPr>
          <w:p w14:paraId="551650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834" w:type="dxa"/>
            <w:noWrap w:val="0"/>
            <w:vAlign w:val="center"/>
          </w:tcPr>
          <w:p w14:paraId="67EAF0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08EA2EB">
            <w:pPr>
              <w:jc w:val="center"/>
              <w:rPr>
                <w:highlight w:val="none"/>
              </w:rPr>
            </w:pPr>
          </w:p>
        </w:tc>
        <w:tc>
          <w:tcPr>
            <w:tcW w:w="710" w:type="dxa"/>
            <w:gridSpan w:val="2"/>
            <w:noWrap w:val="0"/>
            <w:vAlign w:val="center"/>
          </w:tcPr>
          <w:p w14:paraId="1F622F21">
            <w:pPr>
              <w:jc w:val="both"/>
              <w:rPr>
                <w:highlight w:val="none"/>
                <w:vertAlign w:val="baseline"/>
              </w:rPr>
            </w:pPr>
          </w:p>
        </w:tc>
      </w:tr>
      <w:tr w14:paraId="750C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CA33EBF">
            <w:pPr>
              <w:jc w:val="center"/>
              <w:rPr>
                <w:rFonts w:hint="default"/>
                <w:highlight w:val="none"/>
                <w:vertAlign w:val="baseline"/>
                <w:lang w:val="en-US" w:eastAsia="zh-CN"/>
              </w:rPr>
            </w:pPr>
            <w:r>
              <w:rPr>
                <w:rFonts w:hint="eastAsia"/>
                <w:highlight w:val="none"/>
                <w:vertAlign w:val="baseline"/>
                <w:lang w:val="en-US" w:eastAsia="zh-CN"/>
              </w:rPr>
              <w:t>148</w:t>
            </w:r>
          </w:p>
        </w:tc>
        <w:tc>
          <w:tcPr>
            <w:tcW w:w="1690" w:type="dxa"/>
            <w:noWrap w:val="0"/>
            <w:vAlign w:val="center"/>
          </w:tcPr>
          <w:p w14:paraId="7FA1320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电子秒表</w:t>
            </w:r>
          </w:p>
        </w:tc>
        <w:tc>
          <w:tcPr>
            <w:tcW w:w="5928" w:type="dxa"/>
            <w:noWrap w:val="0"/>
            <w:vAlign w:val="center"/>
          </w:tcPr>
          <w:p w14:paraId="3903725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分辨力 0.01s</w:t>
            </w:r>
          </w:p>
        </w:tc>
        <w:tc>
          <w:tcPr>
            <w:tcW w:w="736" w:type="dxa"/>
            <w:noWrap w:val="0"/>
            <w:vAlign w:val="center"/>
          </w:tcPr>
          <w:p w14:paraId="11C248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37CC44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95A0E52">
            <w:pPr>
              <w:jc w:val="center"/>
              <w:rPr>
                <w:highlight w:val="none"/>
              </w:rPr>
            </w:pPr>
          </w:p>
        </w:tc>
        <w:tc>
          <w:tcPr>
            <w:tcW w:w="710" w:type="dxa"/>
            <w:gridSpan w:val="2"/>
            <w:noWrap w:val="0"/>
            <w:vAlign w:val="center"/>
          </w:tcPr>
          <w:p w14:paraId="4907C07F">
            <w:pPr>
              <w:jc w:val="both"/>
              <w:rPr>
                <w:highlight w:val="none"/>
                <w:vertAlign w:val="baseline"/>
              </w:rPr>
            </w:pPr>
          </w:p>
        </w:tc>
      </w:tr>
      <w:tr w14:paraId="33C7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B5099F">
            <w:pPr>
              <w:jc w:val="center"/>
              <w:rPr>
                <w:rFonts w:hint="default"/>
                <w:highlight w:val="none"/>
                <w:vertAlign w:val="baseline"/>
                <w:lang w:val="en-US" w:eastAsia="zh-CN"/>
              </w:rPr>
            </w:pPr>
            <w:r>
              <w:rPr>
                <w:rFonts w:hint="eastAsia"/>
                <w:highlight w:val="none"/>
                <w:vertAlign w:val="baseline"/>
                <w:lang w:val="en-US" w:eastAsia="zh-CN"/>
              </w:rPr>
              <w:t>149</w:t>
            </w:r>
          </w:p>
        </w:tc>
        <w:tc>
          <w:tcPr>
            <w:tcW w:w="1690" w:type="dxa"/>
            <w:noWrap w:val="0"/>
            <w:vAlign w:val="center"/>
          </w:tcPr>
          <w:p w14:paraId="31180E4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节拍器</w:t>
            </w:r>
          </w:p>
        </w:tc>
        <w:tc>
          <w:tcPr>
            <w:tcW w:w="5928" w:type="dxa"/>
            <w:noWrap w:val="0"/>
            <w:vAlign w:val="center"/>
          </w:tcPr>
          <w:p w14:paraId="071A6ED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机械式</w:t>
            </w:r>
          </w:p>
        </w:tc>
        <w:tc>
          <w:tcPr>
            <w:tcW w:w="736" w:type="dxa"/>
            <w:noWrap w:val="0"/>
            <w:vAlign w:val="center"/>
          </w:tcPr>
          <w:p w14:paraId="68A95E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46D20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3D962D2">
            <w:pPr>
              <w:jc w:val="center"/>
              <w:rPr>
                <w:highlight w:val="none"/>
              </w:rPr>
            </w:pPr>
          </w:p>
        </w:tc>
        <w:tc>
          <w:tcPr>
            <w:tcW w:w="710" w:type="dxa"/>
            <w:gridSpan w:val="2"/>
            <w:noWrap w:val="0"/>
            <w:vAlign w:val="center"/>
          </w:tcPr>
          <w:p w14:paraId="0331BFA2">
            <w:pPr>
              <w:jc w:val="both"/>
              <w:rPr>
                <w:highlight w:val="none"/>
                <w:vertAlign w:val="baseline"/>
              </w:rPr>
            </w:pPr>
          </w:p>
        </w:tc>
      </w:tr>
      <w:tr w14:paraId="2BF6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EFDA45">
            <w:pPr>
              <w:jc w:val="center"/>
              <w:rPr>
                <w:rFonts w:hint="default"/>
                <w:highlight w:val="none"/>
                <w:vertAlign w:val="baseline"/>
                <w:lang w:val="en-US" w:eastAsia="zh-CN"/>
              </w:rPr>
            </w:pPr>
            <w:r>
              <w:rPr>
                <w:rFonts w:hint="eastAsia"/>
                <w:highlight w:val="none"/>
                <w:vertAlign w:val="baseline"/>
                <w:lang w:val="en-US" w:eastAsia="zh-CN"/>
              </w:rPr>
              <w:t>150</w:t>
            </w:r>
          </w:p>
        </w:tc>
        <w:tc>
          <w:tcPr>
            <w:tcW w:w="1690" w:type="dxa"/>
            <w:noWrap w:val="0"/>
            <w:vAlign w:val="center"/>
          </w:tcPr>
          <w:p w14:paraId="5992301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节拍器</w:t>
            </w:r>
          </w:p>
        </w:tc>
        <w:tc>
          <w:tcPr>
            <w:tcW w:w="5928" w:type="dxa"/>
            <w:noWrap w:val="0"/>
            <w:vAlign w:val="center"/>
          </w:tcPr>
          <w:p w14:paraId="62540C7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电子式</w:t>
            </w:r>
          </w:p>
        </w:tc>
        <w:tc>
          <w:tcPr>
            <w:tcW w:w="736" w:type="dxa"/>
            <w:noWrap w:val="0"/>
            <w:vAlign w:val="center"/>
          </w:tcPr>
          <w:p w14:paraId="22C4F2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AB95E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457A403">
            <w:pPr>
              <w:jc w:val="center"/>
              <w:rPr>
                <w:highlight w:val="none"/>
              </w:rPr>
            </w:pPr>
          </w:p>
        </w:tc>
        <w:tc>
          <w:tcPr>
            <w:tcW w:w="710" w:type="dxa"/>
            <w:gridSpan w:val="2"/>
            <w:noWrap w:val="0"/>
            <w:vAlign w:val="center"/>
          </w:tcPr>
          <w:p w14:paraId="12333966">
            <w:pPr>
              <w:jc w:val="both"/>
              <w:rPr>
                <w:highlight w:val="none"/>
                <w:vertAlign w:val="baseline"/>
              </w:rPr>
            </w:pPr>
          </w:p>
        </w:tc>
      </w:tr>
      <w:tr w14:paraId="51B6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379C6B">
            <w:pPr>
              <w:jc w:val="center"/>
              <w:rPr>
                <w:rFonts w:hint="default"/>
                <w:highlight w:val="none"/>
                <w:vertAlign w:val="baseline"/>
                <w:lang w:val="en-US" w:eastAsia="zh-CN"/>
              </w:rPr>
            </w:pPr>
            <w:r>
              <w:rPr>
                <w:rFonts w:hint="eastAsia"/>
                <w:highlight w:val="none"/>
                <w:vertAlign w:val="baseline"/>
                <w:lang w:val="en-US" w:eastAsia="zh-CN"/>
              </w:rPr>
              <w:t>151</w:t>
            </w:r>
          </w:p>
        </w:tc>
        <w:tc>
          <w:tcPr>
            <w:tcW w:w="1690" w:type="dxa"/>
            <w:noWrap w:val="0"/>
            <w:vAlign w:val="center"/>
          </w:tcPr>
          <w:p w14:paraId="37E8505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沙漏</w:t>
            </w:r>
          </w:p>
        </w:tc>
        <w:tc>
          <w:tcPr>
            <w:tcW w:w="5928" w:type="dxa"/>
            <w:noWrap w:val="0"/>
            <w:vAlign w:val="center"/>
          </w:tcPr>
          <w:p w14:paraId="6BC8B80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玻璃制，5 min 误差≤±10%</w:t>
            </w:r>
          </w:p>
        </w:tc>
        <w:tc>
          <w:tcPr>
            <w:tcW w:w="736" w:type="dxa"/>
            <w:noWrap w:val="0"/>
            <w:vAlign w:val="center"/>
          </w:tcPr>
          <w:p w14:paraId="150343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FCA77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AB58D1C">
            <w:pPr>
              <w:jc w:val="center"/>
              <w:rPr>
                <w:highlight w:val="none"/>
              </w:rPr>
            </w:pPr>
          </w:p>
        </w:tc>
        <w:tc>
          <w:tcPr>
            <w:tcW w:w="710" w:type="dxa"/>
            <w:gridSpan w:val="2"/>
            <w:noWrap w:val="0"/>
            <w:vAlign w:val="center"/>
          </w:tcPr>
          <w:p w14:paraId="5BD39971">
            <w:pPr>
              <w:jc w:val="both"/>
              <w:rPr>
                <w:highlight w:val="none"/>
                <w:vertAlign w:val="baseline"/>
              </w:rPr>
            </w:pPr>
          </w:p>
        </w:tc>
      </w:tr>
      <w:tr w14:paraId="75DB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AC8A21A">
            <w:pPr>
              <w:jc w:val="center"/>
              <w:rPr>
                <w:rFonts w:hint="default"/>
                <w:highlight w:val="none"/>
                <w:vertAlign w:val="baseline"/>
                <w:lang w:val="en-US" w:eastAsia="zh-CN"/>
              </w:rPr>
            </w:pPr>
            <w:r>
              <w:rPr>
                <w:rFonts w:hint="eastAsia"/>
                <w:highlight w:val="none"/>
                <w:vertAlign w:val="baseline"/>
                <w:lang w:val="en-US" w:eastAsia="zh-CN"/>
              </w:rPr>
              <w:t>152</w:t>
            </w:r>
          </w:p>
        </w:tc>
        <w:tc>
          <w:tcPr>
            <w:tcW w:w="1690" w:type="dxa"/>
            <w:noWrap w:val="0"/>
            <w:vAlign w:val="center"/>
          </w:tcPr>
          <w:p w14:paraId="38A91CB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日晷模型</w:t>
            </w:r>
          </w:p>
        </w:tc>
        <w:tc>
          <w:tcPr>
            <w:tcW w:w="5928" w:type="dxa"/>
            <w:noWrap w:val="0"/>
            <w:vAlign w:val="center"/>
          </w:tcPr>
          <w:p w14:paraId="41B4E29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由晷针（指时针）和晷面（带刻度的表座）组成</w:t>
            </w:r>
          </w:p>
        </w:tc>
        <w:tc>
          <w:tcPr>
            <w:tcW w:w="736" w:type="dxa"/>
            <w:noWrap w:val="0"/>
            <w:vAlign w:val="center"/>
          </w:tcPr>
          <w:p w14:paraId="1AC2B1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B0921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0104492">
            <w:pPr>
              <w:jc w:val="center"/>
              <w:rPr>
                <w:highlight w:val="none"/>
              </w:rPr>
            </w:pPr>
          </w:p>
        </w:tc>
        <w:tc>
          <w:tcPr>
            <w:tcW w:w="710" w:type="dxa"/>
            <w:gridSpan w:val="2"/>
            <w:noWrap w:val="0"/>
            <w:vAlign w:val="center"/>
          </w:tcPr>
          <w:p w14:paraId="1A83EA6C">
            <w:pPr>
              <w:jc w:val="both"/>
              <w:rPr>
                <w:highlight w:val="none"/>
                <w:vertAlign w:val="baseline"/>
              </w:rPr>
            </w:pPr>
          </w:p>
        </w:tc>
      </w:tr>
      <w:tr w14:paraId="3B84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4BB66B">
            <w:pPr>
              <w:jc w:val="center"/>
              <w:rPr>
                <w:rFonts w:hint="default"/>
                <w:highlight w:val="none"/>
                <w:vertAlign w:val="baseline"/>
                <w:lang w:val="en-US" w:eastAsia="zh-CN"/>
              </w:rPr>
            </w:pPr>
            <w:r>
              <w:rPr>
                <w:rFonts w:hint="eastAsia"/>
                <w:highlight w:val="none"/>
                <w:vertAlign w:val="baseline"/>
                <w:lang w:val="en-US" w:eastAsia="zh-CN"/>
              </w:rPr>
              <w:t>153</w:t>
            </w:r>
          </w:p>
        </w:tc>
        <w:tc>
          <w:tcPr>
            <w:tcW w:w="1690" w:type="dxa"/>
            <w:noWrap w:val="0"/>
            <w:vAlign w:val="center"/>
          </w:tcPr>
          <w:p w14:paraId="7B1947A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斜面小车（新款）</w:t>
            </w:r>
          </w:p>
        </w:tc>
        <w:tc>
          <w:tcPr>
            <w:tcW w:w="5928" w:type="dxa"/>
            <w:noWrap w:val="0"/>
            <w:vAlign w:val="center"/>
          </w:tcPr>
          <w:p w14:paraId="5BA4FDF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新课标，长915，附3种摩擦材料</w:t>
            </w:r>
          </w:p>
        </w:tc>
        <w:tc>
          <w:tcPr>
            <w:tcW w:w="736" w:type="dxa"/>
            <w:noWrap w:val="0"/>
            <w:vAlign w:val="center"/>
          </w:tcPr>
          <w:p w14:paraId="68FB8E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7A0C6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EC2CB29">
            <w:pPr>
              <w:jc w:val="center"/>
              <w:rPr>
                <w:highlight w:val="none"/>
              </w:rPr>
            </w:pPr>
          </w:p>
        </w:tc>
        <w:tc>
          <w:tcPr>
            <w:tcW w:w="710" w:type="dxa"/>
            <w:gridSpan w:val="2"/>
            <w:noWrap w:val="0"/>
            <w:vAlign w:val="center"/>
          </w:tcPr>
          <w:p w14:paraId="442A3D2B">
            <w:pPr>
              <w:jc w:val="both"/>
              <w:rPr>
                <w:highlight w:val="none"/>
                <w:vertAlign w:val="baseline"/>
              </w:rPr>
            </w:pPr>
          </w:p>
        </w:tc>
      </w:tr>
      <w:tr w14:paraId="0817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679246">
            <w:pPr>
              <w:jc w:val="center"/>
              <w:rPr>
                <w:rFonts w:hint="default"/>
                <w:highlight w:val="none"/>
                <w:vertAlign w:val="baseline"/>
                <w:lang w:val="en-US" w:eastAsia="zh-CN"/>
              </w:rPr>
            </w:pPr>
            <w:r>
              <w:rPr>
                <w:rFonts w:hint="eastAsia"/>
                <w:highlight w:val="none"/>
                <w:vertAlign w:val="baseline"/>
                <w:lang w:val="en-US" w:eastAsia="zh-CN"/>
              </w:rPr>
              <w:t>154</w:t>
            </w:r>
          </w:p>
        </w:tc>
        <w:tc>
          <w:tcPr>
            <w:tcW w:w="1690" w:type="dxa"/>
            <w:noWrap w:val="0"/>
            <w:vAlign w:val="center"/>
          </w:tcPr>
          <w:p w14:paraId="399CB26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力的作用趣味实验材料</w:t>
            </w:r>
          </w:p>
        </w:tc>
        <w:tc>
          <w:tcPr>
            <w:tcW w:w="5928" w:type="dxa"/>
            <w:noWrap w:val="0"/>
            <w:vAlign w:val="center"/>
          </w:tcPr>
          <w:p w14:paraId="716AE18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含凯夫拉丝、微型手指电机、手指陀螺等</w:t>
            </w:r>
          </w:p>
        </w:tc>
        <w:tc>
          <w:tcPr>
            <w:tcW w:w="736" w:type="dxa"/>
            <w:noWrap w:val="0"/>
            <w:vAlign w:val="center"/>
          </w:tcPr>
          <w:p w14:paraId="41C5D3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36B3E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81BDA04">
            <w:pPr>
              <w:jc w:val="center"/>
              <w:rPr>
                <w:highlight w:val="none"/>
              </w:rPr>
            </w:pPr>
          </w:p>
        </w:tc>
        <w:tc>
          <w:tcPr>
            <w:tcW w:w="710" w:type="dxa"/>
            <w:gridSpan w:val="2"/>
            <w:noWrap w:val="0"/>
            <w:vAlign w:val="center"/>
          </w:tcPr>
          <w:p w14:paraId="51378F70">
            <w:pPr>
              <w:jc w:val="both"/>
              <w:rPr>
                <w:highlight w:val="none"/>
                <w:vertAlign w:val="baseline"/>
              </w:rPr>
            </w:pPr>
          </w:p>
        </w:tc>
      </w:tr>
      <w:tr w14:paraId="2F61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A428D0">
            <w:pPr>
              <w:jc w:val="center"/>
              <w:rPr>
                <w:rFonts w:hint="default"/>
                <w:highlight w:val="none"/>
                <w:vertAlign w:val="baseline"/>
                <w:lang w:val="en-US" w:eastAsia="zh-CN"/>
              </w:rPr>
            </w:pPr>
            <w:r>
              <w:rPr>
                <w:rFonts w:hint="eastAsia"/>
                <w:highlight w:val="none"/>
                <w:vertAlign w:val="baseline"/>
                <w:lang w:val="en-US" w:eastAsia="zh-CN"/>
              </w:rPr>
              <w:t>155</w:t>
            </w:r>
          </w:p>
        </w:tc>
        <w:tc>
          <w:tcPr>
            <w:tcW w:w="1690" w:type="dxa"/>
            <w:noWrap w:val="0"/>
            <w:vAlign w:val="center"/>
          </w:tcPr>
          <w:p w14:paraId="675C541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改变物体运动状态实验装置</w:t>
            </w:r>
          </w:p>
        </w:tc>
        <w:tc>
          <w:tcPr>
            <w:tcW w:w="5928" w:type="dxa"/>
            <w:noWrap w:val="0"/>
            <w:vAlign w:val="center"/>
          </w:tcPr>
          <w:p w14:paraId="4032E8E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小铁球、条形磁铁、小球释放装置</w:t>
            </w:r>
          </w:p>
        </w:tc>
        <w:tc>
          <w:tcPr>
            <w:tcW w:w="736" w:type="dxa"/>
            <w:noWrap w:val="0"/>
            <w:vAlign w:val="center"/>
          </w:tcPr>
          <w:p w14:paraId="4978DC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7E57B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08C2186">
            <w:pPr>
              <w:jc w:val="center"/>
              <w:rPr>
                <w:highlight w:val="none"/>
              </w:rPr>
            </w:pPr>
          </w:p>
        </w:tc>
        <w:tc>
          <w:tcPr>
            <w:tcW w:w="710" w:type="dxa"/>
            <w:gridSpan w:val="2"/>
            <w:noWrap w:val="0"/>
            <w:vAlign w:val="center"/>
          </w:tcPr>
          <w:p w14:paraId="5F1B2883">
            <w:pPr>
              <w:jc w:val="both"/>
              <w:rPr>
                <w:highlight w:val="none"/>
                <w:vertAlign w:val="baseline"/>
              </w:rPr>
            </w:pPr>
          </w:p>
        </w:tc>
      </w:tr>
      <w:tr w14:paraId="2EC6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152077E">
            <w:pPr>
              <w:jc w:val="center"/>
              <w:rPr>
                <w:rFonts w:hint="default"/>
                <w:highlight w:val="none"/>
                <w:vertAlign w:val="baseline"/>
                <w:lang w:val="en-US" w:eastAsia="zh-CN"/>
              </w:rPr>
            </w:pPr>
            <w:r>
              <w:rPr>
                <w:rFonts w:hint="eastAsia"/>
                <w:highlight w:val="none"/>
                <w:vertAlign w:val="baseline"/>
                <w:lang w:val="en-US" w:eastAsia="zh-CN"/>
              </w:rPr>
              <w:t>156</w:t>
            </w:r>
          </w:p>
        </w:tc>
        <w:tc>
          <w:tcPr>
            <w:tcW w:w="1690" w:type="dxa"/>
            <w:noWrap w:val="0"/>
            <w:vAlign w:val="center"/>
          </w:tcPr>
          <w:p w14:paraId="07D1BA5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水火箭</w:t>
            </w:r>
          </w:p>
        </w:tc>
        <w:tc>
          <w:tcPr>
            <w:tcW w:w="5928" w:type="dxa"/>
            <w:noWrap w:val="0"/>
            <w:vAlign w:val="center"/>
          </w:tcPr>
          <w:p w14:paraId="71994AB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配套打气筒</w:t>
            </w:r>
          </w:p>
        </w:tc>
        <w:tc>
          <w:tcPr>
            <w:tcW w:w="736" w:type="dxa"/>
            <w:noWrap w:val="0"/>
            <w:vAlign w:val="center"/>
          </w:tcPr>
          <w:p w14:paraId="197C71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13774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085469">
            <w:pPr>
              <w:jc w:val="center"/>
              <w:rPr>
                <w:highlight w:val="none"/>
              </w:rPr>
            </w:pPr>
          </w:p>
        </w:tc>
        <w:tc>
          <w:tcPr>
            <w:tcW w:w="710" w:type="dxa"/>
            <w:gridSpan w:val="2"/>
            <w:noWrap w:val="0"/>
            <w:vAlign w:val="center"/>
          </w:tcPr>
          <w:p w14:paraId="6C58D28B">
            <w:pPr>
              <w:jc w:val="both"/>
              <w:rPr>
                <w:highlight w:val="none"/>
                <w:vertAlign w:val="baseline"/>
              </w:rPr>
            </w:pPr>
          </w:p>
        </w:tc>
      </w:tr>
      <w:tr w14:paraId="344C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BD59B8">
            <w:pPr>
              <w:jc w:val="center"/>
              <w:rPr>
                <w:rFonts w:hint="default"/>
                <w:highlight w:val="none"/>
                <w:vertAlign w:val="baseline"/>
                <w:lang w:val="en-US" w:eastAsia="zh-CN"/>
              </w:rPr>
            </w:pPr>
            <w:r>
              <w:rPr>
                <w:rFonts w:hint="eastAsia"/>
                <w:highlight w:val="none"/>
                <w:vertAlign w:val="baseline"/>
                <w:lang w:val="en-US" w:eastAsia="zh-CN"/>
              </w:rPr>
              <w:t>157</w:t>
            </w:r>
          </w:p>
        </w:tc>
        <w:tc>
          <w:tcPr>
            <w:tcW w:w="1690" w:type="dxa"/>
            <w:noWrap w:val="0"/>
            <w:vAlign w:val="center"/>
          </w:tcPr>
          <w:p w14:paraId="43AEAFF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气火箭</w:t>
            </w:r>
          </w:p>
        </w:tc>
        <w:tc>
          <w:tcPr>
            <w:tcW w:w="5928" w:type="dxa"/>
            <w:noWrap w:val="0"/>
            <w:vAlign w:val="center"/>
          </w:tcPr>
          <w:p w14:paraId="4C86C07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配套打气筒</w:t>
            </w:r>
          </w:p>
        </w:tc>
        <w:tc>
          <w:tcPr>
            <w:tcW w:w="736" w:type="dxa"/>
            <w:noWrap w:val="0"/>
            <w:vAlign w:val="center"/>
          </w:tcPr>
          <w:p w14:paraId="4976D3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A35DDD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8D1D81A">
            <w:pPr>
              <w:jc w:val="center"/>
              <w:rPr>
                <w:highlight w:val="none"/>
              </w:rPr>
            </w:pPr>
          </w:p>
        </w:tc>
        <w:tc>
          <w:tcPr>
            <w:tcW w:w="710" w:type="dxa"/>
            <w:gridSpan w:val="2"/>
            <w:noWrap w:val="0"/>
            <w:vAlign w:val="center"/>
          </w:tcPr>
          <w:p w14:paraId="6BAA9CF4">
            <w:pPr>
              <w:jc w:val="both"/>
              <w:rPr>
                <w:highlight w:val="none"/>
                <w:vertAlign w:val="baseline"/>
              </w:rPr>
            </w:pPr>
          </w:p>
        </w:tc>
      </w:tr>
      <w:tr w14:paraId="4B61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DF6B76E">
            <w:pPr>
              <w:jc w:val="center"/>
              <w:rPr>
                <w:rFonts w:hint="default"/>
                <w:highlight w:val="none"/>
                <w:vertAlign w:val="baseline"/>
                <w:lang w:val="en-US" w:eastAsia="zh-CN"/>
              </w:rPr>
            </w:pPr>
            <w:r>
              <w:rPr>
                <w:rFonts w:hint="eastAsia"/>
                <w:highlight w:val="none"/>
                <w:vertAlign w:val="baseline"/>
                <w:lang w:val="en-US" w:eastAsia="zh-CN"/>
              </w:rPr>
              <w:t>158</w:t>
            </w:r>
          </w:p>
        </w:tc>
        <w:tc>
          <w:tcPr>
            <w:tcW w:w="1690" w:type="dxa"/>
            <w:noWrap w:val="0"/>
            <w:vAlign w:val="center"/>
          </w:tcPr>
          <w:p w14:paraId="4BD3C22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物体受力与运动演示器</w:t>
            </w:r>
          </w:p>
        </w:tc>
        <w:tc>
          <w:tcPr>
            <w:tcW w:w="5928" w:type="dxa"/>
            <w:noWrap w:val="0"/>
            <w:vAlign w:val="center"/>
          </w:tcPr>
          <w:p w14:paraId="4F398B75">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含直流电机、绕线盘、电源开关等；</w:t>
            </w:r>
          </w:p>
        </w:tc>
        <w:tc>
          <w:tcPr>
            <w:tcW w:w="736" w:type="dxa"/>
            <w:noWrap w:val="0"/>
            <w:vAlign w:val="center"/>
          </w:tcPr>
          <w:p w14:paraId="070FD7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8A4F9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608CB23">
            <w:pPr>
              <w:jc w:val="center"/>
              <w:rPr>
                <w:highlight w:val="none"/>
              </w:rPr>
            </w:pPr>
          </w:p>
        </w:tc>
        <w:tc>
          <w:tcPr>
            <w:tcW w:w="710" w:type="dxa"/>
            <w:gridSpan w:val="2"/>
            <w:noWrap w:val="0"/>
            <w:vAlign w:val="center"/>
          </w:tcPr>
          <w:p w14:paraId="44BA60EE">
            <w:pPr>
              <w:jc w:val="both"/>
              <w:rPr>
                <w:highlight w:val="none"/>
                <w:vertAlign w:val="baseline"/>
              </w:rPr>
            </w:pPr>
          </w:p>
        </w:tc>
      </w:tr>
      <w:tr w14:paraId="33BB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4C9342">
            <w:pPr>
              <w:jc w:val="center"/>
              <w:rPr>
                <w:rFonts w:hint="default"/>
                <w:highlight w:val="none"/>
                <w:vertAlign w:val="baseline"/>
                <w:lang w:val="en-US" w:eastAsia="zh-CN"/>
              </w:rPr>
            </w:pPr>
            <w:r>
              <w:rPr>
                <w:rFonts w:hint="eastAsia"/>
                <w:highlight w:val="none"/>
                <w:vertAlign w:val="baseline"/>
                <w:lang w:val="en-US" w:eastAsia="zh-CN"/>
              </w:rPr>
              <w:t>159</w:t>
            </w:r>
          </w:p>
        </w:tc>
        <w:tc>
          <w:tcPr>
            <w:tcW w:w="1690" w:type="dxa"/>
            <w:noWrap w:val="0"/>
            <w:vAlign w:val="center"/>
          </w:tcPr>
          <w:p w14:paraId="1BA1051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螺旋弹簧组</w:t>
            </w:r>
          </w:p>
        </w:tc>
        <w:tc>
          <w:tcPr>
            <w:tcW w:w="5928" w:type="dxa"/>
            <w:noWrap w:val="0"/>
            <w:vAlign w:val="center"/>
          </w:tcPr>
          <w:p w14:paraId="7F3503C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0.5N，1N，2N，3N , 5N</w:t>
            </w:r>
          </w:p>
        </w:tc>
        <w:tc>
          <w:tcPr>
            <w:tcW w:w="736" w:type="dxa"/>
            <w:noWrap w:val="0"/>
            <w:vAlign w:val="center"/>
          </w:tcPr>
          <w:p w14:paraId="39CF66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79CFE9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EA4F979">
            <w:pPr>
              <w:jc w:val="center"/>
              <w:rPr>
                <w:highlight w:val="none"/>
              </w:rPr>
            </w:pPr>
          </w:p>
        </w:tc>
        <w:tc>
          <w:tcPr>
            <w:tcW w:w="710" w:type="dxa"/>
            <w:gridSpan w:val="2"/>
            <w:noWrap w:val="0"/>
            <w:vAlign w:val="center"/>
          </w:tcPr>
          <w:p w14:paraId="0606FE98">
            <w:pPr>
              <w:jc w:val="both"/>
              <w:rPr>
                <w:highlight w:val="none"/>
                <w:vertAlign w:val="baseline"/>
              </w:rPr>
            </w:pPr>
          </w:p>
        </w:tc>
      </w:tr>
      <w:tr w14:paraId="2D53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7437F19">
            <w:pPr>
              <w:jc w:val="center"/>
              <w:rPr>
                <w:rFonts w:hint="default"/>
                <w:highlight w:val="none"/>
                <w:vertAlign w:val="baseline"/>
                <w:lang w:val="en-US" w:eastAsia="zh-CN"/>
              </w:rPr>
            </w:pPr>
            <w:r>
              <w:rPr>
                <w:rFonts w:hint="eastAsia"/>
                <w:highlight w:val="none"/>
                <w:vertAlign w:val="baseline"/>
                <w:lang w:val="en-US" w:eastAsia="zh-CN"/>
              </w:rPr>
              <w:t>160</w:t>
            </w:r>
          </w:p>
        </w:tc>
        <w:tc>
          <w:tcPr>
            <w:tcW w:w="1690" w:type="dxa"/>
            <w:noWrap w:val="0"/>
            <w:vAlign w:val="center"/>
          </w:tcPr>
          <w:p w14:paraId="1C26723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演示测力计</w:t>
            </w:r>
          </w:p>
        </w:tc>
        <w:tc>
          <w:tcPr>
            <w:tcW w:w="5928" w:type="dxa"/>
            <w:noWrap w:val="0"/>
            <w:vAlign w:val="center"/>
          </w:tcPr>
          <w:p w14:paraId="0AE57D6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 N</w:t>
            </w:r>
          </w:p>
        </w:tc>
        <w:tc>
          <w:tcPr>
            <w:tcW w:w="736" w:type="dxa"/>
            <w:noWrap w:val="0"/>
            <w:vAlign w:val="center"/>
          </w:tcPr>
          <w:p w14:paraId="69B5AB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D2903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ECB92EA">
            <w:pPr>
              <w:jc w:val="center"/>
              <w:rPr>
                <w:highlight w:val="none"/>
              </w:rPr>
            </w:pPr>
          </w:p>
        </w:tc>
        <w:tc>
          <w:tcPr>
            <w:tcW w:w="710" w:type="dxa"/>
            <w:gridSpan w:val="2"/>
            <w:noWrap w:val="0"/>
            <w:vAlign w:val="center"/>
          </w:tcPr>
          <w:p w14:paraId="6D778A1C">
            <w:pPr>
              <w:jc w:val="both"/>
              <w:rPr>
                <w:highlight w:val="none"/>
                <w:vertAlign w:val="baseline"/>
              </w:rPr>
            </w:pPr>
          </w:p>
        </w:tc>
      </w:tr>
      <w:tr w14:paraId="4B05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2F9DFA">
            <w:pPr>
              <w:jc w:val="center"/>
              <w:rPr>
                <w:rFonts w:hint="default"/>
                <w:highlight w:val="none"/>
                <w:vertAlign w:val="baseline"/>
                <w:lang w:val="en-US" w:eastAsia="zh-CN"/>
              </w:rPr>
            </w:pPr>
            <w:r>
              <w:rPr>
                <w:rFonts w:hint="eastAsia"/>
                <w:highlight w:val="none"/>
                <w:vertAlign w:val="baseline"/>
                <w:lang w:val="en-US" w:eastAsia="zh-CN"/>
              </w:rPr>
              <w:t>161</w:t>
            </w:r>
          </w:p>
        </w:tc>
        <w:tc>
          <w:tcPr>
            <w:tcW w:w="1690" w:type="dxa"/>
            <w:noWrap w:val="0"/>
            <w:vAlign w:val="center"/>
          </w:tcPr>
          <w:p w14:paraId="0A73A9A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条形盒测力计</w:t>
            </w:r>
          </w:p>
        </w:tc>
        <w:tc>
          <w:tcPr>
            <w:tcW w:w="5928" w:type="dxa"/>
            <w:noWrap w:val="0"/>
            <w:vAlign w:val="center"/>
          </w:tcPr>
          <w:p w14:paraId="644F02E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 N，</w:t>
            </w:r>
          </w:p>
        </w:tc>
        <w:tc>
          <w:tcPr>
            <w:tcW w:w="736" w:type="dxa"/>
            <w:noWrap w:val="0"/>
            <w:vAlign w:val="center"/>
          </w:tcPr>
          <w:p w14:paraId="7A7417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46BB4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C5571F3">
            <w:pPr>
              <w:jc w:val="center"/>
              <w:rPr>
                <w:highlight w:val="none"/>
              </w:rPr>
            </w:pPr>
          </w:p>
        </w:tc>
        <w:tc>
          <w:tcPr>
            <w:tcW w:w="710" w:type="dxa"/>
            <w:gridSpan w:val="2"/>
            <w:noWrap w:val="0"/>
            <w:vAlign w:val="center"/>
          </w:tcPr>
          <w:p w14:paraId="1B60E398">
            <w:pPr>
              <w:jc w:val="both"/>
              <w:rPr>
                <w:highlight w:val="none"/>
                <w:vertAlign w:val="baseline"/>
              </w:rPr>
            </w:pPr>
          </w:p>
        </w:tc>
      </w:tr>
      <w:tr w14:paraId="76FB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2334568">
            <w:pPr>
              <w:jc w:val="center"/>
              <w:rPr>
                <w:rFonts w:hint="default"/>
                <w:highlight w:val="none"/>
                <w:vertAlign w:val="baseline"/>
                <w:lang w:val="en-US" w:eastAsia="zh-CN"/>
              </w:rPr>
            </w:pPr>
            <w:r>
              <w:rPr>
                <w:rFonts w:hint="eastAsia"/>
                <w:highlight w:val="none"/>
                <w:vertAlign w:val="baseline"/>
                <w:lang w:val="en-US" w:eastAsia="zh-CN"/>
              </w:rPr>
              <w:t>162</w:t>
            </w:r>
          </w:p>
        </w:tc>
        <w:tc>
          <w:tcPr>
            <w:tcW w:w="1690" w:type="dxa"/>
            <w:noWrap w:val="0"/>
            <w:vAlign w:val="center"/>
          </w:tcPr>
          <w:p w14:paraId="14474B2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条形盒测力计</w:t>
            </w:r>
          </w:p>
        </w:tc>
        <w:tc>
          <w:tcPr>
            <w:tcW w:w="5928" w:type="dxa"/>
            <w:noWrap w:val="0"/>
            <w:vAlign w:val="center"/>
          </w:tcPr>
          <w:p w14:paraId="2ECC49B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 N</w:t>
            </w:r>
          </w:p>
        </w:tc>
        <w:tc>
          <w:tcPr>
            <w:tcW w:w="736" w:type="dxa"/>
            <w:noWrap w:val="0"/>
            <w:vAlign w:val="center"/>
          </w:tcPr>
          <w:p w14:paraId="59563A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E809F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98A510A">
            <w:pPr>
              <w:jc w:val="center"/>
              <w:rPr>
                <w:highlight w:val="none"/>
              </w:rPr>
            </w:pPr>
          </w:p>
        </w:tc>
        <w:tc>
          <w:tcPr>
            <w:tcW w:w="710" w:type="dxa"/>
            <w:gridSpan w:val="2"/>
            <w:noWrap w:val="0"/>
            <w:vAlign w:val="center"/>
          </w:tcPr>
          <w:p w14:paraId="65B2A410">
            <w:pPr>
              <w:jc w:val="both"/>
              <w:rPr>
                <w:highlight w:val="none"/>
                <w:vertAlign w:val="baseline"/>
              </w:rPr>
            </w:pPr>
          </w:p>
        </w:tc>
      </w:tr>
      <w:tr w14:paraId="7984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CC7890">
            <w:pPr>
              <w:jc w:val="center"/>
              <w:rPr>
                <w:rFonts w:hint="default"/>
                <w:highlight w:val="none"/>
                <w:vertAlign w:val="baseline"/>
                <w:lang w:val="en-US" w:eastAsia="zh-CN"/>
              </w:rPr>
            </w:pPr>
            <w:r>
              <w:rPr>
                <w:rFonts w:hint="eastAsia"/>
                <w:highlight w:val="none"/>
                <w:vertAlign w:val="baseline"/>
                <w:lang w:val="en-US" w:eastAsia="zh-CN"/>
              </w:rPr>
              <w:t>163</w:t>
            </w:r>
          </w:p>
        </w:tc>
        <w:tc>
          <w:tcPr>
            <w:tcW w:w="1690" w:type="dxa"/>
            <w:noWrap w:val="0"/>
            <w:vAlign w:val="center"/>
          </w:tcPr>
          <w:p w14:paraId="49C786C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条形盒测力计</w:t>
            </w:r>
          </w:p>
        </w:tc>
        <w:tc>
          <w:tcPr>
            <w:tcW w:w="5928" w:type="dxa"/>
            <w:noWrap w:val="0"/>
            <w:vAlign w:val="center"/>
          </w:tcPr>
          <w:p w14:paraId="52E1C4C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 N，</w:t>
            </w:r>
          </w:p>
        </w:tc>
        <w:tc>
          <w:tcPr>
            <w:tcW w:w="736" w:type="dxa"/>
            <w:noWrap w:val="0"/>
            <w:vAlign w:val="center"/>
          </w:tcPr>
          <w:p w14:paraId="0F97132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0BF11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50ACC0C">
            <w:pPr>
              <w:jc w:val="center"/>
              <w:rPr>
                <w:highlight w:val="none"/>
              </w:rPr>
            </w:pPr>
          </w:p>
        </w:tc>
        <w:tc>
          <w:tcPr>
            <w:tcW w:w="710" w:type="dxa"/>
            <w:gridSpan w:val="2"/>
            <w:noWrap w:val="0"/>
            <w:vAlign w:val="center"/>
          </w:tcPr>
          <w:p w14:paraId="6E66C5D7">
            <w:pPr>
              <w:jc w:val="both"/>
              <w:rPr>
                <w:highlight w:val="none"/>
                <w:vertAlign w:val="baseline"/>
              </w:rPr>
            </w:pPr>
          </w:p>
        </w:tc>
      </w:tr>
      <w:tr w14:paraId="22E7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34BEB2F">
            <w:pPr>
              <w:jc w:val="center"/>
              <w:rPr>
                <w:rFonts w:hint="default"/>
                <w:highlight w:val="none"/>
                <w:vertAlign w:val="baseline"/>
                <w:lang w:val="en-US" w:eastAsia="zh-CN"/>
              </w:rPr>
            </w:pPr>
            <w:r>
              <w:rPr>
                <w:rFonts w:hint="eastAsia"/>
                <w:highlight w:val="none"/>
                <w:vertAlign w:val="baseline"/>
                <w:lang w:val="en-US" w:eastAsia="zh-CN"/>
              </w:rPr>
              <w:t>164</w:t>
            </w:r>
          </w:p>
        </w:tc>
        <w:tc>
          <w:tcPr>
            <w:tcW w:w="1690" w:type="dxa"/>
            <w:noWrap w:val="0"/>
            <w:vAlign w:val="center"/>
          </w:tcPr>
          <w:p w14:paraId="5D8E28E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条形盒测力计</w:t>
            </w:r>
          </w:p>
        </w:tc>
        <w:tc>
          <w:tcPr>
            <w:tcW w:w="5928" w:type="dxa"/>
            <w:noWrap w:val="0"/>
            <w:vAlign w:val="center"/>
          </w:tcPr>
          <w:p w14:paraId="664E0D8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 N，</w:t>
            </w:r>
          </w:p>
        </w:tc>
        <w:tc>
          <w:tcPr>
            <w:tcW w:w="736" w:type="dxa"/>
            <w:noWrap w:val="0"/>
            <w:vAlign w:val="center"/>
          </w:tcPr>
          <w:p w14:paraId="5BFC11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211EE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D7971FC">
            <w:pPr>
              <w:jc w:val="center"/>
              <w:rPr>
                <w:highlight w:val="none"/>
              </w:rPr>
            </w:pPr>
          </w:p>
        </w:tc>
        <w:tc>
          <w:tcPr>
            <w:tcW w:w="710" w:type="dxa"/>
            <w:gridSpan w:val="2"/>
            <w:noWrap w:val="0"/>
            <w:vAlign w:val="center"/>
          </w:tcPr>
          <w:p w14:paraId="2C0C0723">
            <w:pPr>
              <w:jc w:val="both"/>
              <w:rPr>
                <w:highlight w:val="none"/>
                <w:vertAlign w:val="baseline"/>
              </w:rPr>
            </w:pPr>
          </w:p>
        </w:tc>
      </w:tr>
      <w:tr w14:paraId="7AD0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EF137C">
            <w:pPr>
              <w:jc w:val="center"/>
              <w:rPr>
                <w:rFonts w:hint="default"/>
                <w:highlight w:val="none"/>
                <w:vertAlign w:val="baseline"/>
                <w:lang w:val="en-US" w:eastAsia="zh-CN"/>
              </w:rPr>
            </w:pPr>
            <w:r>
              <w:rPr>
                <w:rFonts w:hint="eastAsia"/>
                <w:highlight w:val="none"/>
                <w:vertAlign w:val="baseline"/>
                <w:lang w:val="en-US" w:eastAsia="zh-CN"/>
              </w:rPr>
              <w:t>165</w:t>
            </w:r>
          </w:p>
        </w:tc>
        <w:tc>
          <w:tcPr>
            <w:tcW w:w="1690" w:type="dxa"/>
            <w:noWrap w:val="0"/>
            <w:vAlign w:val="center"/>
          </w:tcPr>
          <w:p w14:paraId="7914DCA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圆盘测力计</w:t>
            </w:r>
          </w:p>
        </w:tc>
        <w:tc>
          <w:tcPr>
            <w:tcW w:w="5928" w:type="dxa"/>
            <w:noWrap w:val="0"/>
            <w:vAlign w:val="center"/>
          </w:tcPr>
          <w:p w14:paraId="3DA7CD1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5N</w:t>
            </w:r>
          </w:p>
        </w:tc>
        <w:tc>
          <w:tcPr>
            <w:tcW w:w="736" w:type="dxa"/>
            <w:noWrap w:val="0"/>
            <w:vAlign w:val="center"/>
          </w:tcPr>
          <w:p w14:paraId="79A9E3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95D20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45B614B">
            <w:pPr>
              <w:jc w:val="center"/>
              <w:rPr>
                <w:highlight w:val="none"/>
              </w:rPr>
            </w:pPr>
          </w:p>
        </w:tc>
        <w:tc>
          <w:tcPr>
            <w:tcW w:w="710" w:type="dxa"/>
            <w:gridSpan w:val="2"/>
            <w:noWrap w:val="0"/>
            <w:vAlign w:val="center"/>
          </w:tcPr>
          <w:p w14:paraId="79AFEA1C">
            <w:pPr>
              <w:jc w:val="both"/>
              <w:rPr>
                <w:highlight w:val="none"/>
                <w:vertAlign w:val="baseline"/>
              </w:rPr>
            </w:pPr>
          </w:p>
        </w:tc>
      </w:tr>
      <w:tr w14:paraId="29BD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D041C6">
            <w:pPr>
              <w:jc w:val="center"/>
              <w:rPr>
                <w:rFonts w:hint="default"/>
                <w:highlight w:val="none"/>
                <w:vertAlign w:val="baseline"/>
                <w:lang w:val="en-US" w:eastAsia="zh-CN"/>
              </w:rPr>
            </w:pPr>
            <w:r>
              <w:rPr>
                <w:rFonts w:hint="eastAsia"/>
                <w:highlight w:val="none"/>
                <w:vertAlign w:val="baseline"/>
                <w:lang w:val="en-US" w:eastAsia="zh-CN"/>
              </w:rPr>
              <w:t>166</w:t>
            </w:r>
          </w:p>
        </w:tc>
        <w:tc>
          <w:tcPr>
            <w:tcW w:w="1690" w:type="dxa"/>
            <w:noWrap w:val="0"/>
            <w:vAlign w:val="center"/>
          </w:tcPr>
          <w:p w14:paraId="5377DDC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数字测力计</w:t>
            </w:r>
          </w:p>
        </w:tc>
        <w:tc>
          <w:tcPr>
            <w:tcW w:w="5928" w:type="dxa"/>
            <w:noWrap w:val="0"/>
            <w:vAlign w:val="center"/>
          </w:tcPr>
          <w:p w14:paraId="23DE0F6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量程2N，分辨率0.001N，误差≤0.2％，满量程±1／2字，有调零，内置校准、记忆功能，数字尺寸≥2.5*4cm</w:t>
            </w:r>
          </w:p>
        </w:tc>
        <w:tc>
          <w:tcPr>
            <w:tcW w:w="736" w:type="dxa"/>
            <w:noWrap w:val="0"/>
            <w:vAlign w:val="center"/>
          </w:tcPr>
          <w:p w14:paraId="7BAE51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9CC7D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DD2E60A">
            <w:pPr>
              <w:jc w:val="center"/>
              <w:rPr>
                <w:highlight w:val="none"/>
              </w:rPr>
            </w:pPr>
          </w:p>
        </w:tc>
        <w:tc>
          <w:tcPr>
            <w:tcW w:w="710" w:type="dxa"/>
            <w:gridSpan w:val="2"/>
            <w:noWrap w:val="0"/>
            <w:vAlign w:val="center"/>
          </w:tcPr>
          <w:p w14:paraId="495DD6F2">
            <w:pPr>
              <w:jc w:val="both"/>
              <w:rPr>
                <w:highlight w:val="none"/>
                <w:vertAlign w:val="baseline"/>
              </w:rPr>
            </w:pPr>
          </w:p>
        </w:tc>
      </w:tr>
      <w:tr w14:paraId="1A87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BB9202">
            <w:pPr>
              <w:jc w:val="center"/>
              <w:rPr>
                <w:rFonts w:hint="default"/>
                <w:highlight w:val="none"/>
                <w:vertAlign w:val="baseline"/>
                <w:lang w:val="en-US" w:eastAsia="zh-CN"/>
              </w:rPr>
            </w:pPr>
            <w:r>
              <w:rPr>
                <w:rFonts w:hint="eastAsia"/>
                <w:highlight w:val="none"/>
                <w:vertAlign w:val="baseline"/>
                <w:lang w:val="en-US" w:eastAsia="zh-CN"/>
              </w:rPr>
              <w:t>167</w:t>
            </w:r>
          </w:p>
        </w:tc>
        <w:tc>
          <w:tcPr>
            <w:tcW w:w="1690" w:type="dxa"/>
            <w:noWrap w:val="0"/>
            <w:vAlign w:val="center"/>
          </w:tcPr>
          <w:p w14:paraId="2A6A905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演示数字测力计</w:t>
            </w:r>
          </w:p>
        </w:tc>
        <w:tc>
          <w:tcPr>
            <w:tcW w:w="5928" w:type="dxa"/>
            <w:noWrap w:val="0"/>
            <w:vAlign w:val="center"/>
          </w:tcPr>
          <w:p w14:paraId="7199CD1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量程2N，分辨率0.001N，误差≤0.2％，满量程±1／2字，有调零，内置校准、记忆功能，数字尺寸≥2.5*4cm</w:t>
            </w:r>
          </w:p>
        </w:tc>
        <w:tc>
          <w:tcPr>
            <w:tcW w:w="736" w:type="dxa"/>
            <w:noWrap w:val="0"/>
            <w:vAlign w:val="center"/>
          </w:tcPr>
          <w:p w14:paraId="6F8E0A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9F641F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06816DD">
            <w:pPr>
              <w:jc w:val="center"/>
              <w:rPr>
                <w:highlight w:val="none"/>
              </w:rPr>
            </w:pPr>
          </w:p>
        </w:tc>
        <w:tc>
          <w:tcPr>
            <w:tcW w:w="710" w:type="dxa"/>
            <w:gridSpan w:val="2"/>
            <w:noWrap w:val="0"/>
            <w:vAlign w:val="center"/>
          </w:tcPr>
          <w:p w14:paraId="36E3A028">
            <w:pPr>
              <w:jc w:val="both"/>
              <w:rPr>
                <w:highlight w:val="none"/>
                <w:vertAlign w:val="baseline"/>
              </w:rPr>
            </w:pPr>
          </w:p>
        </w:tc>
      </w:tr>
      <w:tr w14:paraId="50F4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7338E4">
            <w:pPr>
              <w:jc w:val="center"/>
              <w:rPr>
                <w:rFonts w:hint="default"/>
                <w:highlight w:val="none"/>
                <w:vertAlign w:val="baseline"/>
                <w:lang w:val="en-US" w:eastAsia="zh-CN"/>
              </w:rPr>
            </w:pPr>
            <w:r>
              <w:rPr>
                <w:rFonts w:hint="eastAsia"/>
                <w:highlight w:val="none"/>
                <w:vertAlign w:val="baseline"/>
                <w:lang w:val="en-US" w:eastAsia="zh-CN"/>
              </w:rPr>
              <w:t>168</w:t>
            </w:r>
          </w:p>
        </w:tc>
        <w:tc>
          <w:tcPr>
            <w:tcW w:w="1690" w:type="dxa"/>
            <w:noWrap w:val="0"/>
            <w:vAlign w:val="center"/>
          </w:tcPr>
          <w:p w14:paraId="4081C80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拉压测力计</w:t>
            </w:r>
          </w:p>
        </w:tc>
        <w:tc>
          <w:tcPr>
            <w:tcW w:w="5928" w:type="dxa"/>
            <w:noWrap w:val="0"/>
            <w:vAlign w:val="center"/>
          </w:tcPr>
          <w:p w14:paraId="377DDF4E">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指针式</w:t>
            </w:r>
          </w:p>
        </w:tc>
        <w:tc>
          <w:tcPr>
            <w:tcW w:w="736" w:type="dxa"/>
            <w:noWrap w:val="0"/>
            <w:vAlign w:val="center"/>
          </w:tcPr>
          <w:p w14:paraId="63ADE0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68601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B913F48">
            <w:pPr>
              <w:jc w:val="center"/>
              <w:rPr>
                <w:highlight w:val="none"/>
              </w:rPr>
            </w:pPr>
          </w:p>
        </w:tc>
        <w:tc>
          <w:tcPr>
            <w:tcW w:w="710" w:type="dxa"/>
            <w:gridSpan w:val="2"/>
            <w:noWrap w:val="0"/>
            <w:vAlign w:val="center"/>
          </w:tcPr>
          <w:p w14:paraId="7284D5E1">
            <w:pPr>
              <w:jc w:val="both"/>
              <w:rPr>
                <w:highlight w:val="none"/>
                <w:vertAlign w:val="baseline"/>
              </w:rPr>
            </w:pPr>
          </w:p>
        </w:tc>
      </w:tr>
      <w:tr w14:paraId="237A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295234">
            <w:pPr>
              <w:jc w:val="center"/>
              <w:rPr>
                <w:rFonts w:hint="default"/>
                <w:highlight w:val="none"/>
                <w:vertAlign w:val="baseline"/>
                <w:lang w:val="en-US" w:eastAsia="zh-CN"/>
              </w:rPr>
            </w:pPr>
            <w:r>
              <w:rPr>
                <w:rFonts w:hint="eastAsia"/>
                <w:highlight w:val="none"/>
                <w:vertAlign w:val="baseline"/>
                <w:lang w:val="en-US" w:eastAsia="zh-CN"/>
              </w:rPr>
              <w:t>169</w:t>
            </w:r>
          </w:p>
        </w:tc>
        <w:tc>
          <w:tcPr>
            <w:tcW w:w="1690" w:type="dxa"/>
            <w:noWrap w:val="0"/>
            <w:vAlign w:val="center"/>
          </w:tcPr>
          <w:p w14:paraId="3D4C662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重锤</w:t>
            </w:r>
          </w:p>
        </w:tc>
        <w:tc>
          <w:tcPr>
            <w:tcW w:w="5928" w:type="dxa"/>
            <w:noWrap w:val="0"/>
            <w:vAlign w:val="center"/>
          </w:tcPr>
          <w:p w14:paraId="251784A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300 g</w:t>
            </w:r>
          </w:p>
        </w:tc>
        <w:tc>
          <w:tcPr>
            <w:tcW w:w="736" w:type="dxa"/>
            <w:noWrap w:val="0"/>
            <w:vAlign w:val="center"/>
          </w:tcPr>
          <w:p w14:paraId="1C9CF5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4B092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5677713">
            <w:pPr>
              <w:jc w:val="center"/>
              <w:rPr>
                <w:highlight w:val="none"/>
              </w:rPr>
            </w:pPr>
          </w:p>
        </w:tc>
        <w:tc>
          <w:tcPr>
            <w:tcW w:w="710" w:type="dxa"/>
            <w:gridSpan w:val="2"/>
            <w:noWrap w:val="0"/>
            <w:vAlign w:val="center"/>
          </w:tcPr>
          <w:p w14:paraId="52BCFD5F">
            <w:pPr>
              <w:jc w:val="both"/>
              <w:rPr>
                <w:highlight w:val="none"/>
                <w:vertAlign w:val="baseline"/>
              </w:rPr>
            </w:pPr>
          </w:p>
        </w:tc>
      </w:tr>
      <w:tr w14:paraId="621A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D0D7924">
            <w:pPr>
              <w:jc w:val="center"/>
              <w:rPr>
                <w:rFonts w:hint="default"/>
                <w:highlight w:val="none"/>
                <w:vertAlign w:val="baseline"/>
                <w:lang w:val="en-US" w:eastAsia="zh-CN"/>
              </w:rPr>
            </w:pPr>
            <w:r>
              <w:rPr>
                <w:rFonts w:hint="eastAsia"/>
                <w:highlight w:val="none"/>
                <w:vertAlign w:val="baseline"/>
                <w:lang w:val="en-US" w:eastAsia="zh-CN"/>
              </w:rPr>
              <w:t>170</w:t>
            </w:r>
          </w:p>
        </w:tc>
        <w:tc>
          <w:tcPr>
            <w:tcW w:w="1690" w:type="dxa"/>
            <w:noWrap w:val="0"/>
            <w:vAlign w:val="center"/>
          </w:tcPr>
          <w:p w14:paraId="61D7EC0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金属钩码</w:t>
            </w:r>
          </w:p>
        </w:tc>
        <w:tc>
          <w:tcPr>
            <w:tcW w:w="5928" w:type="dxa"/>
            <w:noWrap w:val="0"/>
            <w:vAlign w:val="center"/>
          </w:tcPr>
          <w:p w14:paraId="4739C6BC">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10g×1、20g×2、50g×2、200g×2</w:t>
            </w:r>
          </w:p>
        </w:tc>
        <w:tc>
          <w:tcPr>
            <w:tcW w:w="736" w:type="dxa"/>
            <w:noWrap w:val="0"/>
            <w:vAlign w:val="center"/>
          </w:tcPr>
          <w:p w14:paraId="0CFA5C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1CDA4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E32D282">
            <w:pPr>
              <w:jc w:val="center"/>
              <w:rPr>
                <w:highlight w:val="none"/>
              </w:rPr>
            </w:pPr>
          </w:p>
        </w:tc>
        <w:tc>
          <w:tcPr>
            <w:tcW w:w="710" w:type="dxa"/>
            <w:gridSpan w:val="2"/>
            <w:noWrap w:val="0"/>
            <w:vAlign w:val="center"/>
          </w:tcPr>
          <w:p w14:paraId="7AC4CB9D">
            <w:pPr>
              <w:jc w:val="both"/>
              <w:rPr>
                <w:highlight w:val="none"/>
                <w:vertAlign w:val="baseline"/>
              </w:rPr>
            </w:pPr>
          </w:p>
        </w:tc>
      </w:tr>
      <w:tr w14:paraId="79A8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4D053A">
            <w:pPr>
              <w:jc w:val="center"/>
              <w:rPr>
                <w:rFonts w:hint="default"/>
                <w:highlight w:val="none"/>
                <w:vertAlign w:val="baseline"/>
                <w:lang w:val="en-US" w:eastAsia="zh-CN"/>
              </w:rPr>
            </w:pPr>
            <w:r>
              <w:rPr>
                <w:rFonts w:hint="eastAsia"/>
                <w:highlight w:val="none"/>
                <w:vertAlign w:val="baseline"/>
                <w:lang w:val="en-US" w:eastAsia="zh-CN"/>
              </w:rPr>
              <w:t>171</w:t>
            </w:r>
          </w:p>
        </w:tc>
        <w:tc>
          <w:tcPr>
            <w:tcW w:w="1690" w:type="dxa"/>
            <w:noWrap w:val="0"/>
            <w:vAlign w:val="center"/>
          </w:tcPr>
          <w:p w14:paraId="45B8D52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钩码</w:t>
            </w:r>
          </w:p>
        </w:tc>
        <w:tc>
          <w:tcPr>
            <w:tcW w:w="5928" w:type="dxa"/>
            <w:noWrap w:val="0"/>
            <w:vAlign w:val="center"/>
          </w:tcPr>
          <w:p w14:paraId="3C91F2AB">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50g*10</w:t>
            </w:r>
          </w:p>
        </w:tc>
        <w:tc>
          <w:tcPr>
            <w:tcW w:w="736" w:type="dxa"/>
            <w:noWrap w:val="0"/>
            <w:vAlign w:val="center"/>
          </w:tcPr>
          <w:p w14:paraId="20623C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B121D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0CD2BDE">
            <w:pPr>
              <w:jc w:val="center"/>
              <w:rPr>
                <w:highlight w:val="none"/>
              </w:rPr>
            </w:pPr>
          </w:p>
        </w:tc>
        <w:tc>
          <w:tcPr>
            <w:tcW w:w="710" w:type="dxa"/>
            <w:gridSpan w:val="2"/>
            <w:noWrap w:val="0"/>
            <w:vAlign w:val="center"/>
          </w:tcPr>
          <w:p w14:paraId="78D2223D">
            <w:pPr>
              <w:jc w:val="both"/>
              <w:rPr>
                <w:highlight w:val="none"/>
                <w:vertAlign w:val="baseline"/>
              </w:rPr>
            </w:pPr>
          </w:p>
        </w:tc>
      </w:tr>
      <w:tr w14:paraId="5872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9F37CD">
            <w:pPr>
              <w:jc w:val="center"/>
              <w:rPr>
                <w:rFonts w:hint="default"/>
                <w:highlight w:val="none"/>
                <w:vertAlign w:val="baseline"/>
                <w:lang w:val="en-US" w:eastAsia="zh-CN"/>
              </w:rPr>
            </w:pPr>
            <w:r>
              <w:rPr>
                <w:rFonts w:hint="eastAsia"/>
                <w:highlight w:val="none"/>
                <w:vertAlign w:val="baseline"/>
                <w:lang w:val="en-US" w:eastAsia="zh-CN"/>
              </w:rPr>
              <w:t>172</w:t>
            </w:r>
          </w:p>
        </w:tc>
        <w:tc>
          <w:tcPr>
            <w:tcW w:w="1690" w:type="dxa"/>
            <w:noWrap w:val="0"/>
            <w:vAlign w:val="center"/>
          </w:tcPr>
          <w:p w14:paraId="0AEEEFF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欹器模型</w:t>
            </w:r>
          </w:p>
        </w:tc>
        <w:tc>
          <w:tcPr>
            <w:tcW w:w="5928" w:type="dxa"/>
            <w:noWrap w:val="0"/>
            <w:vAlign w:val="center"/>
          </w:tcPr>
          <w:p w14:paraId="2FDB940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无水时稍有倾斜，装适量水时直立，再加水时倾覆</w:t>
            </w:r>
          </w:p>
        </w:tc>
        <w:tc>
          <w:tcPr>
            <w:tcW w:w="736" w:type="dxa"/>
            <w:noWrap w:val="0"/>
            <w:vAlign w:val="center"/>
          </w:tcPr>
          <w:p w14:paraId="2AAD3B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4E0005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8BADF86">
            <w:pPr>
              <w:jc w:val="center"/>
              <w:rPr>
                <w:highlight w:val="none"/>
              </w:rPr>
            </w:pPr>
          </w:p>
        </w:tc>
        <w:tc>
          <w:tcPr>
            <w:tcW w:w="710" w:type="dxa"/>
            <w:gridSpan w:val="2"/>
            <w:noWrap w:val="0"/>
            <w:vAlign w:val="center"/>
          </w:tcPr>
          <w:p w14:paraId="61E1864D">
            <w:pPr>
              <w:jc w:val="both"/>
              <w:rPr>
                <w:highlight w:val="none"/>
                <w:vertAlign w:val="baseline"/>
              </w:rPr>
            </w:pPr>
          </w:p>
        </w:tc>
      </w:tr>
      <w:tr w14:paraId="59CA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55675E">
            <w:pPr>
              <w:jc w:val="center"/>
              <w:rPr>
                <w:rFonts w:hint="default"/>
                <w:highlight w:val="none"/>
                <w:vertAlign w:val="baseline"/>
                <w:lang w:val="en-US" w:eastAsia="zh-CN"/>
              </w:rPr>
            </w:pPr>
            <w:r>
              <w:rPr>
                <w:rFonts w:hint="eastAsia"/>
                <w:highlight w:val="none"/>
                <w:vertAlign w:val="baseline"/>
                <w:lang w:val="en-US" w:eastAsia="zh-CN"/>
              </w:rPr>
              <w:t>173</w:t>
            </w:r>
          </w:p>
        </w:tc>
        <w:tc>
          <w:tcPr>
            <w:tcW w:w="1690" w:type="dxa"/>
            <w:noWrap w:val="0"/>
            <w:vAlign w:val="center"/>
          </w:tcPr>
          <w:p w14:paraId="10D7148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双锥体上滚演示器</w:t>
            </w:r>
          </w:p>
        </w:tc>
        <w:tc>
          <w:tcPr>
            <w:tcW w:w="5928" w:type="dxa"/>
            <w:noWrap w:val="0"/>
            <w:vAlign w:val="center"/>
          </w:tcPr>
          <w:p w14:paraId="208950E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含双椎体、圆柱体、支架等，支架导轨夹角可调</w:t>
            </w:r>
          </w:p>
        </w:tc>
        <w:tc>
          <w:tcPr>
            <w:tcW w:w="736" w:type="dxa"/>
            <w:noWrap w:val="0"/>
            <w:vAlign w:val="center"/>
          </w:tcPr>
          <w:p w14:paraId="0C7912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99F8F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3FAB361">
            <w:pPr>
              <w:jc w:val="center"/>
              <w:rPr>
                <w:highlight w:val="none"/>
              </w:rPr>
            </w:pPr>
          </w:p>
        </w:tc>
        <w:tc>
          <w:tcPr>
            <w:tcW w:w="710" w:type="dxa"/>
            <w:gridSpan w:val="2"/>
            <w:noWrap w:val="0"/>
            <w:vAlign w:val="center"/>
          </w:tcPr>
          <w:p w14:paraId="2C8E4008">
            <w:pPr>
              <w:jc w:val="both"/>
              <w:rPr>
                <w:highlight w:val="none"/>
                <w:vertAlign w:val="baseline"/>
              </w:rPr>
            </w:pPr>
          </w:p>
        </w:tc>
      </w:tr>
      <w:tr w14:paraId="5E7A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B526C1">
            <w:pPr>
              <w:jc w:val="center"/>
              <w:rPr>
                <w:rFonts w:hint="default"/>
                <w:highlight w:val="none"/>
                <w:vertAlign w:val="baseline"/>
                <w:lang w:val="en-US" w:eastAsia="zh-CN"/>
              </w:rPr>
            </w:pPr>
            <w:r>
              <w:rPr>
                <w:rFonts w:hint="eastAsia"/>
                <w:highlight w:val="none"/>
                <w:vertAlign w:val="baseline"/>
                <w:lang w:val="en-US" w:eastAsia="zh-CN"/>
              </w:rPr>
              <w:t>174</w:t>
            </w:r>
          </w:p>
        </w:tc>
        <w:tc>
          <w:tcPr>
            <w:tcW w:w="1690" w:type="dxa"/>
            <w:noWrap w:val="0"/>
            <w:vAlign w:val="center"/>
          </w:tcPr>
          <w:p w14:paraId="6F9BB70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重心应用趣味实验材料</w:t>
            </w:r>
          </w:p>
        </w:tc>
        <w:tc>
          <w:tcPr>
            <w:tcW w:w="5928" w:type="dxa"/>
            <w:noWrap w:val="0"/>
            <w:vAlign w:val="center"/>
          </w:tcPr>
          <w:p w14:paraId="0357360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可实现平衡鸟、高空踏车、斜坡上的不倒翁等趣味实验</w:t>
            </w:r>
          </w:p>
        </w:tc>
        <w:tc>
          <w:tcPr>
            <w:tcW w:w="736" w:type="dxa"/>
            <w:noWrap w:val="0"/>
            <w:vAlign w:val="center"/>
          </w:tcPr>
          <w:p w14:paraId="1FED44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16430D4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EEA865">
            <w:pPr>
              <w:jc w:val="center"/>
              <w:rPr>
                <w:highlight w:val="none"/>
              </w:rPr>
            </w:pPr>
          </w:p>
        </w:tc>
        <w:tc>
          <w:tcPr>
            <w:tcW w:w="710" w:type="dxa"/>
            <w:gridSpan w:val="2"/>
            <w:noWrap w:val="0"/>
            <w:vAlign w:val="center"/>
          </w:tcPr>
          <w:p w14:paraId="0644697E">
            <w:pPr>
              <w:jc w:val="both"/>
              <w:rPr>
                <w:highlight w:val="none"/>
                <w:vertAlign w:val="baseline"/>
              </w:rPr>
            </w:pPr>
          </w:p>
        </w:tc>
      </w:tr>
      <w:tr w14:paraId="3F7D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C05805">
            <w:pPr>
              <w:jc w:val="center"/>
              <w:rPr>
                <w:rFonts w:hint="default"/>
                <w:highlight w:val="none"/>
                <w:vertAlign w:val="baseline"/>
                <w:lang w:val="en-US" w:eastAsia="zh-CN"/>
              </w:rPr>
            </w:pPr>
            <w:r>
              <w:rPr>
                <w:rFonts w:hint="eastAsia"/>
                <w:highlight w:val="none"/>
                <w:vertAlign w:val="baseline"/>
                <w:lang w:val="en-US" w:eastAsia="zh-CN"/>
              </w:rPr>
              <w:t>175</w:t>
            </w:r>
          </w:p>
        </w:tc>
        <w:tc>
          <w:tcPr>
            <w:tcW w:w="1690" w:type="dxa"/>
            <w:noWrap w:val="0"/>
            <w:vAlign w:val="center"/>
          </w:tcPr>
          <w:p w14:paraId="36C48900">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摩擦力实验器</w:t>
            </w:r>
          </w:p>
        </w:tc>
        <w:tc>
          <w:tcPr>
            <w:tcW w:w="5928" w:type="dxa"/>
            <w:noWrap w:val="0"/>
            <w:vAlign w:val="center"/>
          </w:tcPr>
          <w:p w14:paraId="75C03AC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电动款，电机拉动速度0～5cm/s，可调节，可显示。摩擦板不小于800mm×100mm×10mm</w:t>
            </w:r>
          </w:p>
        </w:tc>
        <w:tc>
          <w:tcPr>
            <w:tcW w:w="736" w:type="dxa"/>
            <w:noWrap w:val="0"/>
            <w:vAlign w:val="center"/>
          </w:tcPr>
          <w:p w14:paraId="091B5E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5CA5E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ECA2972">
            <w:pPr>
              <w:jc w:val="center"/>
              <w:rPr>
                <w:highlight w:val="none"/>
              </w:rPr>
            </w:pPr>
          </w:p>
        </w:tc>
        <w:tc>
          <w:tcPr>
            <w:tcW w:w="710" w:type="dxa"/>
            <w:gridSpan w:val="2"/>
            <w:noWrap w:val="0"/>
            <w:vAlign w:val="center"/>
          </w:tcPr>
          <w:p w14:paraId="6D614594">
            <w:pPr>
              <w:jc w:val="both"/>
              <w:rPr>
                <w:highlight w:val="none"/>
                <w:vertAlign w:val="baseline"/>
              </w:rPr>
            </w:pPr>
          </w:p>
        </w:tc>
      </w:tr>
      <w:tr w14:paraId="7E10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4C7AAF">
            <w:pPr>
              <w:jc w:val="center"/>
              <w:rPr>
                <w:rFonts w:hint="default"/>
                <w:highlight w:val="none"/>
                <w:vertAlign w:val="baseline"/>
                <w:lang w:val="en-US" w:eastAsia="zh-CN"/>
              </w:rPr>
            </w:pPr>
            <w:r>
              <w:rPr>
                <w:rFonts w:hint="eastAsia"/>
                <w:highlight w:val="none"/>
                <w:vertAlign w:val="baseline"/>
                <w:lang w:val="en-US" w:eastAsia="zh-CN"/>
              </w:rPr>
              <w:t>176</w:t>
            </w:r>
          </w:p>
        </w:tc>
        <w:tc>
          <w:tcPr>
            <w:tcW w:w="1690" w:type="dxa"/>
            <w:noWrap w:val="0"/>
            <w:vAlign w:val="center"/>
          </w:tcPr>
          <w:p w14:paraId="2C2C380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摩擦力趣味实验制作材料</w:t>
            </w:r>
          </w:p>
        </w:tc>
        <w:tc>
          <w:tcPr>
            <w:tcW w:w="5928" w:type="dxa"/>
            <w:noWrap w:val="0"/>
            <w:vAlign w:val="center"/>
          </w:tcPr>
          <w:p w14:paraId="6C49847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可完成听话的瓶子、气垫光盘等趣味实验</w:t>
            </w:r>
          </w:p>
        </w:tc>
        <w:tc>
          <w:tcPr>
            <w:tcW w:w="736" w:type="dxa"/>
            <w:noWrap w:val="0"/>
            <w:vAlign w:val="center"/>
          </w:tcPr>
          <w:p w14:paraId="7FDA32F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BD268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9D2223">
            <w:pPr>
              <w:jc w:val="center"/>
              <w:rPr>
                <w:highlight w:val="none"/>
              </w:rPr>
            </w:pPr>
          </w:p>
        </w:tc>
        <w:tc>
          <w:tcPr>
            <w:tcW w:w="710" w:type="dxa"/>
            <w:gridSpan w:val="2"/>
            <w:noWrap w:val="0"/>
            <w:vAlign w:val="center"/>
          </w:tcPr>
          <w:p w14:paraId="59D50B6C">
            <w:pPr>
              <w:jc w:val="both"/>
              <w:rPr>
                <w:highlight w:val="none"/>
                <w:vertAlign w:val="baseline"/>
              </w:rPr>
            </w:pPr>
          </w:p>
        </w:tc>
      </w:tr>
      <w:tr w14:paraId="363F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80C43D">
            <w:pPr>
              <w:jc w:val="center"/>
              <w:rPr>
                <w:rFonts w:hint="default"/>
                <w:highlight w:val="none"/>
                <w:vertAlign w:val="baseline"/>
                <w:lang w:val="en-US" w:eastAsia="zh-CN"/>
              </w:rPr>
            </w:pPr>
            <w:r>
              <w:rPr>
                <w:rFonts w:hint="eastAsia"/>
                <w:highlight w:val="none"/>
                <w:vertAlign w:val="baseline"/>
                <w:lang w:val="en-US" w:eastAsia="zh-CN"/>
              </w:rPr>
              <w:t>177</w:t>
            </w:r>
          </w:p>
        </w:tc>
        <w:tc>
          <w:tcPr>
            <w:tcW w:w="1690" w:type="dxa"/>
            <w:noWrap w:val="0"/>
            <w:vAlign w:val="center"/>
          </w:tcPr>
          <w:p w14:paraId="46DBB64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轴承模型</w:t>
            </w:r>
          </w:p>
        </w:tc>
        <w:tc>
          <w:tcPr>
            <w:tcW w:w="5928" w:type="dxa"/>
            <w:noWrap w:val="0"/>
            <w:vAlign w:val="center"/>
          </w:tcPr>
          <w:p w14:paraId="5E2FF85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包括滚动轴承和滑动轴承 2 种</w:t>
            </w:r>
          </w:p>
        </w:tc>
        <w:tc>
          <w:tcPr>
            <w:tcW w:w="736" w:type="dxa"/>
            <w:noWrap w:val="0"/>
            <w:vAlign w:val="center"/>
          </w:tcPr>
          <w:p w14:paraId="617AB9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AE758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CA538C7">
            <w:pPr>
              <w:jc w:val="center"/>
              <w:rPr>
                <w:highlight w:val="none"/>
              </w:rPr>
            </w:pPr>
          </w:p>
        </w:tc>
        <w:tc>
          <w:tcPr>
            <w:tcW w:w="710" w:type="dxa"/>
            <w:gridSpan w:val="2"/>
            <w:noWrap w:val="0"/>
            <w:vAlign w:val="center"/>
          </w:tcPr>
          <w:p w14:paraId="5AD549ED">
            <w:pPr>
              <w:jc w:val="both"/>
              <w:rPr>
                <w:highlight w:val="none"/>
                <w:vertAlign w:val="baseline"/>
              </w:rPr>
            </w:pPr>
          </w:p>
        </w:tc>
      </w:tr>
      <w:tr w14:paraId="6EDC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F447B4">
            <w:pPr>
              <w:jc w:val="center"/>
              <w:rPr>
                <w:rFonts w:hint="default"/>
                <w:highlight w:val="none"/>
                <w:vertAlign w:val="baseline"/>
                <w:lang w:val="en-US" w:eastAsia="zh-CN"/>
              </w:rPr>
            </w:pPr>
            <w:r>
              <w:rPr>
                <w:rFonts w:hint="eastAsia"/>
                <w:highlight w:val="none"/>
                <w:vertAlign w:val="baseline"/>
                <w:lang w:val="en-US" w:eastAsia="zh-CN"/>
              </w:rPr>
              <w:t>178</w:t>
            </w:r>
          </w:p>
        </w:tc>
        <w:tc>
          <w:tcPr>
            <w:tcW w:w="1690" w:type="dxa"/>
            <w:noWrap w:val="0"/>
            <w:vAlign w:val="center"/>
          </w:tcPr>
          <w:p w14:paraId="1C5542C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运动和力实验器（新款）</w:t>
            </w:r>
          </w:p>
        </w:tc>
        <w:tc>
          <w:tcPr>
            <w:tcW w:w="5928" w:type="dxa"/>
            <w:noWrap w:val="0"/>
            <w:vAlign w:val="center"/>
          </w:tcPr>
          <w:p w14:paraId="2245000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新款 平面板长度800 mm，宽度 120 mm；附摩擦材料</w:t>
            </w:r>
          </w:p>
        </w:tc>
        <w:tc>
          <w:tcPr>
            <w:tcW w:w="736" w:type="dxa"/>
            <w:noWrap w:val="0"/>
            <w:vAlign w:val="center"/>
          </w:tcPr>
          <w:p w14:paraId="7AEF25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BB5D5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DEB14DD">
            <w:pPr>
              <w:jc w:val="center"/>
              <w:rPr>
                <w:highlight w:val="none"/>
              </w:rPr>
            </w:pPr>
          </w:p>
        </w:tc>
        <w:tc>
          <w:tcPr>
            <w:tcW w:w="710" w:type="dxa"/>
            <w:gridSpan w:val="2"/>
            <w:noWrap w:val="0"/>
            <w:vAlign w:val="center"/>
          </w:tcPr>
          <w:p w14:paraId="51EEAA43">
            <w:pPr>
              <w:jc w:val="both"/>
              <w:rPr>
                <w:highlight w:val="none"/>
                <w:vertAlign w:val="baseline"/>
              </w:rPr>
            </w:pPr>
          </w:p>
        </w:tc>
      </w:tr>
      <w:tr w14:paraId="593B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5F2E9A">
            <w:pPr>
              <w:jc w:val="center"/>
              <w:rPr>
                <w:rFonts w:hint="default"/>
                <w:highlight w:val="none"/>
                <w:vertAlign w:val="baseline"/>
                <w:lang w:val="en-US" w:eastAsia="zh-CN"/>
              </w:rPr>
            </w:pPr>
            <w:r>
              <w:rPr>
                <w:rFonts w:hint="eastAsia"/>
                <w:highlight w:val="none"/>
                <w:vertAlign w:val="baseline"/>
                <w:lang w:val="en-US" w:eastAsia="zh-CN"/>
              </w:rPr>
              <w:t>179</w:t>
            </w:r>
          </w:p>
        </w:tc>
        <w:tc>
          <w:tcPr>
            <w:tcW w:w="1690" w:type="dxa"/>
            <w:noWrap w:val="0"/>
            <w:vAlign w:val="center"/>
          </w:tcPr>
          <w:p w14:paraId="3982EC7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伽利略理想斜面演示器</w:t>
            </w:r>
          </w:p>
        </w:tc>
        <w:tc>
          <w:tcPr>
            <w:tcW w:w="5928" w:type="dxa"/>
            <w:noWrap w:val="0"/>
            <w:vAlign w:val="center"/>
          </w:tcPr>
          <w:p w14:paraId="53027EF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长度不小于1200mm,一端高度可连续升降，</w:t>
            </w:r>
          </w:p>
        </w:tc>
        <w:tc>
          <w:tcPr>
            <w:tcW w:w="736" w:type="dxa"/>
            <w:noWrap w:val="0"/>
            <w:vAlign w:val="center"/>
          </w:tcPr>
          <w:p w14:paraId="676E19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2EE53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3673DBB">
            <w:pPr>
              <w:jc w:val="center"/>
              <w:rPr>
                <w:highlight w:val="none"/>
              </w:rPr>
            </w:pPr>
          </w:p>
        </w:tc>
        <w:tc>
          <w:tcPr>
            <w:tcW w:w="710" w:type="dxa"/>
            <w:gridSpan w:val="2"/>
            <w:noWrap w:val="0"/>
            <w:vAlign w:val="center"/>
          </w:tcPr>
          <w:p w14:paraId="2915A2AD">
            <w:pPr>
              <w:jc w:val="both"/>
              <w:rPr>
                <w:highlight w:val="none"/>
                <w:vertAlign w:val="baseline"/>
              </w:rPr>
            </w:pPr>
          </w:p>
        </w:tc>
      </w:tr>
      <w:tr w14:paraId="0F3D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D91D3D3">
            <w:pPr>
              <w:jc w:val="center"/>
              <w:rPr>
                <w:rFonts w:hint="default"/>
                <w:highlight w:val="none"/>
                <w:vertAlign w:val="baseline"/>
                <w:lang w:val="en-US" w:eastAsia="zh-CN"/>
              </w:rPr>
            </w:pPr>
            <w:r>
              <w:rPr>
                <w:rFonts w:hint="eastAsia"/>
                <w:highlight w:val="none"/>
                <w:vertAlign w:val="baseline"/>
                <w:lang w:val="en-US" w:eastAsia="zh-CN"/>
              </w:rPr>
              <w:t>180</w:t>
            </w:r>
          </w:p>
        </w:tc>
        <w:tc>
          <w:tcPr>
            <w:tcW w:w="1690" w:type="dxa"/>
            <w:noWrap w:val="0"/>
            <w:vAlign w:val="center"/>
          </w:tcPr>
          <w:p w14:paraId="013F1E7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惯性演示器</w:t>
            </w:r>
          </w:p>
        </w:tc>
        <w:tc>
          <w:tcPr>
            <w:tcW w:w="5928" w:type="dxa"/>
            <w:noWrap w:val="0"/>
            <w:vAlign w:val="center"/>
          </w:tcPr>
          <w:p w14:paraId="4AFBBA0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教师用</w:t>
            </w:r>
          </w:p>
        </w:tc>
        <w:tc>
          <w:tcPr>
            <w:tcW w:w="736" w:type="dxa"/>
            <w:noWrap w:val="0"/>
            <w:vAlign w:val="center"/>
          </w:tcPr>
          <w:p w14:paraId="2A5C8C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2B51B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05079BD">
            <w:pPr>
              <w:jc w:val="center"/>
              <w:rPr>
                <w:highlight w:val="none"/>
              </w:rPr>
            </w:pPr>
          </w:p>
        </w:tc>
        <w:tc>
          <w:tcPr>
            <w:tcW w:w="710" w:type="dxa"/>
            <w:gridSpan w:val="2"/>
            <w:noWrap w:val="0"/>
            <w:vAlign w:val="center"/>
          </w:tcPr>
          <w:p w14:paraId="000C94ED">
            <w:pPr>
              <w:jc w:val="both"/>
              <w:rPr>
                <w:highlight w:val="none"/>
                <w:vertAlign w:val="baseline"/>
              </w:rPr>
            </w:pPr>
          </w:p>
        </w:tc>
      </w:tr>
      <w:tr w14:paraId="6AA3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6C0AF8">
            <w:pPr>
              <w:jc w:val="center"/>
              <w:rPr>
                <w:rFonts w:hint="default"/>
                <w:highlight w:val="none"/>
                <w:vertAlign w:val="baseline"/>
                <w:lang w:val="en-US" w:eastAsia="zh-CN"/>
              </w:rPr>
            </w:pPr>
            <w:r>
              <w:rPr>
                <w:rFonts w:hint="eastAsia"/>
                <w:highlight w:val="none"/>
                <w:vertAlign w:val="baseline"/>
                <w:lang w:val="en-US" w:eastAsia="zh-CN"/>
              </w:rPr>
              <w:t>181</w:t>
            </w:r>
          </w:p>
        </w:tc>
        <w:tc>
          <w:tcPr>
            <w:tcW w:w="1690" w:type="dxa"/>
            <w:noWrap w:val="0"/>
            <w:vAlign w:val="center"/>
          </w:tcPr>
          <w:p w14:paraId="3407FC0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阿基米德原理实验器</w:t>
            </w:r>
          </w:p>
        </w:tc>
        <w:tc>
          <w:tcPr>
            <w:tcW w:w="5928" w:type="dxa"/>
            <w:noWrap w:val="0"/>
            <w:vAlign w:val="center"/>
          </w:tcPr>
          <w:p w14:paraId="68E31609">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包括筒、圆柱体、溢液杯等</w:t>
            </w:r>
          </w:p>
        </w:tc>
        <w:tc>
          <w:tcPr>
            <w:tcW w:w="736" w:type="dxa"/>
            <w:noWrap w:val="0"/>
            <w:vAlign w:val="center"/>
          </w:tcPr>
          <w:p w14:paraId="2FDB2A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61125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7B98E4F">
            <w:pPr>
              <w:jc w:val="center"/>
              <w:rPr>
                <w:highlight w:val="none"/>
              </w:rPr>
            </w:pPr>
          </w:p>
        </w:tc>
        <w:tc>
          <w:tcPr>
            <w:tcW w:w="710" w:type="dxa"/>
            <w:gridSpan w:val="2"/>
            <w:noWrap w:val="0"/>
            <w:vAlign w:val="center"/>
          </w:tcPr>
          <w:p w14:paraId="7303D799">
            <w:pPr>
              <w:jc w:val="both"/>
              <w:rPr>
                <w:highlight w:val="none"/>
                <w:vertAlign w:val="baseline"/>
              </w:rPr>
            </w:pPr>
          </w:p>
        </w:tc>
      </w:tr>
      <w:tr w14:paraId="5F28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BDCF62">
            <w:pPr>
              <w:jc w:val="center"/>
              <w:rPr>
                <w:rFonts w:hint="default"/>
                <w:highlight w:val="none"/>
                <w:vertAlign w:val="baseline"/>
                <w:lang w:val="en-US" w:eastAsia="zh-CN"/>
              </w:rPr>
            </w:pPr>
            <w:r>
              <w:rPr>
                <w:rFonts w:hint="eastAsia"/>
                <w:highlight w:val="none"/>
                <w:vertAlign w:val="baseline"/>
                <w:lang w:val="en-US" w:eastAsia="zh-CN"/>
              </w:rPr>
              <w:t>182</w:t>
            </w:r>
          </w:p>
        </w:tc>
        <w:tc>
          <w:tcPr>
            <w:tcW w:w="1690" w:type="dxa"/>
            <w:noWrap w:val="0"/>
            <w:vAlign w:val="center"/>
          </w:tcPr>
          <w:p w14:paraId="73A38A1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浮力原理演示器</w:t>
            </w:r>
          </w:p>
        </w:tc>
        <w:tc>
          <w:tcPr>
            <w:tcW w:w="5928" w:type="dxa"/>
            <w:noWrap w:val="0"/>
            <w:vAlign w:val="center"/>
          </w:tcPr>
          <w:p w14:paraId="04DD0BA5">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教师用</w:t>
            </w:r>
          </w:p>
        </w:tc>
        <w:tc>
          <w:tcPr>
            <w:tcW w:w="736" w:type="dxa"/>
            <w:noWrap w:val="0"/>
            <w:vAlign w:val="center"/>
          </w:tcPr>
          <w:p w14:paraId="788BD2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CE4B8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BA35106">
            <w:pPr>
              <w:jc w:val="center"/>
              <w:rPr>
                <w:highlight w:val="none"/>
              </w:rPr>
            </w:pPr>
          </w:p>
        </w:tc>
        <w:tc>
          <w:tcPr>
            <w:tcW w:w="710" w:type="dxa"/>
            <w:gridSpan w:val="2"/>
            <w:noWrap w:val="0"/>
            <w:vAlign w:val="center"/>
          </w:tcPr>
          <w:p w14:paraId="711A8B3A">
            <w:pPr>
              <w:jc w:val="both"/>
              <w:rPr>
                <w:highlight w:val="none"/>
                <w:vertAlign w:val="baseline"/>
              </w:rPr>
            </w:pPr>
          </w:p>
        </w:tc>
      </w:tr>
      <w:tr w14:paraId="62E6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58C8C0">
            <w:pPr>
              <w:jc w:val="center"/>
              <w:rPr>
                <w:rFonts w:hint="default"/>
                <w:highlight w:val="none"/>
                <w:vertAlign w:val="baseline"/>
                <w:lang w:val="en-US" w:eastAsia="zh-CN"/>
              </w:rPr>
            </w:pPr>
            <w:r>
              <w:rPr>
                <w:rFonts w:hint="eastAsia"/>
                <w:highlight w:val="none"/>
                <w:vertAlign w:val="baseline"/>
                <w:lang w:val="en-US" w:eastAsia="zh-CN"/>
              </w:rPr>
              <w:t>183</w:t>
            </w:r>
          </w:p>
        </w:tc>
        <w:tc>
          <w:tcPr>
            <w:tcW w:w="1690" w:type="dxa"/>
            <w:noWrap w:val="0"/>
            <w:vAlign w:val="center"/>
          </w:tcPr>
          <w:p w14:paraId="3CF857D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气体浮力演示器</w:t>
            </w:r>
          </w:p>
        </w:tc>
        <w:tc>
          <w:tcPr>
            <w:tcW w:w="5928" w:type="dxa"/>
            <w:noWrap w:val="0"/>
            <w:vAlign w:val="center"/>
          </w:tcPr>
          <w:p w14:paraId="73A7031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抽气式</w:t>
            </w:r>
          </w:p>
        </w:tc>
        <w:tc>
          <w:tcPr>
            <w:tcW w:w="736" w:type="dxa"/>
            <w:noWrap w:val="0"/>
            <w:vAlign w:val="center"/>
          </w:tcPr>
          <w:p w14:paraId="7E4BDB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F0E8D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E3792B3">
            <w:pPr>
              <w:jc w:val="center"/>
              <w:rPr>
                <w:highlight w:val="none"/>
              </w:rPr>
            </w:pPr>
          </w:p>
        </w:tc>
        <w:tc>
          <w:tcPr>
            <w:tcW w:w="710" w:type="dxa"/>
            <w:gridSpan w:val="2"/>
            <w:noWrap w:val="0"/>
            <w:vAlign w:val="center"/>
          </w:tcPr>
          <w:p w14:paraId="2BF2F62D">
            <w:pPr>
              <w:jc w:val="both"/>
              <w:rPr>
                <w:highlight w:val="none"/>
                <w:vertAlign w:val="baseline"/>
              </w:rPr>
            </w:pPr>
          </w:p>
        </w:tc>
      </w:tr>
      <w:tr w14:paraId="03BC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885EFC">
            <w:pPr>
              <w:jc w:val="center"/>
              <w:rPr>
                <w:rFonts w:hint="default"/>
                <w:highlight w:val="none"/>
                <w:vertAlign w:val="baseline"/>
                <w:lang w:val="en-US" w:eastAsia="zh-CN"/>
              </w:rPr>
            </w:pPr>
            <w:r>
              <w:rPr>
                <w:rFonts w:hint="eastAsia"/>
                <w:highlight w:val="none"/>
                <w:vertAlign w:val="baseline"/>
                <w:lang w:val="en-US" w:eastAsia="zh-CN"/>
              </w:rPr>
              <w:t>184</w:t>
            </w:r>
          </w:p>
        </w:tc>
        <w:tc>
          <w:tcPr>
            <w:tcW w:w="1690" w:type="dxa"/>
            <w:noWrap w:val="0"/>
            <w:vAlign w:val="center"/>
          </w:tcPr>
          <w:p w14:paraId="6D4B569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物体沉浮条件演示器</w:t>
            </w:r>
          </w:p>
        </w:tc>
        <w:tc>
          <w:tcPr>
            <w:tcW w:w="5928" w:type="dxa"/>
            <w:noWrap w:val="0"/>
            <w:vAlign w:val="center"/>
          </w:tcPr>
          <w:p w14:paraId="605EAB3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教师用</w:t>
            </w:r>
          </w:p>
        </w:tc>
        <w:tc>
          <w:tcPr>
            <w:tcW w:w="736" w:type="dxa"/>
            <w:noWrap w:val="0"/>
            <w:vAlign w:val="center"/>
          </w:tcPr>
          <w:p w14:paraId="003AC90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DF349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4871501">
            <w:pPr>
              <w:jc w:val="center"/>
              <w:rPr>
                <w:highlight w:val="none"/>
              </w:rPr>
            </w:pPr>
          </w:p>
        </w:tc>
        <w:tc>
          <w:tcPr>
            <w:tcW w:w="710" w:type="dxa"/>
            <w:gridSpan w:val="2"/>
            <w:noWrap w:val="0"/>
            <w:vAlign w:val="center"/>
          </w:tcPr>
          <w:p w14:paraId="67C42CD6">
            <w:pPr>
              <w:jc w:val="both"/>
              <w:rPr>
                <w:highlight w:val="none"/>
                <w:vertAlign w:val="baseline"/>
              </w:rPr>
            </w:pPr>
          </w:p>
        </w:tc>
      </w:tr>
      <w:tr w14:paraId="73D6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C0D3A8">
            <w:pPr>
              <w:jc w:val="center"/>
              <w:rPr>
                <w:rFonts w:hint="default"/>
                <w:highlight w:val="none"/>
                <w:vertAlign w:val="baseline"/>
                <w:lang w:val="en-US" w:eastAsia="zh-CN"/>
              </w:rPr>
            </w:pPr>
            <w:r>
              <w:rPr>
                <w:rFonts w:hint="eastAsia"/>
                <w:highlight w:val="none"/>
                <w:vertAlign w:val="baseline"/>
                <w:lang w:val="en-US" w:eastAsia="zh-CN"/>
              </w:rPr>
              <w:t>185</w:t>
            </w:r>
          </w:p>
        </w:tc>
        <w:tc>
          <w:tcPr>
            <w:tcW w:w="1690" w:type="dxa"/>
            <w:noWrap w:val="0"/>
            <w:vAlign w:val="center"/>
          </w:tcPr>
          <w:p w14:paraId="128FD6F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潜水艇浮沉演示器</w:t>
            </w:r>
          </w:p>
        </w:tc>
        <w:tc>
          <w:tcPr>
            <w:tcW w:w="5928" w:type="dxa"/>
            <w:noWrap w:val="0"/>
            <w:vAlign w:val="center"/>
          </w:tcPr>
          <w:p w14:paraId="382BA2DF">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由潜水艇模型、注射器、软乳胶管组成</w:t>
            </w:r>
          </w:p>
        </w:tc>
        <w:tc>
          <w:tcPr>
            <w:tcW w:w="736" w:type="dxa"/>
            <w:noWrap w:val="0"/>
            <w:vAlign w:val="center"/>
          </w:tcPr>
          <w:p w14:paraId="19FA4D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AC05C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9D4811C">
            <w:pPr>
              <w:jc w:val="center"/>
              <w:rPr>
                <w:highlight w:val="none"/>
              </w:rPr>
            </w:pPr>
          </w:p>
        </w:tc>
        <w:tc>
          <w:tcPr>
            <w:tcW w:w="710" w:type="dxa"/>
            <w:gridSpan w:val="2"/>
            <w:noWrap w:val="0"/>
            <w:vAlign w:val="center"/>
          </w:tcPr>
          <w:p w14:paraId="1DCA8FC8">
            <w:pPr>
              <w:jc w:val="both"/>
              <w:rPr>
                <w:highlight w:val="none"/>
                <w:vertAlign w:val="baseline"/>
              </w:rPr>
            </w:pPr>
          </w:p>
        </w:tc>
      </w:tr>
      <w:tr w14:paraId="33AA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177EA8">
            <w:pPr>
              <w:jc w:val="center"/>
              <w:rPr>
                <w:rFonts w:hint="default"/>
                <w:highlight w:val="none"/>
                <w:vertAlign w:val="baseline"/>
                <w:lang w:val="en-US" w:eastAsia="zh-CN"/>
              </w:rPr>
            </w:pPr>
            <w:r>
              <w:rPr>
                <w:rFonts w:hint="eastAsia"/>
                <w:highlight w:val="none"/>
                <w:vertAlign w:val="baseline"/>
                <w:lang w:val="en-US" w:eastAsia="zh-CN"/>
              </w:rPr>
              <w:t>186</w:t>
            </w:r>
          </w:p>
        </w:tc>
        <w:tc>
          <w:tcPr>
            <w:tcW w:w="1690" w:type="dxa"/>
            <w:noWrap w:val="0"/>
            <w:vAlign w:val="center"/>
          </w:tcPr>
          <w:p w14:paraId="5AFE0EA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伽利略温度计</w:t>
            </w:r>
          </w:p>
        </w:tc>
        <w:tc>
          <w:tcPr>
            <w:tcW w:w="5928" w:type="dxa"/>
            <w:noWrap w:val="0"/>
            <w:vAlign w:val="center"/>
          </w:tcPr>
          <w:p w14:paraId="0E63579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不少于 10 球，14 ℃～32 ℃</w:t>
            </w:r>
          </w:p>
        </w:tc>
        <w:tc>
          <w:tcPr>
            <w:tcW w:w="736" w:type="dxa"/>
            <w:noWrap w:val="0"/>
            <w:vAlign w:val="center"/>
          </w:tcPr>
          <w:p w14:paraId="7D600D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36D13A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AC2CC5A">
            <w:pPr>
              <w:jc w:val="center"/>
              <w:rPr>
                <w:highlight w:val="none"/>
              </w:rPr>
            </w:pPr>
          </w:p>
        </w:tc>
        <w:tc>
          <w:tcPr>
            <w:tcW w:w="710" w:type="dxa"/>
            <w:gridSpan w:val="2"/>
            <w:noWrap w:val="0"/>
            <w:vAlign w:val="center"/>
          </w:tcPr>
          <w:p w14:paraId="596A9438">
            <w:pPr>
              <w:jc w:val="both"/>
              <w:rPr>
                <w:highlight w:val="none"/>
                <w:vertAlign w:val="baseline"/>
              </w:rPr>
            </w:pPr>
          </w:p>
        </w:tc>
      </w:tr>
      <w:tr w14:paraId="4F68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469693">
            <w:pPr>
              <w:jc w:val="center"/>
              <w:rPr>
                <w:rFonts w:hint="default"/>
                <w:highlight w:val="none"/>
                <w:vertAlign w:val="baseline"/>
                <w:lang w:val="en-US" w:eastAsia="zh-CN"/>
              </w:rPr>
            </w:pPr>
            <w:r>
              <w:rPr>
                <w:rFonts w:hint="eastAsia"/>
                <w:highlight w:val="none"/>
                <w:vertAlign w:val="baseline"/>
                <w:lang w:val="en-US" w:eastAsia="zh-CN"/>
              </w:rPr>
              <w:t>187</w:t>
            </w:r>
          </w:p>
        </w:tc>
        <w:tc>
          <w:tcPr>
            <w:tcW w:w="1690" w:type="dxa"/>
            <w:noWrap w:val="0"/>
            <w:vAlign w:val="center"/>
          </w:tcPr>
          <w:p w14:paraId="2D60994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压力和压强演示器</w:t>
            </w:r>
          </w:p>
        </w:tc>
        <w:tc>
          <w:tcPr>
            <w:tcW w:w="5928" w:type="dxa"/>
            <w:noWrap w:val="0"/>
            <w:vAlign w:val="center"/>
          </w:tcPr>
          <w:p w14:paraId="016CEE7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压强小桌，尺寸≥200 mm×100 mm×100 mm；配套多孔弹性材料，尺寸≥220 mm×120 mm ×50 mm</w:t>
            </w:r>
          </w:p>
        </w:tc>
        <w:tc>
          <w:tcPr>
            <w:tcW w:w="736" w:type="dxa"/>
            <w:noWrap w:val="0"/>
            <w:vAlign w:val="center"/>
          </w:tcPr>
          <w:p w14:paraId="21F36A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FCFA6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0670225">
            <w:pPr>
              <w:jc w:val="center"/>
              <w:rPr>
                <w:highlight w:val="none"/>
              </w:rPr>
            </w:pPr>
          </w:p>
        </w:tc>
        <w:tc>
          <w:tcPr>
            <w:tcW w:w="710" w:type="dxa"/>
            <w:gridSpan w:val="2"/>
            <w:noWrap w:val="0"/>
            <w:vAlign w:val="center"/>
          </w:tcPr>
          <w:p w14:paraId="31A1660E">
            <w:pPr>
              <w:jc w:val="both"/>
              <w:rPr>
                <w:highlight w:val="none"/>
                <w:vertAlign w:val="baseline"/>
              </w:rPr>
            </w:pPr>
          </w:p>
        </w:tc>
      </w:tr>
      <w:tr w14:paraId="5712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0F1138">
            <w:pPr>
              <w:jc w:val="center"/>
              <w:rPr>
                <w:rFonts w:hint="default"/>
                <w:highlight w:val="none"/>
                <w:vertAlign w:val="baseline"/>
                <w:lang w:val="en-US" w:eastAsia="zh-CN"/>
              </w:rPr>
            </w:pPr>
            <w:r>
              <w:rPr>
                <w:rFonts w:hint="eastAsia"/>
                <w:highlight w:val="none"/>
                <w:vertAlign w:val="baseline"/>
                <w:lang w:val="en-US" w:eastAsia="zh-CN"/>
              </w:rPr>
              <w:t>188</w:t>
            </w:r>
          </w:p>
        </w:tc>
        <w:tc>
          <w:tcPr>
            <w:tcW w:w="1690" w:type="dxa"/>
            <w:noWrap w:val="0"/>
            <w:vAlign w:val="center"/>
          </w:tcPr>
          <w:p w14:paraId="26B2ED4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压力作用效果演示器</w:t>
            </w:r>
          </w:p>
        </w:tc>
        <w:tc>
          <w:tcPr>
            <w:tcW w:w="5928" w:type="dxa"/>
            <w:noWrap w:val="0"/>
            <w:vAlign w:val="center"/>
          </w:tcPr>
          <w:p w14:paraId="0CE2C3E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可改变接触面、带刻度标尺</w:t>
            </w:r>
          </w:p>
        </w:tc>
        <w:tc>
          <w:tcPr>
            <w:tcW w:w="736" w:type="dxa"/>
            <w:noWrap w:val="0"/>
            <w:vAlign w:val="center"/>
          </w:tcPr>
          <w:p w14:paraId="18B40F8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58A481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165111A">
            <w:pPr>
              <w:jc w:val="center"/>
              <w:rPr>
                <w:highlight w:val="none"/>
              </w:rPr>
            </w:pPr>
          </w:p>
        </w:tc>
        <w:tc>
          <w:tcPr>
            <w:tcW w:w="710" w:type="dxa"/>
            <w:gridSpan w:val="2"/>
            <w:noWrap w:val="0"/>
            <w:vAlign w:val="center"/>
          </w:tcPr>
          <w:p w14:paraId="512FABEE">
            <w:pPr>
              <w:jc w:val="both"/>
              <w:rPr>
                <w:highlight w:val="none"/>
                <w:vertAlign w:val="baseline"/>
              </w:rPr>
            </w:pPr>
          </w:p>
        </w:tc>
      </w:tr>
      <w:tr w14:paraId="7194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C0E504">
            <w:pPr>
              <w:jc w:val="center"/>
              <w:rPr>
                <w:rFonts w:hint="default"/>
                <w:highlight w:val="none"/>
                <w:vertAlign w:val="baseline"/>
                <w:lang w:val="en-US" w:eastAsia="zh-CN"/>
              </w:rPr>
            </w:pPr>
            <w:r>
              <w:rPr>
                <w:rFonts w:hint="eastAsia"/>
                <w:highlight w:val="none"/>
                <w:vertAlign w:val="baseline"/>
                <w:lang w:val="en-US" w:eastAsia="zh-CN"/>
              </w:rPr>
              <w:t>189</w:t>
            </w:r>
          </w:p>
        </w:tc>
        <w:tc>
          <w:tcPr>
            <w:tcW w:w="1690" w:type="dxa"/>
            <w:noWrap w:val="0"/>
            <w:vAlign w:val="center"/>
          </w:tcPr>
          <w:p w14:paraId="655ACFF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钉板实验材料</w:t>
            </w:r>
          </w:p>
        </w:tc>
        <w:tc>
          <w:tcPr>
            <w:tcW w:w="5928" w:type="dxa"/>
            <w:noWrap w:val="0"/>
            <w:vAlign w:val="center"/>
          </w:tcPr>
          <w:p w14:paraId="0A8CF54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由钉板、气球等组成；用密钉板时水袋不破，用疏钉板时水袋破</w:t>
            </w:r>
          </w:p>
        </w:tc>
        <w:tc>
          <w:tcPr>
            <w:tcW w:w="736" w:type="dxa"/>
            <w:noWrap w:val="0"/>
            <w:vAlign w:val="center"/>
          </w:tcPr>
          <w:p w14:paraId="1F1E2F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0C244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5374FB5">
            <w:pPr>
              <w:jc w:val="center"/>
              <w:rPr>
                <w:highlight w:val="none"/>
              </w:rPr>
            </w:pPr>
          </w:p>
        </w:tc>
        <w:tc>
          <w:tcPr>
            <w:tcW w:w="710" w:type="dxa"/>
            <w:gridSpan w:val="2"/>
            <w:noWrap w:val="0"/>
            <w:vAlign w:val="center"/>
          </w:tcPr>
          <w:p w14:paraId="506CDD00">
            <w:pPr>
              <w:jc w:val="both"/>
              <w:rPr>
                <w:highlight w:val="none"/>
                <w:vertAlign w:val="baseline"/>
              </w:rPr>
            </w:pPr>
          </w:p>
        </w:tc>
      </w:tr>
      <w:tr w14:paraId="085C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8E96C3">
            <w:pPr>
              <w:jc w:val="center"/>
              <w:rPr>
                <w:rFonts w:hint="default"/>
                <w:highlight w:val="none"/>
                <w:vertAlign w:val="baseline"/>
                <w:lang w:val="en-US" w:eastAsia="zh-CN"/>
              </w:rPr>
            </w:pPr>
            <w:r>
              <w:rPr>
                <w:rFonts w:hint="eastAsia"/>
                <w:highlight w:val="none"/>
                <w:vertAlign w:val="baseline"/>
                <w:lang w:val="en-US" w:eastAsia="zh-CN"/>
              </w:rPr>
              <w:t>190</w:t>
            </w:r>
          </w:p>
        </w:tc>
        <w:tc>
          <w:tcPr>
            <w:tcW w:w="1690" w:type="dxa"/>
            <w:noWrap w:val="0"/>
            <w:vAlign w:val="center"/>
          </w:tcPr>
          <w:p w14:paraId="61B26D97">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液体内部压强实验器</w:t>
            </w:r>
          </w:p>
        </w:tc>
        <w:tc>
          <w:tcPr>
            <w:tcW w:w="5928" w:type="dxa"/>
            <w:noWrap w:val="0"/>
            <w:vAlign w:val="center"/>
          </w:tcPr>
          <w:p w14:paraId="1B0169E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与2114配用</w:t>
            </w:r>
          </w:p>
        </w:tc>
        <w:tc>
          <w:tcPr>
            <w:tcW w:w="736" w:type="dxa"/>
            <w:noWrap w:val="0"/>
            <w:vAlign w:val="center"/>
          </w:tcPr>
          <w:p w14:paraId="4BFAFF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F56E1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2756DE4">
            <w:pPr>
              <w:jc w:val="center"/>
              <w:rPr>
                <w:highlight w:val="none"/>
              </w:rPr>
            </w:pPr>
          </w:p>
        </w:tc>
        <w:tc>
          <w:tcPr>
            <w:tcW w:w="710" w:type="dxa"/>
            <w:gridSpan w:val="2"/>
            <w:noWrap w:val="0"/>
            <w:vAlign w:val="center"/>
          </w:tcPr>
          <w:p w14:paraId="31923309">
            <w:pPr>
              <w:jc w:val="both"/>
              <w:rPr>
                <w:highlight w:val="none"/>
                <w:vertAlign w:val="baseline"/>
              </w:rPr>
            </w:pPr>
          </w:p>
        </w:tc>
      </w:tr>
      <w:tr w14:paraId="565D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ED1045">
            <w:pPr>
              <w:jc w:val="center"/>
              <w:rPr>
                <w:rFonts w:hint="default"/>
                <w:highlight w:val="none"/>
                <w:vertAlign w:val="baseline"/>
                <w:lang w:val="en-US" w:eastAsia="zh-CN"/>
              </w:rPr>
            </w:pPr>
            <w:r>
              <w:rPr>
                <w:rFonts w:hint="eastAsia"/>
                <w:highlight w:val="none"/>
                <w:vertAlign w:val="baseline"/>
                <w:lang w:val="en-US" w:eastAsia="zh-CN"/>
              </w:rPr>
              <w:t>191</w:t>
            </w:r>
          </w:p>
        </w:tc>
        <w:tc>
          <w:tcPr>
            <w:tcW w:w="1690" w:type="dxa"/>
            <w:noWrap w:val="0"/>
            <w:vAlign w:val="center"/>
          </w:tcPr>
          <w:p w14:paraId="4AE8BFA8">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微小压强计</w:t>
            </w:r>
          </w:p>
        </w:tc>
        <w:tc>
          <w:tcPr>
            <w:tcW w:w="5928" w:type="dxa"/>
            <w:noWrap w:val="0"/>
            <w:vAlign w:val="center"/>
          </w:tcPr>
          <w:p w14:paraId="750CD91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与2113配用</w:t>
            </w:r>
          </w:p>
        </w:tc>
        <w:tc>
          <w:tcPr>
            <w:tcW w:w="736" w:type="dxa"/>
            <w:noWrap w:val="0"/>
            <w:vAlign w:val="center"/>
          </w:tcPr>
          <w:p w14:paraId="0D793D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326D52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30A879B">
            <w:pPr>
              <w:jc w:val="center"/>
              <w:rPr>
                <w:highlight w:val="none"/>
              </w:rPr>
            </w:pPr>
          </w:p>
        </w:tc>
        <w:tc>
          <w:tcPr>
            <w:tcW w:w="710" w:type="dxa"/>
            <w:gridSpan w:val="2"/>
            <w:noWrap w:val="0"/>
            <w:vAlign w:val="center"/>
          </w:tcPr>
          <w:p w14:paraId="0CFB42A4">
            <w:pPr>
              <w:jc w:val="both"/>
              <w:rPr>
                <w:highlight w:val="none"/>
                <w:vertAlign w:val="baseline"/>
              </w:rPr>
            </w:pPr>
          </w:p>
        </w:tc>
      </w:tr>
      <w:tr w14:paraId="372B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E27079B">
            <w:pPr>
              <w:jc w:val="center"/>
              <w:rPr>
                <w:rFonts w:hint="default"/>
                <w:highlight w:val="none"/>
                <w:vertAlign w:val="baseline"/>
                <w:lang w:val="en-US" w:eastAsia="zh-CN"/>
              </w:rPr>
            </w:pPr>
            <w:r>
              <w:rPr>
                <w:rFonts w:hint="eastAsia"/>
                <w:highlight w:val="none"/>
                <w:vertAlign w:val="baseline"/>
                <w:lang w:val="en-US" w:eastAsia="zh-CN"/>
              </w:rPr>
              <w:t>192</w:t>
            </w:r>
          </w:p>
        </w:tc>
        <w:tc>
          <w:tcPr>
            <w:tcW w:w="1690" w:type="dxa"/>
            <w:noWrap w:val="0"/>
            <w:vAlign w:val="center"/>
          </w:tcPr>
          <w:p w14:paraId="7498CFEB">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透明盛液筒</w:t>
            </w:r>
          </w:p>
        </w:tc>
        <w:tc>
          <w:tcPr>
            <w:tcW w:w="5928" w:type="dxa"/>
            <w:noWrap w:val="0"/>
            <w:vAlign w:val="center"/>
          </w:tcPr>
          <w:p w14:paraId="6667BBB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Φ100mm*300mm</w:t>
            </w:r>
          </w:p>
        </w:tc>
        <w:tc>
          <w:tcPr>
            <w:tcW w:w="736" w:type="dxa"/>
            <w:noWrap w:val="0"/>
            <w:vAlign w:val="center"/>
          </w:tcPr>
          <w:p w14:paraId="5B75DA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5BD40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75D41F7">
            <w:pPr>
              <w:jc w:val="center"/>
              <w:rPr>
                <w:highlight w:val="none"/>
              </w:rPr>
            </w:pPr>
          </w:p>
        </w:tc>
        <w:tc>
          <w:tcPr>
            <w:tcW w:w="710" w:type="dxa"/>
            <w:gridSpan w:val="2"/>
            <w:noWrap w:val="0"/>
            <w:vAlign w:val="center"/>
          </w:tcPr>
          <w:p w14:paraId="7C1D518C">
            <w:pPr>
              <w:jc w:val="both"/>
              <w:rPr>
                <w:highlight w:val="none"/>
                <w:vertAlign w:val="baseline"/>
              </w:rPr>
            </w:pPr>
          </w:p>
        </w:tc>
      </w:tr>
      <w:tr w14:paraId="6C21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B8F8CF">
            <w:pPr>
              <w:jc w:val="center"/>
              <w:rPr>
                <w:rFonts w:hint="default"/>
                <w:highlight w:val="none"/>
                <w:vertAlign w:val="baseline"/>
                <w:lang w:val="en-US" w:eastAsia="zh-CN"/>
              </w:rPr>
            </w:pPr>
            <w:r>
              <w:rPr>
                <w:rFonts w:hint="eastAsia"/>
                <w:highlight w:val="none"/>
                <w:vertAlign w:val="baseline"/>
                <w:lang w:val="en-US" w:eastAsia="zh-CN"/>
              </w:rPr>
              <w:t>193</w:t>
            </w:r>
          </w:p>
        </w:tc>
        <w:tc>
          <w:tcPr>
            <w:tcW w:w="1690" w:type="dxa"/>
            <w:noWrap w:val="0"/>
            <w:vAlign w:val="center"/>
          </w:tcPr>
          <w:p w14:paraId="1FDA52B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液体对器壁压强演示器</w:t>
            </w:r>
          </w:p>
        </w:tc>
        <w:tc>
          <w:tcPr>
            <w:tcW w:w="5928" w:type="dxa"/>
            <w:noWrap w:val="0"/>
            <w:vAlign w:val="center"/>
          </w:tcPr>
          <w:p w14:paraId="023C9FD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塑料制</w:t>
            </w:r>
          </w:p>
        </w:tc>
        <w:tc>
          <w:tcPr>
            <w:tcW w:w="736" w:type="dxa"/>
            <w:noWrap w:val="0"/>
            <w:vAlign w:val="center"/>
          </w:tcPr>
          <w:p w14:paraId="39BDDB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6B9B3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2BCEB2F">
            <w:pPr>
              <w:jc w:val="center"/>
              <w:rPr>
                <w:highlight w:val="none"/>
              </w:rPr>
            </w:pPr>
          </w:p>
        </w:tc>
        <w:tc>
          <w:tcPr>
            <w:tcW w:w="710" w:type="dxa"/>
            <w:gridSpan w:val="2"/>
            <w:noWrap w:val="0"/>
            <w:vAlign w:val="center"/>
          </w:tcPr>
          <w:p w14:paraId="76A895D5">
            <w:pPr>
              <w:jc w:val="both"/>
              <w:rPr>
                <w:highlight w:val="none"/>
                <w:vertAlign w:val="baseline"/>
              </w:rPr>
            </w:pPr>
          </w:p>
        </w:tc>
      </w:tr>
      <w:tr w14:paraId="24EF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5052F4">
            <w:pPr>
              <w:jc w:val="center"/>
              <w:rPr>
                <w:rFonts w:hint="default"/>
                <w:highlight w:val="none"/>
                <w:vertAlign w:val="baseline"/>
                <w:lang w:val="en-US" w:eastAsia="zh-CN"/>
              </w:rPr>
            </w:pPr>
            <w:r>
              <w:rPr>
                <w:rFonts w:hint="eastAsia"/>
                <w:highlight w:val="none"/>
                <w:vertAlign w:val="baseline"/>
                <w:lang w:val="en-US" w:eastAsia="zh-CN"/>
              </w:rPr>
              <w:t>194</w:t>
            </w:r>
          </w:p>
        </w:tc>
        <w:tc>
          <w:tcPr>
            <w:tcW w:w="1690" w:type="dxa"/>
            <w:noWrap w:val="0"/>
            <w:vAlign w:val="center"/>
          </w:tcPr>
          <w:p w14:paraId="216D19CE">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液体压强与深度关</w:t>
            </w:r>
          </w:p>
        </w:tc>
        <w:tc>
          <w:tcPr>
            <w:tcW w:w="5928" w:type="dxa"/>
            <w:noWrap w:val="0"/>
            <w:vAlign w:val="center"/>
          </w:tcPr>
          <w:p w14:paraId="592974F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由低重心实验筒、砝码组（放入实验筒内）、</w:t>
            </w:r>
          </w:p>
        </w:tc>
        <w:tc>
          <w:tcPr>
            <w:tcW w:w="736" w:type="dxa"/>
            <w:noWrap w:val="0"/>
            <w:vAlign w:val="center"/>
          </w:tcPr>
          <w:p w14:paraId="5A8F8A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71D09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9924590">
            <w:pPr>
              <w:jc w:val="center"/>
              <w:rPr>
                <w:highlight w:val="none"/>
              </w:rPr>
            </w:pPr>
          </w:p>
        </w:tc>
        <w:tc>
          <w:tcPr>
            <w:tcW w:w="710" w:type="dxa"/>
            <w:gridSpan w:val="2"/>
            <w:noWrap w:val="0"/>
            <w:vAlign w:val="center"/>
          </w:tcPr>
          <w:p w14:paraId="4759ADBA">
            <w:pPr>
              <w:jc w:val="both"/>
              <w:rPr>
                <w:highlight w:val="none"/>
                <w:vertAlign w:val="baseline"/>
              </w:rPr>
            </w:pPr>
          </w:p>
        </w:tc>
      </w:tr>
      <w:tr w14:paraId="799B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065615">
            <w:pPr>
              <w:jc w:val="center"/>
              <w:rPr>
                <w:rFonts w:hint="default"/>
                <w:highlight w:val="none"/>
                <w:vertAlign w:val="baseline"/>
                <w:lang w:val="en-US" w:eastAsia="zh-CN"/>
              </w:rPr>
            </w:pPr>
            <w:r>
              <w:rPr>
                <w:rFonts w:hint="eastAsia"/>
                <w:highlight w:val="none"/>
                <w:vertAlign w:val="baseline"/>
                <w:lang w:val="en-US" w:eastAsia="zh-CN"/>
              </w:rPr>
              <w:t>195</w:t>
            </w:r>
          </w:p>
        </w:tc>
        <w:tc>
          <w:tcPr>
            <w:tcW w:w="1690" w:type="dxa"/>
            <w:noWrap w:val="0"/>
            <w:vAlign w:val="center"/>
          </w:tcPr>
          <w:p w14:paraId="73ADB92D">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帕斯卡球</w:t>
            </w:r>
          </w:p>
        </w:tc>
        <w:tc>
          <w:tcPr>
            <w:tcW w:w="5928" w:type="dxa"/>
            <w:noWrap w:val="0"/>
            <w:vAlign w:val="center"/>
          </w:tcPr>
          <w:p w14:paraId="5942198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活塞筒长 200 mm，外径 25 mm，壁厚≥1.5 mm；</w:t>
            </w:r>
          </w:p>
        </w:tc>
        <w:tc>
          <w:tcPr>
            <w:tcW w:w="736" w:type="dxa"/>
            <w:noWrap w:val="0"/>
            <w:vAlign w:val="center"/>
          </w:tcPr>
          <w:p w14:paraId="5B2AB6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FA9C4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26EF219">
            <w:pPr>
              <w:jc w:val="center"/>
              <w:rPr>
                <w:highlight w:val="none"/>
              </w:rPr>
            </w:pPr>
          </w:p>
        </w:tc>
        <w:tc>
          <w:tcPr>
            <w:tcW w:w="710" w:type="dxa"/>
            <w:gridSpan w:val="2"/>
            <w:noWrap w:val="0"/>
            <w:vAlign w:val="center"/>
          </w:tcPr>
          <w:p w14:paraId="50300574">
            <w:pPr>
              <w:jc w:val="both"/>
              <w:rPr>
                <w:highlight w:val="none"/>
                <w:vertAlign w:val="baseline"/>
              </w:rPr>
            </w:pPr>
          </w:p>
        </w:tc>
      </w:tr>
      <w:tr w14:paraId="5081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499F7A">
            <w:pPr>
              <w:jc w:val="center"/>
              <w:rPr>
                <w:rFonts w:hint="default"/>
                <w:highlight w:val="none"/>
                <w:vertAlign w:val="baseline"/>
                <w:lang w:val="en-US" w:eastAsia="zh-CN"/>
              </w:rPr>
            </w:pPr>
            <w:r>
              <w:rPr>
                <w:rFonts w:hint="eastAsia"/>
                <w:highlight w:val="none"/>
                <w:vertAlign w:val="baseline"/>
                <w:lang w:val="en-US" w:eastAsia="zh-CN"/>
              </w:rPr>
              <w:t>196</w:t>
            </w:r>
          </w:p>
        </w:tc>
        <w:tc>
          <w:tcPr>
            <w:tcW w:w="1690" w:type="dxa"/>
            <w:noWrap w:val="0"/>
            <w:vAlign w:val="center"/>
          </w:tcPr>
          <w:p w14:paraId="10AEBEFA">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液压机模型</w:t>
            </w:r>
          </w:p>
        </w:tc>
        <w:tc>
          <w:tcPr>
            <w:tcW w:w="5928" w:type="dxa"/>
            <w:noWrap w:val="0"/>
            <w:vAlign w:val="center"/>
          </w:tcPr>
          <w:p w14:paraId="4F3CAB8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大缸体、小缸体、连通管、承压台、支架、和压簧等组成</w:t>
            </w:r>
          </w:p>
        </w:tc>
        <w:tc>
          <w:tcPr>
            <w:tcW w:w="736" w:type="dxa"/>
            <w:noWrap w:val="0"/>
            <w:vAlign w:val="center"/>
          </w:tcPr>
          <w:p w14:paraId="129970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43B77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396" w:type="dxa"/>
            <w:gridSpan w:val="2"/>
            <w:noWrap w:val="0"/>
            <w:vAlign w:val="center"/>
          </w:tcPr>
          <w:p w14:paraId="4FD37729">
            <w:pPr>
              <w:jc w:val="center"/>
              <w:rPr>
                <w:highlight w:val="none"/>
              </w:rPr>
            </w:pPr>
          </w:p>
        </w:tc>
        <w:tc>
          <w:tcPr>
            <w:tcW w:w="710" w:type="dxa"/>
            <w:gridSpan w:val="2"/>
            <w:noWrap w:val="0"/>
            <w:vAlign w:val="center"/>
          </w:tcPr>
          <w:p w14:paraId="5B818935">
            <w:pPr>
              <w:jc w:val="both"/>
              <w:rPr>
                <w:highlight w:val="none"/>
                <w:vertAlign w:val="baseline"/>
              </w:rPr>
            </w:pPr>
          </w:p>
        </w:tc>
      </w:tr>
      <w:tr w14:paraId="30AB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03915A9">
            <w:pPr>
              <w:jc w:val="center"/>
              <w:rPr>
                <w:rFonts w:hint="default"/>
                <w:highlight w:val="none"/>
                <w:vertAlign w:val="baseline"/>
                <w:lang w:val="en-US" w:eastAsia="zh-CN"/>
              </w:rPr>
            </w:pPr>
            <w:r>
              <w:rPr>
                <w:rFonts w:hint="eastAsia"/>
                <w:highlight w:val="none"/>
                <w:vertAlign w:val="baseline"/>
                <w:lang w:val="en-US" w:eastAsia="zh-CN"/>
              </w:rPr>
              <w:t>197</w:t>
            </w:r>
          </w:p>
        </w:tc>
        <w:tc>
          <w:tcPr>
            <w:tcW w:w="1690" w:type="dxa"/>
            <w:noWrap w:val="0"/>
            <w:vAlign w:val="center"/>
          </w:tcPr>
          <w:p w14:paraId="242B63F2">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连通器</w:t>
            </w:r>
          </w:p>
        </w:tc>
        <w:tc>
          <w:tcPr>
            <w:tcW w:w="5928" w:type="dxa"/>
            <w:noWrap w:val="0"/>
            <w:vAlign w:val="center"/>
          </w:tcPr>
          <w:p w14:paraId="2ADAF87A">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透明工程塑料的连通器和插接式底座</w:t>
            </w:r>
          </w:p>
        </w:tc>
        <w:tc>
          <w:tcPr>
            <w:tcW w:w="736" w:type="dxa"/>
            <w:noWrap w:val="0"/>
            <w:vAlign w:val="center"/>
          </w:tcPr>
          <w:p w14:paraId="157C51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18651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3396" w:type="dxa"/>
            <w:gridSpan w:val="2"/>
            <w:noWrap w:val="0"/>
            <w:vAlign w:val="center"/>
          </w:tcPr>
          <w:p w14:paraId="010E7537">
            <w:pPr>
              <w:jc w:val="center"/>
              <w:rPr>
                <w:highlight w:val="none"/>
              </w:rPr>
            </w:pPr>
          </w:p>
        </w:tc>
        <w:tc>
          <w:tcPr>
            <w:tcW w:w="710" w:type="dxa"/>
            <w:gridSpan w:val="2"/>
            <w:noWrap w:val="0"/>
            <w:vAlign w:val="center"/>
          </w:tcPr>
          <w:p w14:paraId="431CF51E">
            <w:pPr>
              <w:jc w:val="both"/>
              <w:rPr>
                <w:highlight w:val="none"/>
                <w:vertAlign w:val="baseline"/>
              </w:rPr>
            </w:pPr>
          </w:p>
        </w:tc>
      </w:tr>
      <w:tr w14:paraId="5A15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808778">
            <w:pPr>
              <w:jc w:val="center"/>
              <w:rPr>
                <w:rFonts w:hint="default"/>
                <w:highlight w:val="none"/>
                <w:vertAlign w:val="baseline"/>
                <w:lang w:val="en-US" w:eastAsia="zh-CN"/>
              </w:rPr>
            </w:pPr>
            <w:r>
              <w:rPr>
                <w:rFonts w:hint="eastAsia"/>
                <w:highlight w:val="none"/>
                <w:vertAlign w:val="baseline"/>
                <w:lang w:val="en-US" w:eastAsia="zh-CN"/>
              </w:rPr>
              <w:t>198</w:t>
            </w:r>
          </w:p>
        </w:tc>
        <w:tc>
          <w:tcPr>
            <w:tcW w:w="1690" w:type="dxa"/>
            <w:noWrap w:val="0"/>
            <w:vAlign w:val="center"/>
          </w:tcPr>
          <w:p w14:paraId="538BA879">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生活中的连通器模型</w:t>
            </w:r>
          </w:p>
        </w:tc>
        <w:tc>
          <w:tcPr>
            <w:tcW w:w="5928" w:type="dxa"/>
            <w:noWrap w:val="0"/>
            <w:vAlign w:val="center"/>
          </w:tcPr>
          <w:p w14:paraId="5BD723A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透明地漏模型、水位计等，可注水演示</w:t>
            </w:r>
          </w:p>
        </w:tc>
        <w:tc>
          <w:tcPr>
            <w:tcW w:w="736" w:type="dxa"/>
            <w:noWrap w:val="0"/>
            <w:vAlign w:val="center"/>
          </w:tcPr>
          <w:p w14:paraId="020DD0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6E9E8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795C392">
            <w:pPr>
              <w:jc w:val="center"/>
              <w:rPr>
                <w:highlight w:val="none"/>
              </w:rPr>
            </w:pPr>
          </w:p>
        </w:tc>
        <w:tc>
          <w:tcPr>
            <w:tcW w:w="710" w:type="dxa"/>
            <w:gridSpan w:val="2"/>
            <w:noWrap w:val="0"/>
            <w:vAlign w:val="center"/>
          </w:tcPr>
          <w:p w14:paraId="114D0212">
            <w:pPr>
              <w:jc w:val="both"/>
              <w:rPr>
                <w:highlight w:val="none"/>
                <w:vertAlign w:val="baseline"/>
              </w:rPr>
            </w:pPr>
          </w:p>
        </w:tc>
      </w:tr>
      <w:tr w14:paraId="5481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CC7163C">
            <w:pPr>
              <w:jc w:val="center"/>
              <w:rPr>
                <w:rFonts w:hint="default"/>
                <w:highlight w:val="none"/>
                <w:vertAlign w:val="baseline"/>
                <w:lang w:val="en-US" w:eastAsia="zh-CN"/>
              </w:rPr>
            </w:pPr>
            <w:r>
              <w:rPr>
                <w:rFonts w:hint="eastAsia"/>
                <w:highlight w:val="none"/>
                <w:vertAlign w:val="baseline"/>
                <w:lang w:val="en-US" w:eastAsia="zh-CN"/>
              </w:rPr>
              <w:t>199</w:t>
            </w:r>
          </w:p>
        </w:tc>
        <w:tc>
          <w:tcPr>
            <w:tcW w:w="1690" w:type="dxa"/>
            <w:noWrap w:val="0"/>
            <w:vAlign w:val="center"/>
          </w:tcPr>
          <w:p w14:paraId="108B23E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倒装壶</w:t>
            </w:r>
          </w:p>
        </w:tc>
        <w:tc>
          <w:tcPr>
            <w:tcW w:w="5928" w:type="dxa"/>
            <w:noWrap w:val="0"/>
            <w:vAlign w:val="center"/>
          </w:tcPr>
          <w:p w14:paraId="7F0D7FB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透明，可注水演示</w:t>
            </w:r>
          </w:p>
        </w:tc>
        <w:tc>
          <w:tcPr>
            <w:tcW w:w="736" w:type="dxa"/>
            <w:noWrap w:val="0"/>
            <w:vAlign w:val="center"/>
          </w:tcPr>
          <w:p w14:paraId="6F2E0A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460AA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EC90D3F">
            <w:pPr>
              <w:jc w:val="center"/>
              <w:rPr>
                <w:highlight w:val="none"/>
              </w:rPr>
            </w:pPr>
          </w:p>
        </w:tc>
        <w:tc>
          <w:tcPr>
            <w:tcW w:w="710" w:type="dxa"/>
            <w:gridSpan w:val="2"/>
            <w:noWrap w:val="0"/>
            <w:vAlign w:val="center"/>
          </w:tcPr>
          <w:p w14:paraId="6FC04AEE">
            <w:pPr>
              <w:jc w:val="both"/>
              <w:rPr>
                <w:highlight w:val="none"/>
                <w:vertAlign w:val="baseline"/>
              </w:rPr>
            </w:pPr>
          </w:p>
        </w:tc>
      </w:tr>
      <w:tr w14:paraId="0955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BE5544C">
            <w:pPr>
              <w:jc w:val="center"/>
              <w:rPr>
                <w:rFonts w:hint="default"/>
                <w:highlight w:val="none"/>
                <w:vertAlign w:val="baseline"/>
                <w:lang w:val="en-US" w:eastAsia="zh-CN"/>
              </w:rPr>
            </w:pPr>
            <w:r>
              <w:rPr>
                <w:rFonts w:hint="eastAsia"/>
                <w:highlight w:val="none"/>
                <w:vertAlign w:val="baseline"/>
                <w:lang w:val="en-US" w:eastAsia="zh-CN"/>
              </w:rPr>
              <w:t>200</w:t>
            </w:r>
          </w:p>
        </w:tc>
        <w:tc>
          <w:tcPr>
            <w:tcW w:w="1690" w:type="dxa"/>
            <w:noWrap w:val="0"/>
            <w:vAlign w:val="center"/>
          </w:tcPr>
          <w:p w14:paraId="06C61B8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乳胶管</w:t>
            </w:r>
          </w:p>
        </w:tc>
        <w:tc>
          <w:tcPr>
            <w:tcW w:w="5928" w:type="dxa"/>
            <w:noWrap w:val="0"/>
            <w:vAlign w:val="center"/>
          </w:tcPr>
          <w:p w14:paraId="2DAC03B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外径 9 mm， 内径 6 mm</w:t>
            </w:r>
          </w:p>
        </w:tc>
        <w:tc>
          <w:tcPr>
            <w:tcW w:w="736" w:type="dxa"/>
            <w:noWrap w:val="0"/>
            <w:vAlign w:val="center"/>
          </w:tcPr>
          <w:p w14:paraId="1C2B0E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w:t>
            </w:r>
          </w:p>
        </w:tc>
        <w:tc>
          <w:tcPr>
            <w:tcW w:w="834" w:type="dxa"/>
            <w:noWrap w:val="0"/>
            <w:vAlign w:val="center"/>
          </w:tcPr>
          <w:p w14:paraId="76D93D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66572DD1">
            <w:pPr>
              <w:jc w:val="center"/>
              <w:rPr>
                <w:highlight w:val="none"/>
              </w:rPr>
            </w:pPr>
          </w:p>
        </w:tc>
        <w:tc>
          <w:tcPr>
            <w:tcW w:w="710" w:type="dxa"/>
            <w:gridSpan w:val="2"/>
            <w:noWrap w:val="0"/>
            <w:vAlign w:val="center"/>
          </w:tcPr>
          <w:p w14:paraId="7CBD3343">
            <w:pPr>
              <w:jc w:val="both"/>
              <w:rPr>
                <w:highlight w:val="none"/>
                <w:vertAlign w:val="baseline"/>
              </w:rPr>
            </w:pPr>
          </w:p>
        </w:tc>
      </w:tr>
      <w:tr w14:paraId="16CC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4823BA">
            <w:pPr>
              <w:jc w:val="center"/>
              <w:rPr>
                <w:rFonts w:hint="default"/>
                <w:highlight w:val="none"/>
                <w:vertAlign w:val="baseline"/>
                <w:lang w:val="en-US" w:eastAsia="zh-CN"/>
              </w:rPr>
            </w:pPr>
            <w:r>
              <w:rPr>
                <w:rFonts w:hint="eastAsia"/>
                <w:highlight w:val="none"/>
                <w:vertAlign w:val="baseline"/>
                <w:lang w:val="en-US" w:eastAsia="zh-CN"/>
              </w:rPr>
              <w:t>201</w:t>
            </w:r>
          </w:p>
        </w:tc>
        <w:tc>
          <w:tcPr>
            <w:tcW w:w="1690" w:type="dxa"/>
            <w:noWrap w:val="0"/>
            <w:vAlign w:val="center"/>
          </w:tcPr>
          <w:p w14:paraId="2BCCA045">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乳胶管</w:t>
            </w:r>
          </w:p>
        </w:tc>
        <w:tc>
          <w:tcPr>
            <w:tcW w:w="5928" w:type="dxa"/>
            <w:noWrap w:val="0"/>
            <w:vAlign w:val="center"/>
          </w:tcPr>
          <w:p w14:paraId="26040C3D">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外径 6 mm， 内径 4 mm</w:t>
            </w:r>
          </w:p>
        </w:tc>
        <w:tc>
          <w:tcPr>
            <w:tcW w:w="736" w:type="dxa"/>
            <w:noWrap w:val="0"/>
            <w:vAlign w:val="center"/>
          </w:tcPr>
          <w:p w14:paraId="5C07CE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w:t>
            </w:r>
          </w:p>
        </w:tc>
        <w:tc>
          <w:tcPr>
            <w:tcW w:w="834" w:type="dxa"/>
            <w:noWrap w:val="0"/>
            <w:vAlign w:val="center"/>
          </w:tcPr>
          <w:p w14:paraId="4AE2F6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7451BCF3">
            <w:pPr>
              <w:jc w:val="center"/>
              <w:rPr>
                <w:highlight w:val="none"/>
              </w:rPr>
            </w:pPr>
          </w:p>
        </w:tc>
        <w:tc>
          <w:tcPr>
            <w:tcW w:w="710" w:type="dxa"/>
            <w:gridSpan w:val="2"/>
            <w:noWrap w:val="0"/>
            <w:vAlign w:val="center"/>
          </w:tcPr>
          <w:p w14:paraId="0E9130DA">
            <w:pPr>
              <w:jc w:val="both"/>
              <w:rPr>
                <w:highlight w:val="none"/>
                <w:vertAlign w:val="baseline"/>
              </w:rPr>
            </w:pPr>
          </w:p>
        </w:tc>
      </w:tr>
      <w:tr w14:paraId="5729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BFC886E">
            <w:pPr>
              <w:jc w:val="center"/>
              <w:rPr>
                <w:rFonts w:hint="default"/>
                <w:highlight w:val="none"/>
                <w:vertAlign w:val="baseline"/>
                <w:lang w:val="en-US" w:eastAsia="zh-CN"/>
              </w:rPr>
            </w:pPr>
            <w:r>
              <w:rPr>
                <w:rFonts w:hint="eastAsia"/>
                <w:highlight w:val="none"/>
                <w:vertAlign w:val="baseline"/>
                <w:lang w:val="en-US" w:eastAsia="zh-CN"/>
              </w:rPr>
              <w:t>202</w:t>
            </w:r>
          </w:p>
        </w:tc>
        <w:tc>
          <w:tcPr>
            <w:tcW w:w="1690" w:type="dxa"/>
            <w:noWrap w:val="0"/>
            <w:vAlign w:val="center"/>
          </w:tcPr>
          <w:p w14:paraId="1BE0B201">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马德堡半球</w:t>
            </w:r>
          </w:p>
        </w:tc>
        <w:tc>
          <w:tcPr>
            <w:tcW w:w="5928" w:type="dxa"/>
            <w:noWrap w:val="0"/>
            <w:vAlign w:val="center"/>
          </w:tcPr>
          <w:p w14:paraId="4DE4127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半球、拉手、阀门和底座组成，阀门外径8mm</w:t>
            </w:r>
          </w:p>
        </w:tc>
        <w:tc>
          <w:tcPr>
            <w:tcW w:w="736" w:type="dxa"/>
            <w:noWrap w:val="0"/>
            <w:vAlign w:val="center"/>
          </w:tcPr>
          <w:p w14:paraId="3452182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8742E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79CBEC1">
            <w:pPr>
              <w:jc w:val="center"/>
              <w:rPr>
                <w:highlight w:val="none"/>
              </w:rPr>
            </w:pPr>
          </w:p>
        </w:tc>
        <w:tc>
          <w:tcPr>
            <w:tcW w:w="710" w:type="dxa"/>
            <w:gridSpan w:val="2"/>
            <w:noWrap w:val="0"/>
            <w:vAlign w:val="center"/>
          </w:tcPr>
          <w:p w14:paraId="64269929">
            <w:pPr>
              <w:jc w:val="both"/>
              <w:rPr>
                <w:highlight w:val="none"/>
                <w:vertAlign w:val="baseline"/>
              </w:rPr>
            </w:pPr>
          </w:p>
        </w:tc>
      </w:tr>
      <w:tr w14:paraId="0C75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963565">
            <w:pPr>
              <w:jc w:val="center"/>
              <w:rPr>
                <w:rFonts w:hint="default"/>
                <w:highlight w:val="none"/>
                <w:vertAlign w:val="baseline"/>
                <w:lang w:val="en-US" w:eastAsia="zh-CN"/>
              </w:rPr>
            </w:pPr>
            <w:r>
              <w:rPr>
                <w:rFonts w:hint="eastAsia"/>
                <w:highlight w:val="none"/>
                <w:vertAlign w:val="baseline"/>
                <w:lang w:val="en-US" w:eastAsia="zh-CN"/>
              </w:rPr>
              <w:t>203</w:t>
            </w:r>
          </w:p>
        </w:tc>
        <w:tc>
          <w:tcPr>
            <w:tcW w:w="1690" w:type="dxa"/>
            <w:noWrap w:val="0"/>
            <w:vAlign w:val="center"/>
          </w:tcPr>
          <w:p w14:paraId="2CB53E0C">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玻璃管</w:t>
            </w:r>
          </w:p>
        </w:tc>
        <w:tc>
          <w:tcPr>
            <w:tcW w:w="5928" w:type="dxa"/>
            <w:noWrap w:val="0"/>
            <w:vAlign w:val="center"/>
          </w:tcPr>
          <w:p w14:paraId="15532F4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Φ 5 mm ～ 6 mm</w:t>
            </w:r>
          </w:p>
        </w:tc>
        <w:tc>
          <w:tcPr>
            <w:tcW w:w="736" w:type="dxa"/>
            <w:noWrap w:val="0"/>
            <w:vAlign w:val="center"/>
          </w:tcPr>
          <w:p w14:paraId="7DDFB3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0474DE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w:t>
            </w:r>
          </w:p>
        </w:tc>
        <w:tc>
          <w:tcPr>
            <w:tcW w:w="3396" w:type="dxa"/>
            <w:gridSpan w:val="2"/>
            <w:noWrap w:val="0"/>
            <w:vAlign w:val="center"/>
          </w:tcPr>
          <w:p w14:paraId="4CF25039">
            <w:pPr>
              <w:jc w:val="center"/>
              <w:rPr>
                <w:highlight w:val="none"/>
              </w:rPr>
            </w:pPr>
          </w:p>
        </w:tc>
        <w:tc>
          <w:tcPr>
            <w:tcW w:w="710" w:type="dxa"/>
            <w:gridSpan w:val="2"/>
            <w:noWrap w:val="0"/>
            <w:vAlign w:val="center"/>
          </w:tcPr>
          <w:p w14:paraId="6473E080">
            <w:pPr>
              <w:jc w:val="both"/>
              <w:rPr>
                <w:highlight w:val="none"/>
                <w:vertAlign w:val="baseline"/>
              </w:rPr>
            </w:pPr>
          </w:p>
        </w:tc>
      </w:tr>
      <w:tr w14:paraId="7614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E052E2">
            <w:pPr>
              <w:jc w:val="center"/>
              <w:rPr>
                <w:rFonts w:hint="default"/>
                <w:highlight w:val="none"/>
                <w:vertAlign w:val="baseline"/>
                <w:lang w:val="en-US" w:eastAsia="zh-CN"/>
              </w:rPr>
            </w:pPr>
            <w:r>
              <w:rPr>
                <w:rFonts w:hint="eastAsia"/>
                <w:highlight w:val="none"/>
                <w:vertAlign w:val="baseline"/>
                <w:lang w:val="en-US" w:eastAsia="zh-CN"/>
              </w:rPr>
              <w:t>204</w:t>
            </w:r>
          </w:p>
        </w:tc>
        <w:tc>
          <w:tcPr>
            <w:tcW w:w="1690" w:type="dxa"/>
            <w:noWrap w:val="0"/>
            <w:vAlign w:val="center"/>
          </w:tcPr>
          <w:p w14:paraId="7B94895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玻璃管</w:t>
            </w:r>
          </w:p>
        </w:tc>
        <w:tc>
          <w:tcPr>
            <w:tcW w:w="5928" w:type="dxa"/>
            <w:noWrap w:val="0"/>
            <w:vAlign w:val="center"/>
          </w:tcPr>
          <w:p w14:paraId="3A9E8712">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Φ 7 mm ～ 8 mm</w:t>
            </w:r>
          </w:p>
        </w:tc>
        <w:tc>
          <w:tcPr>
            <w:tcW w:w="736" w:type="dxa"/>
            <w:noWrap w:val="0"/>
            <w:vAlign w:val="center"/>
          </w:tcPr>
          <w:p w14:paraId="5F0516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427B9D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w:t>
            </w:r>
          </w:p>
        </w:tc>
        <w:tc>
          <w:tcPr>
            <w:tcW w:w="3396" w:type="dxa"/>
            <w:gridSpan w:val="2"/>
            <w:noWrap w:val="0"/>
            <w:vAlign w:val="center"/>
          </w:tcPr>
          <w:p w14:paraId="56375686">
            <w:pPr>
              <w:jc w:val="center"/>
              <w:rPr>
                <w:highlight w:val="none"/>
              </w:rPr>
            </w:pPr>
          </w:p>
        </w:tc>
        <w:tc>
          <w:tcPr>
            <w:tcW w:w="710" w:type="dxa"/>
            <w:gridSpan w:val="2"/>
            <w:noWrap w:val="0"/>
            <w:vAlign w:val="center"/>
          </w:tcPr>
          <w:p w14:paraId="554D21CC">
            <w:pPr>
              <w:jc w:val="both"/>
              <w:rPr>
                <w:highlight w:val="none"/>
                <w:vertAlign w:val="baseline"/>
              </w:rPr>
            </w:pPr>
          </w:p>
        </w:tc>
      </w:tr>
      <w:tr w14:paraId="639B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140C4B">
            <w:pPr>
              <w:jc w:val="center"/>
              <w:rPr>
                <w:rFonts w:hint="default"/>
                <w:highlight w:val="none"/>
                <w:vertAlign w:val="baseline"/>
                <w:lang w:val="en-US" w:eastAsia="zh-CN"/>
              </w:rPr>
            </w:pPr>
            <w:r>
              <w:rPr>
                <w:rFonts w:hint="eastAsia"/>
                <w:highlight w:val="none"/>
                <w:vertAlign w:val="baseline"/>
                <w:lang w:val="en-US" w:eastAsia="zh-CN"/>
              </w:rPr>
              <w:t>205</w:t>
            </w:r>
          </w:p>
        </w:tc>
        <w:tc>
          <w:tcPr>
            <w:tcW w:w="1690" w:type="dxa"/>
            <w:noWrap w:val="0"/>
            <w:vAlign w:val="center"/>
          </w:tcPr>
          <w:p w14:paraId="0E4304A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负压鱼缸</w:t>
            </w:r>
          </w:p>
        </w:tc>
        <w:tc>
          <w:tcPr>
            <w:tcW w:w="5928" w:type="dxa"/>
            <w:noWrap w:val="0"/>
            <w:vAlign w:val="center"/>
          </w:tcPr>
          <w:p w14:paraId="21B22034">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200 mm×200 mm×250 mm</w:t>
            </w:r>
          </w:p>
        </w:tc>
        <w:tc>
          <w:tcPr>
            <w:tcW w:w="736" w:type="dxa"/>
            <w:noWrap w:val="0"/>
            <w:vAlign w:val="center"/>
          </w:tcPr>
          <w:p w14:paraId="730466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8EBE5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4BDE284">
            <w:pPr>
              <w:jc w:val="center"/>
              <w:rPr>
                <w:highlight w:val="none"/>
              </w:rPr>
            </w:pPr>
          </w:p>
        </w:tc>
        <w:tc>
          <w:tcPr>
            <w:tcW w:w="710" w:type="dxa"/>
            <w:gridSpan w:val="2"/>
            <w:noWrap w:val="0"/>
            <w:vAlign w:val="center"/>
          </w:tcPr>
          <w:p w14:paraId="79D6991B">
            <w:pPr>
              <w:jc w:val="both"/>
              <w:rPr>
                <w:highlight w:val="none"/>
                <w:vertAlign w:val="baseline"/>
              </w:rPr>
            </w:pPr>
          </w:p>
        </w:tc>
      </w:tr>
      <w:tr w14:paraId="50E6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5B4B5B3">
            <w:pPr>
              <w:jc w:val="center"/>
              <w:rPr>
                <w:rFonts w:hint="default"/>
                <w:highlight w:val="none"/>
                <w:vertAlign w:val="baseline"/>
                <w:lang w:val="en-US" w:eastAsia="zh-CN"/>
              </w:rPr>
            </w:pPr>
            <w:r>
              <w:rPr>
                <w:rFonts w:hint="eastAsia"/>
                <w:highlight w:val="none"/>
                <w:vertAlign w:val="baseline"/>
                <w:lang w:val="en-US" w:eastAsia="zh-CN"/>
              </w:rPr>
              <w:t>206</w:t>
            </w:r>
          </w:p>
        </w:tc>
        <w:tc>
          <w:tcPr>
            <w:tcW w:w="1690" w:type="dxa"/>
            <w:noWrap w:val="0"/>
            <w:vAlign w:val="center"/>
          </w:tcPr>
          <w:p w14:paraId="3DC2DAB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可密封长玻璃管</w:t>
            </w:r>
          </w:p>
        </w:tc>
        <w:tc>
          <w:tcPr>
            <w:tcW w:w="5928" w:type="dxa"/>
            <w:noWrap w:val="0"/>
            <w:vAlign w:val="center"/>
          </w:tcPr>
          <w:p w14:paraId="6EFA31A3">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内径10mm×80mm，有胶塞，带刻度衬板</w:t>
            </w:r>
          </w:p>
        </w:tc>
        <w:tc>
          <w:tcPr>
            <w:tcW w:w="736" w:type="dxa"/>
            <w:noWrap w:val="0"/>
            <w:vAlign w:val="center"/>
          </w:tcPr>
          <w:p w14:paraId="03007C2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08036E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D3D620B">
            <w:pPr>
              <w:jc w:val="center"/>
              <w:rPr>
                <w:highlight w:val="none"/>
              </w:rPr>
            </w:pPr>
          </w:p>
        </w:tc>
        <w:tc>
          <w:tcPr>
            <w:tcW w:w="710" w:type="dxa"/>
            <w:gridSpan w:val="2"/>
            <w:noWrap w:val="0"/>
            <w:vAlign w:val="center"/>
          </w:tcPr>
          <w:p w14:paraId="398776C2">
            <w:pPr>
              <w:jc w:val="both"/>
              <w:rPr>
                <w:highlight w:val="none"/>
                <w:vertAlign w:val="baseline"/>
              </w:rPr>
            </w:pPr>
          </w:p>
        </w:tc>
      </w:tr>
      <w:tr w14:paraId="3822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5A1925">
            <w:pPr>
              <w:jc w:val="center"/>
              <w:rPr>
                <w:rFonts w:hint="default"/>
                <w:highlight w:val="none"/>
                <w:vertAlign w:val="baseline"/>
                <w:lang w:val="en-US" w:eastAsia="zh-CN"/>
              </w:rPr>
            </w:pPr>
            <w:r>
              <w:rPr>
                <w:rFonts w:hint="eastAsia"/>
                <w:highlight w:val="none"/>
                <w:vertAlign w:val="baseline"/>
                <w:lang w:val="en-US" w:eastAsia="zh-CN"/>
              </w:rPr>
              <w:t>207</w:t>
            </w:r>
          </w:p>
        </w:tc>
        <w:tc>
          <w:tcPr>
            <w:tcW w:w="1690" w:type="dxa"/>
            <w:noWrap w:val="0"/>
            <w:vAlign w:val="center"/>
          </w:tcPr>
          <w:p w14:paraId="7FF9B20F">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大气压系列实验器</w:t>
            </w:r>
          </w:p>
        </w:tc>
        <w:tc>
          <w:tcPr>
            <w:tcW w:w="5928" w:type="dxa"/>
            <w:noWrap w:val="0"/>
            <w:vAlign w:val="center"/>
          </w:tcPr>
          <w:p w14:paraId="17567118">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粗测大气压、证明大气压存在</w:t>
            </w:r>
          </w:p>
        </w:tc>
        <w:tc>
          <w:tcPr>
            <w:tcW w:w="736" w:type="dxa"/>
            <w:noWrap w:val="0"/>
            <w:vAlign w:val="center"/>
          </w:tcPr>
          <w:p w14:paraId="3479EA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C3F07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A84E5B2">
            <w:pPr>
              <w:jc w:val="center"/>
              <w:rPr>
                <w:highlight w:val="none"/>
              </w:rPr>
            </w:pPr>
          </w:p>
        </w:tc>
        <w:tc>
          <w:tcPr>
            <w:tcW w:w="710" w:type="dxa"/>
            <w:gridSpan w:val="2"/>
            <w:noWrap w:val="0"/>
            <w:vAlign w:val="center"/>
          </w:tcPr>
          <w:p w14:paraId="076740B7">
            <w:pPr>
              <w:jc w:val="both"/>
              <w:rPr>
                <w:highlight w:val="none"/>
                <w:vertAlign w:val="baseline"/>
              </w:rPr>
            </w:pPr>
          </w:p>
        </w:tc>
      </w:tr>
      <w:tr w14:paraId="05EB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85C75B">
            <w:pPr>
              <w:jc w:val="center"/>
              <w:rPr>
                <w:rFonts w:hint="default"/>
                <w:highlight w:val="none"/>
                <w:vertAlign w:val="baseline"/>
                <w:lang w:val="en-US" w:eastAsia="zh-CN"/>
              </w:rPr>
            </w:pPr>
            <w:r>
              <w:rPr>
                <w:rFonts w:hint="eastAsia"/>
                <w:highlight w:val="none"/>
                <w:vertAlign w:val="baseline"/>
                <w:lang w:val="en-US" w:eastAsia="zh-CN"/>
              </w:rPr>
              <w:t>208</w:t>
            </w:r>
          </w:p>
        </w:tc>
        <w:tc>
          <w:tcPr>
            <w:tcW w:w="1690" w:type="dxa"/>
            <w:noWrap w:val="0"/>
            <w:vAlign w:val="center"/>
          </w:tcPr>
          <w:p w14:paraId="534DC1A3">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空盒气压表</w:t>
            </w:r>
          </w:p>
        </w:tc>
        <w:tc>
          <w:tcPr>
            <w:tcW w:w="5928" w:type="dxa"/>
            <w:noWrap w:val="0"/>
            <w:vAlign w:val="center"/>
          </w:tcPr>
          <w:p w14:paraId="2A3401B7">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教学型，量程 950 hPa～1050 hPa</w:t>
            </w:r>
          </w:p>
        </w:tc>
        <w:tc>
          <w:tcPr>
            <w:tcW w:w="736" w:type="dxa"/>
            <w:noWrap w:val="0"/>
            <w:vAlign w:val="center"/>
          </w:tcPr>
          <w:p w14:paraId="4BE1DA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EA4CD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1CC224B">
            <w:pPr>
              <w:jc w:val="center"/>
              <w:rPr>
                <w:highlight w:val="none"/>
              </w:rPr>
            </w:pPr>
          </w:p>
        </w:tc>
        <w:tc>
          <w:tcPr>
            <w:tcW w:w="710" w:type="dxa"/>
            <w:gridSpan w:val="2"/>
            <w:noWrap w:val="0"/>
            <w:vAlign w:val="center"/>
          </w:tcPr>
          <w:p w14:paraId="2E16CA2B">
            <w:pPr>
              <w:jc w:val="both"/>
              <w:rPr>
                <w:highlight w:val="none"/>
                <w:vertAlign w:val="baseline"/>
              </w:rPr>
            </w:pPr>
          </w:p>
        </w:tc>
      </w:tr>
      <w:tr w14:paraId="7A3F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7F1FA51E">
            <w:pPr>
              <w:jc w:val="center"/>
              <w:rPr>
                <w:rFonts w:hint="default"/>
                <w:highlight w:val="none"/>
                <w:vertAlign w:val="baseline"/>
                <w:lang w:val="en-US" w:eastAsia="zh-CN"/>
              </w:rPr>
            </w:pPr>
            <w:r>
              <w:rPr>
                <w:rFonts w:hint="eastAsia"/>
                <w:highlight w:val="none"/>
                <w:vertAlign w:val="baseline"/>
                <w:lang w:val="en-US" w:eastAsia="zh-CN"/>
              </w:rPr>
              <w:t>209</w:t>
            </w:r>
          </w:p>
        </w:tc>
        <w:tc>
          <w:tcPr>
            <w:tcW w:w="1690" w:type="dxa"/>
            <w:noWrap w:val="0"/>
            <w:vAlign w:val="center"/>
          </w:tcPr>
          <w:p w14:paraId="62E8DE14">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空盒气压计</w:t>
            </w:r>
          </w:p>
        </w:tc>
        <w:tc>
          <w:tcPr>
            <w:tcW w:w="5928" w:type="dxa"/>
            <w:noWrap w:val="0"/>
            <w:vAlign w:val="center"/>
          </w:tcPr>
          <w:p w14:paraId="5F605750">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DYM3型，多膜盒，量程 80～106 kPa，带橡皮球</w:t>
            </w:r>
          </w:p>
        </w:tc>
        <w:tc>
          <w:tcPr>
            <w:tcW w:w="736" w:type="dxa"/>
            <w:noWrap w:val="0"/>
            <w:vAlign w:val="center"/>
          </w:tcPr>
          <w:p w14:paraId="0B50AC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CA07C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45AFDCF">
            <w:pPr>
              <w:jc w:val="center"/>
              <w:rPr>
                <w:highlight w:val="none"/>
              </w:rPr>
            </w:pPr>
          </w:p>
        </w:tc>
        <w:tc>
          <w:tcPr>
            <w:tcW w:w="710" w:type="dxa"/>
            <w:gridSpan w:val="2"/>
            <w:noWrap w:val="0"/>
            <w:vAlign w:val="center"/>
          </w:tcPr>
          <w:p w14:paraId="46A9BE8F">
            <w:pPr>
              <w:jc w:val="both"/>
              <w:rPr>
                <w:highlight w:val="none"/>
                <w:vertAlign w:val="baseline"/>
              </w:rPr>
            </w:pPr>
          </w:p>
        </w:tc>
      </w:tr>
      <w:tr w14:paraId="2A98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73860E">
            <w:pPr>
              <w:jc w:val="center"/>
              <w:rPr>
                <w:rFonts w:hint="default"/>
                <w:highlight w:val="none"/>
                <w:vertAlign w:val="baseline"/>
                <w:lang w:val="en-US" w:eastAsia="zh-CN"/>
              </w:rPr>
            </w:pPr>
            <w:r>
              <w:rPr>
                <w:rFonts w:hint="eastAsia"/>
                <w:highlight w:val="none"/>
                <w:vertAlign w:val="baseline"/>
                <w:lang w:val="en-US" w:eastAsia="zh-CN"/>
              </w:rPr>
              <w:t>210</w:t>
            </w:r>
          </w:p>
        </w:tc>
        <w:tc>
          <w:tcPr>
            <w:tcW w:w="1690" w:type="dxa"/>
            <w:noWrap w:val="0"/>
            <w:vAlign w:val="center"/>
          </w:tcPr>
          <w:p w14:paraId="08EB5BA6">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肺呼吸模拟器</w:t>
            </w:r>
          </w:p>
        </w:tc>
        <w:tc>
          <w:tcPr>
            <w:tcW w:w="5928" w:type="dxa"/>
            <w:noWrap w:val="0"/>
            <w:vAlign w:val="center"/>
          </w:tcPr>
          <w:p w14:paraId="4CB90DC1">
            <w:pPr>
              <w:keepNext w:val="0"/>
              <w:keepLines w:val="0"/>
              <w:widowControl/>
              <w:suppressLineNumbers w:val="0"/>
              <w:jc w:val="left"/>
              <w:textAlignment w:val="center"/>
              <w:rPr>
                <w:rFonts w:hint="eastAsia"/>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能模拟吸气排气</w:t>
            </w:r>
          </w:p>
        </w:tc>
        <w:tc>
          <w:tcPr>
            <w:tcW w:w="736" w:type="dxa"/>
            <w:noWrap w:val="0"/>
            <w:vAlign w:val="center"/>
          </w:tcPr>
          <w:p w14:paraId="5343C5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EF3F22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5F08A0C">
            <w:pPr>
              <w:jc w:val="center"/>
              <w:rPr>
                <w:highlight w:val="none"/>
              </w:rPr>
            </w:pPr>
          </w:p>
        </w:tc>
        <w:tc>
          <w:tcPr>
            <w:tcW w:w="710" w:type="dxa"/>
            <w:gridSpan w:val="2"/>
            <w:noWrap w:val="0"/>
            <w:vAlign w:val="center"/>
          </w:tcPr>
          <w:p w14:paraId="66DFEAFA">
            <w:pPr>
              <w:jc w:val="both"/>
              <w:rPr>
                <w:highlight w:val="none"/>
                <w:vertAlign w:val="baseline"/>
              </w:rPr>
            </w:pPr>
          </w:p>
        </w:tc>
      </w:tr>
      <w:tr w14:paraId="1294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87B4C3">
            <w:pPr>
              <w:jc w:val="center"/>
              <w:rPr>
                <w:rFonts w:hint="default"/>
                <w:highlight w:val="none"/>
                <w:vertAlign w:val="baseline"/>
                <w:lang w:val="en-US" w:eastAsia="zh-CN"/>
              </w:rPr>
            </w:pPr>
            <w:r>
              <w:rPr>
                <w:rFonts w:hint="eastAsia"/>
                <w:highlight w:val="none"/>
                <w:vertAlign w:val="baseline"/>
                <w:lang w:val="en-US" w:eastAsia="zh-CN"/>
              </w:rPr>
              <w:t>211</w:t>
            </w:r>
          </w:p>
        </w:tc>
        <w:tc>
          <w:tcPr>
            <w:tcW w:w="1690" w:type="dxa"/>
            <w:noWrap w:val="0"/>
            <w:vAlign w:val="center"/>
          </w:tcPr>
          <w:p w14:paraId="565D96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离心水泵模型</w:t>
            </w:r>
          </w:p>
        </w:tc>
        <w:tc>
          <w:tcPr>
            <w:tcW w:w="5928" w:type="dxa"/>
            <w:noWrap w:val="0"/>
            <w:vAlign w:val="center"/>
          </w:tcPr>
          <w:p w14:paraId="021B75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泵体、驱动机构、底座、进水管、出水管等</w:t>
            </w:r>
          </w:p>
        </w:tc>
        <w:tc>
          <w:tcPr>
            <w:tcW w:w="736" w:type="dxa"/>
            <w:noWrap w:val="0"/>
            <w:vAlign w:val="center"/>
          </w:tcPr>
          <w:p w14:paraId="6B9E042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89F93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354EECC">
            <w:pPr>
              <w:jc w:val="center"/>
              <w:rPr>
                <w:highlight w:val="none"/>
              </w:rPr>
            </w:pPr>
          </w:p>
        </w:tc>
        <w:tc>
          <w:tcPr>
            <w:tcW w:w="710" w:type="dxa"/>
            <w:gridSpan w:val="2"/>
            <w:noWrap w:val="0"/>
            <w:vAlign w:val="center"/>
          </w:tcPr>
          <w:p w14:paraId="587161AE">
            <w:pPr>
              <w:jc w:val="both"/>
              <w:rPr>
                <w:highlight w:val="none"/>
                <w:vertAlign w:val="baseline"/>
              </w:rPr>
            </w:pPr>
          </w:p>
        </w:tc>
      </w:tr>
      <w:tr w14:paraId="0C00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55BFA4B">
            <w:pPr>
              <w:jc w:val="center"/>
              <w:rPr>
                <w:rFonts w:hint="default"/>
                <w:highlight w:val="none"/>
                <w:vertAlign w:val="baseline"/>
                <w:lang w:val="en-US" w:eastAsia="zh-CN"/>
              </w:rPr>
            </w:pPr>
            <w:r>
              <w:rPr>
                <w:rFonts w:hint="eastAsia"/>
                <w:highlight w:val="none"/>
                <w:vertAlign w:val="baseline"/>
                <w:lang w:val="en-US" w:eastAsia="zh-CN"/>
              </w:rPr>
              <w:t>212</w:t>
            </w:r>
          </w:p>
        </w:tc>
        <w:tc>
          <w:tcPr>
            <w:tcW w:w="1690" w:type="dxa"/>
            <w:noWrap w:val="0"/>
            <w:vAlign w:val="center"/>
          </w:tcPr>
          <w:p w14:paraId="24FD3E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抽水机模型</w:t>
            </w:r>
          </w:p>
        </w:tc>
        <w:tc>
          <w:tcPr>
            <w:tcW w:w="5928" w:type="dxa"/>
            <w:noWrap w:val="0"/>
            <w:vAlign w:val="center"/>
          </w:tcPr>
          <w:p w14:paraId="5234FFB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筒身、活塞、活塞杆、进水阀、排水阀、等组成</w:t>
            </w:r>
          </w:p>
        </w:tc>
        <w:tc>
          <w:tcPr>
            <w:tcW w:w="736" w:type="dxa"/>
            <w:noWrap w:val="0"/>
            <w:vAlign w:val="center"/>
          </w:tcPr>
          <w:p w14:paraId="3D0AAE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A2B8B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CFF1E97">
            <w:pPr>
              <w:jc w:val="center"/>
              <w:rPr>
                <w:highlight w:val="none"/>
              </w:rPr>
            </w:pPr>
          </w:p>
        </w:tc>
        <w:tc>
          <w:tcPr>
            <w:tcW w:w="710" w:type="dxa"/>
            <w:gridSpan w:val="2"/>
            <w:noWrap w:val="0"/>
            <w:vAlign w:val="center"/>
          </w:tcPr>
          <w:p w14:paraId="6DB63607">
            <w:pPr>
              <w:jc w:val="both"/>
              <w:rPr>
                <w:highlight w:val="none"/>
                <w:vertAlign w:val="baseline"/>
              </w:rPr>
            </w:pPr>
          </w:p>
        </w:tc>
      </w:tr>
      <w:tr w14:paraId="1CDF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A1EFE49">
            <w:pPr>
              <w:jc w:val="center"/>
              <w:rPr>
                <w:rFonts w:hint="default"/>
                <w:highlight w:val="none"/>
                <w:vertAlign w:val="baseline"/>
                <w:lang w:val="en-US" w:eastAsia="zh-CN"/>
              </w:rPr>
            </w:pPr>
            <w:r>
              <w:rPr>
                <w:rFonts w:hint="eastAsia"/>
                <w:highlight w:val="none"/>
                <w:vertAlign w:val="baseline"/>
                <w:lang w:val="en-US" w:eastAsia="zh-CN"/>
              </w:rPr>
              <w:t>213</w:t>
            </w:r>
          </w:p>
        </w:tc>
        <w:tc>
          <w:tcPr>
            <w:tcW w:w="1690" w:type="dxa"/>
            <w:noWrap w:val="0"/>
            <w:vAlign w:val="center"/>
          </w:tcPr>
          <w:p w14:paraId="40134F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流体压强和流速的关系演示器</w:t>
            </w:r>
          </w:p>
        </w:tc>
        <w:tc>
          <w:tcPr>
            <w:tcW w:w="5928" w:type="dxa"/>
            <w:noWrap w:val="0"/>
            <w:vAlign w:val="center"/>
          </w:tcPr>
          <w:p w14:paraId="62931A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气体式，不含气源</w:t>
            </w:r>
          </w:p>
        </w:tc>
        <w:tc>
          <w:tcPr>
            <w:tcW w:w="736" w:type="dxa"/>
            <w:noWrap w:val="0"/>
            <w:vAlign w:val="center"/>
          </w:tcPr>
          <w:p w14:paraId="006BD4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CE3B4F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44E4110">
            <w:pPr>
              <w:jc w:val="center"/>
              <w:rPr>
                <w:highlight w:val="none"/>
              </w:rPr>
            </w:pPr>
          </w:p>
        </w:tc>
        <w:tc>
          <w:tcPr>
            <w:tcW w:w="710" w:type="dxa"/>
            <w:gridSpan w:val="2"/>
            <w:noWrap w:val="0"/>
            <w:vAlign w:val="center"/>
          </w:tcPr>
          <w:p w14:paraId="7DFA5366">
            <w:pPr>
              <w:jc w:val="both"/>
              <w:rPr>
                <w:highlight w:val="none"/>
                <w:vertAlign w:val="baseline"/>
              </w:rPr>
            </w:pPr>
          </w:p>
        </w:tc>
      </w:tr>
      <w:tr w14:paraId="43D1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5154BD7">
            <w:pPr>
              <w:jc w:val="center"/>
              <w:rPr>
                <w:rFonts w:hint="default"/>
                <w:highlight w:val="none"/>
                <w:vertAlign w:val="baseline"/>
                <w:lang w:val="en-US" w:eastAsia="zh-CN"/>
              </w:rPr>
            </w:pPr>
            <w:r>
              <w:rPr>
                <w:rFonts w:hint="eastAsia"/>
                <w:highlight w:val="none"/>
                <w:vertAlign w:val="baseline"/>
                <w:lang w:val="en-US" w:eastAsia="zh-CN"/>
              </w:rPr>
              <w:t>214</w:t>
            </w:r>
          </w:p>
        </w:tc>
        <w:tc>
          <w:tcPr>
            <w:tcW w:w="1690" w:type="dxa"/>
            <w:noWrap w:val="0"/>
            <w:vAlign w:val="center"/>
          </w:tcPr>
          <w:p w14:paraId="4C6F84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流体压强与流速关系演示器</w:t>
            </w:r>
          </w:p>
        </w:tc>
        <w:tc>
          <w:tcPr>
            <w:tcW w:w="5928" w:type="dxa"/>
            <w:noWrap w:val="0"/>
            <w:vAlign w:val="center"/>
          </w:tcPr>
          <w:p w14:paraId="37A248C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液体式，附有自动循环抽水功能</w:t>
            </w:r>
          </w:p>
        </w:tc>
        <w:tc>
          <w:tcPr>
            <w:tcW w:w="736" w:type="dxa"/>
            <w:noWrap w:val="0"/>
            <w:vAlign w:val="center"/>
          </w:tcPr>
          <w:p w14:paraId="4E83D72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97ECD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26A5EEE">
            <w:pPr>
              <w:jc w:val="center"/>
              <w:rPr>
                <w:highlight w:val="none"/>
              </w:rPr>
            </w:pPr>
          </w:p>
        </w:tc>
        <w:tc>
          <w:tcPr>
            <w:tcW w:w="710" w:type="dxa"/>
            <w:gridSpan w:val="2"/>
            <w:noWrap w:val="0"/>
            <w:vAlign w:val="center"/>
          </w:tcPr>
          <w:p w14:paraId="015C7CAE">
            <w:pPr>
              <w:jc w:val="both"/>
              <w:rPr>
                <w:highlight w:val="none"/>
                <w:vertAlign w:val="baseline"/>
              </w:rPr>
            </w:pPr>
          </w:p>
        </w:tc>
      </w:tr>
      <w:tr w14:paraId="7F54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FD2E7F">
            <w:pPr>
              <w:jc w:val="center"/>
              <w:rPr>
                <w:rFonts w:hint="default"/>
                <w:highlight w:val="none"/>
                <w:vertAlign w:val="baseline"/>
                <w:lang w:val="en-US" w:eastAsia="zh-CN"/>
              </w:rPr>
            </w:pPr>
            <w:r>
              <w:rPr>
                <w:rFonts w:hint="eastAsia"/>
                <w:highlight w:val="none"/>
                <w:vertAlign w:val="baseline"/>
                <w:lang w:val="en-US" w:eastAsia="zh-CN"/>
              </w:rPr>
              <w:t>215</w:t>
            </w:r>
          </w:p>
        </w:tc>
        <w:tc>
          <w:tcPr>
            <w:tcW w:w="1690" w:type="dxa"/>
            <w:noWrap w:val="0"/>
            <w:vAlign w:val="center"/>
          </w:tcPr>
          <w:p w14:paraId="7C5266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流体压强与流速关系演示器</w:t>
            </w:r>
          </w:p>
        </w:tc>
        <w:tc>
          <w:tcPr>
            <w:tcW w:w="5928" w:type="dxa"/>
            <w:noWrap w:val="0"/>
            <w:vAlign w:val="center"/>
          </w:tcPr>
          <w:p w14:paraId="141022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气体/液体两用式</w:t>
            </w:r>
          </w:p>
        </w:tc>
        <w:tc>
          <w:tcPr>
            <w:tcW w:w="736" w:type="dxa"/>
            <w:noWrap w:val="0"/>
            <w:vAlign w:val="center"/>
          </w:tcPr>
          <w:p w14:paraId="745557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DE2D8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74C3977">
            <w:pPr>
              <w:jc w:val="center"/>
              <w:rPr>
                <w:highlight w:val="none"/>
              </w:rPr>
            </w:pPr>
          </w:p>
        </w:tc>
        <w:tc>
          <w:tcPr>
            <w:tcW w:w="710" w:type="dxa"/>
            <w:gridSpan w:val="2"/>
            <w:noWrap w:val="0"/>
            <w:vAlign w:val="center"/>
          </w:tcPr>
          <w:p w14:paraId="1CA5447E">
            <w:pPr>
              <w:jc w:val="both"/>
              <w:rPr>
                <w:highlight w:val="none"/>
                <w:vertAlign w:val="baseline"/>
              </w:rPr>
            </w:pPr>
          </w:p>
        </w:tc>
      </w:tr>
      <w:tr w14:paraId="253C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60A398">
            <w:pPr>
              <w:jc w:val="center"/>
              <w:rPr>
                <w:rFonts w:hint="default"/>
                <w:highlight w:val="none"/>
                <w:vertAlign w:val="baseline"/>
                <w:lang w:val="en-US" w:eastAsia="zh-CN"/>
              </w:rPr>
            </w:pPr>
            <w:r>
              <w:rPr>
                <w:rFonts w:hint="eastAsia"/>
                <w:highlight w:val="none"/>
                <w:vertAlign w:val="baseline"/>
                <w:lang w:val="en-US" w:eastAsia="zh-CN"/>
              </w:rPr>
              <w:t>216</w:t>
            </w:r>
          </w:p>
        </w:tc>
        <w:tc>
          <w:tcPr>
            <w:tcW w:w="1690" w:type="dxa"/>
            <w:noWrap w:val="0"/>
            <w:vAlign w:val="center"/>
          </w:tcPr>
          <w:p w14:paraId="0FC5C0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飞机升力原理演示器</w:t>
            </w:r>
          </w:p>
        </w:tc>
        <w:tc>
          <w:tcPr>
            <w:tcW w:w="5928" w:type="dxa"/>
            <w:noWrap w:val="0"/>
            <w:vAlign w:val="center"/>
          </w:tcPr>
          <w:p w14:paraId="2225DB4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演示用</w:t>
            </w:r>
          </w:p>
        </w:tc>
        <w:tc>
          <w:tcPr>
            <w:tcW w:w="736" w:type="dxa"/>
            <w:noWrap w:val="0"/>
            <w:vAlign w:val="center"/>
          </w:tcPr>
          <w:p w14:paraId="2E0F85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29940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3E33BCD">
            <w:pPr>
              <w:jc w:val="center"/>
              <w:rPr>
                <w:highlight w:val="none"/>
              </w:rPr>
            </w:pPr>
          </w:p>
        </w:tc>
        <w:tc>
          <w:tcPr>
            <w:tcW w:w="710" w:type="dxa"/>
            <w:gridSpan w:val="2"/>
            <w:noWrap w:val="0"/>
            <w:vAlign w:val="center"/>
          </w:tcPr>
          <w:p w14:paraId="21B5F1F8">
            <w:pPr>
              <w:jc w:val="both"/>
              <w:rPr>
                <w:highlight w:val="none"/>
                <w:vertAlign w:val="baseline"/>
              </w:rPr>
            </w:pPr>
          </w:p>
        </w:tc>
      </w:tr>
      <w:tr w14:paraId="4D1E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FBA6AAA">
            <w:pPr>
              <w:jc w:val="center"/>
              <w:rPr>
                <w:rFonts w:hint="default"/>
                <w:highlight w:val="none"/>
                <w:vertAlign w:val="baseline"/>
                <w:lang w:val="en-US" w:eastAsia="zh-CN"/>
              </w:rPr>
            </w:pPr>
            <w:r>
              <w:rPr>
                <w:rFonts w:hint="eastAsia"/>
                <w:highlight w:val="none"/>
                <w:vertAlign w:val="baseline"/>
                <w:lang w:val="en-US" w:eastAsia="zh-CN"/>
              </w:rPr>
              <w:t>217</w:t>
            </w:r>
          </w:p>
        </w:tc>
        <w:tc>
          <w:tcPr>
            <w:tcW w:w="1690" w:type="dxa"/>
            <w:noWrap w:val="0"/>
            <w:vAlign w:val="center"/>
          </w:tcPr>
          <w:p w14:paraId="412102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伯努利悬浮球演示器</w:t>
            </w:r>
          </w:p>
        </w:tc>
        <w:tc>
          <w:tcPr>
            <w:tcW w:w="5928" w:type="dxa"/>
            <w:noWrap w:val="0"/>
            <w:vAlign w:val="center"/>
          </w:tcPr>
          <w:p w14:paraId="7E24596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含气源、悬浮球等</w:t>
            </w:r>
          </w:p>
        </w:tc>
        <w:tc>
          <w:tcPr>
            <w:tcW w:w="736" w:type="dxa"/>
            <w:noWrap w:val="0"/>
            <w:vAlign w:val="center"/>
          </w:tcPr>
          <w:p w14:paraId="0DC615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A2182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44D0AF">
            <w:pPr>
              <w:jc w:val="center"/>
              <w:rPr>
                <w:highlight w:val="none"/>
              </w:rPr>
            </w:pPr>
          </w:p>
        </w:tc>
        <w:tc>
          <w:tcPr>
            <w:tcW w:w="710" w:type="dxa"/>
            <w:gridSpan w:val="2"/>
            <w:noWrap w:val="0"/>
            <w:vAlign w:val="center"/>
          </w:tcPr>
          <w:p w14:paraId="5D5886DD">
            <w:pPr>
              <w:jc w:val="both"/>
              <w:rPr>
                <w:highlight w:val="none"/>
                <w:vertAlign w:val="baseline"/>
              </w:rPr>
            </w:pPr>
          </w:p>
        </w:tc>
      </w:tr>
      <w:tr w14:paraId="2E71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5C61D8">
            <w:pPr>
              <w:jc w:val="center"/>
              <w:rPr>
                <w:rFonts w:hint="default"/>
                <w:highlight w:val="none"/>
                <w:vertAlign w:val="baseline"/>
                <w:lang w:val="en-US" w:eastAsia="zh-CN"/>
              </w:rPr>
            </w:pPr>
            <w:r>
              <w:rPr>
                <w:rFonts w:hint="eastAsia"/>
                <w:highlight w:val="none"/>
                <w:vertAlign w:val="baseline"/>
                <w:lang w:val="en-US" w:eastAsia="zh-CN"/>
              </w:rPr>
              <w:t>218</w:t>
            </w:r>
          </w:p>
        </w:tc>
        <w:tc>
          <w:tcPr>
            <w:tcW w:w="1690" w:type="dxa"/>
            <w:noWrap w:val="0"/>
            <w:vAlign w:val="center"/>
          </w:tcPr>
          <w:p w14:paraId="000A5E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杠杆</w:t>
            </w:r>
          </w:p>
        </w:tc>
        <w:tc>
          <w:tcPr>
            <w:tcW w:w="5928" w:type="dxa"/>
            <w:noWrap w:val="0"/>
            <w:vAlign w:val="center"/>
          </w:tcPr>
          <w:p w14:paraId="23A5519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由杠杆、轴、调平装置和 挂钩组成</w:t>
            </w:r>
          </w:p>
        </w:tc>
        <w:tc>
          <w:tcPr>
            <w:tcW w:w="736" w:type="dxa"/>
            <w:noWrap w:val="0"/>
            <w:vAlign w:val="center"/>
          </w:tcPr>
          <w:p w14:paraId="02CE01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5E024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D899CF7">
            <w:pPr>
              <w:jc w:val="center"/>
              <w:rPr>
                <w:highlight w:val="none"/>
              </w:rPr>
            </w:pPr>
          </w:p>
        </w:tc>
        <w:tc>
          <w:tcPr>
            <w:tcW w:w="710" w:type="dxa"/>
            <w:gridSpan w:val="2"/>
            <w:noWrap w:val="0"/>
            <w:vAlign w:val="center"/>
          </w:tcPr>
          <w:p w14:paraId="39B40572">
            <w:pPr>
              <w:jc w:val="both"/>
              <w:rPr>
                <w:highlight w:val="none"/>
                <w:vertAlign w:val="baseline"/>
              </w:rPr>
            </w:pPr>
          </w:p>
        </w:tc>
      </w:tr>
      <w:tr w14:paraId="4DDF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0823AD">
            <w:pPr>
              <w:jc w:val="center"/>
              <w:rPr>
                <w:rFonts w:hint="default"/>
                <w:highlight w:val="none"/>
                <w:vertAlign w:val="baseline"/>
                <w:lang w:val="en-US" w:eastAsia="zh-CN"/>
              </w:rPr>
            </w:pPr>
            <w:r>
              <w:rPr>
                <w:rFonts w:hint="eastAsia"/>
                <w:highlight w:val="none"/>
                <w:vertAlign w:val="baseline"/>
                <w:lang w:val="en-US" w:eastAsia="zh-CN"/>
              </w:rPr>
              <w:t>219</w:t>
            </w:r>
          </w:p>
        </w:tc>
        <w:tc>
          <w:tcPr>
            <w:tcW w:w="1690" w:type="dxa"/>
            <w:noWrap w:val="0"/>
            <w:vAlign w:val="center"/>
          </w:tcPr>
          <w:p w14:paraId="6BBED6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演示滑轮组（新款）</w:t>
            </w:r>
          </w:p>
        </w:tc>
        <w:tc>
          <w:tcPr>
            <w:tcW w:w="5928" w:type="dxa"/>
            <w:noWrap w:val="0"/>
            <w:vAlign w:val="center"/>
          </w:tcPr>
          <w:p w14:paraId="32E332C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单2，三并2，三串2，可卡2</w:t>
            </w:r>
          </w:p>
        </w:tc>
        <w:tc>
          <w:tcPr>
            <w:tcW w:w="736" w:type="dxa"/>
            <w:noWrap w:val="0"/>
            <w:vAlign w:val="center"/>
          </w:tcPr>
          <w:p w14:paraId="3C58D5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39C606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96EE7BC">
            <w:pPr>
              <w:jc w:val="center"/>
              <w:rPr>
                <w:highlight w:val="none"/>
              </w:rPr>
            </w:pPr>
          </w:p>
        </w:tc>
        <w:tc>
          <w:tcPr>
            <w:tcW w:w="710" w:type="dxa"/>
            <w:gridSpan w:val="2"/>
            <w:noWrap w:val="0"/>
            <w:vAlign w:val="center"/>
          </w:tcPr>
          <w:p w14:paraId="648BF769">
            <w:pPr>
              <w:jc w:val="both"/>
              <w:rPr>
                <w:highlight w:val="none"/>
                <w:vertAlign w:val="baseline"/>
              </w:rPr>
            </w:pPr>
          </w:p>
        </w:tc>
      </w:tr>
      <w:tr w14:paraId="4808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B97C91">
            <w:pPr>
              <w:jc w:val="center"/>
              <w:rPr>
                <w:rFonts w:hint="default"/>
                <w:highlight w:val="none"/>
                <w:vertAlign w:val="baseline"/>
                <w:lang w:val="en-US" w:eastAsia="zh-CN"/>
              </w:rPr>
            </w:pPr>
            <w:r>
              <w:rPr>
                <w:rFonts w:hint="eastAsia"/>
                <w:highlight w:val="none"/>
                <w:vertAlign w:val="baseline"/>
                <w:lang w:val="en-US" w:eastAsia="zh-CN"/>
              </w:rPr>
              <w:t>220</w:t>
            </w:r>
          </w:p>
        </w:tc>
        <w:tc>
          <w:tcPr>
            <w:tcW w:w="1690" w:type="dxa"/>
            <w:noWrap w:val="0"/>
            <w:vAlign w:val="center"/>
          </w:tcPr>
          <w:p w14:paraId="5F8856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滑轮组（新款）</w:t>
            </w:r>
          </w:p>
        </w:tc>
        <w:tc>
          <w:tcPr>
            <w:tcW w:w="5928" w:type="dxa"/>
            <w:noWrap w:val="0"/>
            <w:vAlign w:val="center"/>
          </w:tcPr>
          <w:p w14:paraId="615AE06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单4，二并2，二串2，可卡2</w:t>
            </w:r>
          </w:p>
        </w:tc>
        <w:tc>
          <w:tcPr>
            <w:tcW w:w="736" w:type="dxa"/>
            <w:noWrap w:val="0"/>
            <w:vAlign w:val="center"/>
          </w:tcPr>
          <w:p w14:paraId="4F2D98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18572B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7C4569E">
            <w:pPr>
              <w:jc w:val="center"/>
              <w:rPr>
                <w:highlight w:val="none"/>
              </w:rPr>
            </w:pPr>
          </w:p>
        </w:tc>
        <w:tc>
          <w:tcPr>
            <w:tcW w:w="710" w:type="dxa"/>
            <w:gridSpan w:val="2"/>
            <w:noWrap w:val="0"/>
            <w:vAlign w:val="center"/>
          </w:tcPr>
          <w:p w14:paraId="688F6BE6">
            <w:pPr>
              <w:jc w:val="both"/>
              <w:rPr>
                <w:highlight w:val="none"/>
                <w:vertAlign w:val="baseline"/>
              </w:rPr>
            </w:pPr>
          </w:p>
        </w:tc>
      </w:tr>
      <w:tr w14:paraId="13B4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B530DD">
            <w:pPr>
              <w:jc w:val="center"/>
              <w:rPr>
                <w:rFonts w:hint="default"/>
                <w:highlight w:val="none"/>
                <w:vertAlign w:val="baseline"/>
                <w:lang w:val="en-US" w:eastAsia="zh-CN"/>
              </w:rPr>
            </w:pPr>
            <w:r>
              <w:rPr>
                <w:rFonts w:hint="eastAsia"/>
                <w:highlight w:val="none"/>
                <w:vertAlign w:val="baseline"/>
                <w:lang w:val="en-US" w:eastAsia="zh-CN"/>
              </w:rPr>
              <w:t>221</w:t>
            </w:r>
          </w:p>
        </w:tc>
        <w:tc>
          <w:tcPr>
            <w:tcW w:w="1690" w:type="dxa"/>
            <w:noWrap w:val="0"/>
            <w:vAlign w:val="center"/>
          </w:tcPr>
          <w:p w14:paraId="6BAD4A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支杆定滑轮和桌边夹</w:t>
            </w:r>
          </w:p>
        </w:tc>
        <w:tc>
          <w:tcPr>
            <w:tcW w:w="5928" w:type="dxa"/>
            <w:noWrap w:val="0"/>
            <w:vAlign w:val="center"/>
          </w:tcPr>
          <w:p w14:paraId="62441B6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金属的</w:t>
            </w:r>
          </w:p>
        </w:tc>
        <w:tc>
          <w:tcPr>
            <w:tcW w:w="736" w:type="dxa"/>
            <w:noWrap w:val="0"/>
            <w:vAlign w:val="center"/>
          </w:tcPr>
          <w:p w14:paraId="637A99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3EC3FE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4754774">
            <w:pPr>
              <w:jc w:val="center"/>
              <w:rPr>
                <w:highlight w:val="none"/>
              </w:rPr>
            </w:pPr>
          </w:p>
        </w:tc>
        <w:tc>
          <w:tcPr>
            <w:tcW w:w="710" w:type="dxa"/>
            <w:gridSpan w:val="2"/>
            <w:noWrap w:val="0"/>
            <w:vAlign w:val="center"/>
          </w:tcPr>
          <w:p w14:paraId="55193145">
            <w:pPr>
              <w:jc w:val="both"/>
              <w:rPr>
                <w:highlight w:val="none"/>
                <w:vertAlign w:val="baseline"/>
              </w:rPr>
            </w:pPr>
          </w:p>
        </w:tc>
      </w:tr>
      <w:tr w14:paraId="7DAF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DB086B">
            <w:pPr>
              <w:jc w:val="center"/>
              <w:rPr>
                <w:rFonts w:hint="default"/>
                <w:highlight w:val="none"/>
                <w:vertAlign w:val="baseline"/>
                <w:lang w:val="en-US" w:eastAsia="zh-CN"/>
              </w:rPr>
            </w:pPr>
            <w:r>
              <w:rPr>
                <w:rFonts w:hint="eastAsia"/>
                <w:highlight w:val="none"/>
                <w:vertAlign w:val="baseline"/>
                <w:lang w:val="en-US" w:eastAsia="zh-CN"/>
              </w:rPr>
              <w:t>222</w:t>
            </w:r>
          </w:p>
        </w:tc>
        <w:tc>
          <w:tcPr>
            <w:tcW w:w="1690" w:type="dxa"/>
            <w:noWrap w:val="0"/>
            <w:vAlign w:val="center"/>
          </w:tcPr>
          <w:p w14:paraId="69BC94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轮轴模型</w:t>
            </w:r>
          </w:p>
        </w:tc>
        <w:tc>
          <w:tcPr>
            <w:tcW w:w="5928" w:type="dxa"/>
            <w:noWrap w:val="0"/>
            <w:vAlign w:val="center"/>
          </w:tcPr>
          <w:p w14:paraId="695291C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大小台阶轮、平衡杆和块、主轴和支架</w:t>
            </w:r>
          </w:p>
        </w:tc>
        <w:tc>
          <w:tcPr>
            <w:tcW w:w="736" w:type="dxa"/>
            <w:noWrap w:val="0"/>
            <w:vAlign w:val="center"/>
          </w:tcPr>
          <w:p w14:paraId="62D43C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EFF41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9590F78">
            <w:pPr>
              <w:jc w:val="center"/>
              <w:rPr>
                <w:highlight w:val="none"/>
              </w:rPr>
            </w:pPr>
          </w:p>
        </w:tc>
        <w:tc>
          <w:tcPr>
            <w:tcW w:w="710" w:type="dxa"/>
            <w:gridSpan w:val="2"/>
            <w:noWrap w:val="0"/>
            <w:vAlign w:val="center"/>
          </w:tcPr>
          <w:p w14:paraId="5B383059">
            <w:pPr>
              <w:jc w:val="both"/>
              <w:rPr>
                <w:highlight w:val="none"/>
                <w:vertAlign w:val="baseline"/>
              </w:rPr>
            </w:pPr>
          </w:p>
        </w:tc>
      </w:tr>
      <w:tr w14:paraId="6DC0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0594534">
            <w:pPr>
              <w:jc w:val="center"/>
              <w:rPr>
                <w:rFonts w:hint="default"/>
                <w:highlight w:val="none"/>
                <w:vertAlign w:val="baseline"/>
                <w:lang w:val="en-US" w:eastAsia="zh-CN"/>
              </w:rPr>
            </w:pPr>
            <w:r>
              <w:rPr>
                <w:rFonts w:hint="eastAsia"/>
                <w:highlight w:val="none"/>
                <w:vertAlign w:val="baseline"/>
                <w:lang w:val="en-US" w:eastAsia="zh-CN"/>
              </w:rPr>
              <w:t>223</w:t>
            </w:r>
          </w:p>
        </w:tc>
        <w:tc>
          <w:tcPr>
            <w:tcW w:w="1690" w:type="dxa"/>
            <w:noWrap w:val="0"/>
            <w:vAlign w:val="center"/>
          </w:tcPr>
          <w:p w14:paraId="43F881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桔槔</w:t>
            </w:r>
          </w:p>
        </w:tc>
        <w:tc>
          <w:tcPr>
            <w:tcW w:w="5928" w:type="dxa"/>
            <w:noWrap w:val="0"/>
            <w:vAlign w:val="center"/>
          </w:tcPr>
          <w:p w14:paraId="23C8968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模型，施力后能模拟实景运转</w:t>
            </w:r>
          </w:p>
        </w:tc>
        <w:tc>
          <w:tcPr>
            <w:tcW w:w="736" w:type="dxa"/>
            <w:noWrap w:val="0"/>
            <w:vAlign w:val="center"/>
          </w:tcPr>
          <w:p w14:paraId="7805B3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636FB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23E9F19">
            <w:pPr>
              <w:jc w:val="center"/>
              <w:rPr>
                <w:highlight w:val="none"/>
              </w:rPr>
            </w:pPr>
          </w:p>
        </w:tc>
        <w:tc>
          <w:tcPr>
            <w:tcW w:w="710" w:type="dxa"/>
            <w:gridSpan w:val="2"/>
            <w:noWrap w:val="0"/>
            <w:vAlign w:val="center"/>
          </w:tcPr>
          <w:p w14:paraId="29898734">
            <w:pPr>
              <w:jc w:val="both"/>
              <w:rPr>
                <w:highlight w:val="none"/>
                <w:vertAlign w:val="baseline"/>
              </w:rPr>
            </w:pPr>
          </w:p>
        </w:tc>
      </w:tr>
      <w:tr w14:paraId="0238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9F2C2A">
            <w:pPr>
              <w:jc w:val="center"/>
              <w:rPr>
                <w:rFonts w:hint="default"/>
                <w:highlight w:val="none"/>
                <w:vertAlign w:val="baseline"/>
                <w:lang w:val="en-US" w:eastAsia="zh-CN"/>
              </w:rPr>
            </w:pPr>
            <w:r>
              <w:rPr>
                <w:rFonts w:hint="eastAsia"/>
                <w:highlight w:val="none"/>
                <w:vertAlign w:val="baseline"/>
                <w:lang w:val="en-US" w:eastAsia="zh-CN"/>
              </w:rPr>
              <w:t>224</w:t>
            </w:r>
          </w:p>
        </w:tc>
        <w:tc>
          <w:tcPr>
            <w:tcW w:w="1690" w:type="dxa"/>
            <w:noWrap w:val="0"/>
            <w:vAlign w:val="center"/>
          </w:tcPr>
          <w:p w14:paraId="139D14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辘轳</w:t>
            </w:r>
          </w:p>
        </w:tc>
        <w:tc>
          <w:tcPr>
            <w:tcW w:w="5928" w:type="dxa"/>
            <w:noWrap w:val="0"/>
            <w:vAlign w:val="center"/>
          </w:tcPr>
          <w:p w14:paraId="706F0C5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模型，施力后能模拟实景运转</w:t>
            </w:r>
          </w:p>
        </w:tc>
        <w:tc>
          <w:tcPr>
            <w:tcW w:w="736" w:type="dxa"/>
            <w:noWrap w:val="0"/>
            <w:vAlign w:val="center"/>
          </w:tcPr>
          <w:p w14:paraId="7A67AE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308D4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58F8885">
            <w:pPr>
              <w:jc w:val="center"/>
              <w:rPr>
                <w:highlight w:val="none"/>
              </w:rPr>
            </w:pPr>
          </w:p>
        </w:tc>
        <w:tc>
          <w:tcPr>
            <w:tcW w:w="710" w:type="dxa"/>
            <w:gridSpan w:val="2"/>
            <w:noWrap w:val="0"/>
            <w:vAlign w:val="center"/>
          </w:tcPr>
          <w:p w14:paraId="75474130">
            <w:pPr>
              <w:jc w:val="both"/>
              <w:rPr>
                <w:highlight w:val="none"/>
                <w:vertAlign w:val="baseline"/>
              </w:rPr>
            </w:pPr>
          </w:p>
        </w:tc>
      </w:tr>
      <w:tr w14:paraId="0302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D0FD70">
            <w:pPr>
              <w:jc w:val="center"/>
              <w:rPr>
                <w:rFonts w:hint="default"/>
                <w:highlight w:val="none"/>
                <w:vertAlign w:val="baseline"/>
                <w:lang w:val="en-US" w:eastAsia="zh-CN"/>
              </w:rPr>
            </w:pPr>
            <w:r>
              <w:rPr>
                <w:rFonts w:hint="eastAsia"/>
                <w:highlight w:val="none"/>
                <w:vertAlign w:val="baseline"/>
                <w:lang w:val="en-US" w:eastAsia="zh-CN"/>
              </w:rPr>
              <w:t>225</w:t>
            </w:r>
          </w:p>
        </w:tc>
        <w:tc>
          <w:tcPr>
            <w:tcW w:w="1690" w:type="dxa"/>
            <w:noWrap w:val="0"/>
            <w:vAlign w:val="center"/>
          </w:tcPr>
          <w:p w14:paraId="331796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水转连磨</w:t>
            </w:r>
          </w:p>
        </w:tc>
        <w:tc>
          <w:tcPr>
            <w:tcW w:w="5928" w:type="dxa"/>
            <w:noWrap w:val="0"/>
            <w:vAlign w:val="center"/>
          </w:tcPr>
          <w:p w14:paraId="283A54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模型，施力后能模拟实景运转</w:t>
            </w:r>
          </w:p>
        </w:tc>
        <w:tc>
          <w:tcPr>
            <w:tcW w:w="736" w:type="dxa"/>
            <w:noWrap w:val="0"/>
            <w:vAlign w:val="center"/>
          </w:tcPr>
          <w:p w14:paraId="23BDF6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C7180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F04439">
            <w:pPr>
              <w:jc w:val="center"/>
              <w:rPr>
                <w:highlight w:val="none"/>
              </w:rPr>
            </w:pPr>
          </w:p>
        </w:tc>
        <w:tc>
          <w:tcPr>
            <w:tcW w:w="710" w:type="dxa"/>
            <w:gridSpan w:val="2"/>
            <w:noWrap w:val="0"/>
            <w:vAlign w:val="center"/>
          </w:tcPr>
          <w:p w14:paraId="6B944307">
            <w:pPr>
              <w:jc w:val="both"/>
              <w:rPr>
                <w:highlight w:val="none"/>
                <w:vertAlign w:val="baseline"/>
              </w:rPr>
            </w:pPr>
          </w:p>
        </w:tc>
      </w:tr>
      <w:tr w14:paraId="33CA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81CB78">
            <w:pPr>
              <w:jc w:val="center"/>
              <w:rPr>
                <w:rFonts w:hint="default"/>
                <w:highlight w:val="none"/>
                <w:vertAlign w:val="baseline"/>
                <w:lang w:val="en-US" w:eastAsia="zh-CN"/>
              </w:rPr>
            </w:pPr>
            <w:r>
              <w:rPr>
                <w:rFonts w:hint="eastAsia"/>
                <w:highlight w:val="none"/>
                <w:vertAlign w:val="baseline"/>
                <w:lang w:val="en-US" w:eastAsia="zh-CN"/>
              </w:rPr>
              <w:t>226</w:t>
            </w:r>
          </w:p>
        </w:tc>
        <w:tc>
          <w:tcPr>
            <w:tcW w:w="1690" w:type="dxa"/>
            <w:noWrap w:val="0"/>
            <w:vAlign w:val="center"/>
          </w:tcPr>
          <w:p w14:paraId="210FC2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简单机械设计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实验箱</w:t>
            </w:r>
          </w:p>
        </w:tc>
        <w:tc>
          <w:tcPr>
            <w:tcW w:w="5928" w:type="dxa"/>
            <w:noWrap w:val="0"/>
            <w:vAlign w:val="center"/>
          </w:tcPr>
          <w:p w14:paraId="4F60D8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能方便的组合出多种简单机械，配有实验指导书和装拆工具，供学生按照设计思路进行装配和模拟设计</w:t>
            </w:r>
          </w:p>
        </w:tc>
        <w:tc>
          <w:tcPr>
            <w:tcW w:w="736" w:type="dxa"/>
            <w:noWrap w:val="0"/>
            <w:vAlign w:val="center"/>
          </w:tcPr>
          <w:p w14:paraId="448B45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D9A57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68FFFF6">
            <w:pPr>
              <w:jc w:val="center"/>
              <w:rPr>
                <w:highlight w:val="none"/>
              </w:rPr>
            </w:pPr>
          </w:p>
        </w:tc>
        <w:tc>
          <w:tcPr>
            <w:tcW w:w="710" w:type="dxa"/>
            <w:gridSpan w:val="2"/>
            <w:noWrap w:val="0"/>
            <w:vAlign w:val="center"/>
          </w:tcPr>
          <w:p w14:paraId="723A9DF9">
            <w:pPr>
              <w:jc w:val="both"/>
              <w:rPr>
                <w:highlight w:val="none"/>
                <w:vertAlign w:val="baseline"/>
              </w:rPr>
            </w:pPr>
          </w:p>
        </w:tc>
      </w:tr>
      <w:tr w14:paraId="71BD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D5992C">
            <w:pPr>
              <w:jc w:val="center"/>
              <w:rPr>
                <w:rFonts w:hint="default"/>
                <w:highlight w:val="none"/>
                <w:vertAlign w:val="baseline"/>
                <w:lang w:val="en-US" w:eastAsia="zh-CN"/>
              </w:rPr>
            </w:pPr>
            <w:r>
              <w:rPr>
                <w:rFonts w:hint="eastAsia"/>
                <w:highlight w:val="none"/>
                <w:vertAlign w:val="baseline"/>
                <w:lang w:val="en-US" w:eastAsia="zh-CN"/>
              </w:rPr>
              <w:t>227</w:t>
            </w:r>
          </w:p>
        </w:tc>
        <w:tc>
          <w:tcPr>
            <w:tcW w:w="1690" w:type="dxa"/>
            <w:noWrap w:val="0"/>
            <w:vAlign w:val="center"/>
          </w:tcPr>
          <w:p w14:paraId="5D5895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初中运动与力实验箱</w:t>
            </w:r>
          </w:p>
        </w:tc>
        <w:tc>
          <w:tcPr>
            <w:tcW w:w="5928" w:type="dxa"/>
            <w:noWrap w:val="0"/>
            <w:vAlign w:val="center"/>
          </w:tcPr>
          <w:p w14:paraId="52D76B7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运动与力、简单机械、压强与浮力等</w:t>
            </w:r>
          </w:p>
        </w:tc>
        <w:tc>
          <w:tcPr>
            <w:tcW w:w="736" w:type="dxa"/>
            <w:noWrap w:val="0"/>
            <w:vAlign w:val="center"/>
          </w:tcPr>
          <w:p w14:paraId="659BDE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1EFA0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19FA65D">
            <w:pPr>
              <w:jc w:val="center"/>
              <w:rPr>
                <w:highlight w:val="none"/>
              </w:rPr>
            </w:pPr>
          </w:p>
        </w:tc>
        <w:tc>
          <w:tcPr>
            <w:tcW w:w="710" w:type="dxa"/>
            <w:gridSpan w:val="2"/>
            <w:noWrap w:val="0"/>
            <w:vAlign w:val="center"/>
          </w:tcPr>
          <w:p w14:paraId="318501EC">
            <w:pPr>
              <w:jc w:val="both"/>
              <w:rPr>
                <w:highlight w:val="none"/>
                <w:vertAlign w:val="baseline"/>
              </w:rPr>
            </w:pPr>
          </w:p>
        </w:tc>
      </w:tr>
      <w:tr w14:paraId="7151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F000354">
            <w:pPr>
              <w:jc w:val="center"/>
              <w:rPr>
                <w:rFonts w:hint="default"/>
                <w:highlight w:val="none"/>
                <w:vertAlign w:val="baseline"/>
                <w:lang w:val="en-US" w:eastAsia="zh-CN"/>
              </w:rPr>
            </w:pPr>
            <w:r>
              <w:rPr>
                <w:rFonts w:hint="eastAsia"/>
                <w:highlight w:val="none"/>
                <w:vertAlign w:val="baseline"/>
                <w:lang w:val="en-US" w:eastAsia="zh-CN"/>
              </w:rPr>
              <w:t>228</w:t>
            </w:r>
          </w:p>
        </w:tc>
        <w:tc>
          <w:tcPr>
            <w:tcW w:w="1690" w:type="dxa"/>
            <w:noWrap w:val="0"/>
            <w:vAlign w:val="center"/>
          </w:tcPr>
          <w:p w14:paraId="666237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音叉</w:t>
            </w:r>
          </w:p>
        </w:tc>
        <w:tc>
          <w:tcPr>
            <w:tcW w:w="5928" w:type="dxa"/>
            <w:noWrap w:val="0"/>
            <w:vAlign w:val="center"/>
          </w:tcPr>
          <w:p w14:paraId="7C41906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256Hz</w:t>
            </w:r>
          </w:p>
        </w:tc>
        <w:tc>
          <w:tcPr>
            <w:tcW w:w="736" w:type="dxa"/>
            <w:noWrap w:val="0"/>
            <w:vAlign w:val="center"/>
          </w:tcPr>
          <w:p w14:paraId="76002D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9F400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439A912">
            <w:pPr>
              <w:jc w:val="center"/>
              <w:rPr>
                <w:highlight w:val="none"/>
              </w:rPr>
            </w:pPr>
          </w:p>
        </w:tc>
        <w:tc>
          <w:tcPr>
            <w:tcW w:w="710" w:type="dxa"/>
            <w:gridSpan w:val="2"/>
            <w:noWrap w:val="0"/>
            <w:vAlign w:val="center"/>
          </w:tcPr>
          <w:p w14:paraId="70093715">
            <w:pPr>
              <w:jc w:val="both"/>
              <w:rPr>
                <w:highlight w:val="none"/>
                <w:vertAlign w:val="baseline"/>
              </w:rPr>
            </w:pPr>
          </w:p>
        </w:tc>
      </w:tr>
      <w:tr w14:paraId="578F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A818CE">
            <w:pPr>
              <w:jc w:val="center"/>
              <w:rPr>
                <w:rFonts w:hint="default"/>
                <w:highlight w:val="none"/>
                <w:vertAlign w:val="baseline"/>
                <w:lang w:val="en-US" w:eastAsia="zh-CN"/>
              </w:rPr>
            </w:pPr>
            <w:r>
              <w:rPr>
                <w:rFonts w:hint="eastAsia"/>
                <w:highlight w:val="none"/>
                <w:vertAlign w:val="baseline"/>
                <w:lang w:val="en-US" w:eastAsia="zh-CN"/>
              </w:rPr>
              <w:t>229</w:t>
            </w:r>
          </w:p>
        </w:tc>
        <w:tc>
          <w:tcPr>
            <w:tcW w:w="1690" w:type="dxa"/>
            <w:noWrap w:val="0"/>
            <w:vAlign w:val="center"/>
          </w:tcPr>
          <w:p w14:paraId="5094F0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音叉</w:t>
            </w:r>
          </w:p>
        </w:tc>
        <w:tc>
          <w:tcPr>
            <w:tcW w:w="5928" w:type="dxa"/>
            <w:noWrap w:val="0"/>
            <w:vAlign w:val="center"/>
          </w:tcPr>
          <w:p w14:paraId="51EE324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512Hz</w:t>
            </w:r>
          </w:p>
        </w:tc>
        <w:tc>
          <w:tcPr>
            <w:tcW w:w="736" w:type="dxa"/>
            <w:noWrap w:val="0"/>
            <w:vAlign w:val="center"/>
          </w:tcPr>
          <w:p w14:paraId="03F20F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01279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71FAFD6">
            <w:pPr>
              <w:jc w:val="center"/>
              <w:rPr>
                <w:highlight w:val="none"/>
              </w:rPr>
            </w:pPr>
          </w:p>
        </w:tc>
        <w:tc>
          <w:tcPr>
            <w:tcW w:w="710" w:type="dxa"/>
            <w:gridSpan w:val="2"/>
            <w:noWrap w:val="0"/>
            <w:vAlign w:val="center"/>
          </w:tcPr>
          <w:p w14:paraId="18AB3FD6">
            <w:pPr>
              <w:jc w:val="both"/>
              <w:rPr>
                <w:highlight w:val="none"/>
                <w:vertAlign w:val="baseline"/>
              </w:rPr>
            </w:pPr>
          </w:p>
        </w:tc>
      </w:tr>
      <w:tr w14:paraId="7B68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2FF95A6">
            <w:pPr>
              <w:jc w:val="center"/>
              <w:rPr>
                <w:rFonts w:hint="default"/>
                <w:highlight w:val="none"/>
                <w:vertAlign w:val="baseline"/>
                <w:lang w:val="en-US" w:eastAsia="zh-CN"/>
              </w:rPr>
            </w:pPr>
            <w:r>
              <w:rPr>
                <w:rFonts w:hint="eastAsia"/>
                <w:highlight w:val="none"/>
                <w:vertAlign w:val="baseline"/>
                <w:lang w:val="en-US" w:eastAsia="zh-CN"/>
              </w:rPr>
              <w:t>230</w:t>
            </w:r>
          </w:p>
        </w:tc>
        <w:tc>
          <w:tcPr>
            <w:tcW w:w="1690" w:type="dxa"/>
            <w:noWrap w:val="0"/>
            <w:vAlign w:val="center"/>
          </w:tcPr>
          <w:p w14:paraId="6C98B1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电铃</w:t>
            </w:r>
          </w:p>
        </w:tc>
        <w:tc>
          <w:tcPr>
            <w:tcW w:w="5928" w:type="dxa"/>
            <w:noWrap w:val="0"/>
            <w:vAlign w:val="center"/>
          </w:tcPr>
          <w:p w14:paraId="402158C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在 15 m 范围内铃声清晰</w:t>
            </w:r>
          </w:p>
        </w:tc>
        <w:tc>
          <w:tcPr>
            <w:tcW w:w="736" w:type="dxa"/>
            <w:noWrap w:val="0"/>
            <w:vAlign w:val="center"/>
          </w:tcPr>
          <w:p w14:paraId="701A1E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52C94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4F29A7A">
            <w:pPr>
              <w:jc w:val="center"/>
              <w:rPr>
                <w:highlight w:val="none"/>
              </w:rPr>
            </w:pPr>
          </w:p>
        </w:tc>
        <w:tc>
          <w:tcPr>
            <w:tcW w:w="710" w:type="dxa"/>
            <w:gridSpan w:val="2"/>
            <w:noWrap w:val="0"/>
            <w:vAlign w:val="center"/>
          </w:tcPr>
          <w:p w14:paraId="1F726012">
            <w:pPr>
              <w:jc w:val="both"/>
              <w:rPr>
                <w:highlight w:val="none"/>
                <w:vertAlign w:val="baseline"/>
              </w:rPr>
            </w:pPr>
          </w:p>
        </w:tc>
      </w:tr>
      <w:tr w14:paraId="159F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92F23F9">
            <w:pPr>
              <w:jc w:val="center"/>
              <w:rPr>
                <w:rFonts w:hint="default"/>
                <w:highlight w:val="none"/>
                <w:vertAlign w:val="baseline"/>
                <w:lang w:val="en-US" w:eastAsia="zh-CN"/>
              </w:rPr>
            </w:pPr>
            <w:r>
              <w:rPr>
                <w:rFonts w:hint="eastAsia"/>
                <w:highlight w:val="none"/>
                <w:vertAlign w:val="baseline"/>
                <w:lang w:val="en-US" w:eastAsia="zh-CN"/>
              </w:rPr>
              <w:t>231</w:t>
            </w:r>
          </w:p>
        </w:tc>
        <w:tc>
          <w:tcPr>
            <w:tcW w:w="1690" w:type="dxa"/>
            <w:noWrap w:val="0"/>
            <w:vAlign w:val="center"/>
          </w:tcPr>
          <w:p w14:paraId="6030C81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听诊器</w:t>
            </w:r>
          </w:p>
        </w:tc>
        <w:tc>
          <w:tcPr>
            <w:tcW w:w="5928" w:type="dxa"/>
            <w:noWrap w:val="0"/>
            <w:vAlign w:val="center"/>
          </w:tcPr>
          <w:p w14:paraId="758FFD6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插入式单用听诊器</w:t>
            </w:r>
          </w:p>
        </w:tc>
        <w:tc>
          <w:tcPr>
            <w:tcW w:w="736" w:type="dxa"/>
            <w:noWrap w:val="0"/>
            <w:vAlign w:val="center"/>
          </w:tcPr>
          <w:p w14:paraId="2648E0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B9D3C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863ADA3">
            <w:pPr>
              <w:jc w:val="center"/>
              <w:rPr>
                <w:highlight w:val="none"/>
              </w:rPr>
            </w:pPr>
          </w:p>
        </w:tc>
        <w:tc>
          <w:tcPr>
            <w:tcW w:w="710" w:type="dxa"/>
            <w:gridSpan w:val="2"/>
            <w:noWrap w:val="0"/>
            <w:vAlign w:val="center"/>
          </w:tcPr>
          <w:p w14:paraId="72025F2F">
            <w:pPr>
              <w:jc w:val="both"/>
              <w:rPr>
                <w:highlight w:val="none"/>
                <w:vertAlign w:val="baseline"/>
              </w:rPr>
            </w:pPr>
          </w:p>
        </w:tc>
      </w:tr>
      <w:tr w14:paraId="05A9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AC8B3F2">
            <w:pPr>
              <w:jc w:val="center"/>
              <w:rPr>
                <w:rFonts w:hint="default"/>
                <w:highlight w:val="none"/>
                <w:vertAlign w:val="baseline"/>
                <w:lang w:val="en-US" w:eastAsia="zh-CN"/>
              </w:rPr>
            </w:pPr>
            <w:r>
              <w:rPr>
                <w:rFonts w:hint="eastAsia"/>
                <w:highlight w:val="none"/>
                <w:vertAlign w:val="baseline"/>
                <w:lang w:val="en-US" w:eastAsia="zh-CN"/>
              </w:rPr>
              <w:t>232</w:t>
            </w:r>
          </w:p>
        </w:tc>
        <w:tc>
          <w:tcPr>
            <w:tcW w:w="1690" w:type="dxa"/>
            <w:noWrap w:val="0"/>
            <w:vAlign w:val="center"/>
          </w:tcPr>
          <w:p w14:paraId="5A54C6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波动弹簧</w:t>
            </w:r>
          </w:p>
        </w:tc>
        <w:tc>
          <w:tcPr>
            <w:tcW w:w="5928" w:type="dxa"/>
            <w:noWrap w:val="0"/>
            <w:vAlign w:val="center"/>
          </w:tcPr>
          <w:p w14:paraId="23F708B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应不少于 130 圈，拉伸弹簧，扁形钢丝密绕</w:t>
            </w:r>
          </w:p>
        </w:tc>
        <w:tc>
          <w:tcPr>
            <w:tcW w:w="736" w:type="dxa"/>
            <w:noWrap w:val="0"/>
            <w:vAlign w:val="center"/>
          </w:tcPr>
          <w:p w14:paraId="29FDE3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E303A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A20CC9A">
            <w:pPr>
              <w:jc w:val="center"/>
              <w:rPr>
                <w:highlight w:val="none"/>
              </w:rPr>
            </w:pPr>
          </w:p>
        </w:tc>
        <w:tc>
          <w:tcPr>
            <w:tcW w:w="710" w:type="dxa"/>
            <w:gridSpan w:val="2"/>
            <w:noWrap w:val="0"/>
            <w:vAlign w:val="center"/>
          </w:tcPr>
          <w:p w14:paraId="0356784E">
            <w:pPr>
              <w:jc w:val="both"/>
              <w:rPr>
                <w:highlight w:val="none"/>
                <w:vertAlign w:val="baseline"/>
              </w:rPr>
            </w:pPr>
          </w:p>
        </w:tc>
      </w:tr>
      <w:tr w14:paraId="495D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449C41">
            <w:pPr>
              <w:jc w:val="center"/>
              <w:rPr>
                <w:rFonts w:hint="default"/>
                <w:highlight w:val="none"/>
                <w:vertAlign w:val="baseline"/>
                <w:lang w:val="en-US" w:eastAsia="zh-CN"/>
              </w:rPr>
            </w:pPr>
            <w:r>
              <w:rPr>
                <w:rFonts w:hint="eastAsia"/>
                <w:highlight w:val="none"/>
                <w:vertAlign w:val="baseline"/>
                <w:lang w:val="en-US" w:eastAsia="zh-CN"/>
              </w:rPr>
              <w:t>233</w:t>
            </w:r>
          </w:p>
        </w:tc>
        <w:tc>
          <w:tcPr>
            <w:tcW w:w="1690" w:type="dxa"/>
            <w:noWrap w:val="0"/>
            <w:vAlign w:val="center"/>
          </w:tcPr>
          <w:p w14:paraId="33AE4C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声传播演示器</w:t>
            </w:r>
          </w:p>
        </w:tc>
        <w:tc>
          <w:tcPr>
            <w:tcW w:w="5928" w:type="dxa"/>
            <w:noWrap w:val="0"/>
            <w:vAlign w:val="center"/>
          </w:tcPr>
          <w:p w14:paraId="2ED5DAA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透明可密封容器、音频发生器、扬声器等组成</w:t>
            </w:r>
          </w:p>
        </w:tc>
        <w:tc>
          <w:tcPr>
            <w:tcW w:w="736" w:type="dxa"/>
            <w:noWrap w:val="0"/>
            <w:vAlign w:val="center"/>
          </w:tcPr>
          <w:p w14:paraId="388F2F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3590B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EC564F4">
            <w:pPr>
              <w:jc w:val="center"/>
              <w:rPr>
                <w:highlight w:val="none"/>
              </w:rPr>
            </w:pPr>
          </w:p>
        </w:tc>
        <w:tc>
          <w:tcPr>
            <w:tcW w:w="710" w:type="dxa"/>
            <w:gridSpan w:val="2"/>
            <w:noWrap w:val="0"/>
            <w:vAlign w:val="center"/>
          </w:tcPr>
          <w:p w14:paraId="38920C12">
            <w:pPr>
              <w:jc w:val="both"/>
              <w:rPr>
                <w:highlight w:val="none"/>
                <w:vertAlign w:val="baseline"/>
              </w:rPr>
            </w:pPr>
          </w:p>
        </w:tc>
      </w:tr>
      <w:tr w14:paraId="0D8A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82CE03">
            <w:pPr>
              <w:jc w:val="center"/>
              <w:rPr>
                <w:rFonts w:hint="default"/>
                <w:highlight w:val="none"/>
                <w:vertAlign w:val="baseline"/>
                <w:lang w:val="en-US" w:eastAsia="zh-CN"/>
              </w:rPr>
            </w:pPr>
            <w:r>
              <w:rPr>
                <w:rFonts w:hint="eastAsia"/>
                <w:highlight w:val="none"/>
                <w:vertAlign w:val="baseline"/>
                <w:lang w:val="en-US" w:eastAsia="zh-CN"/>
              </w:rPr>
              <w:t>234</w:t>
            </w:r>
          </w:p>
        </w:tc>
        <w:tc>
          <w:tcPr>
            <w:tcW w:w="1690" w:type="dxa"/>
            <w:noWrap w:val="0"/>
            <w:vAlign w:val="center"/>
          </w:tcPr>
          <w:p w14:paraId="480B12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旋片式真空泵</w:t>
            </w:r>
          </w:p>
        </w:tc>
        <w:tc>
          <w:tcPr>
            <w:tcW w:w="5928" w:type="dxa"/>
            <w:noWrap w:val="0"/>
            <w:vAlign w:val="center"/>
          </w:tcPr>
          <w:p w14:paraId="71D6764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单相、直连泵</w:t>
            </w:r>
          </w:p>
        </w:tc>
        <w:tc>
          <w:tcPr>
            <w:tcW w:w="736" w:type="dxa"/>
            <w:noWrap w:val="0"/>
            <w:vAlign w:val="center"/>
          </w:tcPr>
          <w:p w14:paraId="158F25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D5ED7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358F9B4">
            <w:pPr>
              <w:jc w:val="center"/>
              <w:rPr>
                <w:highlight w:val="none"/>
              </w:rPr>
            </w:pPr>
          </w:p>
        </w:tc>
        <w:tc>
          <w:tcPr>
            <w:tcW w:w="710" w:type="dxa"/>
            <w:gridSpan w:val="2"/>
            <w:noWrap w:val="0"/>
            <w:vAlign w:val="center"/>
          </w:tcPr>
          <w:p w14:paraId="6AEFF7A8">
            <w:pPr>
              <w:jc w:val="both"/>
              <w:rPr>
                <w:highlight w:val="none"/>
                <w:vertAlign w:val="baseline"/>
              </w:rPr>
            </w:pPr>
          </w:p>
        </w:tc>
      </w:tr>
      <w:tr w14:paraId="37BE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86C1AF">
            <w:pPr>
              <w:jc w:val="center"/>
              <w:rPr>
                <w:rFonts w:hint="default"/>
                <w:highlight w:val="none"/>
                <w:vertAlign w:val="baseline"/>
                <w:lang w:val="en-US" w:eastAsia="zh-CN"/>
              </w:rPr>
            </w:pPr>
            <w:r>
              <w:rPr>
                <w:rFonts w:hint="eastAsia"/>
                <w:highlight w:val="none"/>
                <w:vertAlign w:val="baseline"/>
                <w:lang w:val="en-US" w:eastAsia="zh-CN"/>
              </w:rPr>
              <w:t>235</w:t>
            </w:r>
          </w:p>
        </w:tc>
        <w:tc>
          <w:tcPr>
            <w:tcW w:w="1690" w:type="dxa"/>
            <w:noWrap w:val="0"/>
            <w:vAlign w:val="center"/>
          </w:tcPr>
          <w:p w14:paraId="6968A99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抽气盘</w:t>
            </w:r>
          </w:p>
        </w:tc>
        <w:tc>
          <w:tcPr>
            <w:tcW w:w="5928" w:type="dxa"/>
            <w:noWrap w:val="0"/>
            <w:vAlign w:val="center"/>
          </w:tcPr>
          <w:p w14:paraId="6B04E18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附钟罩</w:t>
            </w:r>
          </w:p>
        </w:tc>
        <w:tc>
          <w:tcPr>
            <w:tcW w:w="736" w:type="dxa"/>
            <w:noWrap w:val="0"/>
            <w:vAlign w:val="center"/>
          </w:tcPr>
          <w:p w14:paraId="2AF4CF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3C2A6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8A50439">
            <w:pPr>
              <w:jc w:val="center"/>
              <w:rPr>
                <w:highlight w:val="none"/>
              </w:rPr>
            </w:pPr>
          </w:p>
        </w:tc>
        <w:tc>
          <w:tcPr>
            <w:tcW w:w="710" w:type="dxa"/>
            <w:gridSpan w:val="2"/>
            <w:noWrap w:val="0"/>
            <w:vAlign w:val="center"/>
          </w:tcPr>
          <w:p w14:paraId="1C315629">
            <w:pPr>
              <w:jc w:val="both"/>
              <w:rPr>
                <w:highlight w:val="none"/>
                <w:vertAlign w:val="baseline"/>
              </w:rPr>
            </w:pPr>
          </w:p>
        </w:tc>
      </w:tr>
      <w:tr w14:paraId="195F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871A6B">
            <w:pPr>
              <w:jc w:val="center"/>
              <w:rPr>
                <w:rFonts w:hint="default"/>
                <w:highlight w:val="none"/>
                <w:vertAlign w:val="baseline"/>
                <w:lang w:val="en-US" w:eastAsia="zh-CN"/>
              </w:rPr>
            </w:pPr>
            <w:r>
              <w:rPr>
                <w:rFonts w:hint="eastAsia"/>
                <w:highlight w:val="none"/>
                <w:vertAlign w:val="baseline"/>
                <w:lang w:val="en-US" w:eastAsia="zh-CN"/>
              </w:rPr>
              <w:t>236</w:t>
            </w:r>
          </w:p>
        </w:tc>
        <w:tc>
          <w:tcPr>
            <w:tcW w:w="1690" w:type="dxa"/>
            <w:noWrap w:val="0"/>
            <w:vAlign w:val="center"/>
          </w:tcPr>
          <w:p w14:paraId="33F851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发音齿轮</w:t>
            </w:r>
          </w:p>
        </w:tc>
        <w:tc>
          <w:tcPr>
            <w:tcW w:w="5928" w:type="dxa"/>
            <w:noWrap w:val="0"/>
            <w:vAlign w:val="center"/>
          </w:tcPr>
          <w:p w14:paraId="0EED687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齿板齿80、40、20，半圆形齿；齿板为金属</w:t>
            </w:r>
          </w:p>
        </w:tc>
        <w:tc>
          <w:tcPr>
            <w:tcW w:w="736" w:type="dxa"/>
            <w:noWrap w:val="0"/>
            <w:vAlign w:val="center"/>
          </w:tcPr>
          <w:p w14:paraId="109749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C85600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ABBDE17">
            <w:pPr>
              <w:jc w:val="center"/>
              <w:rPr>
                <w:highlight w:val="none"/>
              </w:rPr>
            </w:pPr>
          </w:p>
        </w:tc>
        <w:tc>
          <w:tcPr>
            <w:tcW w:w="710" w:type="dxa"/>
            <w:gridSpan w:val="2"/>
            <w:noWrap w:val="0"/>
            <w:vAlign w:val="center"/>
          </w:tcPr>
          <w:p w14:paraId="5085A3BA">
            <w:pPr>
              <w:jc w:val="both"/>
              <w:rPr>
                <w:highlight w:val="none"/>
                <w:vertAlign w:val="baseline"/>
              </w:rPr>
            </w:pPr>
          </w:p>
        </w:tc>
      </w:tr>
      <w:tr w14:paraId="2CCD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7368D72">
            <w:pPr>
              <w:jc w:val="center"/>
              <w:rPr>
                <w:rFonts w:hint="default"/>
                <w:highlight w:val="none"/>
                <w:vertAlign w:val="baseline"/>
                <w:lang w:val="en-US" w:eastAsia="zh-CN"/>
              </w:rPr>
            </w:pPr>
            <w:r>
              <w:rPr>
                <w:rFonts w:hint="eastAsia"/>
                <w:highlight w:val="none"/>
                <w:vertAlign w:val="baseline"/>
                <w:lang w:val="en-US" w:eastAsia="zh-CN"/>
              </w:rPr>
              <w:t>237</w:t>
            </w:r>
          </w:p>
        </w:tc>
        <w:tc>
          <w:tcPr>
            <w:tcW w:w="1690" w:type="dxa"/>
            <w:noWrap w:val="0"/>
            <w:vAlign w:val="center"/>
          </w:tcPr>
          <w:p w14:paraId="7C1D86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手摇离心转台</w:t>
            </w:r>
          </w:p>
        </w:tc>
        <w:tc>
          <w:tcPr>
            <w:tcW w:w="5928" w:type="dxa"/>
            <w:noWrap w:val="0"/>
            <w:vAlign w:val="center"/>
          </w:tcPr>
          <w:p w14:paraId="6FA0C50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机座、主动轮（带手柄）、从动轮、支杆等</w:t>
            </w:r>
          </w:p>
        </w:tc>
        <w:tc>
          <w:tcPr>
            <w:tcW w:w="736" w:type="dxa"/>
            <w:noWrap w:val="0"/>
            <w:vAlign w:val="center"/>
          </w:tcPr>
          <w:p w14:paraId="282E83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CCA8D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23F81AF">
            <w:pPr>
              <w:jc w:val="center"/>
              <w:rPr>
                <w:highlight w:val="none"/>
              </w:rPr>
            </w:pPr>
          </w:p>
        </w:tc>
        <w:tc>
          <w:tcPr>
            <w:tcW w:w="710" w:type="dxa"/>
            <w:gridSpan w:val="2"/>
            <w:noWrap w:val="0"/>
            <w:vAlign w:val="center"/>
          </w:tcPr>
          <w:p w14:paraId="04EA3C2D">
            <w:pPr>
              <w:jc w:val="both"/>
              <w:rPr>
                <w:highlight w:val="none"/>
                <w:vertAlign w:val="baseline"/>
              </w:rPr>
            </w:pPr>
          </w:p>
        </w:tc>
      </w:tr>
      <w:tr w14:paraId="1E96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E862597">
            <w:pPr>
              <w:jc w:val="center"/>
              <w:rPr>
                <w:rFonts w:hint="default"/>
                <w:highlight w:val="none"/>
                <w:vertAlign w:val="baseline"/>
                <w:lang w:val="en-US" w:eastAsia="zh-CN"/>
              </w:rPr>
            </w:pPr>
            <w:r>
              <w:rPr>
                <w:rFonts w:hint="eastAsia"/>
                <w:highlight w:val="none"/>
                <w:vertAlign w:val="baseline"/>
                <w:lang w:val="en-US" w:eastAsia="zh-CN"/>
              </w:rPr>
              <w:t>238</w:t>
            </w:r>
          </w:p>
        </w:tc>
        <w:tc>
          <w:tcPr>
            <w:tcW w:w="1690" w:type="dxa"/>
            <w:noWrap w:val="0"/>
            <w:vAlign w:val="center"/>
          </w:tcPr>
          <w:p w14:paraId="5EE930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电动离心转台</w:t>
            </w:r>
          </w:p>
        </w:tc>
        <w:tc>
          <w:tcPr>
            <w:tcW w:w="5928" w:type="dxa"/>
            <w:noWrap w:val="0"/>
            <w:vAlign w:val="center"/>
          </w:tcPr>
          <w:p w14:paraId="3CE6191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可调速</w:t>
            </w:r>
          </w:p>
        </w:tc>
        <w:tc>
          <w:tcPr>
            <w:tcW w:w="736" w:type="dxa"/>
            <w:noWrap w:val="0"/>
            <w:vAlign w:val="center"/>
          </w:tcPr>
          <w:p w14:paraId="4522CD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3C48B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ABA28B6">
            <w:pPr>
              <w:jc w:val="center"/>
              <w:rPr>
                <w:highlight w:val="none"/>
              </w:rPr>
            </w:pPr>
          </w:p>
        </w:tc>
        <w:tc>
          <w:tcPr>
            <w:tcW w:w="710" w:type="dxa"/>
            <w:gridSpan w:val="2"/>
            <w:noWrap w:val="0"/>
            <w:vAlign w:val="center"/>
          </w:tcPr>
          <w:p w14:paraId="709AA97C">
            <w:pPr>
              <w:jc w:val="both"/>
              <w:rPr>
                <w:highlight w:val="none"/>
                <w:vertAlign w:val="baseline"/>
              </w:rPr>
            </w:pPr>
          </w:p>
        </w:tc>
      </w:tr>
      <w:tr w14:paraId="5B22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69A5AA">
            <w:pPr>
              <w:jc w:val="center"/>
              <w:rPr>
                <w:rFonts w:hint="default"/>
                <w:highlight w:val="none"/>
                <w:vertAlign w:val="baseline"/>
                <w:lang w:val="en-US" w:eastAsia="zh-CN"/>
              </w:rPr>
            </w:pPr>
            <w:r>
              <w:rPr>
                <w:rFonts w:hint="eastAsia"/>
                <w:highlight w:val="none"/>
                <w:vertAlign w:val="baseline"/>
                <w:lang w:val="en-US" w:eastAsia="zh-CN"/>
              </w:rPr>
              <w:t>239</w:t>
            </w:r>
          </w:p>
        </w:tc>
        <w:tc>
          <w:tcPr>
            <w:tcW w:w="1690" w:type="dxa"/>
            <w:noWrap w:val="0"/>
            <w:vAlign w:val="center"/>
          </w:tcPr>
          <w:p w14:paraId="091394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音频发生器</w:t>
            </w:r>
          </w:p>
        </w:tc>
        <w:tc>
          <w:tcPr>
            <w:tcW w:w="5928" w:type="dxa"/>
            <w:noWrap w:val="0"/>
            <w:vAlign w:val="center"/>
          </w:tcPr>
          <w:p w14:paraId="22E9020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频率 200 Hz〜2000 Hz</w:t>
            </w:r>
          </w:p>
        </w:tc>
        <w:tc>
          <w:tcPr>
            <w:tcW w:w="736" w:type="dxa"/>
            <w:noWrap w:val="0"/>
            <w:vAlign w:val="center"/>
          </w:tcPr>
          <w:p w14:paraId="16AB0F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21EBE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93F5050">
            <w:pPr>
              <w:jc w:val="center"/>
              <w:rPr>
                <w:highlight w:val="none"/>
              </w:rPr>
            </w:pPr>
          </w:p>
        </w:tc>
        <w:tc>
          <w:tcPr>
            <w:tcW w:w="710" w:type="dxa"/>
            <w:gridSpan w:val="2"/>
            <w:noWrap w:val="0"/>
            <w:vAlign w:val="center"/>
          </w:tcPr>
          <w:p w14:paraId="746E3C85">
            <w:pPr>
              <w:jc w:val="both"/>
              <w:rPr>
                <w:highlight w:val="none"/>
                <w:vertAlign w:val="baseline"/>
              </w:rPr>
            </w:pPr>
          </w:p>
        </w:tc>
      </w:tr>
      <w:tr w14:paraId="38E8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CDBA8C">
            <w:pPr>
              <w:jc w:val="center"/>
              <w:rPr>
                <w:rFonts w:hint="default"/>
                <w:highlight w:val="none"/>
                <w:vertAlign w:val="baseline"/>
                <w:lang w:val="en-US" w:eastAsia="zh-CN"/>
              </w:rPr>
            </w:pPr>
            <w:r>
              <w:rPr>
                <w:rFonts w:hint="eastAsia"/>
                <w:highlight w:val="none"/>
                <w:vertAlign w:val="baseline"/>
                <w:lang w:val="en-US" w:eastAsia="zh-CN"/>
              </w:rPr>
              <w:t>240</w:t>
            </w:r>
          </w:p>
        </w:tc>
        <w:tc>
          <w:tcPr>
            <w:tcW w:w="1690" w:type="dxa"/>
            <w:noWrap w:val="0"/>
            <w:vAlign w:val="center"/>
          </w:tcPr>
          <w:p w14:paraId="3C6F17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低频信号发生器</w:t>
            </w:r>
          </w:p>
        </w:tc>
        <w:tc>
          <w:tcPr>
            <w:tcW w:w="5928" w:type="dxa"/>
            <w:noWrap w:val="0"/>
            <w:vAlign w:val="center"/>
          </w:tcPr>
          <w:p w14:paraId="208D5C6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频率 0.05 Hz～50 kHz</w:t>
            </w:r>
          </w:p>
        </w:tc>
        <w:tc>
          <w:tcPr>
            <w:tcW w:w="736" w:type="dxa"/>
            <w:noWrap w:val="0"/>
            <w:vAlign w:val="center"/>
          </w:tcPr>
          <w:p w14:paraId="4E7125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3D232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4EE26CC">
            <w:pPr>
              <w:jc w:val="center"/>
              <w:rPr>
                <w:highlight w:val="none"/>
              </w:rPr>
            </w:pPr>
          </w:p>
        </w:tc>
        <w:tc>
          <w:tcPr>
            <w:tcW w:w="710" w:type="dxa"/>
            <w:gridSpan w:val="2"/>
            <w:noWrap w:val="0"/>
            <w:vAlign w:val="center"/>
          </w:tcPr>
          <w:p w14:paraId="498CB68D">
            <w:pPr>
              <w:jc w:val="both"/>
              <w:rPr>
                <w:highlight w:val="none"/>
                <w:vertAlign w:val="baseline"/>
              </w:rPr>
            </w:pPr>
          </w:p>
        </w:tc>
      </w:tr>
      <w:tr w14:paraId="4877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F5E54F">
            <w:pPr>
              <w:jc w:val="center"/>
              <w:rPr>
                <w:rFonts w:hint="default"/>
                <w:highlight w:val="none"/>
                <w:vertAlign w:val="baseline"/>
                <w:lang w:val="en-US" w:eastAsia="zh-CN"/>
              </w:rPr>
            </w:pPr>
            <w:r>
              <w:rPr>
                <w:rFonts w:hint="eastAsia"/>
                <w:highlight w:val="none"/>
                <w:vertAlign w:val="baseline"/>
                <w:lang w:val="en-US" w:eastAsia="zh-CN"/>
              </w:rPr>
              <w:t>241</w:t>
            </w:r>
          </w:p>
        </w:tc>
        <w:tc>
          <w:tcPr>
            <w:tcW w:w="1690" w:type="dxa"/>
            <w:noWrap w:val="0"/>
            <w:vAlign w:val="center"/>
          </w:tcPr>
          <w:p w14:paraId="19FBC8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纸盘扬声器</w:t>
            </w:r>
          </w:p>
        </w:tc>
        <w:tc>
          <w:tcPr>
            <w:tcW w:w="5928" w:type="dxa"/>
            <w:noWrap w:val="0"/>
            <w:vAlign w:val="center"/>
          </w:tcPr>
          <w:p w14:paraId="6FA757D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直径≥200 mm，8 Ω</w:t>
            </w:r>
          </w:p>
        </w:tc>
        <w:tc>
          <w:tcPr>
            <w:tcW w:w="736" w:type="dxa"/>
            <w:noWrap w:val="0"/>
            <w:vAlign w:val="center"/>
          </w:tcPr>
          <w:p w14:paraId="039C74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6CEF9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E8F2D59">
            <w:pPr>
              <w:jc w:val="center"/>
              <w:rPr>
                <w:highlight w:val="none"/>
              </w:rPr>
            </w:pPr>
          </w:p>
        </w:tc>
        <w:tc>
          <w:tcPr>
            <w:tcW w:w="710" w:type="dxa"/>
            <w:gridSpan w:val="2"/>
            <w:noWrap w:val="0"/>
            <w:vAlign w:val="center"/>
          </w:tcPr>
          <w:p w14:paraId="71948D06">
            <w:pPr>
              <w:jc w:val="both"/>
              <w:rPr>
                <w:highlight w:val="none"/>
                <w:vertAlign w:val="baseline"/>
              </w:rPr>
            </w:pPr>
          </w:p>
        </w:tc>
      </w:tr>
      <w:tr w14:paraId="2386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E4A5A41">
            <w:pPr>
              <w:jc w:val="center"/>
              <w:rPr>
                <w:rFonts w:hint="default"/>
                <w:highlight w:val="none"/>
                <w:vertAlign w:val="baseline"/>
                <w:lang w:val="en-US" w:eastAsia="zh-CN"/>
              </w:rPr>
            </w:pPr>
            <w:r>
              <w:rPr>
                <w:rFonts w:hint="eastAsia"/>
                <w:highlight w:val="none"/>
                <w:vertAlign w:val="baseline"/>
                <w:lang w:val="en-US" w:eastAsia="zh-CN"/>
              </w:rPr>
              <w:t>242</w:t>
            </w:r>
          </w:p>
        </w:tc>
        <w:tc>
          <w:tcPr>
            <w:tcW w:w="1690" w:type="dxa"/>
            <w:noWrap w:val="0"/>
            <w:vAlign w:val="center"/>
          </w:tcPr>
          <w:p w14:paraId="12DA0E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教学示波器</w:t>
            </w:r>
          </w:p>
        </w:tc>
        <w:tc>
          <w:tcPr>
            <w:tcW w:w="5928" w:type="dxa"/>
            <w:noWrap w:val="0"/>
            <w:vAlign w:val="center"/>
          </w:tcPr>
          <w:p w14:paraId="206A01A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 DC 5MHz，扫描范围：10Hz～100kHz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偏转因数：25mVpp/格。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显示屏幕：13cm示波管，中余辉。</w:t>
            </w:r>
          </w:p>
        </w:tc>
        <w:tc>
          <w:tcPr>
            <w:tcW w:w="736" w:type="dxa"/>
            <w:noWrap w:val="0"/>
            <w:vAlign w:val="center"/>
          </w:tcPr>
          <w:p w14:paraId="0A8F04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432F3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398C104">
            <w:pPr>
              <w:jc w:val="center"/>
              <w:rPr>
                <w:highlight w:val="none"/>
              </w:rPr>
            </w:pPr>
          </w:p>
        </w:tc>
        <w:tc>
          <w:tcPr>
            <w:tcW w:w="710" w:type="dxa"/>
            <w:gridSpan w:val="2"/>
            <w:noWrap w:val="0"/>
            <w:vAlign w:val="center"/>
          </w:tcPr>
          <w:p w14:paraId="50310FE5">
            <w:pPr>
              <w:jc w:val="both"/>
              <w:rPr>
                <w:highlight w:val="none"/>
                <w:vertAlign w:val="baseline"/>
              </w:rPr>
            </w:pPr>
          </w:p>
        </w:tc>
      </w:tr>
      <w:tr w14:paraId="207E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0D10C11D">
            <w:pPr>
              <w:jc w:val="center"/>
              <w:rPr>
                <w:rFonts w:hint="default"/>
                <w:highlight w:val="none"/>
                <w:vertAlign w:val="baseline"/>
                <w:lang w:val="en-US" w:eastAsia="zh-CN"/>
              </w:rPr>
            </w:pPr>
            <w:r>
              <w:rPr>
                <w:rFonts w:hint="eastAsia"/>
                <w:highlight w:val="none"/>
                <w:vertAlign w:val="baseline"/>
                <w:lang w:val="en-US" w:eastAsia="zh-CN"/>
              </w:rPr>
              <w:t>243</w:t>
            </w:r>
          </w:p>
        </w:tc>
        <w:tc>
          <w:tcPr>
            <w:tcW w:w="1690" w:type="dxa"/>
            <w:noWrap w:val="0"/>
            <w:vAlign w:val="center"/>
          </w:tcPr>
          <w:p w14:paraId="76D8A3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示波器</w:t>
            </w:r>
          </w:p>
        </w:tc>
        <w:tc>
          <w:tcPr>
            <w:tcW w:w="5928" w:type="dxa"/>
            <w:noWrap w:val="0"/>
            <w:vAlign w:val="center"/>
          </w:tcPr>
          <w:p w14:paraId="56E9A3E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数字式，10 MHz，不小于 18 cm（7 英寸）屏</w:t>
            </w:r>
          </w:p>
        </w:tc>
        <w:tc>
          <w:tcPr>
            <w:tcW w:w="736" w:type="dxa"/>
            <w:noWrap w:val="0"/>
            <w:vAlign w:val="center"/>
          </w:tcPr>
          <w:p w14:paraId="1EFF56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1267FE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9F3BE3D">
            <w:pPr>
              <w:jc w:val="center"/>
              <w:rPr>
                <w:highlight w:val="none"/>
              </w:rPr>
            </w:pPr>
          </w:p>
        </w:tc>
        <w:tc>
          <w:tcPr>
            <w:tcW w:w="710" w:type="dxa"/>
            <w:gridSpan w:val="2"/>
            <w:noWrap w:val="0"/>
            <w:vAlign w:val="center"/>
          </w:tcPr>
          <w:p w14:paraId="0DA222E9">
            <w:pPr>
              <w:jc w:val="both"/>
              <w:rPr>
                <w:highlight w:val="none"/>
                <w:vertAlign w:val="baseline"/>
              </w:rPr>
            </w:pPr>
          </w:p>
        </w:tc>
      </w:tr>
      <w:tr w14:paraId="76AB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2DEAD84">
            <w:pPr>
              <w:jc w:val="center"/>
              <w:rPr>
                <w:rFonts w:hint="default"/>
                <w:highlight w:val="none"/>
                <w:vertAlign w:val="baseline"/>
                <w:lang w:val="en-US" w:eastAsia="zh-CN"/>
              </w:rPr>
            </w:pPr>
            <w:r>
              <w:rPr>
                <w:rFonts w:hint="eastAsia"/>
                <w:highlight w:val="none"/>
                <w:vertAlign w:val="baseline"/>
                <w:lang w:val="en-US" w:eastAsia="zh-CN"/>
              </w:rPr>
              <w:t>244</w:t>
            </w:r>
          </w:p>
        </w:tc>
        <w:tc>
          <w:tcPr>
            <w:tcW w:w="1690" w:type="dxa"/>
            <w:noWrap w:val="0"/>
            <w:vAlign w:val="center"/>
          </w:tcPr>
          <w:p w14:paraId="5333C8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超声应用演示器</w:t>
            </w:r>
          </w:p>
        </w:tc>
        <w:tc>
          <w:tcPr>
            <w:tcW w:w="5928" w:type="dxa"/>
            <w:noWrap w:val="0"/>
            <w:vAlign w:val="center"/>
          </w:tcPr>
          <w:p w14:paraId="3E0097A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超声雾化、超声清洁等</w:t>
            </w:r>
          </w:p>
        </w:tc>
        <w:tc>
          <w:tcPr>
            <w:tcW w:w="736" w:type="dxa"/>
            <w:noWrap w:val="0"/>
            <w:vAlign w:val="center"/>
          </w:tcPr>
          <w:p w14:paraId="56882C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5C265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39A9821">
            <w:pPr>
              <w:jc w:val="center"/>
              <w:rPr>
                <w:highlight w:val="none"/>
              </w:rPr>
            </w:pPr>
          </w:p>
        </w:tc>
        <w:tc>
          <w:tcPr>
            <w:tcW w:w="710" w:type="dxa"/>
            <w:gridSpan w:val="2"/>
            <w:noWrap w:val="0"/>
            <w:vAlign w:val="center"/>
          </w:tcPr>
          <w:p w14:paraId="79DC20EA">
            <w:pPr>
              <w:jc w:val="both"/>
              <w:rPr>
                <w:highlight w:val="none"/>
                <w:vertAlign w:val="baseline"/>
              </w:rPr>
            </w:pPr>
          </w:p>
        </w:tc>
      </w:tr>
      <w:tr w14:paraId="50E9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1E0764">
            <w:pPr>
              <w:jc w:val="center"/>
              <w:rPr>
                <w:rFonts w:hint="default"/>
                <w:highlight w:val="none"/>
                <w:vertAlign w:val="baseline"/>
                <w:lang w:val="en-US" w:eastAsia="zh-CN"/>
              </w:rPr>
            </w:pPr>
            <w:r>
              <w:rPr>
                <w:rFonts w:hint="eastAsia"/>
                <w:highlight w:val="none"/>
                <w:vertAlign w:val="baseline"/>
                <w:lang w:val="en-US" w:eastAsia="zh-CN"/>
              </w:rPr>
              <w:t>245</w:t>
            </w:r>
          </w:p>
        </w:tc>
        <w:tc>
          <w:tcPr>
            <w:tcW w:w="1690" w:type="dxa"/>
            <w:noWrap w:val="0"/>
            <w:vAlign w:val="center"/>
          </w:tcPr>
          <w:p w14:paraId="0EA65B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声音能量演示器</w:t>
            </w:r>
          </w:p>
        </w:tc>
        <w:tc>
          <w:tcPr>
            <w:tcW w:w="5928" w:type="dxa"/>
            <w:noWrap w:val="0"/>
            <w:vAlign w:val="center"/>
          </w:tcPr>
          <w:p w14:paraId="449E8D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带扬声器的大功率音频放大器，演示声悬浮 或者声波吹蜡烛火焰等</w:t>
            </w:r>
          </w:p>
        </w:tc>
        <w:tc>
          <w:tcPr>
            <w:tcW w:w="736" w:type="dxa"/>
            <w:noWrap w:val="0"/>
            <w:vAlign w:val="center"/>
          </w:tcPr>
          <w:p w14:paraId="215D714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E9543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0BF41F6">
            <w:pPr>
              <w:jc w:val="center"/>
              <w:rPr>
                <w:highlight w:val="none"/>
              </w:rPr>
            </w:pPr>
          </w:p>
        </w:tc>
        <w:tc>
          <w:tcPr>
            <w:tcW w:w="710" w:type="dxa"/>
            <w:gridSpan w:val="2"/>
            <w:noWrap w:val="0"/>
            <w:vAlign w:val="center"/>
          </w:tcPr>
          <w:p w14:paraId="18A2FB7D">
            <w:pPr>
              <w:jc w:val="both"/>
              <w:rPr>
                <w:highlight w:val="none"/>
                <w:vertAlign w:val="baseline"/>
              </w:rPr>
            </w:pPr>
          </w:p>
        </w:tc>
      </w:tr>
      <w:tr w14:paraId="209E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A36DCA">
            <w:pPr>
              <w:jc w:val="center"/>
              <w:rPr>
                <w:rFonts w:hint="default"/>
                <w:highlight w:val="none"/>
                <w:vertAlign w:val="baseline"/>
                <w:lang w:val="en-US" w:eastAsia="zh-CN"/>
              </w:rPr>
            </w:pPr>
            <w:r>
              <w:rPr>
                <w:rFonts w:hint="eastAsia"/>
                <w:highlight w:val="none"/>
                <w:vertAlign w:val="baseline"/>
                <w:lang w:val="en-US" w:eastAsia="zh-CN"/>
              </w:rPr>
              <w:t>246</w:t>
            </w:r>
          </w:p>
        </w:tc>
        <w:tc>
          <w:tcPr>
            <w:tcW w:w="1690" w:type="dxa"/>
            <w:noWrap w:val="0"/>
            <w:vAlign w:val="center"/>
          </w:tcPr>
          <w:p w14:paraId="54CCAC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声级计</w:t>
            </w:r>
          </w:p>
        </w:tc>
        <w:tc>
          <w:tcPr>
            <w:tcW w:w="5928" w:type="dxa"/>
            <w:noWrap w:val="0"/>
            <w:vAlign w:val="center"/>
          </w:tcPr>
          <w:p w14:paraId="717F0B2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(原来的噪声测定仪)手持式，数显</w:t>
            </w:r>
          </w:p>
        </w:tc>
        <w:tc>
          <w:tcPr>
            <w:tcW w:w="736" w:type="dxa"/>
            <w:noWrap w:val="0"/>
            <w:vAlign w:val="center"/>
          </w:tcPr>
          <w:p w14:paraId="61C53C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248B6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3E04EA7">
            <w:pPr>
              <w:jc w:val="center"/>
              <w:rPr>
                <w:highlight w:val="none"/>
              </w:rPr>
            </w:pPr>
          </w:p>
        </w:tc>
        <w:tc>
          <w:tcPr>
            <w:tcW w:w="710" w:type="dxa"/>
            <w:gridSpan w:val="2"/>
            <w:noWrap w:val="0"/>
            <w:vAlign w:val="center"/>
          </w:tcPr>
          <w:p w14:paraId="70E62815">
            <w:pPr>
              <w:jc w:val="both"/>
              <w:rPr>
                <w:highlight w:val="none"/>
                <w:vertAlign w:val="baseline"/>
              </w:rPr>
            </w:pPr>
          </w:p>
        </w:tc>
      </w:tr>
      <w:tr w14:paraId="597B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BE649E">
            <w:pPr>
              <w:jc w:val="center"/>
              <w:rPr>
                <w:rFonts w:hint="default"/>
                <w:highlight w:val="none"/>
                <w:vertAlign w:val="baseline"/>
                <w:lang w:val="en-US" w:eastAsia="zh-CN"/>
              </w:rPr>
            </w:pPr>
            <w:r>
              <w:rPr>
                <w:rFonts w:hint="eastAsia"/>
                <w:highlight w:val="none"/>
                <w:vertAlign w:val="baseline"/>
                <w:lang w:val="en-US" w:eastAsia="zh-CN"/>
              </w:rPr>
              <w:t>247</w:t>
            </w:r>
          </w:p>
        </w:tc>
        <w:tc>
          <w:tcPr>
            <w:tcW w:w="1690" w:type="dxa"/>
            <w:noWrap w:val="0"/>
            <w:vAlign w:val="center"/>
          </w:tcPr>
          <w:p w14:paraId="100A39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初中声学实验箱</w:t>
            </w:r>
          </w:p>
        </w:tc>
        <w:tc>
          <w:tcPr>
            <w:tcW w:w="5928" w:type="dxa"/>
            <w:noWrap w:val="0"/>
            <w:vAlign w:val="center"/>
          </w:tcPr>
          <w:p w14:paraId="1440415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可完成声音的产生、声音的传播、声音的特性等</w:t>
            </w:r>
          </w:p>
        </w:tc>
        <w:tc>
          <w:tcPr>
            <w:tcW w:w="736" w:type="dxa"/>
            <w:noWrap w:val="0"/>
            <w:vAlign w:val="center"/>
          </w:tcPr>
          <w:p w14:paraId="594BAD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D0BD1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766B61B">
            <w:pPr>
              <w:jc w:val="center"/>
              <w:rPr>
                <w:highlight w:val="none"/>
              </w:rPr>
            </w:pPr>
          </w:p>
        </w:tc>
        <w:tc>
          <w:tcPr>
            <w:tcW w:w="710" w:type="dxa"/>
            <w:gridSpan w:val="2"/>
            <w:noWrap w:val="0"/>
            <w:vAlign w:val="center"/>
          </w:tcPr>
          <w:p w14:paraId="73230A5F">
            <w:pPr>
              <w:jc w:val="both"/>
              <w:rPr>
                <w:highlight w:val="none"/>
                <w:vertAlign w:val="baseline"/>
              </w:rPr>
            </w:pPr>
          </w:p>
        </w:tc>
      </w:tr>
      <w:tr w14:paraId="3652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78E0A4">
            <w:pPr>
              <w:jc w:val="center"/>
              <w:rPr>
                <w:rFonts w:hint="default"/>
                <w:highlight w:val="none"/>
                <w:vertAlign w:val="baseline"/>
                <w:lang w:val="en-US" w:eastAsia="zh-CN"/>
              </w:rPr>
            </w:pPr>
            <w:r>
              <w:rPr>
                <w:rFonts w:hint="eastAsia"/>
                <w:highlight w:val="none"/>
                <w:vertAlign w:val="baseline"/>
                <w:lang w:val="en-US" w:eastAsia="zh-CN"/>
              </w:rPr>
              <w:t>248</w:t>
            </w:r>
          </w:p>
        </w:tc>
        <w:tc>
          <w:tcPr>
            <w:tcW w:w="1690" w:type="dxa"/>
            <w:noWrap w:val="0"/>
            <w:vAlign w:val="center"/>
          </w:tcPr>
          <w:p w14:paraId="45341A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多束激光盒（三线激光光源）</w:t>
            </w:r>
          </w:p>
        </w:tc>
        <w:tc>
          <w:tcPr>
            <w:tcW w:w="5928" w:type="dxa"/>
            <w:noWrap w:val="0"/>
            <w:vAlign w:val="center"/>
          </w:tcPr>
          <w:p w14:paraId="7E73A7F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磁吸，不少于 3 束光，各激光束要平行</w:t>
            </w:r>
          </w:p>
        </w:tc>
        <w:tc>
          <w:tcPr>
            <w:tcW w:w="736" w:type="dxa"/>
            <w:noWrap w:val="0"/>
            <w:vAlign w:val="center"/>
          </w:tcPr>
          <w:p w14:paraId="579AE9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3EA4E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549AD03">
            <w:pPr>
              <w:jc w:val="center"/>
              <w:rPr>
                <w:highlight w:val="none"/>
              </w:rPr>
            </w:pPr>
          </w:p>
        </w:tc>
        <w:tc>
          <w:tcPr>
            <w:tcW w:w="710" w:type="dxa"/>
            <w:gridSpan w:val="2"/>
            <w:noWrap w:val="0"/>
            <w:vAlign w:val="center"/>
          </w:tcPr>
          <w:p w14:paraId="13C4142C">
            <w:pPr>
              <w:jc w:val="both"/>
              <w:rPr>
                <w:highlight w:val="none"/>
                <w:vertAlign w:val="baseline"/>
              </w:rPr>
            </w:pPr>
          </w:p>
        </w:tc>
      </w:tr>
      <w:tr w14:paraId="7ECF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B0EBA5">
            <w:pPr>
              <w:jc w:val="center"/>
              <w:rPr>
                <w:rFonts w:hint="default"/>
                <w:highlight w:val="none"/>
                <w:vertAlign w:val="baseline"/>
                <w:lang w:val="en-US" w:eastAsia="zh-CN"/>
              </w:rPr>
            </w:pPr>
            <w:r>
              <w:rPr>
                <w:rFonts w:hint="eastAsia"/>
                <w:highlight w:val="none"/>
                <w:vertAlign w:val="baseline"/>
                <w:lang w:val="en-US" w:eastAsia="zh-CN"/>
              </w:rPr>
              <w:t>249</w:t>
            </w:r>
          </w:p>
        </w:tc>
        <w:tc>
          <w:tcPr>
            <w:tcW w:w="1690" w:type="dxa"/>
            <w:noWrap w:val="0"/>
            <w:vAlign w:val="center"/>
          </w:tcPr>
          <w:p w14:paraId="7489D3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平行光源</w:t>
            </w:r>
          </w:p>
        </w:tc>
        <w:tc>
          <w:tcPr>
            <w:tcW w:w="5928" w:type="dxa"/>
            <w:noWrap w:val="0"/>
            <w:vAlign w:val="center"/>
          </w:tcPr>
          <w:p w14:paraId="027A302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至少 2 条平行光，非激光光源</w:t>
            </w:r>
          </w:p>
        </w:tc>
        <w:tc>
          <w:tcPr>
            <w:tcW w:w="736" w:type="dxa"/>
            <w:noWrap w:val="0"/>
            <w:vAlign w:val="center"/>
          </w:tcPr>
          <w:p w14:paraId="09F9CF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EF70F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A69F22C">
            <w:pPr>
              <w:jc w:val="center"/>
              <w:rPr>
                <w:highlight w:val="none"/>
              </w:rPr>
            </w:pPr>
          </w:p>
        </w:tc>
        <w:tc>
          <w:tcPr>
            <w:tcW w:w="710" w:type="dxa"/>
            <w:gridSpan w:val="2"/>
            <w:noWrap w:val="0"/>
            <w:vAlign w:val="center"/>
          </w:tcPr>
          <w:p w14:paraId="5E3E5D4A">
            <w:pPr>
              <w:jc w:val="both"/>
              <w:rPr>
                <w:highlight w:val="none"/>
                <w:vertAlign w:val="baseline"/>
              </w:rPr>
            </w:pPr>
          </w:p>
        </w:tc>
      </w:tr>
      <w:tr w14:paraId="6FB9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D4A3DF">
            <w:pPr>
              <w:jc w:val="center"/>
              <w:rPr>
                <w:rFonts w:hint="default"/>
                <w:highlight w:val="none"/>
                <w:vertAlign w:val="baseline"/>
                <w:lang w:val="en-US" w:eastAsia="zh-CN"/>
              </w:rPr>
            </w:pPr>
            <w:r>
              <w:rPr>
                <w:rFonts w:hint="eastAsia"/>
                <w:highlight w:val="none"/>
                <w:vertAlign w:val="baseline"/>
                <w:lang w:val="en-US" w:eastAsia="zh-CN"/>
              </w:rPr>
              <w:t>250</w:t>
            </w:r>
          </w:p>
        </w:tc>
        <w:tc>
          <w:tcPr>
            <w:tcW w:w="1690" w:type="dxa"/>
            <w:noWrap w:val="0"/>
            <w:vAlign w:val="center"/>
          </w:tcPr>
          <w:p w14:paraId="0939EC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三球仪</w:t>
            </w:r>
          </w:p>
        </w:tc>
        <w:tc>
          <w:tcPr>
            <w:tcW w:w="5928" w:type="dxa"/>
            <w:noWrap w:val="0"/>
            <w:vAlign w:val="center"/>
          </w:tcPr>
          <w:p w14:paraId="0429B6C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电动的</w:t>
            </w:r>
          </w:p>
        </w:tc>
        <w:tc>
          <w:tcPr>
            <w:tcW w:w="736" w:type="dxa"/>
            <w:noWrap w:val="0"/>
            <w:vAlign w:val="center"/>
          </w:tcPr>
          <w:p w14:paraId="4F0AAE2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CD36B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22AD3E">
            <w:pPr>
              <w:jc w:val="center"/>
              <w:rPr>
                <w:highlight w:val="none"/>
              </w:rPr>
            </w:pPr>
          </w:p>
        </w:tc>
        <w:tc>
          <w:tcPr>
            <w:tcW w:w="710" w:type="dxa"/>
            <w:gridSpan w:val="2"/>
            <w:noWrap w:val="0"/>
            <w:vAlign w:val="center"/>
          </w:tcPr>
          <w:p w14:paraId="3657F63C">
            <w:pPr>
              <w:jc w:val="both"/>
              <w:rPr>
                <w:highlight w:val="none"/>
                <w:vertAlign w:val="baseline"/>
              </w:rPr>
            </w:pPr>
          </w:p>
        </w:tc>
      </w:tr>
      <w:tr w14:paraId="1A64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ACEFFB">
            <w:pPr>
              <w:jc w:val="center"/>
              <w:rPr>
                <w:rFonts w:hint="default"/>
                <w:highlight w:val="none"/>
                <w:vertAlign w:val="baseline"/>
                <w:lang w:val="en-US" w:eastAsia="zh-CN"/>
              </w:rPr>
            </w:pPr>
            <w:r>
              <w:rPr>
                <w:rFonts w:hint="eastAsia"/>
                <w:highlight w:val="none"/>
                <w:vertAlign w:val="baseline"/>
                <w:lang w:val="en-US" w:eastAsia="zh-CN"/>
              </w:rPr>
              <w:t>251</w:t>
            </w:r>
          </w:p>
        </w:tc>
        <w:tc>
          <w:tcPr>
            <w:tcW w:w="1690" w:type="dxa"/>
            <w:noWrap w:val="0"/>
            <w:vAlign w:val="center"/>
          </w:tcPr>
          <w:p w14:paraId="5FB297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无影灯原理演示器</w:t>
            </w:r>
          </w:p>
        </w:tc>
        <w:tc>
          <w:tcPr>
            <w:tcW w:w="5928" w:type="dxa"/>
            <w:noWrap w:val="0"/>
            <w:vAlign w:val="center"/>
          </w:tcPr>
          <w:p w14:paraId="6B79B98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多个点光源、被照物等</w:t>
            </w:r>
          </w:p>
        </w:tc>
        <w:tc>
          <w:tcPr>
            <w:tcW w:w="736" w:type="dxa"/>
            <w:noWrap w:val="0"/>
            <w:vAlign w:val="center"/>
          </w:tcPr>
          <w:p w14:paraId="5CE01E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31816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A177EE">
            <w:pPr>
              <w:jc w:val="center"/>
              <w:rPr>
                <w:highlight w:val="none"/>
              </w:rPr>
            </w:pPr>
          </w:p>
        </w:tc>
        <w:tc>
          <w:tcPr>
            <w:tcW w:w="710" w:type="dxa"/>
            <w:gridSpan w:val="2"/>
            <w:noWrap w:val="0"/>
            <w:vAlign w:val="center"/>
          </w:tcPr>
          <w:p w14:paraId="2108844A">
            <w:pPr>
              <w:jc w:val="both"/>
              <w:rPr>
                <w:highlight w:val="none"/>
                <w:vertAlign w:val="baseline"/>
              </w:rPr>
            </w:pPr>
          </w:p>
        </w:tc>
      </w:tr>
      <w:tr w14:paraId="5ED6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E91022">
            <w:pPr>
              <w:jc w:val="center"/>
              <w:rPr>
                <w:rFonts w:hint="default"/>
                <w:highlight w:val="none"/>
                <w:vertAlign w:val="baseline"/>
                <w:lang w:val="en-US" w:eastAsia="zh-CN"/>
              </w:rPr>
            </w:pPr>
            <w:r>
              <w:rPr>
                <w:rFonts w:hint="eastAsia"/>
                <w:highlight w:val="none"/>
                <w:vertAlign w:val="baseline"/>
                <w:lang w:val="en-US" w:eastAsia="zh-CN"/>
              </w:rPr>
              <w:t>252</w:t>
            </w:r>
          </w:p>
        </w:tc>
        <w:tc>
          <w:tcPr>
            <w:tcW w:w="1690" w:type="dxa"/>
            <w:noWrap w:val="0"/>
            <w:vAlign w:val="center"/>
          </w:tcPr>
          <w:p w14:paraId="41B2AE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凹面镜</w:t>
            </w:r>
          </w:p>
        </w:tc>
        <w:tc>
          <w:tcPr>
            <w:tcW w:w="5928" w:type="dxa"/>
            <w:noWrap w:val="0"/>
            <w:vAlign w:val="center"/>
          </w:tcPr>
          <w:p w14:paraId="1184F38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直径100mm，焦距65mm，配支架和镜座</w:t>
            </w:r>
          </w:p>
        </w:tc>
        <w:tc>
          <w:tcPr>
            <w:tcW w:w="736" w:type="dxa"/>
            <w:noWrap w:val="0"/>
            <w:vAlign w:val="center"/>
          </w:tcPr>
          <w:p w14:paraId="2C938A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834" w:type="dxa"/>
            <w:noWrap w:val="0"/>
            <w:vAlign w:val="center"/>
          </w:tcPr>
          <w:p w14:paraId="6CC1EC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7154206">
            <w:pPr>
              <w:jc w:val="center"/>
              <w:rPr>
                <w:highlight w:val="none"/>
              </w:rPr>
            </w:pPr>
          </w:p>
        </w:tc>
        <w:tc>
          <w:tcPr>
            <w:tcW w:w="710" w:type="dxa"/>
            <w:gridSpan w:val="2"/>
            <w:noWrap w:val="0"/>
            <w:vAlign w:val="center"/>
          </w:tcPr>
          <w:p w14:paraId="52B979D2">
            <w:pPr>
              <w:jc w:val="both"/>
              <w:rPr>
                <w:highlight w:val="none"/>
                <w:vertAlign w:val="baseline"/>
              </w:rPr>
            </w:pPr>
          </w:p>
        </w:tc>
      </w:tr>
      <w:tr w14:paraId="5B21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F5B20D4">
            <w:pPr>
              <w:jc w:val="center"/>
              <w:rPr>
                <w:rFonts w:hint="default"/>
                <w:highlight w:val="none"/>
                <w:vertAlign w:val="baseline"/>
                <w:lang w:val="en-US" w:eastAsia="zh-CN"/>
              </w:rPr>
            </w:pPr>
            <w:r>
              <w:rPr>
                <w:rFonts w:hint="eastAsia"/>
                <w:highlight w:val="none"/>
                <w:vertAlign w:val="baseline"/>
                <w:lang w:val="en-US" w:eastAsia="zh-CN"/>
              </w:rPr>
              <w:t>253</w:t>
            </w:r>
          </w:p>
        </w:tc>
        <w:tc>
          <w:tcPr>
            <w:tcW w:w="1690" w:type="dxa"/>
            <w:noWrap w:val="0"/>
            <w:vAlign w:val="center"/>
          </w:tcPr>
          <w:p w14:paraId="2B4E92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凸面镜</w:t>
            </w:r>
          </w:p>
        </w:tc>
        <w:tc>
          <w:tcPr>
            <w:tcW w:w="5928" w:type="dxa"/>
            <w:noWrap w:val="0"/>
            <w:vAlign w:val="center"/>
          </w:tcPr>
          <w:p w14:paraId="74F36D6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直径100mm，焦距-65 mm，配支架和镜座</w:t>
            </w:r>
          </w:p>
        </w:tc>
        <w:tc>
          <w:tcPr>
            <w:tcW w:w="736" w:type="dxa"/>
            <w:noWrap w:val="0"/>
            <w:vAlign w:val="center"/>
          </w:tcPr>
          <w:p w14:paraId="7889D3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834" w:type="dxa"/>
            <w:noWrap w:val="0"/>
            <w:vAlign w:val="center"/>
          </w:tcPr>
          <w:p w14:paraId="2239D7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5E0D7CC">
            <w:pPr>
              <w:jc w:val="center"/>
              <w:rPr>
                <w:highlight w:val="none"/>
              </w:rPr>
            </w:pPr>
          </w:p>
        </w:tc>
        <w:tc>
          <w:tcPr>
            <w:tcW w:w="710" w:type="dxa"/>
            <w:gridSpan w:val="2"/>
            <w:noWrap w:val="0"/>
            <w:vAlign w:val="center"/>
          </w:tcPr>
          <w:p w14:paraId="0682BA69">
            <w:pPr>
              <w:jc w:val="both"/>
              <w:rPr>
                <w:highlight w:val="none"/>
                <w:vertAlign w:val="baseline"/>
              </w:rPr>
            </w:pPr>
          </w:p>
        </w:tc>
      </w:tr>
      <w:tr w14:paraId="20CA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476F4E">
            <w:pPr>
              <w:jc w:val="center"/>
              <w:rPr>
                <w:rFonts w:hint="default"/>
                <w:highlight w:val="none"/>
                <w:vertAlign w:val="baseline"/>
                <w:lang w:val="en-US" w:eastAsia="zh-CN"/>
              </w:rPr>
            </w:pPr>
            <w:r>
              <w:rPr>
                <w:rFonts w:hint="eastAsia"/>
                <w:highlight w:val="none"/>
                <w:vertAlign w:val="baseline"/>
                <w:lang w:val="en-US" w:eastAsia="zh-CN"/>
              </w:rPr>
              <w:t>254</w:t>
            </w:r>
          </w:p>
        </w:tc>
        <w:tc>
          <w:tcPr>
            <w:tcW w:w="1690" w:type="dxa"/>
            <w:noWrap w:val="0"/>
            <w:vAlign w:val="center"/>
          </w:tcPr>
          <w:p w14:paraId="3ADFF3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镜面</w:t>
            </w:r>
          </w:p>
        </w:tc>
        <w:tc>
          <w:tcPr>
            <w:tcW w:w="5928" w:type="dxa"/>
            <w:noWrap w:val="0"/>
            <w:vAlign w:val="center"/>
          </w:tcPr>
          <w:p w14:paraId="6ADBDA8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不锈钢8K，镜面，尺寸≥300×300 mm</w:t>
            </w:r>
          </w:p>
        </w:tc>
        <w:tc>
          <w:tcPr>
            <w:tcW w:w="736" w:type="dxa"/>
            <w:noWrap w:val="0"/>
            <w:vAlign w:val="center"/>
          </w:tcPr>
          <w:p w14:paraId="5EE81B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834" w:type="dxa"/>
            <w:noWrap w:val="0"/>
            <w:vAlign w:val="center"/>
          </w:tcPr>
          <w:p w14:paraId="6E1FFE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9575D5C">
            <w:pPr>
              <w:jc w:val="center"/>
              <w:rPr>
                <w:highlight w:val="none"/>
              </w:rPr>
            </w:pPr>
          </w:p>
        </w:tc>
        <w:tc>
          <w:tcPr>
            <w:tcW w:w="710" w:type="dxa"/>
            <w:gridSpan w:val="2"/>
            <w:noWrap w:val="0"/>
            <w:vAlign w:val="center"/>
          </w:tcPr>
          <w:p w14:paraId="3D9E381F">
            <w:pPr>
              <w:jc w:val="both"/>
              <w:rPr>
                <w:highlight w:val="none"/>
                <w:vertAlign w:val="baseline"/>
              </w:rPr>
            </w:pPr>
          </w:p>
        </w:tc>
      </w:tr>
      <w:tr w14:paraId="31E4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DB3DEB">
            <w:pPr>
              <w:jc w:val="center"/>
              <w:rPr>
                <w:rFonts w:hint="default"/>
                <w:highlight w:val="none"/>
                <w:vertAlign w:val="baseline"/>
                <w:lang w:val="en-US" w:eastAsia="zh-CN"/>
              </w:rPr>
            </w:pPr>
            <w:r>
              <w:rPr>
                <w:rFonts w:hint="eastAsia"/>
                <w:highlight w:val="none"/>
                <w:vertAlign w:val="baseline"/>
                <w:lang w:val="en-US" w:eastAsia="zh-CN"/>
              </w:rPr>
              <w:t>255</w:t>
            </w:r>
          </w:p>
        </w:tc>
        <w:tc>
          <w:tcPr>
            <w:tcW w:w="1690" w:type="dxa"/>
            <w:noWrap w:val="0"/>
            <w:vAlign w:val="center"/>
          </w:tcPr>
          <w:p w14:paraId="3BD4D7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光的传播、反射、折射实验器</w:t>
            </w:r>
          </w:p>
        </w:tc>
        <w:tc>
          <w:tcPr>
            <w:tcW w:w="5928" w:type="dxa"/>
            <w:noWrap w:val="0"/>
            <w:vAlign w:val="center"/>
          </w:tcPr>
          <w:p w14:paraId="01FE4E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包括能显示光路的透明材料制成的半圆玻 砖、角度板、2 个条形玻砖、2 个半导体激光 光源（不加扩束镜，1 个为入射光源，1 个提 供法线）等，表盘直径≥300 mm</w:t>
            </w:r>
          </w:p>
        </w:tc>
        <w:tc>
          <w:tcPr>
            <w:tcW w:w="736" w:type="dxa"/>
            <w:noWrap w:val="0"/>
            <w:vAlign w:val="center"/>
          </w:tcPr>
          <w:p w14:paraId="10C7EA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686C5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67B98AEE">
            <w:pPr>
              <w:jc w:val="center"/>
              <w:rPr>
                <w:highlight w:val="none"/>
              </w:rPr>
            </w:pPr>
          </w:p>
        </w:tc>
        <w:tc>
          <w:tcPr>
            <w:tcW w:w="710" w:type="dxa"/>
            <w:gridSpan w:val="2"/>
            <w:noWrap w:val="0"/>
            <w:vAlign w:val="center"/>
          </w:tcPr>
          <w:p w14:paraId="2FA67B73">
            <w:pPr>
              <w:jc w:val="both"/>
              <w:rPr>
                <w:highlight w:val="none"/>
                <w:vertAlign w:val="baseline"/>
              </w:rPr>
            </w:pPr>
          </w:p>
        </w:tc>
      </w:tr>
      <w:tr w14:paraId="02E6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8E9DAF">
            <w:pPr>
              <w:jc w:val="center"/>
              <w:rPr>
                <w:rFonts w:hint="default"/>
                <w:highlight w:val="none"/>
                <w:vertAlign w:val="baseline"/>
                <w:lang w:val="en-US" w:eastAsia="zh-CN"/>
              </w:rPr>
            </w:pPr>
            <w:r>
              <w:rPr>
                <w:rFonts w:hint="eastAsia"/>
                <w:highlight w:val="none"/>
                <w:vertAlign w:val="baseline"/>
                <w:lang w:val="en-US" w:eastAsia="zh-CN"/>
              </w:rPr>
              <w:t>256</w:t>
            </w:r>
          </w:p>
        </w:tc>
        <w:tc>
          <w:tcPr>
            <w:tcW w:w="1690" w:type="dxa"/>
            <w:noWrap w:val="0"/>
            <w:vAlign w:val="center"/>
          </w:tcPr>
          <w:p w14:paraId="20C19D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光的反射实验仪</w:t>
            </w:r>
          </w:p>
        </w:tc>
        <w:tc>
          <w:tcPr>
            <w:tcW w:w="5928" w:type="dxa"/>
            <w:noWrap w:val="0"/>
            <w:vAlign w:val="center"/>
          </w:tcPr>
          <w:p w14:paraId="0872803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 由水雾发生器、双色激光光源（分别提供光 源和法线）、入射光调节装置、反射面、入 射角和反射角测量装置组成；入射角可在三 维空间调节，入射光线和法线构成的平面可 改变、转动</w:t>
            </w:r>
          </w:p>
        </w:tc>
        <w:tc>
          <w:tcPr>
            <w:tcW w:w="736" w:type="dxa"/>
            <w:noWrap w:val="0"/>
            <w:vAlign w:val="center"/>
          </w:tcPr>
          <w:p w14:paraId="3D9711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1C16E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6B1C030B">
            <w:pPr>
              <w:jc w:val="center"/>
              <w:rPr>
                <w:highlight w:val="none"/>
              </w:rPr>
            </w:pPr>
          </w:p>
        </w:tc>
        <w:tc>
          <w:tcPr>
            <w:tcW w:w="710" w:type="dxa"/>
            <w:gridSpan w:val="2"/>
            <w:noWrap w:val="0"/>
            <w:vAlign w:val="center"/>
          </w:tcPr>
          <w:p w14:paraId="27543BFD">
            <w:pPr>
              <w:jc w:val="both"/>
              <w:rPr>
                <w:highlight w:val="none"/>
                <w:vertAlign w:val="baseline"/>
              </w:rPr>
            </w:pPr>
          </w:p>
        </w:tc>
      </w:tr>
      <w:tr w14:paraId="1353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31F58E">
            <w:pPr>
              <w:jc w:val="center"/>
              <w:rPr>
                <w:rFonts w:hint="default"/>
                <w:highlight w:val="none"/>
                <w:vertAlign w:val="baseline"/>
                <w:lang w:val="en-US" w:eastAsia="zh-CN"/>
              </w:rPr>
            </w:pPr>
            <w:r>
              <w:rPr>
                <w:rFonts w:hint="eastAsia"/>
                <w:highlight w:val="none"/>
                <w:vertAlign w:val="baseline"/>
                <w:lang w:val="en-US" w:eastAsia="zh-CN"/>
              </w:rPr>
              <w:t>257</w:t>
            </w:r>
          </w:p>
        </w:tc>
        <w:tc>
          <w:tcPr>
            <w:tcW w:w="1690" w:type="dxa"/>
            <w:noWrap w:val="0"/>
            <w:vAlign w:val="center"/>
          </w:tcPr>
          <w:p w14:paraId="22696E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平面镜成像实验器</w:t>
            </w:r>
          </w:p>
        </w:tc>
        <w:tc>
          <w:tcPr>
            <w:tcW w:w="5928" w:type="dxa"/>
            <w:noWrap w:val="0"/>
            <w:vAlign w:val="center"/>
          </w:tcPr>
          <w:p w14:paraId="734CE69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有机玻璃，厚5mm，150×100 mm，支架2个</w:t>
            </w:r>
          </w:p>
        </w:tc>
        <w:tc>
          <w:tcPr>
            <w:tcW w:w="736" w:type="dxa"/>
            <w:noWrap w:val="0"/>
            <w:vAlign w:val="center"/>
          </w:tcPr>
          <w:p w14:paraId="44168F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DCF7C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35F8ABA9">
            <w:pPr>
              <w:jc w:val="center"/>
              <w:rPr>
                <w:highlight w:val="none"/>
              </w:rPr>
            </w:pPr>
          </w:p>
        </w:tc>
        <w:tc>
          <w:tcPr>
            <w:tcW w:w="710" w:type="dxa"/>
            <w:gridSpan w:val="2"/>
            <w:noWrap w:val="0"/>
            <w:vAlign w:val="center"/>
          </w:tcPr>
          <w:p w14:paraId="55F6445A">
            <w:pPr>
              <w:jc w:val="both"/>
              <w:rPr>
                <w:highlight w:val="none"/>
                <w:vertAlign w:val="baseline"/>
              </w:rPr>
            </w:pPr>
          </w:p>
        </w:tc>
      </w:tr>
      <w:tr w14:paraId="368E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5A2735">
            <w:pPr>
              <w:jc w:val="center"/>
              <w:rPr>
                <w:rFonts w:hint="default"/>
                <w:highlight w:val="none"/>
                <w:vertAlign w:val="baseline"/>
                <w:lang w:val="en-US" w:eastAsia="zh-CN"/>
              </w:rPr>
            </w:pPr>
            <w:r>
              <w:rPr>
                <w:rFonts w:hint="eastAsia"/>
                <w:highlight w:val="none"/>
                <w:vertAlign w:val="baseline"/>
                <w:lang w:val="en-US" w:eastAsia="zh-CN"/>
              </w:rPr>
              <w:t>258</w:t>
            </w:r>
          </w:p>
        </w:tc>
        <w:tc>
          <w:tcPr>
            <w:tcW w:w="1690" w:type="dxa"/>
            <w:noWrap w:val="0"/>
            <w:vAlign w:val="center"/>
          </w:tcPr>
          <w:p w14:paraId="3E882C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平面镜成像实验器</w:t>
            </w:r>
          </w:p>
        </w:tc>
        <w:tc>
          <w:tcPr>
            <w:tcW w:w="5928" w:type="dxa"/>
            <w:noWrap w:val="0"/>
            <w:vAlign w:val="center"/>
          </w:tcPr>
          <w:p w14:paraId="06613CC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由水平底座、塑料平面镜等组成</w:t>
            </w:r>
          </w:p>
        </w:tc>
        <w:tc>
          <w:tcPr>
            <w:tcW w:w="736" w:type="dxa"/>
            <w:noWrap w:val="0"/>
            <w:vAlign w:val="center"/>
          </w:tcPr>
          <w:p w14:paraId="614CA9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A51930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5CF6A5BC">
            <w:pPr>
              <w:jc w:val="center"/>
              <w:rPr>
                <w:highlight w:val="none"/>
              </w:rPr>
            </w:pPr>
          </w:p>
        </w:tc>
        <w:tc>
          <w:tcPr>
            <w:tcW w:w="710" w:type="dxa"/>
            <w:gridSpan w:val="2"/>
            <w:noWrap w:val="0"/>
            <w:vAlign w:val="center"/>
          </w:tcPr>
          <w:p w14:paraId="155BDEA4">
            <w:pPr>
              <w:jc w:val="both"/>
              <w:rPr>
                <w:highlight w:val="none"/>
                <w:vertAlign w:val="baseline"/>
              </w:rPr>
            </w:pPr>
          </w:p>
        </w:tc>
      </w:tr>
      <w:tr w14:paraId="1D08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71F745E9">
            <w:pPr>
              <w:jc w:val="center"/>
              <w:rPr>
                <w:rFonts w:hint="default"/>
                <w:highlight w:val="none"/>
                <w:vertAlign w:val="baseline"/>
                <w:lang w:val="en-US" w:eastAsia="zh-CN"/>
              </w:rPr>
            </w:pPr>
            <w:r>
              <w:rPr>
                <w:rFonts w:hint="eastAsia"/>
                <w:highlight w:val="none"/>
                <w:vertAlign w:val="baseline"/>
                <w:lang w:val="en-US" w:eastAsia="zh-CN"/>
              </w:rPr>
              <w:t>259</w:t>
            </w:r>
          </w:p>
        </w:tc>
        <w:tc>
          <w:tcPr>
            <w:tcW w:w="1690" w:type="dxa"/>
            <w:noWrap w:val="0"/>
            <w:vAlign w:val="center"/>
          </w:tcPr>
          <w:p w14:paraId="68E4BB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F光源</w:t>
            </w:r>
          </w:p>
        </w:tc>
        <w:tc>
          <w:tcPr>
            <w:tcW w:w="5928" w:type="dxa"/>
            <w:noWrap w:val="0"/>
            <w:vAlign w:val="center"/>
          </w:tcPr>
          <w:p w14:paraId="058BE3C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LED光源</w:t>
            </w:r>
          </w:p>
        </w:tc>
        <w:tc>
          <w:tcPr>
            <w:tcW w:w="736" w:type="dxa"/>
            <w:noWrap w:val="0"/>
            <w:vAlign w:val="center"/>
          </w:tcPr>
          <w:p w14:paraId="73DA4F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FE415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54505EBA">
            <w:pPr>
              <w:jc w:val="center"/>
              <w:rPr>
                <w:highlight w:val="none"/>
              </w:rPr>
            </w:pPr>
          </w:p>
        </w:tc>
        <w:tc>
          <w:tcPr>
            <w:tcW w:w="710" w:type="dxa"/>
            <w:gridSpan w:val="2"/>
            <w:noWrap w:val="0"/>
            <w:vAlign w:val="center"/>
          </w:tcPr>
          <w:p w14:paraId="6979176C">
            <w:pPr>
              <w:jc w:val="both"/>
              <w:rPr>
                <w:highlight w:val="none"/>
                <w:vertAlign w:val="baseline"/>
              </w:rPr>
            </w:pPr>
          </w:p>
        </w:tc>
      </w:tr>
      <w:tr w14:paraId="4A44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24041E2">
            <w:pPr>
              <w:jc w:val="center"/>
              <w:rPr>
                <w:rFonts w:hint="default"/>
                <w:highlight w:val="none"/>
                <w:vertAlign w:val="baseline"/>
                <w:lang w:val="en-US" w:eastAsia="zh-CN"/>
              </w:rPr>
            </w:pPr>
            <w:r>
              <w:rPr>
                <w:rFonts w:hint="eastAsia"/>
                <w:highlight w:val="none"/>
                <w:vertAlign w:val="baseline"/>
                <w:lang w:val="en-US" w:eastAsia="zh-CN"/>
              </w:rPr>
              <w:t>260</w:t>
            </w:r>
          </w:p>
        </w:tc>
        <w:tc>
          <w:tcPr>
            <w:tcW w:w="1690" w:type="dxa"/>
            <w:noWrap w:val="0"/>
            <w:vAlign w:val="center"/>
          </w:tcPr>
          <w:p w14:paraId="68BC45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无尽头灯廊制作材料</w:t>
            </w:r>
          </w:p>
        </w:tc>
        <w:tc>
          <w:tcPr>
            <w:tcW w:w="5928" w:type="dxa"/>
            <w:noWrap w:val="0"/>
            <w:vAlign w:val="center"/>
          </w:tcPr>
          <w:p w14:paraId="0E60DC4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反光镜、半反镜、纸盒、发光二极管、电池盒 、导线等</w:t>
            </w:r>
          </w:p>
        </w:tc>
        <w:tc>
          <w:tcPr>
            <w:tcW w:w="736" w:type="dxa"/>
            <w:noWrap w:val="0"/>
            <w:vAlign w:val="center"/>
          </w:tcPr>
          <w:p w14:paraId="46234F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14F61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4908F9F">
            <w:pPr>
              <w:jc w:val="center"/>
              <w:rPr>
                <w:highlight w:val="none"/>
              </w:rPr>
            </w:pPr>
          </w:p>
        </w:tc>
        <w:tc>
          <w:tcPr>
            <w:tcW w:w="710" w:type="dxa"/>
            <w:gridSpan w:val="2"/>
            <w:noWrap w:val="0"/>
            <w:vAlign w:val="center"/>
          </w:tcPr>
          <w:p w14:paraId="67CB5AE3">
            <w:pPr>
              <w:jc w:val="both"/>
              <w:rPr>
                <w:highlight w:val="none"/>
                <w:vertAlign w:val="baseline"/>
              </w:rPr>
            </w:pPr>
          </w:p>
        </w:tc>
      </w:tr>
      <w:tr w14:paraId="3E63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9DB7FF">
            <w:pPr>
              <w:jc w:val="center"/>
              <w:rPr>
                <w:rFonts w:hint="default"/>
                <w:highlight w:val="none"/>
                <w:vertAlign w:val="baseline"/>
                <w:lang w:val="en-US" w:eastAsia="zh-CN"/>
              </w:rPr>
            </w:pPr>
            <w:r>
              <w:rPr>
                <w:rFonts w:hint="eastAsia"/>
                <w:highlight w:val="none"/>
                <w:vertAlign w:val="baseline"/>
                <w:lang w:val="en-US" w:eastAsia="zh-CN"/>
              </w:rPr>
              <w:t>261</w:t>
            </w:r>
          </w:p>
        </w:tc>
        <w:tc>
          <w:tcPr>
            <w:tcW w:w="1690" w:type="dxa"/>
            <w:noWrap w:val="0"/>
            <w:vAlign w:val="center"/>
          </w:tcPr>
          <w:p w14:paraId="37EE0C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潜望镜制作材料</w:t>
            </w:r>
          </w:p>
        </w:tc>
        <w:tc>
          <w:tcPr>
            <w:tcW w:w="5928" w:type="dxa"/>
            <w:noWrap w:val="0"/>
            <w:vAlign w:val="center"/>
          </w:tcPr>
          <w:p w14:paraId="5A8D76C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直管、弯管可连接；弯管转角有45°切角</w:t>
            </w:r>
          </w:p>
        </w:tc>
        <w:tc>
          <w:tcPr>
            <w:tcW w:w="736" w:type="dxa"/>
            <w:noWrap w:val="0"/>
            <w:vAlign w:val="center"/>
          </w:tcPr>
          <w:p w14:paraId="2C754B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D49638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4BD0932">
            <w:pPr>
              <w:jc w:val="center"/>
              <w:rPr>
                <w:highlight w:val="none"/>
              </w:rPr>
            </w:pPr>
          </w:p>
        </w:tc>
        <w:tc>
          <w:tcPr>
            <w:tcW w:w="710" w:type="dxa"/>
            <w:gridSpan w:val="2"/>
            <w:noWrap w:val="0"/>
            <w:vAlign w:val="center"/>
          </w:tcPr>
          <w:p w14:paraId="344D06B4">
            <w:pPr>
              <w:jc w:val="both"/>
              <w:rPr>
                <w:highlight w:val="none"/>
                <w:vertAlign w:val="baseline"/>
              </w:rPr>
            </w:pPr>
          </w:p>
        </w:tc>
      </w:tr>
      <w:tr w14:paraId="2F47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7E1BEC">
            <w:pPr>
              <w:jc w:val="center"/>
              <w:rPr>
                <w:rFonts w:hint="default"/>
                <w:highlight w:val="none"/>
                <w:vertAlign w:val="baseline"/>
                <w:lang w:val="en-US" w:eastAsia="zh-CN"/>
              </w:rPr>
            </w:pPr>
            <w:r>
              <w:rPr>
                <w:rFonts w:hint="eastAsia"/>
                <w:highlight w:val="none"/>
                <w:vertAlign w:val="baseline"/>
                <w:lang w:val="en-US" w:eastAsia="zh-CN"/>
              </w:rPr>
              <w:t>262</w:t>
            </w:r>
          </w:p>
        </w:tc>
        <w:tc>
          <w:tcPr>
            <w:tcW w:w="1690" w:type="dxa"/>
            <w:noWrap w:val="0"/>
            <w:vAlign w:val="center"/>
          </w:tcPr>
          <w:p w14:paraId="134D7C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透明水槽</w:t>
            </w:r>
          </w:p>
        </w:tc>
        <w:tc>
          <w:tcPr>
            <w:tcW w:w="5928" w:type="dxa"/>
            <w:noWrap w:val="0"/>
            <w:vAlign w:val="center"/>
          </w:tcPr>
          <w:p w14:paraId="4B5E48F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方形250 mm×180 mm×100 mm，透光率≥85％</w:t>
            </w:r>
          </w:p>
        </w:tc>
        <w:tc>
          <w:tcPr>
            <w:tcW w:w="736" w:type="dxa"/>
            <w:noWrap w:val="0"/>
            <w:vAlign w:val="center"/>
          </w:tcPr>
          <w:p w14:paraId="0B3981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4E33C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8C75F3C">
            <w:pPr>
              <w:jc w:val="center"/>
              <w:rPr>
                <w:highlight w:val="none"/>
              </w:rPr>
            </w:pPr>
          </w:p>
        </w:tc>
        <w:tc>
          <w:tcPr>
            <w:tcW w:w="710" w:type="dxa"/>
            <w:gridSpan w:val="2"/>
            <w:noWrap w:val="0"/>
            <w:vAlign w:val="center"/>
          </w:tcPr>
          <w:p w14:paraId="66A0E494">
            <w:pPr>
              <w:jc w:val="both"/>
              <w:rPr>
                <w:highlight w:val="none"/>
                <w:vertAlign w:val="baseline"/>
              </w:rPr>
            </w:pPr>
          </w:p>
        </w:tc>
      </w:tr>
      <w:tr w14:paraId="6342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3AFB6C16">
            <w:pPr>
              <w:jc w:val="center"/>
              <w:rPr>
                <w:rFonts w:hint="default"/>
                <w:highlight w:val="none"/>
                <w:vertAlign w:val="baseline"/>
                <w:lang w:val="en-US" w:eastAsia="zh-CN"/>
              </w:rPr>
            </w:pPr>
            <w:r>
              <w:rPr>
                <w:rFonts w:hint="eastAsia"/>
                <w:highlight w:val="none"/>
                <w:vertAlign w:val="baseline"/>
                <w:lang w:val="en-US" w:eastAsia="zh-CN"/>
              </w:rPr>
              <w:t>263</w:t>
            </w:r>
          </w:p>
        </w:tc>
        <w:tc>
          <w:tcPr>
            <w:tcW w:w="1690" w:type="dxa"/>
            <w:noWrap w:val="0"/>
            <w:vAlign w:val="center"/>
          </w:tcPr>
          <w:p w14:paraId="2DD787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透明水槽（圆）</w:t>
            </w:r>
          </w:p>
        </w:tc>
        <w:tc>
          <w:tcPr>
            <w:tcW w:w="5928" w:type="dxa"/>
            <w:noWrap w:val="0"/>
            <w:vAlign w:val="center"/>
          </w:tcPr>
          <w:p w14:paraId="3303616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Φ250mm×100 mm，透光率 ≥85％</w:t>
            </w:r>
          </w:p>
        </w:tc>
        <w:tc>
          <w:tcPr>
            <w:tcW w:w="736" w:type="dxa"/>
            <w:noWrap w:val="0"/>
            <w:vAlign w:val="center"/>
          </w:tcPr>
          <w:p w14:paraId="0A93B0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E861D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74CB0D7">
            <w:pPr>
              <w:jc w:val="center"/>
              <w:rPr>
                <w:highlight w:val="none"/>
              </w:rPr>
            </w:pPr>
          </w:p>
        </w:tc>
        <w:tc>
          <w:tcPr>
            <w:tcW w:w="710" w:type="dxa"/>
            <w:gridSpan w:val="2"/>
            <w:noWrap w:val="0"/>
            <w:vAlign w:val="center"/>
          </w:tcPr>
          <w:p w14:paraId="786FA8E8">
            <w:pPr>
              <w:jc w:val="both"/>
              <w:rPr>
                <w:highlight w:val="none"/>
                <w:vertAlign w:val="baseline"/>
              </w:rPr>
            </w:pPr>
          </w:p>
        </w:tc>
      </w:tr>
      <w:tr w14:paraId="10BD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322C70">
            <w:pPr>
              <w:jc w:val="center"/>
              <w:rPr>
                <w:rFonts w:hint="default"/>
                <w:highlight w:val="none"/>
                <w:vertAlign w:val="baseline"/>
                <w:lang w:val="en-US" w:eastAsia="zh-CN"/>
              </w:rPr>
            </w:pPr>
            <w:r>
              <w:rPr>
                <w:rFonts w:hint="eastAsia"/>
                <w:highlight w:val="none"/>
                <w:vertAlign w:val="baseline"/>
                <w:lang w:val="en-US" w:eastAsia="zh-CN"/>
              </w:rPr>
              <w:t>264</w:t>
            </w:r>
          </w:p>
        </w:tc>
        <w:tc>
          <w:tcPr>
            <w:tcW w:w="1690" w:type="dxa"/>
            <w:noWrap w:val="0"/>
            <w:vAlign w:val="center"/>
          </w:tcPr>
          <w:p w14:paraId="2A8A4D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光导纤维组</w:t>
            </w:r>
          </w:p>
        </w:tc>
        <w:tc>
          <w:tcPr>
            <w:tcW w:w="5928" w:type="dxa"/>
            <w:noWrap w:val="0"/>
            <w:vAlign w:val="center"/>
          </w:tcPr>
          <w:p w14:paraId="50D2936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透明光导直径3mm、10mm，黑皮光导纤维5mm</w:t>
            </w:r>
          </w:p>
        </w:tc>
        <w:tc>
          <w:tcPr>
            <w:tcW w:w="736" w:type="dxa"/>
            <w:noWrap w:val="0"/>
            <w:vAlign w:val="center"/>
          </w:tcPr>
          <w:p w14:paraId="14137D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7C6B48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72184DF">
            <w:pPr>
              <w:jc w:val="center"/>
              <w:rPr>
                <w:highlight w:val="none"/>
              </w:rPr>
            </w:pPr>
          </w:p>
        </w:tc>
        <w:tc>
          <w:tcPr>
            <w:tcW w:w="710" w:type="dxa"/>
            <w:gridSpan w:val="2"/>
            <w:noWrap w:val="0"/>
            <w:vAlign w:val="center"/>
          </w:tcPr>
          <w:p w14:paraId="14687FBF">
            <w:pPr>
              <w:jc w:val="both"/>
              <w:rPr>
                <w:highlight w:val="none"/>
                <w:vertAlign w:val="baseline"/>
              </w:rPr>
            </w:pPr>
          </w:p>
        </w:tc>
      </w:tr>
      <w:tr w14:paraId="599B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CD8A83">
            <w:pPr>
              <w:jc w:val="center"/>
              <w:rPr>
                <w:rFonts w:hint="default"/>
                <w:highlight w:val="none"/>
                <w:vertAlign w:val="baseline"/>
                <w:lang w:val="en-US" w:eastAsia="zh-CN"/>
              </w:rPr>
            </w:pPr>
            <w:r>
              <w:rPr>
                <w:rFonts w:hint="eastAsia"/>
                <w:highlight w:val="none"/>
                <w:vertAlign w:val="baseline"/>
                <w:lang w:val="en-US" w:eastAsia="zh-CN"/>
              </w:rPr>
              <w:t>265</w:t>
            </w:r>
          </w:p>
        </w:tc>
        <w:tc>
          <w:tcPr>
            <w:tcW w:w="1690" w:type="dxa"/>
            <w:noWrap w:val="0"/>
            <w:vAlign w:val="center"/>
          </w:tcPr>
          <w:p w14:paraId="439CB2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凹透镜</w:t>
            </w:r>
          </w:p>
        </w:tc>
        <w:tc>
          <w:tcPr>
            <w:tcW w:w="5928" w:type="dxa"/>
            <w:noWrap w:val="0"/>
            <w:vAlign w:val="center"/>
          </w:tcPr>
          <w:p w14:paraId="09E8296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焦距-50 mm，误差±2 mm</w:t>
            </w:r>
          </w:p>
        </w:tc>
        <w:tc>
          <w:tcPr>
            <w:tcW w:w="736" w:type="dxa"/>
            <w:noWrap w:val="0"/>
            <w:vAlign w:val="center"/>
          </w:tcPr>
          <w:p w14:paraId="218C18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面</w:t>
            </w:r>
          </w:p>
        </w:tc>
        <w:tc>
          <w:tcPr>
            <w:tcW w:w="834" w:type="dxa"/>
            <w:noWrap w:val="0"/>
            <w:vAlign w:val="center"/>
          </w:tcPr>
          <w:p w14:paraId="361629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2F9B029E">
            <w:pPr>
              <w:jc w:val="center"/>
              <w:rPr>
                <w:highlight w:val="none"/>
              </w:rPr>
            </w:pPr>
          </w:p>
        </w:tc>
        <w:tc>
          <w:tcPr>
            <w:tcW w:w="710" w:type="dxa"/>
            <w:gridSpan w:val="2"/>
            <w:noWrap w:val="0"/>
            <w:vAlign w:val="center"/>
          </w:tcPr>
          <w:p w14:paraId="48F7E9AE">
            <w:pPr>
              <w:jc w:val="both"/>
              <w:rPr>
                <w:highlight w:val="none"/>
                <w:vertAlign w:val="baseline"/>
              </w:rPr>
            </w:pPr>
          </w:p>
        </w:tc>
      </w:tr>
      <w:tr w14:paraId="6D76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8771F6">
            <w:pPr>
              <w:jc w:val="center"/>
              <w:rPr>
                <w:rFonts w:hint="default"/>
                <w:highlight w:val="none"/>
                <w:vertAlign w:val="baseline"/>
                <w:lang w:val="en-US" w:eastAsia="zh-CN"/>
              </w:rPr>
            </w:pPr>
            <w:r>
              <w:rPr>
                <w:rFonts w:hint="eastAsia"/>
                <w:highlight w:val="none"/>
                <w:vertAlign w:val="baseline"/>
                <w:lang w:val="en-US" w:eastAsia="zh-CN"/>
              </w:rPr>
              <w:t>266</w:t>
            </w:r>
          </w:p>
        </w:tc>
        <w:tc>
          <w:tcPr>
            <w:tcW w:w="1690" w:type="dxa"/>
            <w:noWrap w:val="0"/>
            <w:vAlign w:val="center"/>
          </w:tcPr>
          <w:p w14:paraId="479A56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凸透镜</w:t>
            </w:r>
          </w:p>
        </w:tc>
        <w:tc>
          <w:tcPr>
            <w:tcW w:w="5928" w:type="dxa"/>
            <w:noWrap w:val="0"/>
            <w:vAlign w:val="center"/>
          </w:tcPr>
          <w:p w14:paraId="002F0F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焦距 75 mm，误差±2 mm</w:t>
            </w:r>
          </w:p>
        </w:tc>
        <w:tc>
          <w:tcPr>
            <w:tcW w:w="736" w:type="dxa"/>
            <w:noWrap w:val="0"/>
            <w:vAlign w:val="center"/>
          </w:tcPr>
          <w:p w14:paraId="50B82B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面</w:t>
            </w:r>
          </w:p>
        </w:tc>
        <w:tc>
          <w:tcPr>
            <w:tcW w:w="834" w:type="dxa"/>
            <w:noWrap w:val="0"/>
            <w:vAlign w:val="center"/>
          </w:tcPr>
          <w:p w14:paraId="546574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5C0D9FAE">
            <w:pPr>
              <w:jc w:val="center"/>
              <w:rPr>
                <w:highlight w:val="none"/>
              </w:rPr>
            </w:pPr>
          </w:p>
        </w:tc>
        <w:tc>
          <w:tcPr>
            <w:tcW w:w="710" w:type="dxa"/>
            <w:gridSpan w:val="2"/>
            <w:noWrap w:val="0"/>
            <w:vAlign w:val="center"/>
          </w:tcPr>
          <w:p w14:paraId="5ACFEBF4">
            <w:pPr>
              <w:jc w:val="both"/>
              <w:rPr>
                <w:highlight w:val="none"/>
                <w:vertAlign w:val="baseline"/>
              </w:rPr>
            </w:pPr>
          </w:p>
        </w:tc>
      </w:tr>
      <w:tr w14:paraId="3729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AA7C58">
            <w:pPr>
              <w:jc w:val="center"/>
              <w:rPr>
                <w:rFonts w:hint="default"/>
                <w:highlight w:val="none"/>
                <w:vertAlign w:val="baseline"/>
                <w:lang w:val="en-US" w:eastAsia="zh-CN"/>
              </w:rPr>
            </w:pPr>
            <w:r>
              <w:rPr>
                <w:rFonts w:hint="eastAsia"/>
                <w:highlight w:val="none"/>
                <w:vertAlign w:val="baseline"/>
                <w:lang w:val="en-US" w:eastAsia="zh-CN"/>
              </w:rPr>
              <w:t>267</w:t>
            </w:r>
          </w:p>
        </w:tc>
        <w:tc>
          <w:tcPr>
            <w:tcW w:w="1690" w:type="dxa"/>
            <w:noWrap w:val="0"/>
            <w:vAlign w:val="center"/>
          </w:tcPr>
          <w:p w14:paraId="05DCA3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透镜及其应用实验器</w:t>
            </w:r>
          </w:p>
        </w:tc>
        <w:tc>
          <w:tcPr>
            <w:tcW w:w="5928" w:type="dxa"/>
            <w:noWrap w:val="0"/>
            <w:vAlign w:val="center"/>
          </w:tcPr>
          <w:p w14:paraId="2FED91B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测量凸透镜的焦距及凸透镜应用</w:t>
            </w:r>
          </w:p>
        </w:tc>
        <w:tc>
          <w:tcPr>
            <w:tcW w:w="736" w:type="dxa"/>
            <w:noWrap w:val="0"/>
            <w:vAlign w:val="center"/>
          </w:tcPr>
          <w:p w14:paraId="1F4AB1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6FFB6F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84E2175">
            <w:pPr>
              <w:jc w:val="center"/>
              <w:rPr>
                <w:highlight w:val="none"/>
              </w:rPr>
            </w:pPr>
          </w:p>
        </w:tc>
        <w:tc>
          <w:tcPr>
            <w:tcW w:w="710" w:type="dxa"/>
            <w:gridSpan w:val="2"/>
            <w:noWrap w:val="0"/>
            <w:vAlign w:val="center"/>
          </w:tcPr>
          <w:p w14:paraId="2EA9D73B">
            <w:pPr>
              <w:jc w:val="both"/>
              <w:rPr>
                <w:highlight w:val="none"/>
                <w:vertAlign w:val="baseline"/>
              </w:rPr>
            </w:pPr>
          </w:p>
        </w:tc>
      </w:tr>
      <w:tr w14:paraId="2F63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96FCE2">
            <w:pPr>
              <w:jc w:val="center"/>
              <w:rPr>
                <w:rFonts w:hint="default"/>
                <w:highlight w:val="none"/>
                <w:vertAlign w:val="baseline"/>
                <w:lang w:val="en-US" w:eastAsia="zh-CN"/>
              </w:rPr>
            </w:pPr>
            <w:r>
              <w:rPr>
                <w:rFonts w:hint="eastAsia"/>
                <w:highlight w:val="none"/>
                <w:vertAlign w:val="baseline"/>
                <w:lang w:val="en-US" w:eastAsia="zh-CN"/>
              </w:rPr>
              <w:t>268</w:t>
            </w:r>
          </w:p>
        </w:tc>
        <w:tc>
          <w:tcPr>
            <w:tcW w:w="1690" w:type="dxa"/>
            <w:noWrap w:val="0"/>
            <w:vAlign w:val="center"/>
          </w:tcPr>
          <w:p w14:paraId="251F58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眼球仪</w:t>
            </w:r>
          </w:p>
        </w:tc>
        <w:tc>
          <w:tcPr>
            <w:tcW w:w="5928" w:type="dxa"/>
            <w:noWrap w:val="0"/>
            <w:vAlign w:val="center"/>
          </w:tcPr>
          <w:p w14:paraId="6FE5B2D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晶状体曲度调节器、光源、矫正镜盘</w:t>
            </w:r>
          </w:p>
        </w:tc>
        <w:tc>
          <w:tcPr>
            <w:tcW w:w="736" w:type="dxa"/>
            <w:noWrap w:val="0"/>
            <w:vAlign w:val="center"/>
          </w:tcPr>
          <w:p w14:paraId="73CE46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EB18F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3772DF">
            <w:pPr>
              <w:jc w:val="center"/>
              <w:rPr>
                <w:highlight w:val="none"/>
              </w:rPr>
            </w:pPr>
          </w:p>
        </w:tc>
        <w:tc>
          <w:tcPr>
            <w:tcW w:w="710" w:type="dxa"/>
            <w:gridSpan w:val="2"/>
            <w:noWrap w:val="0"/>
            <w:vAlign w:val="center"/>
          </w:tcPr>
          <w:p w14:paraId="5CFBA9FF">
            <w:pPr>
              <w:jc w:val="both"/>
              <w:rPr>
                <w:highlight w:val="none"/>
                <w:vertAlign w:val="baseline"/>
              </w:rPr>
            </w:pPr>
          </w:p>
        </w:tc>
      </w:tr>
      <w:tr w14:paraId="73E7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18331202">
            <w:pPr>
              <w:jc w:val="center"/>
              <w:rPr>
                <w:rFonts w:hint="default"/>
                <w:highlight w:val="none"/>
                <w:vertAlign w:val="baseline"/>
                <w:lang w:val="en-US" w:eastAsia="zh-CN"/>
              </w:rPr>
            </w:pPr>
            <w:r>
              <w:rPr>
                <w:rFonts w:hint="eastAsia"/>
                <w:highlight w:val="none"/>
                <w:vertAlign w:val="baseline"/>
                <w:lang w:val="en-US" w:eastAsia="zh-CN"/>
              </w:rPr>
              <w:t>269</w:t>
            </w:r>
          </w:p>
        </w:tc>
        <w:tc>
          <w:tcPr>
            <w:tcW w:w="1690" w:type="dxa"/>
            <w:noWrap w:val="0"/>
            <w:vAlign w:val="center"/>
          </w:tcPr>
          <w:p w14:paraId="059DBC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照相机原理模型</w:t>
            </w:r>
          </w:p>
        </w:tc>
        <w:tc>
          <w:tcPr>
            <w:tcW w:w="5928" w:type="dxa"/>
            <w:noWrap w:val="0"/>
            <w:vAlign w:val="center"/>
          </w:tcPr>
          <w:p w14:paraId="17D551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凸透镜成像，像距可调</w:t>
            </w:r>
          </w:p>
        </w:tc>
        <w:tc>
          <w:tcPr>
            <w:tcW w:w="736" w:type="dxa"/>
            <w:noWrap w:val="0"/>
            <w:vAlign w:val="center"/>
          </w:tcPr>
          <w:p w14:paraId="47EFB3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443CC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C4D184D">
            <w:pPr>
              <w:jc w:val="center"/>
              <w:rPr>
                <w:highlight w:val="none"/>
              </w:rPr>
            </w:pPr>
          </w:p>
        </w:tc>
        <w:tc>
          <w:tcPr>
            <w:tcW w:w="710" w:type="dxa"/>
            <w:gridSpan w:val="2"/>
            <w:noWrap w:val="0"/>
            <w:vAlign w:val="center"/>
          </w:tcPr>
          <w:p w14:paraId="0816F485">
            <w:pPr>
              <w:jc w:val="both"/>
              <w:rPr>
                <w:highlight w:val="none"/>
                <w:vertAlign w:val="baseline"/>
              </w:rPr>
            </w:pPr>
          </w:p>
        </w:tc>
      </w:tr>
      <w:tr w14:paraId="3025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54C5787">
            <w:pPr>
              <w:jc w:val="center"/>
              <w:rPr>
                <w:rFonts w:hint="default"/>
                <w:highlight w:val="none"/>
                <w:vertAlign w:val="baseline"/>
                <w:lang w:val="en-US" w:eastAsia="zh-CN"/>
              </w:rPr>
            </w:pPr>
            <w:r>
              <w:rPr>
                <w:rFonts w:hint="eastAsia"/>
                <w:highlight w:val="none"/>
                <w:vertAlign w:val="baseline"/>
                <w:lang w:val="en-US" w:eastAsia="zh-CN"/>
              </w:rPr>
              <w:t>270</w:t>
            </w:r>
          </w:p>
        </w:tc>
        <w:tc>
          <w:tcPr>
            <w:tcW w:w="1690" w:type="dxa"/>
            <w:noWrap w:val="0"/>
            <w:vAlign w:val="center"/>
          </w:tcPr>
          <w:p w14:paraId="3FF49D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白光的色散与合成演示器</w:t>
            </w:r>
          </w:p>
        </w:tc>
        <w:tc>
          <w:tcPr>
            <w:tcW w:w="5928" w:type="dxa"/>
            <w:noWrap w:val="0"/>
            <w:vAlign w:val="center"/>
          </w:tcPr>
          <w:p w14:paraId="5DDF582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光源、三棱镜、三棱镜台、光屏等组成</w:t>
            </w:r>
          </w:p>
        </w:tc>
        <w:tc>
          <w:tcPr>
            <w:tcW w:w="736" w:type="dxa"/>
            <w:noWrap w:val="0"/>
            <w:vAlign w:val="center"/>
          </w:tcPr>
          <w:p w14:paraId="03746D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17DBA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D6956C3">
            <w:pPr>
              <w:jc w:val="center"/>
              <w:rPr>
                <w:highlight w:val="none"/>
              </w:rPr>
            </w:pPr>
          </w:p>
        </w:tc>
        <w:tc>
          <w:tcPr>
            <w:tcW w:w="710" w:type="dxa"/>
            <w:gridSpan w:val="2"/>
            <w:noWrap w:val="0"/>
            <w:vAlign w:val="center"/>
          </w:tcPr>
          <w:p w14:paraId="1B434BE3">
            <w:pPr>
              <w:jc w:val="both"/>
              <w:rPr>
                <w:highlight w:val="none"/>
                <w:vertAlign w:val="baseline"/>
              </w:rPr>
            </w:pPr>
          </w:p>
        </w:tc>
      </w:tr>
      <w:tr w14:paraId="0405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536069">
            <w:pPr>
              <w:jc w:val="center"/>
              <w:rPr>
                <w:rFonts w:hint="default"/>
                <w:highlight w:val="none"/>
                <w:vertAlign w:val="baseline"/>
                <w:lang w:val="en-US" w:eastAsia="zh-CN"/>
              </w:rPr>
            </w:pPr>
            <w:r>
              <w:rPr>
                <w:rFonts w:hint="eastAsia"/>
                <w:highlight w:val="none"/>
                <w:vertAlign w:val="baseline"/>
                <w:lang w:val="en-US" w:eastAsia="zh-CN"/>
              </w:rPr>
              <w:t>271</w:t>
            </w:r>
          </w:p>
        </w:tc>
        <w:tc>
          <w:tcPr>
            <w:tcW w:w="1690" w:type="dxa"/>
            <w:noWrap w:val="0"/>
            <w:vAlign w:val="center"/>
          </w:tcPr>
          <w:p w14:paraId="5A46857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颜料的三原色</w:t>
            </w:r>
          </w:p>
        </w:tc>
        <w:tc>
          <w:tcPr>
            <w:tcW w:w="5928" w:type="dxa"/>
            <w:noWrap w:val="0"/>
            <w:vAlign w:val="center"/>
          </w:tcPr>
          <w:p w14:paraId="28C13D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品红、黄、青</w:t>
            </w:r>
          </w:p>
        </w:tc>
        <w:tc>
          <w:tcPr>
            <w:tcW w:w="736" w:type="dxa"/>
            <w:noWrap w:val="0"/>
            <w:vAlign w:val="center"/>
          </w:tcPr>
          <w:p w14:paraId="156B5C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93491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2FDC7C39">
            <w:pPr>
              <w:jc w:val="center"/>
              <w:rPr>
                <w:highlight w:val="none"/>
              </w:rPr>
            </w:pPr>
          </w:p>
        </w:tc>
        <w:tc>
          <w:tcPr>
            <w:tcW w:w="710" w:type="dxa"/>
            <w:gridSpan w:val="2"/>
            <w:noWrap w:val="0"/>
            <w:vAlign w:val="center"/>
          </w:tcPr>
          <w:p w14:paraId="32D9B98B">
            <w:pPr>
              <w:jc w:val="both"/>
              <w:rPr>
                <w:highlight w:val="none"/>
                <w:vertAlign w:val="baseline"/>
              </w:rPr>
            </w:pPr>
          </w:p>
        </w:tc>
      </w:tr>
      <w:tr w14:paraId="0E6B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92CDF4">
            <w:pPr>
              <w:jc w:val="center"/>
              <w:rPr>
                <w:rFonts w:hint="default"/>
                <w:highlight w:val="none"/>
                <w:vertAlign w:val="baseline"/>
                <w:lang w:val="en-US" w:eastAsia="zh-CN"/>
              </w:rPr>
            </w:pPr>
            <w:r>
              <w:rPr>
                <w:rFonts w:hint="eastAsia"/>
                <w:highlight w:val="none"/>
                <w:vertAlign w:val="baseline"/>
                <w:lang w:val="en-US" w:eastAsia="zh-CN"/>
              </w:rPr>
              <w:t>272</w:t>
            </w:r>
          </w:p>
        </w:tc>
        <w:tc>
          <w:tcPr>
            <w:tcW w:w="1690" w:type="dxa"/>
            <w:noWrap w:val="0"/>
            <w:vAlign w:val="center"/>
          </w:tcPr>
          <w:p w14:paraId="07533B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光的三原色合成实验器</w:t>
            </w:r>
          </w:p>
        </w:tc>
        <w:tc>
          <w:tcPr>
            <w:tcW w:w="5928" w:type="dxa"/>
            <w:noWrap w:val="0"/>
            <w:vAlign w:val="center"/>
          </w:tcPr>
          <w:p w14:paraId="5508D23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可单色、双色混合色和三色光混合色</w:t>
            </w:r>
          </w:p>
        </w:tc>
        <w:tc>
          <w:tcPr>
            <w:tcW w:w="736" w:type="dxa"/>
            <w:noWrap w:val="0"/>
            <w:vAlign w:val="center"/>
          </w:tcPr>
          <w:p w14:paraId="2D2128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6E5AC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8ABFD98">
            <w:pPr>
              <w:jc w:val="center"/>
              <w:rPr>
                <w:highlight w:val="none"/>
              </w:rPr>
            </w:pPr>
          </w:p>
        </w:tc>
        <w:tc>
          <w:tcPr>
            <w:tcW w:w="710" w:type="dxa"/>
            <w:gridSpan w:val="2"/>
            <w:noWrap w:val="0"/>
            <w:vAlign w:val="center"/>
          </w:tcPr>
          <w:p w14:paraId="750BDD67">
            <w:pPr>
              <w:jc w:val="both"/>
              <w:rPr>
                <w:highlight w:val="none"/>
                <w:vertAlign w:val="baseline"/>
              </w:rPr>
            </w:pPr>
          </w:p>
        </w:tc>
      </w:tr>
      <w:tr w14:paraId="0CE2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5C8857">
            <w:pPr>
              <w:jc w:val="center"/>
              <w:rPr>
                <w:rFonts w:hint="default"/>
                <w:highlight w:val="none"/>
                <w:vertAlign w:val="baseline"/>
                <w:lang w:val="en-US" w:eastAsia="zh-CN"/>
              </w:rPr>
            </w:pPr>
            <w:r>
              <w:rPr>
                <w:rFonts w:hint="eastAsia"/>
                <w:highlight w:val="none"/>
                <w:vertAlign w:val="baseline"/>
                <w:lang w:val="en-US" w:eastAsia="zh-CN"/>
              </w:rPr>
              <w:t>273</w:t>
            </w:r>
          </w:p>
        </w:tc>
        <w:tc>
          <w:tcPr>
            <w:tcW w:w="1690" w:type="dxa"/>
            <w:noWrap w:val="0"/>
            <w:vAlign w:val="center"/>
          </w:tcPr>
          <w:p w14:paraId="094762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三棱镜</w:t>
            </w:r>
          </w:p>
        </w:tc>
        <w:tc>
          <w:tcPr>
            <w:tcW w:w="5928" w:type="dxa"/>
            <w:noWrap w:val="0"/>
            <w:vAlign w:val="center"/>
          </w:tcPr>
          <w:p w14:paraId="0DC2752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三棱</w:t>
            </w:r>
          </w:p>
        </w:tc>
        <w:tc>
          <w:tcPr>
            <w:tcW w:w="736" w:type="dxa"/>
            <w:noWrap w:val="0"/>
            <w:vAlign w:val="center"/>
          </w:tcPr>
          <w:p w14:paraId="43A042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BE4A22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5436083">
            <w:pPr>
              <w:jc w:val="center"/>
              <w:rPr>
                <w:highlight w:val="none"/>
              </w:rPr>
            </w:pPr>
          </w:p>
        </w:tc>
        <w:tc>
          <w:tcPr>
            <w:tcW w:w="710" w:type="dxa"/>
            <w:gridSpan w:val="2"/>
            <w:noWrap w:val="0"/>
            <w:vAlign w:val="center"/>
          </w:tcPr>
          <w:p w14:paraId="08B0E007">
            <w:pPr>
              <w:jc w:val="both"/>
              <w:rPr>
                <w:highlight w:val="none"/>
                <w:vertAlign w:val="baseline"/>
              </w:rPr>
            </w:pPr>
          </w:p>
        </w:tc>
      </w:tr>
      <w:tr w14:paraId="5CDA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F212996">
            <w:pPr>
              <w:jc w:val="center"/>
              <w:rPr>
                <w:rFonts w:hint="default"/>
                <w:highlight w:val="none"/>
                <w:vertAlign w:val="baseline"/>
                <w:lang w:val="en-US" w:eastAsia="zh-CN"/>
              </w:rPr>
            </w:pPr>
            <w:r>
              <w:rPr>
                <w:rFonts w:hint="eastAsia"/>
                <w:highlight w:val="none"/>
                <w:vertAlign w:val="baseline"/>
                <w:lang w:val="en-US" w:eastAsia="zh-CN"/>
              </w:rPr>
              <w:t>274</w:t>
            </w:r>
          </w:p>
        </w:tc>
        <w:tc>
          <w:tcPr>
            <w:tcW w:w="1690" w:type="dxa"/>
            <w:noWrap w:val="0"/>
            <w:vAlign w:val="center"/>
          </w:tcPr>
          <w:p w14:paraId="731668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玻璃砖</w:t>
            </w:r>
          </w:p>
        </w:tc>
        <w:tc>
          <w:tcPr>
            <w:tcW w:w="5928" w:type="dxa"/>
            <w:noWrap w:val="0"/>
            <w:vAlign w:val="center"/>
          </w:tcPr>
          <w:p w14:paraId="3F4EE0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梯形</w:t>
            </w:r>
          </w:p>
        </w:tc>
        <w:tc>
          <w:tcPr>
            <w:tcW w:w="736" w:type="dxa"/>
            <w:noWrap w:val="0"/>
            <w:vAlign w:val="center"/>
          </w:tcPr>
          <w:p w14:paraId="37E52D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834" w:type="dxa"/>
            <w:noWrap w:val="0"/>
            <w:vAlign w:val="center"/>
          </w:tcPr>
          <w:p w14:paraId="1B244D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7B372AD">
            <w:pPr>
              <w:jc w:val="center"/>
              <w:rPr>
                <w:highlight w:val="none"/>
              </w:rPr>
            </w:pPr>
          </w:p>
        </w:tc>
        <w:tc>
          <w:tcPr>
            <w:tcW w:w="710" w:type="dxa"/>
            <w:gridSpan w:val="2"/>
            <w:noWrap w:val="0"/>
            <w:vAlign w:val="center"/>
          </w:tcPr>
          <w:p w14:paraId="51355151">
            <w:pPr>
              <w:jc w:val="both"/>
              <w:rPr>
                <w:highlight w:val="none"/>
                <w:vertAlign w:val="baseline"/>
              </w:rPr>
            </w:pPr>
          </w:p>
        </w:tc>
      </w:tr>
      <w:tr w14:paraId="7401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FBF0C52">
            <w:pPr>
              <w:jc w:val="center"/>
              <w:rPr>
                <w:rFonts w:hint="default"/>
                <w:highlight w:val="none"/>
                <w:vertAlign w:val="baseline"/>
                <w:lang w:val="en-US" w:eastAsia="zh-CN"/>
              </w:rPr>
            </w:pPr>
            <w:r>
              <w:rPr>
                <w:rFonts w:hint="eastAsia"/>
                <w:highlight w:val="none"/>
                <w:vertAlign w:val="baseline"/>
                <w:lang w:val="en-US" w:eastAsia="zh-CN"/>
              </w:rPr>
              <w:t>275</w:t>
            </w:r>
          </w:p>
        </w:tc>
        <w:tc>
          <w:tcPr>
            <w:tcW w:w="1690" w:type="dxa"/>
            <w:noWrap w:val="0"/>
            <w:vAlign w:val="center"/>
          </w:tcPr>
          <w:p w14:paraId="1AED56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紫外线作用演示器</w:t>
            </w:r>
          </w:p>
        </w:tc>
        <w:tc>
          <w:tcPr>
            <w:tcW w:w="5928" w:type="dxa"/>
            <w:noWrap w:val="0"/>
            <w:vAlign w:val="center"/>
          </w:tcPr>
          <w:p w14:paraId="27FB4E6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日光灯、紫外灯、滤光片、荧光片</w:t>
            </w:r>
          </w:p>
        </w:tc>
        <w:tc>
          <w:tcPr>
            <w:tcW w:w="736" w:type="dxa"/>
            <w:noWrap w:val="0"/>
            <w:vAlign w:val="center"/>
          </w:tcPr>
          <w:p w14:paraId="77E2AE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3DE3A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F85130F">
            <w:pPr>
              <w:jc w:val="center"/>
              <w:rPr>
                <w:highlight w:val="none"/>
              </w:rPr>
            </w:pPr>
          </w:p>
        </w:tc>
        <w:tc>
          <w:tcPr>
            <w:tcW w:w="710" w:type="dxa"/>
            <w:gridSpan w:val="2"/>
            <w:noWrap w:val="0"/>
            <w:vAlign w:val="center"/>
          </w:tcPr>
          <w:p w14:paraId="06388D18">
            <w:pPr>
              <w:jc w:val="both"/>
              <w:rPr>
                <w:highlight w:val="none"/>
                <w:vertAlign w:val="baseline"/>
              </w:rPr>
            </w:pPr>
          </w:p>
        </w:tc>
      </w:tr>
      <w:tr w14:paraId="15A6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499E0B">
            <w:pPr>
              <w:jc w:val="center"/>
              <w:rPr>
                <w:rFonts w:hint="default"/>
                <w:highlight w:val="none"/>
                <w:vertAlign w:val="baseline"/>
                <w:lang w:val="en-US" w:eastAsia="zh-CN"/>
              </w:rPr>
            </w:pPr>
            <w:r>
              <w:rPr>
                <w:rFonts w:hint="eastAsia"/>
                <w:highlight w:val="none"/>
                <w:vertAlign w:val="baseline"/>
                <w:lang w:val="en-US" w:eastAsia="zh-CN"/>
              </w:rPr>
              <w:t>276</w:t>
            </w:r>
          </w:p>
        </w:tc>
        <w:tc>
          <w:tcPr>
            <w:tcW w:w="1690" w:type="dxa"/>
            <w:noWrap w:val="0"/>
            <w:vAlign w:val="center"/>
          </w:tcPr>
          <w:p w14:paraId="18146FE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手持直视分光镜</w:t>
            </w:r>
          </w:p>
        </w:tc>
        <w:tc>
          <w:tcPr>
            <w:tcW w:w="5928" w:type="dxa"/>
            <w:noWrap w:val="0"/>
            <w:vAlign w:val="center"/>
          </w:tcPr>
          <w:p w14:paraId="71A20BA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手持式</w:t>
            </w:r>
          </w:p>
        </w:tc>
        <w:tc>
          <w:tcPr>
            <w:tcW w:w="736" w:type="dxa"/>
            <w:noWrap w:val="0"/>
            <w:vAlign w:val="center"/>
          </w:tcPr>
          <w:p w14:paraId="1CAFBF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806E6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0A2E9A8">
            <w:pPr>
              <w:jc w:val="center"/>
              <w:rPr>
                <w:highlight w:val="none"/>
              </w:rPr>
            </w:pPr>
          </w:p>
        </w:tc>
        <w:tc>
          <w:tcPr>
            <w:tcW w:w="710" w:type="dxa"/>
            <w:gridSpan w:val="2"/>
            <w:noWrap w:val="0"/>
            <w:vAlign w:val="center"/>
          </w:tcPr>
          <w:p w14:paraId="74E41E58">
            <w:pPr>
              <w:jc w:val="both"/>
              <w:rPr>
                <w:highlight w:val="none"/>
                <w:vertAlign w:val="baseline"/>
              </w:rPr>
            </w:pPr>
          </w:p>
        </w:tc>
      </w:tr>
      <w:tr w14:paraId="5ECB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722F26">
            <w:pPr>
              <w:jc w:val="center"/>
              <w:rPr>
                <w:rFonts w:hint="default"/>
                <w:highlight w:val="none"/>
                <w:vertAlign w:val="baseline"/>
                <w:lang w:val="en-US" w:eastAsia="zh-CN"/>
              </w:rPr>
            </w:pPr>
            <w:r>
              <w:rPr>
                <w:rFonts w:hint="eastAsia"/>
                <w:highlight w:val="none"/>
                <w:vertAlign w:val="baseline"/>
                <w:lang w:val="en-US" w:eastAsia="zh-CN"/>
              </w:rPr>
              <w:t>277</w:t>
            </w:r>
          </w:p>
        </w:tc>
        <w:tc>
          <w:tcPr>
            <w:tcW w:w="1690" w:type="dxa"/>
            <w:noWrap w:val="0"/>
            <w:vAlign w:val="center"/>
          </w:tcPr>
          <w:p w14:paraId="1CF77E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照度计</w:t>
            </w:r>
          </w:p>
        </w:tc>
        <w:tc>
          <w:tcPr>
            <w:tcW w:w="5928" w:type="dxa"/>
            <w:noWrap w:val="0"/>
            <w:vAlign w:val="center"/>
          </w:tcPr>
          <w:p w14:paraId="642DA5B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0～20000lx，0.1lx；手持式，数显</w:t>
            </w:r>
          </w:p>
        </w:tc>
        <w:tc>
          <w:tcPr>
            <w:tcW w:w="736" w:type="dxa"/>
            <w:noWrap w:val="0"/>
            <w:vAlign w:val="center"/>
          </w:tcPr>
          <w:p w14:paraId="568FA6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C8614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CC7334E">
            <w:pPr>
              <w:jc w:val="center"/>
              <w:rPr>
                <w:highlight w:val="none"/>
              </w:rPr>
            </w:pPr>
          </w:p>
        </w:tc>
        <w:tc>
          <w:tcPr>
            <w:tcW w:w="710" w:type="dxa"/>
            <w:gridSpan w:val="2"/>
            <w:noWrap w:val="0"/>
            <w:vAlign w:val="center"/>
          </w:tcPr>
          <w:p w14:paraId="4C7F82D4">
            <w:pPr>
              <w:jc w:val="both"/>
              <w:rPr>
                <w:highlight w:val="none"/>
                <w:vertAlign w:val="baseline"/>
              </w:rPr>
            </w:pPr>
          </w:p>
        </w:tc>
      </w:tr>
      <w:tr w14:paraId="0AD8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957E8D">
            <w:pPr>
              <w:jc w:val="center"/>
              <w:rPr>
                <w:rFonts w:hint="default"/>
                <w:highlight w:val="none"/>
                <w:vertAlign w:val="baseline"/>
                <w:lang w:val="en-US" w:eastAsia="zh-CN"/>
              </w:rPr>
            </w:pPr>
            <w:r>
              <w:rPr>
                <w:rFonts w:hint="eastAsia"/>
                <w:highlight w:val="none"/>
                <w:vertAlign w:val="baseline"/>
                <w:lang w:val="en-US" w:eastAsia="zh-CN"/>
              </w:rPr>
              <w:t>278</w:t>
            </w:r>
          </w:p>
        </w:tc>
        <w:tc>
          <w:tcPr>
            <w:tcW w:w="1690" w:type="dxa"/>
            <w:noWrap w:val="0"/>
            <w:vAlign w:val="center"/>
          </w:tcPr>
          <w:p w14:paraId="7E7EBD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光具盘</w:t>
            </w:r>
          </w:p>
        </w:tc>
        <w:tc>
          <w:tcPr>
            <w:tcW w:w="5928" w:type="dxa"/>
            <w:noWrap w:val="0"/>
            <w:vAlign w:val="center"/>
          </w:tcPr>
          <w:p w14:paraId="7AA2D5A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分离型、磁吸附，半导体激光光源，显示5条平行光。</w:t>
            </w:r>
          </w:p>
        </w:tc>
        <w:tc>
          <w:tcPr>
            <w:tcW w:w="736" w:type="dxa"/>
            <w:noWrap w:val="0"/>
            <w:vAlign w:val="center"/>
          </w:tcPr>
          <w:p w14:paraId="6E3E08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E0F62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0626A15">
            <w:pPr>
              <w:jc w:val="center"/>
              <w:rPr>
                <w:highlight w:val="none"/>
              </w:rPr>
            </w:pPr>
          </w:p>
        </w:tc>
        <w:tc>
          <w:tcPr>
            <w:tcW w:w="710" w:type="dxa"/>
            <w:gridSpan w:val="2"/>
            <w:noWrap w:val="0"/>
            <w:vAlign w:val="center"/>
          </w:tcPr>
          <w:p w14:paraId="522D7D5E">
            <w:pPr>
              <w:jc w:val="both"/>
              <w:rPr>
                <w:highlight w:val="none"/>
                <w:vertAlign w:val="baseline"/>
              </w:rPr>
            </w:pPr>
          </w:p>
        </w:tc>
      </w:tr>
      <w:tr w14:paraId="6E75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AB8FC9">
            <w:pPr>
              <w:jc w:val="center"/>
              <w:rPr>
                <w:rFonts w:hint="default"/>
                <w:highlight w:val="none"/>
                <w:vertAlign w:val="baseline"/>
                <w:lang w:val="en-US" w:eastAsia="zh-CN"/>
              </w:rPr>
            </w:pPr>
            <w:r>
              <w:rPr>
                <w:rFonts w:hint="eastAsia"/>
                <w:highlight w:val="none"/>
                <w:vertAlign w:val="baseline"/>
                <w:lang w:val="en-US" w:eastAsia="zh-CN"/>
              </w:rPr>
              <w:t>279</w:t>
            </w:r>
          </w:p>
        </w:tc>
        <w:tc>
          <w:tcPr>
            <w:tcW w:w="1690" w:type="dxa"/>
            <w:noWrap w:val="0"/>
            <w:vAlign w:val="center"/>
          </w:tcPr>
          <w:p w14:paraId="3548C6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激光光学演示仪</w:t>
            </w:r>
          </w:p>
        </w:tc>
        <w:tc>
          <w:tcPr>
            <w:tcW w:w="5928" w:type="dxa"/>
            <w:noWrap w:val="0"/>
            <w:vAlign w:val="center"/>
          </w:tcPr>
          <w:p w14:paraId="61829A3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演示屏、圆光盘、光源、分束器、光学配件</w:t>
            </w:r>
          </w:p>
        </w:tc>
        <w:tc>
          <w:tcPr>
            <w:tcW w:w="736" w:type="dxa"/>
            <w:noWrap w:val="0"/>
            <w:vAlign w:val="center"/>
          </w:tcPr>
          <w:p w14:paraId="2B7AF5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B2F47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938E979">
            <w:pPr>
              <w:jc w:val="center"/>
              <w:rPr>
                <w:highlight w:val="none"/>
              </w:rPr>
            </w:pPr>
          </w:p>
        </w:tc>
        <w:tc>
          <w:tcPr>
            <w:tcW w:w="710" w:type="dxa"/>
            <w:gridSpan w:val="2"/>
            <w:noWrap w:val="0"/>
            <w:vAlign w:val="center"/>
          </w:tcPr>
          <w:p w14:paraId="7EA63DA6">
            <w:pPr>
              <w:jc w:val="both"/>
              <w:rPr>
                <w:highlight w:val="none"/>
                <w:vertAlign w:val="baseline"/>
              </w:rPr>
            </w:pPr>
          </w:p>
        </w:tc>
      </w:tr>
      <w:tr w14:paraId="08E8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7EF3EDE">
            <w:pPr>
              <w:jc w:val="center"/>
              <w:rPr>
                <w:rFonts w:hint="default"/>
                <w:highlight w:val="none"/>
                <w:vertAlign w:val="baseline"/>
                <w:lang w:val="en-US" w:eastAsia="zh-CN"/>
              </w:rPr>
            </w:pPr>
            <w:r>
              <w:rPr>
                <w:rFonts w:hint="eastAsia"/>
                <w:highlight w:val="none"/>
                <w:vertAlign w:val="baseline"/>
                <w:lang w:val="en-US" w:eastAsia="zh-CN"/>
              </w:rPr>
              <w:t>280</w:t>
            </w:r>
          </w:p>
        </w:tc>
        <w:tc>
          <w:tcPr>
            <w:tcW w:w="1690" w:type="dxa"/>
            <w:noWrap w:val="0"/>
            <w:vAlign w:val="center"/>
          </w:tcPr>
          <w:p w14:paraId="45B4D8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光具座</w:t>
            </w:r>
          </w:p>
        </w:tc>
        <w:tc>
          <w:tcPr>
            <w:tcW w:w="5928" w:type="dxa"/>
            <w:noWrap w:val="0"/>
            <w:vAlign w:val="center"/>
          </w:tcPr>
          <w:p w14:paraId="02D98F6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Φ16mm双轨，组合式</w:t>
            </w:r>
          </w:p>
        </w:tc>
        <w:tc>
          <w:tcPr>
            <w:tcW w:w="736" w:type="dxa"/>
            <w:noWrap w:val="0"/>
            <w:vAlign w:val="center"/>
          </w:tcPr>
          <w:p w14:paraId="2EA704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5B0BD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76EB591">
            <w:pPr>
              <w:jc w:val="center"/>
              <w:rPr>
                <w:highlight w:val="none"/>
              </w:rPr>
            </w:pPr>
          </w:p>
        </w:tc>
        <w:tc>
          <w:tcPr>
            <w:tcW w:w="710" w:type="dxa"/>
            <w:gridSpan w:val="2"/>
            <w:noWrap w:val="0"/>
            <w:vAlign w:val="center"/>
          </w:tcPr>
          <w:p w14:paraId="788998C8">
            <w:pPr>
              <w:jc w:val="both"/>
              <w:rPr>
                <w:highlight w:val="none"/>
                <w:vertAlign w:val="baseline"/>
              </w:rPr>
            </w:pPr>
          </w:p>
        </w:tc>
      </w:tr>
      <w:tr w14:paraId="21AB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8DD242">
            <w:pPr>
              <w:jc w:val="center"/>
              <w:rPr>
                <w:rFonts w:hint="default"/>
                <w:highlight w:val="none"/>
                <w:vertAlign w:val="baseline"/>
                <w:lang w:val="en-US" w:eastAsia="zh-CN"/>
              </w:rPr>
            </w:pPr>
            <w:r>
              <w:rPr>
                <w:rFonts w:hint="eastAsia"/>
                <w:highlight w:val="none"/>
                <w:vertAlign w:val="baseline"/>
                <w:lang w:val="en-US" w:eastAsia="zh-CN"/>
              </w:rPr>
              <w:t>281</w:t>
            </w:r>
          </w:p>
        </w:tc>
        <w:tc>
          <w:tcPr>
            <w:tcW w:w="1690" w:type="dxa"/>
            <w:noWrap w:val="0"/>
            <w:vAlign w:val="center"/>
          </w:tcPr>
          <w:p w14:paraId="26777E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擦镜纸</w:t>
            </w:r>
          </w:p>
        </w:tc>
        <w:tc>
          <w:tcPr>
            <w:tcW w:w="5928" w:type="dxa"/>
            <w:noWrap w:val="0"/>
            <w:vAlign w:val="center"/>
          </w:tcPr>
          <w:p w14:paraId="7593837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 cm×15 cm，纸纹细密</w:t>
            </w:r>
          </w:p>
        </w:tc>
        <w:tc>
          <w:tcPr>
            <w:tcW w:w="736" w:type="dxa"/>
            <w:noWrap w:val="0"/>
            <w:vAlign w:val="center"/>
          </w:tcPr>
          <w:p w14:paraId="2A0E94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本</w:t>
            </w:r>
          </w:p>
        </w:tc>
        <w:tc>
          <w:tcPr>
            <w:tcW w:w="834" w:type="dxa"/>
            <w:noWrap w:val="0"/>
            <w:vAlign w:val="center"/>
          </w:tcPr>
          <w:p w14:paraId="5FE6E8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68B4CDC3">
            <w:pPr>
              <w:jc w:val="center"/>
              <w:rPr>
                <w:highlight w:val="none"/>
              </w:rPr>
            </w:pPr>
          </w:p>
        </w:tc>
        <w:tc>
          <w:tcPr>
            <w:tcW w:w="710" w:type="dxa"/>
            <w:gridSpan w:val="2"/>
            <w:noWrap w:val="0"/>
            <w:vAlign w:val="center"/>
          </w:tcPr>
          <w:p w14:paraId="68FE84A8">
            <w:pPr>
              <w:jc w:val="both"/>
              <w:rPr>
                <w:highlight w:val="none"/>
                <w:vertAlign w:val="baseline"/>
              </w:rPr>
            </w:pPr>
          </w:p>
        </w:tc>
      </w:tr>
      <w:tr w14:paraId="525B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783CF30">
            <w:pPr>
              <w:jc w:val="center"/>
              <w:rPr>
                <w:rFonts w:hint="default"/>
                <w:highlight w:val="none"/>
                <w:vertAlign w:val="baseline"/>
                <w:lang w:val="en-US" w:eastAsia="zh-CN"/>
              </w:rPr>
            </w:pPr>
            <w:r>
              <w:rPr>
                <w:rFonts w:hint="eastAsia"/>
                <w:highlight w:val="none"/>
                <w:vertAlign w:val="baseline"/>
                <w:lang w:val="en-US" w:eastAsia="zh-CN"/>
              </w:rPr>
              <w:t>282</w:t>
            </w:r>
          </w:p>
        </w:tc>
        <w:tc>
          <w:tcPr>
            <w:tcW w:w="1690" w:type="dxa"/>
            <w:noWrap w:val="0"/>
            <w:vAlign w:val="center"/>
          </w:tcPr>
          <w:p w14:paraId="349BF6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激光雕刻机</w:t>
            </w:r>
          </w:p>
        </w:tc>
        <w:tc>
          <w:tcPr>
            <w:tcW w:w="5928" w:type="dxa"/>
            <w:noWrap w:val="0"/>
            <w:vAlign w:val="center"/>
          </w:tcPr>
          <w:p w14:paraId="2E517A3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安全和控制装置及系统符合 国家相关要求</w:t>
            </w:r>
          </w:p>
        </w:tc>
        <w:tc>
          <w:tcPr>
            <w:tcW w:w="736" w:type="dxa"/>
            <w:noWrap w:val="0"/>
            <w:vAlign w:val="center"/>
          </w:tcPr>
          <w:p w14:paraId="4689F54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C4BEF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AF32C2">
            <w:pPr>
              <w:jc w:val="center"/>
              <w:rPr>
                <w:highlight w:val="none"/>
              </w:rPr>
            </w:pPr>
          </w:p>
        </w:tc>
        <w:tc>
          <w:tcPr>
            <w:tcW w:w="710" w:type="dxa"/>
            <w:gridSpan w:val="2"/>
            <w:noWrap w:val="0"/>
            <w:vAlign w:val="center"/>
          </w:tcPr>
          <w:p w14:paraId="3175B400">
            <w:pPr>
              <w:jc w:val="both"/>
              <w:rPr>
                <w:highlight w:val="none"/>
                <w:vertAlign w:val="baseline"/>
              </w:rPr>
            </w:pPr>
          </w:p>
        </w:tc>
      </w:tr>
      <w:tr w14:paraId="4CA7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BC89AD">
            <w:pPr>
              <w:jc w:val="center"/>
              <w:rPr>
                <w:rFonts w:hint="default"/>
                <w:highlight w:val="none"/>
                <w:vertAlign w:val="baseline"/>
                <w:lang w:val="en-US" w:eastAsia="zh-CN"/>
              </w:rPr>
            </w:pPr>
            <w:r>
              <w:rPr>
                <w:rFonts w:hint="eastAsia"/>
                <w:highlight w:val="none"/>
                <w:vertAlign w:val="baseline"/>
                <w:lang w:val="en-US" w:eastAsia="zh-CN"/>
              </w:rPr>
              <w:t>283</w:t>
            </w:r>
          </w:p>
        </w:tc>
        <w:tc>
          <w:tcPr>
            <w:tcW w:w="1690" w:type="dxa"/>
            <w:noWrap w:val="0"/>
            <w:vAlign w:val="center"/>
          </w:tcPr>
          <w:p w14:paraId="10BA09A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玻棒（附丝绸）</w:t>
            </w:r>
          </w:p>
        </w:tc>
        <w:tc>
          <w:tcPr>
            <w:tcW w:w="5928" w:type="dxa"/>
            <w:noWrap w:val="0"/>
            <w:vAlign w:val="center"/>
          </w:tcPr>
          <w:p w14:paraId="5B0A306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有机玻棒(附丝绸)</w:t>
            </w:r>
          </w:p>
        </w:tc>
        <w:tc>
          <w:tcPr>
            <w:tcW w:w="736" w:type="dxa"/>
            <w:noWrap w:val="0"/>
            <w:vAlign w:val="center"/>
          </w:tcPr>
          <w:p w14:paraId="320C8C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对</w:t>
            </w:r>
          </w:p>
        </w:tc>
        <w:tc>
          <w:tcPr>
            <w:tcW w:w="834" w:type="dxa"/>
            <w:noWrap w:val="0"/>
            <w:vAlign w:val="center"/>
          </w:tcPr>
          <w:p w14:paraId="227682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79206F0">
            <w:pPr>
              <w:jc w:val="center"/>
              <w:rPr>
                <w:highlight w:val="none"/>
              </w:rPr>
            </w:pPr>
          </w:p>
        </w:tc>
        <w:tc>
          <w:tcPr>
            <w:tcW w:w="710" w:type="dxa"/>
            <w:gridSpan w:val="2"/>
            <w:noWrap w:val="0"/>
            <w:vAlign w:val="center"/>
          </w:tcPr>
          <w:p w14:paraId="274C6AF7">
            <w:pPr>
              <w:jc w:val="both"/>
              <w:rPr>
                <w:highlight w:val="none"/>
                <w:vertAlign w:val="baseline"/>
              </w:rPr>
            </w:pPr>
          </w:p>
        </w:tc>
      </w:tr>
      <w:tr w14:paraId="77DC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8780F5">
            <w:pPr>
              <w:jc w:val="center"/>
              <w:rPr>
                <w:rFonts w:hint="default"/>
                <w:highlight w:val="none"/>
                <w:vertAlign w:val="baseline"/>
                <w:lang w:val="en-US" w:eastAsia="zh-CN"/>
              </w:rPr>
            </w:pPr>
            <w:r>
              <w:rPr>
                <w:rFonts w:hint="eastAsia"/>
                <w:highlight w:val="none"/>
                <w:vertAlign w:val="baseline"/>
                <w:lang w:val="en-US" w:eastAsia="zh-CN"/>
              </w:rPr>
              <w:t>284</w:t>
            </w:r>
          </w:p>
        </w:tc>
        <w:tc>
          <w:tcPr>
            <w:tcW w:w="1690" w:type="dxa"/>
            <w:noWrap w:val="0"/>
            <w:vAlign w:val="center"/>
          </w:tcPr>
          <w:p w14:paraId="50BCD2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胶棒（附毛皮）</w:t>
            </w:r>
          </w:p>
        </w:tc>
        <w:tc>
          <w:tcPr>
            <w:tcW w:w="5928" w:type="dxa"/>
            <w:noWrap w:val="0"/>
            <w:vAlign w:val="center"/>
          </w:tcPr>
          <w:p w14:paraId="14455D7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聚碳酸酯棒(附毛皮)</w:t>
            </w:r>
          </w:p>
        </w:tc>
        <w:tc>
          <w:tcPr>
            <w:tcW w:w="736" w:type="dxa"/>
            <w:noWrap w:val="0"/>
            <w:vAlign w:val="center"/>
          </w:tcPr>
          <w:p w14:paraId="3CB958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对</w:t>
            </w:r>
          </w:p>
        </w:tc>
        <w:tc>
          <w:tcPr>
            <w:tcW w:w="834" w:type="dxa"/>
            <w:noWrap w:val="0"/>
            <w:vAlign w:val="center"/>
          </w:tcPr>
          <w:p w14:paraId="25B2FB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D52216F">
            <w:pPr>
              <w:jc w:val="center"/>
              <w:rPr>
                <w:highlight w:val="none"/>
              </w:rPr>
            </w:pPr>
          </w:p>
        </w:tc>
        <w:tc>
          <w:tcPr>
            <w:tcW w:w="710" w:type="dxa"/>
            <w:gridSpan w:val="2"/>
            <w:noWrap w:val="0"/>
            <w:vAlign w:val="center"/>
          </w:tcPr>
          <w:p w14:paraId="0F4E496F">
            <w:pPr>
              <w:jc w:val="both"/>
              <w:rPr>
                <w:highlight w:val="none"/>
                <w:vertAlign w:val="baseline"/>
              </w:rPr>
            </w:pPr>
          </w:p>
        </w:tc>
      </w:tr>
      <w:tr w14:paraId="36E6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B0F3F3">
            <w:pPr>
              <w:jc w:val="center"/>
              <w:rPr>
                <w:rFonts w:hint="default"/>
                <w:highlight w:val="none"/>
                <w:vertAlign w:val="baseline"/>
                <w:lang w:val="en-US" w:eastAsia="zh-CN"/>
              </w:rPr>
            </w:pPr>
            <w:r>
              <w:rPr>
                <w:rFonts w:hint="eastAsia"/>
                <w:highlight w:val="none"/>
                <w:vertAlign w:val="baseline"/>
                <w:lang w:val="en-US" w:eastAsia="zh-CN"/>
              </w:rPr>
              <w:t>285</w:t>
            </w:r>
          </w:p>
        </w:tc>
        <w:tc>
          <w:tcPr>
            <w:tcW w:w="1690" w:type="dxa"/>
            <w:noWrap w:val="0"/>
            <w:vAlign w:val="center"/>
          </w:tcPr>
          <w:p w14:paraId="007A86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电磁实验用旋转架</w:t>
            </w:r>
          </w:p>
        </w:tc>
        <w:tc>
          <w:tcPr>
            <w:tcW w:w="5928" w:type="dxa"/>
            <w:noWrap w:val="0"/>
            <w:vAlign w:val="center"/>
          </w:tcPr>
          <w:p w14:paraId="0889EC9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原旋转架，由底座、转轴和转台等组成</w:t>
            </w:r>
          </w:p>
        </w:tc>
        <w:tc>
          <w:tcPr>
            <w:tcW w:w="736" w:type="dxa"/>
            <w:noWrap w:val="0"/>
            <w:vAlign w:val="center"/>
          </w:tcPr>
          <w:p w14:paraId="61C6D1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对</w:t>
            </w:r>
          </w:p>
        </w:tc>
        <w:tc>
          <w:tcPr>
            <w:tcW w:w="834" w:type="dxa"/>
            <w:noWrap w:val="0"/>
            <w:vAlign w:val="center"/>
          </w:tcPr>
          <w:p w14:paraId="0B35B4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2FA317F">
            <w:pPr>
              <w:jc w:val="center"/>
              <w:rPr>
                <w:highlight w:val="none"/>
              </w:rPr>
            </w:pPr>
          </w:p>
        </w:tc>
        <w:tc>
          <w:tcPr>
            <w:tcW w:w="710" w:type="dxa"/>
            <w:gridSpan w:val="2"/>
            <w:noWrap w:val="0"/>
            <w:vAlign w:val="center"/>
          </w:tcPr>
          <w:p w14:paraId="43C43B31">
            <w:pPr>
              <w:jc w:val="both"/>
              <w:rPr>
                <w:highlight w:val="none"/>
                <w:vertAlign w:val="baseline"/>
              </w:rPr>
            </w:pPr>
          </w:p>
        </w:tc>
      </w:tr>
      <w:tr w14:paraId="6A06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92A1CC">
            <w:pPr>
              <w:jc w:val="center"/>
              <w:rPr>
                <w:rFonts w:hint="default"/>
                <w:highlight w:val="none"/>
                <w:vertAlign w:val="baseline"/>
                <w:lang w:val="en-US" w:eastAsia="zh-CN"/>
              </w:rPr>
            </w:pPr>
            <w:r>
              <w:rPr>
                <w:rFonts w:hint="eastAsia"/>
                <w:highlight w:val="none"/>
                <w:vertAlign w:val="baseline"/>
                <w:lang w:val="en-US" w:eastAsia="zh-CN"/>
              </w:rPr>
              <w:t>286</w:t>
            </w:r>
          </w:p>
        </w:tc>
        <w:tc>
          <w:tcPr>
            <w:tcW w:w="1690" w:type="dxa"/>
            <w:noWrap w:val="0"/>
            <w:vAlign w:val="center"/>
          </w:tcPr>
          <w:p w14:paraId="70BC6E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验电器连接杆</w:t>
            </w:r>
          </w:p>
        </w:tc>
        <w:tc>
          <w:tcPr>
            <w:tcW w:w="5928" w:type="dxa"/>
            <w:noWrap w:val="0"/>
            <w:vAlign w:val="center"/>
          </w:tcPr>
          <w:p w14:paraId="298AC7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含导电杆、绝缘手柄等</w:t>
            </w:r>
          </w:p>
        </w:tc>
        <w:tc>
          <w:tcPr>
            <w:tcW w:w="736" w:type="dxa"/>
            <w:noWrap w:val="0"/>
            <w:vAlign w:val="center"/>
          </w:tcPr>
          <w:p w14:paraId="1661AC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4EC0B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0A13E72">
            <w:pPr>
              <w:jc w:val="center"/>
              <w:rPr>
                <w:highlight w:val="none"/>
              </w:rPr>
            </w:pPr>
          </w:p>
        </w:tc>
        <w:tc>
          <w:tcPr>
            <w:tcW w:w="710" w:type="dxa"/>
            <w:gridSpan w:val="2"/>
            <w:noWrap w:val="0"/>
            <w:vAlign w:val="center"/>
          </w:tcPr>
          <w:p w14:paraId="29A2A557">
            <w:pPr>
              <w:jc w:val="both"/>
              <w:rPr>
                <w:highlight w:val="none"/>
                <w:vertAlign w:val="baseline"/>
              </w:rPr>
            </w:pPr>
          </w:p>
        </w:tc>
      </w:tr>
      <w:tr w14:paraId="5211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821D28">
            <w:pPr>
              <w:jc w:val="center"/>
              <w:rPr>
                <w:rFonts w:hint="default"/>
                <w:highlight w:val="none"/>
                <w:vertAlign w:val="baseline"/>
                <w:lang w:val="en-US" w:eastAsia="zh-CN"/>
              </w:rPr>
            </w:pPr>
            <w:r>
              <w:rPr>
                <w:rFonts w:hint="eastAsia"/>
                <w:highlight w:val="none"/>
                <w:vertAlign w:val="baseline"/>
                <w:lang w:val="en-US" w:eastAsia="zh-CN"/>
              </w:rPr>
              <w:t>287</w:t>
            </w:r>
          </w:p>
        </w:tc>
        <w:tc>
          <w:tcPr>
            <w:tcW w:w="1690" w:type="dxa"/>
            <w:noWrap w:val="0"/>
            <w:vAlign w:val="center"/>
          </w:tcPr>
          <w:p w14:paraId="5BA9C5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箔片验电器</w:t>
            </w:r>
          </w:p>
        </w:tc>
        <w:tc>
          <w:tcPr>
            <w:tcW w:w="5928" w:type="dxa"/>
            <w:noWrap w:val="0"/>
            <w:vAlign w:val="center"/>
          </w:tcPr>
          <w:p w14:paraId="42CCFC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教师用，金属外壳、圆球、导电杆</w:t>
            </w:r>
          </w:p>
        </w:tc>
        <w:tc>
          <w:tcPr>
            <w:tcW w:w="736" w:type="dxa"/>
            <w:noWrap w:val="0"/>
            <w:vAlign w:val="center"/>
          </w:tcPr>
          <w:p w14:paraId="3704DF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对</w:t>
            </w:r>
          </w:p>
        </w:tc>
        <w:tc>
          <w:tcPr>
            <w:tcW w:w="834" w:type="dxa"/>
            <w:noWrap w:val="0"/>
            <w:vAlign w:val="center"/>
          </w:tcPr>
          <w:p w14:paraId="4E737F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0BCEFD1">
            <w:pPr>
              <w:jc w:val="center"/>
              <w:rPr>
                <w:highlight w:val="none"/>
              </w:rPr>
            </w:pPr>
          </w:p>
        </w:tc>
        <w:tc>
          <w:tcPr>
            <w:tcW w:w="710" w:type="dxa"/>
            <w:gridSpan w:val="2"/>
            <w:noWrap w:val="0"/>
            <w:vAlign w:val="center"/>
          </w:tcPr>
          <w:p w14:paraId="1EC3A45B">
            <w:pPr>
              <w:jc w:val="both"/>
              <w:rPr>
                <w:highlight w:val="none"/>
                <w:vertAlign w:val="baseline"/>
              </w:rPr>
            </w:pPr>
          </w:p>
        </w:tc>
      </w:tr>
      <w:tr w14:paraId="5249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2E0C0B">
            <w:pPr>
              <w:jc w:val="center"/>
              <w:rPr>
                <w:rFonts w:hint="default"/>
                <w:highlight w:val="none"/>
                <w:vertAlign w:val="baseline"/>
                <w:lang w:val="en-US" w:eastAsia="zh-CN"/>
              </w:rPr>
            </w:pPr>
            <w:r>
              <w:rPr>
                <w:rFonts w:hint="eastAsia"/>
                <w:highlight w:val="none"/>
                <w:vertAlign w:val="baseline"/>
                <w:lang w:val="en-US" w:eastAsia="zh-CN"/>
              </w:rPr>
              <w:t>288</w:t>
            </w:r>
          </w:p>
        </w:tc>
        <w:tc>
          <w:tcPr>
            <w:tcW w:w="1690" w:type="dxa"/>
            <w:noWrap w:val="0"/>
            <w:vAlign w:val="center"/>
          </w:tcPr>
          <w:p w14:paraId="48B3F20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指针验电器</w:t>
            </w:r>
          </w:p>
        </w:tc>
        <w:tc>
          <w:tcPr>
            <w:tcW w:w="5928" w:type="dxa"/>
            <w:noWrap w:val="0"/>
            <w:vAlign w:val="center"/>
          </w:tcPr>
          <w:p w14:paraId="3451624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教师用</w:t>
            </w:r>
          </w:p>
        </w:tc>
        <w:tc>
          <w:tcPr>
            <w:tcW w:w="736" w:type="dxa"/>
            <w:noWrap w:val="0"/>
            <w:vAlign w:val="center"/>
          </w:tcPr>
          <w:p w14:paraId="1705BDF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对</w:t>
            </w:r>
          </w:p>
        </w:tc>
        <w:tc>
          <w:tcPr>
            <w:tcW w:w="834" w:type="dxa"/>
            <w:noWrap w:val="0"/>
            <w:vAlign w:val="center"/>
          </w:tcPr>
          <w:p w14:paraId="7CAF3D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17A62A9">
            <w:pPr>
              <w:jc w:val="center"/>
              <w:rPr>
                <w:highlight w:val="none"/>
              </w:rPr>
            </w:pPr>
          </w:p>
        </w:tc>
        <w:tc>
          <w:tcPr>
            <w:tcW w:w="710" w:type="dxa"/>
            <w:gridSpan w:val="2"/>
            <w:noWrap w:val="0"/>
            <w:vAlign w:val="center"/>
          </w:tcPr>
          <w:p w14:paraId="2D43ACB8">
            <w:pPr>
              <w:jc w:val="both"/>
              <w:rPr>
                <w:highlight w:val="none"/>
                <w:vertAlign w:val="baseline"/>
              </w:rPr>
            </w:pPr>
          </w:p>
        </w:tc>
      </w:tr>
      <w:tr w14:paraId="6026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FE8BD3">
            <w:pPr>
              <w:jc w:val="center"/>
              <w:rPr>
                <w:rFonts w:hint="default"/>
                <w:highlight w:val="none"/>
                <w:vertAlign w:val="baseline"/>
                <w:lang w:val="en-US" w:eastAsia="zh-CN"/>
              </w:rPr>
            </w:pPr>
            <w:r>
              <w:rPr>
                <w:rFonts w:hint="eastAsia"/>
                <w:highlight w:val="none"/>
                <w:vertAlign w:val="baseline"/>
                <w:lang w:val="en-US" w:eastAsia="zh-CN"/>
              </w:rPr>
              <w:t>289</w:t>
            </w:r>
          </w:p>
        </w:tc>
        <w:tc>
          <w:tcPr>
            <w:tcW w:w="1690" w:type="dxa"/>
            <w:noWrap w:val="0"/>
            <w:vAlign w:val="center"/>
          </w:tcPr>
          <w:p w14:paraId="49AA7D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枕形导体</w:t>
            </w:r>
          </w:p>
        </w:tc>
        <w:tc>
          <w:tcPr>
            <w:tcW w:w="5928" w:type="dxa"/>
            <w:noWrap w:val="0"/>
            <w:vAlign w:val="center"/>
          </w:tcPr>
          <w:p w14:paraId="24717B3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一对半枕形导体、绝缘支杆和底座等</w:t>
            </w:r>
          </w:p>
        </w:tc>
        <w:tc>
          <w:tcPr>
            <w:tcW w:w="736" w:type="dxa"/>
            <w:noWrap w:val="0"/>
            <w:vAlign w:val="center"/>
          </w:tcPr>
          <w:p w14:paraId="3A9CBC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副</w:t>
            </w:r>
          </w:p>
        </w:tc>
        <w:tc>
          <w:tcPr>
            <w:tcW w:w="834" w:type="dxa"/>
            <w:noWrap w:val="0"/>
            <w:vAlign w:val="center"/>
          </w:tcPr>
          <w:p w14:paraId="23B813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710E63D">
            <w:pPr>
              <w:jc w:val="center"/>
              <w:rPr>
                <w:highlight w:val="none"/>
              </w:rPr>
            </w:pPr>
          </w:p>
        </w:tc>
        <w:tc>
          <w:tcPr>
            <w:tcW w:w="710" w:type="dxa"/>
            <w:gridSpan w:val="2"/>
            <w:noWrap w:val="0"/>
            <w:vAlign w:val="center"/>
          </w:tcPr>
          <w:p w14:paraId="4B0C4A0D">
            <w:pPr>
              <w:jc w:val="both"/>
              <w:rPr>
                <w:highlight w:val="none"/>
                <w:vertAlign w:val="baseline"/>
              </w:rPr>
            </w:pPr>
          </w:p>
        </w:tc>
      </w:tr>
      <w:tr w14:paraId="3422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879542">
            <w:pPr>
              <w:jc w:val="center"/>
              <w:rPr>
                <w:rFonts w:hint="default"/>
                <w:highlight w:val="none"/>
                <w:vertAlign w:val="baseline"/>
                <w:lang w:val="en-US" w:eastAsia="zh-CN"/>
              </w:rPr>
            </w:pPr>
            <w:r>
              <w:rPr>
                <w:rFonts w:hint="eastAsia"/>
                <w:highlight w:val="none"/>
                <w:vertAlign w:val="baseline"/>
                <w:lang w:val="en-US" w:eastAsia="zh-CN"/>
              </w:rPr>
              <w:t>290</w:t>
            </w:r>
          </w:p>
        </w:tc>
        <w:tc>
          <w:tcPr>
            <w:tcW w:w="1690" w:type="dxa"/>
            <w:noWrap w:val="0"/>
            <w:vAlign w:val="center"/>
          </w:tcPr>
          <w:p w14:paraId="02DAE6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感应起电机</w:t>
            </w:r>
          </w:p>
        </w:tc>
        <w:tc>
          <w:tcPr>
            <w:tcW w:w="5928" w:type="dxa"/>
            <w:noWrap w:val="0"/>
            <w:vAlign w:val="center"/>
          </w:tcPr>
          <w:p w14:paraId="7F2F370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直径235mm,火花放电距离≥50 mm</w:t>
            </w:r>
          </w:p>
        </w:tc>
        <w:tc>
          <w:tcPr>
            <w:tcW w:w="736" w:type="dxa"/>
            <w:noWrap w:val="0"/>
            <w:vAlign w:val="center"/>
          </w:tcPr>
          <w:p w14:paraId="6946FC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EB0F2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45E3881">
            <w:pPr>
              <w:jc w:val="center"/>
              <w:rPr>
                <w:highlight w:val="none"/>
              </w:rPr>
            </w:pPr>
          </w:p>
        </w:tc>
        <w:tc>
          <w:tcPr>
            <w:tcW w:w="710" w:type="dxa"/>
            <w:gridSpan w:val="2"/>
            <w:noWrap w:val="0"/>
            <w:vAlign w:val="center"/>
          </w:tcPr>
          <w:p w14:paraId="4F90B8C7">
            <w:pPr>
              <w:jc w:val="both"/>
              <w:rPr>
                <w:highlight w:val="none"/>
                <w:vertAlign w:val="baseline"/>
              </w:rPr>
            </w:pPr>
          </w:p>
        </w:tc>
      </w:tr>
      <w:tr w14:paraId="74B6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C4D781">
            <w:pPr>
              <w:jc w:val="center"/>
              <w:rPr>
                <w:rFonts w:hint="default"/>
                <w:highlight w:val="none"/>
                <w:vertAlign w:val="baseline"/>
                <w:lang w:val="en-US" w:eastAsia="zh-CN"/>
              </w:rPr>
            </w:pPr>
            <w:r>
              <w:rPr>
                <w:rFonts w:hint="eastAsia"/>
                <w:highlight w:val="none"/>
                <w:vertAlign w:val="baseline"/>
                <w:lang w:val="en-US" w:eastAsia="zh-CN"/>
              </w:rPr>
              <w:t>291</w:t>
            </w:r>
          </w:p>
        </w:tc>
        <w:tc>
          <w:tcPr>
            <w:tcW w:w="1690" w:type="dxa"/>
            <w:noWrap w:val="0"/>
            <w:vAlign w:val="center"/>
          </w:tcPr>
          <w:p w14:paraId="4BF37D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电子起电机</w:t>
            </w:r>
          </w:p>
        </w:tc>
        <w:tc>
          <w:tcPr>
            <w:tcW w:w="5928" w:type="dxa"/>
            <w:noWrap w:val="0"/>
            <w:vAlign w:val="center"/>
          </w:tcPr>
          <w:p w14:paraId="4397AE7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放电距离5 mm～35 mm，电流≤500 μA</w:t>
            </w:r>
          </w:p>
        </w:tc>
        <w:tc>
          <w:tcPr>
            <w:tcW w:w="736" w:type="dxa"/>
            <w:noWrap w:val="0"/>
            <w:vAlign w:val="center"/>
          </w:tcPr>
          <w:p w14:paraId="3BF52E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72FD6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67AFC61">
            <w:pPr>
              <w:jc w:val="center"/>
              <w:rPr>
                <w:highlight w:val="none"/>
              </w:rPr>
            </w:pPr>
          </w:p>
        </w:tc>
        <w:tc>
          <w:tcPr>
            <w:tcW w:w="710" w:type="dxa"/>
            <w:gridSpan w:val="2"/>
            <w:noWrap w:val="0"/>
            <w:vAlign w:val="center"/>
          </w:tcPr>
          <w:p w14:paraId="513531C5">
            <w:pPr>
              <w:jc w:val="both"/>
              <w:rPr>
                <w:highlight w:val="none"/>
                <w:vertAlign w:val="baseline"/>
              </w:rPr>
            </w:pPr>
          </w:p>
        </w:tc>
      </w:tr>
      <w:tr w14:paraId="65A9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51F6C7">
            <w:pPr>
              <w:jc w:val="center"/>
              <w:rPr>
                <w:rFonts w:hint="default"/>
                <w:highlight w:val="none"/>
                <w:vertAlign w:val="baseline"/>
                <w:lang w:val="en-US" w:eastAsia="zh-CN"/>
              </w:rPr>
            </w:pPr>
            <w:r>
              <w:rPr>
                <w:rFonts w:hint="eastAsia"/>
                <w:highlight w:val="none"/>
                <w:vertAlign w:val="baseline"/>
                <w:lang w:val="en-US" w:eastAsia="zh-CN"/>
              </w:rPr>
              <w:t>292</w:t>
            </w:r>
          </w:p>
        </w:tc>
        <w:tc>
          <w:tcPr>
            <w:tcW w:w="1690" w:type="dxa"/>
            <w:noWrap w:val="0"/>
            <w:vAlign w:val="center"/>
          </w:tcPr>
          <w:p w14:paraId="71841E1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静电实验箱</w:t>
            </w:r>
          </w:p>
        </w:tc>
        <w:tc>
          <w:tcPr>
            <w:tcW w:w="5928" w:type="dxa"/>
            <w:noWrap w:val="0"/>
            <w:vAlign w:val="center"/>
          </w:tcPr>
          <w:p w14:paraId="78F579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应包括静电植绒、静电除尘、静电乒乓等</w:t>
            </w:r>
          </w:p>
        </w:tc>
        <w:tc>
          <w:tcPr>
            <w:tcW w:w="736" w:type="dxa"/>
            <w:noWrap w:val="0"/>
            <w:vAlign w:val="center"/>
          </w:tcPr>
          <w:p w14:paraId="501D01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7EEEE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49E9E8B">
            <w:pPr>
              <w:jc w:val="center"/>
              <w:rPr>
                <w:highlight w:val="none"/>
              </w:rPr>
            </w:pPr>
          </w:p>
        </w:tc>
        <w:tc>
          <w:tcPr>
            <w:tcW w:w="710" w:type="dxa"/>
            <w:gridSpan w:val="2"/>
            <w:noWrap w:val="0"/>
            <w:vAlign w:val="center"/>
          </w:tcPr>
          <w:p w14:paraId="1627987A">
            <w:pPr>
              <w:jc w:val="both"/>
              <w:rPr>
                <w:highlight w:val="none"/>
                <w:vertAlign w:val="baseline"/>
              </w:rPr>
            </w:pPr>
          </w:p>
        </w:tc>
      </w:tr>
      <w:tr w14:paraId="158D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908336">
            <w:pPr>
              <w:jc w:val="center"/>
              <w:rPr>
                <w:rFonts w:hint="default"/>
                <w:highlight w:val="none"/>
                <w:vertAlign w:val="baseline"/>
                <w:lang w:val="en-US" w:eastAsia="zh-CN"/>
              </w:rPr>
            </w:pPr>
            <w:r>
              <w:rPr>
                <w:rFonts w:hint="eastAsia"/>
                <w:highlight w:val="none"/>
                <w:vertAlign w:val="baseline"/>
                <w:lang w:val="en-US" w:eastAsia="zh-CN"/>
              </w:rPr>
              <w:t>293</w:t>
            </w:r>
          </w:p>
        </w:tc>
        <w:tc>
          <w:tcPr>
            <w:tcW w:w="1690" w:type="dxa"/>
            <w:noWrap w:val="0"/>
            <w:vAlign w:val="center"/>
          </w:tcPr>
          <w:p w14:paraId="73F85D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条形磁铁</w:t>
            </w:r>
          </w:p>
        </w:tc>
        <w:tc>
          <w:tcPr>
            <w:tcW w:w="5928" w:type="dxa"/>
            <w:noWrap w:val="0"/>
            <w:vAlign w:val="center"/>
          </w:tcPr>
          <w:p w14:paraId="3DC08B4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D-CG-LT-180，表面磁感应强度≥0.07 T</w:t>
            </w:r>
          </w:p>
        </w:tc>
        <w:tc>
          <w:tcPr>
            <w:tcW w:w="736" w:type="dxa"/>
            <w:noWrap w:val="0"/>
            <w:vAlign w:val="center"/>
          </w:tcPr>
          <w:p w14:paraId="713438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对</w:t>
            </w:r>
          </w:p>
        </w:tc>
        <w:tc>
          <w:tcPr>
            <w:tcW w:w="834" w:type="dxa"/>
            <w:noWrap w:val="0"/>
            <w:vAlign w:val="center"/>
          </w:tcPr>
          <w:p w14:paraId="13E60A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E90B31C">
            <w:pPr>
              <w:jc w:val="center"/>
              <w:rPr>
                <w:highlight w:val="none"/>
              </w:rPr>
            </w:pPr>
          </w:p>
        </w:tc>
        <w:tc>
          <w:tcPr>
            <w:tcW w:w="710" w:type="dxa"/>
            <w:gridSpan w:val="2"/>
            <w:noWrap w:val="0"/>
            <w:vAlign w:val="center"/>
          </w:tcPr>
          <w:p w14:paraId="287AC88E">
            <w:pPr>
              <w:jc w:val="both"/>
              <w:rPr>
                <w:highlight w:val="none"/>
                <w:vertAlign w:val="baseline"/>
              </w:rPr>
            </w:pPr>
          </w:p>
        </w:tc>
      </w:tr>
      <w:tr w14:paraId="3FB8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0EA79D6">
            <w:pPr>
              <w:jc w:val="center"/>
              <w:rPr>
                <w:rFonts w:hint="default"/>
                <w:highlight w:val="none"/>
                <w:vertAlign w:val="baseline"/>
                <w:lang w:val="en-US" w:eastAsia="zh-CN"/>
              </w:rPr>
            </w:pPr>
            <w:r>
              <w:rPr>
                <w:rFonts w:hint="eastAsia"/>
                <w:highlight w:val="none"/>
                <w:vertAlign w:val="baseline"/>
                <w:lang w:val="en-US" w:eastAsia="zh-CN"/>
              </w:rPr>
              <w:t>294</w:t>
            </w:r>
          </w:p>
        </w:tc>
        <w:tc>
          <w:tcPr>
            <w:tcW w:w="1690" w:type="dxa"/>
            <w:noWrap w:val="0"/>
            <w:vAlign w:val="center"/>
          </w:tcPr>
          <w:p w14:paraId="15B962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蹄形磁铁</w:t>
            </w:r>
          </w:p>
        </w:tc>
        <w:tc>
          <w:tcPr>
            <w:tcW w:w="5928" w:type="dxa"/>
            <w:noWrap w:val="0"/>
            <w:vAlign w:val="center"/>
          </w:tcPr>
          <w:p w14:paraId="3F6A7FC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U085</w:t>
            </w:r>
          </w:p>
        </w:tc>
        <w:tc>
          <w:tcPr>
            <w:tcW w:w="736" w:type="dxa"/>
            <w:noWrap w:val="0"/>
            <w:vAlign w:val="center"/>
          </w:tcPr>
          <w:p w14:paraId="52BE6E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7669A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D58FE76">
            <w:pPr>
              <w:jc w:val="center"/>
              <w:rPr>
                <w:highlight w:val="none"/>
              </w:rPr>
            </w:pPr>
          </w:p>
        </w:tc>
        <w:tc>
          <w:tcPr>
            <w:tcW w:w="710" w:type="dxa"/>
            <w:gridSpan w:val="2"/>
            <w:noWrap w:val="0"/>
            <w:vAlign w:val="center"/>
          </w:tcPr>
          <w:p w14:paraId="545162BD">
            <w:pPr>
              <w:jc w:val="both"/>
              <w:rPr>
                <w:highlight w:val="none"/>
                <w:vertAlign w:val="baseline"/>
              </w:rPr>
            </w:pPr>
          </w:p>
        </w:tc>
      </w:tr>
      <w:tr w14:paraId="4441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764CD0">
            <w:pPr>
              <w:jc w:val="center"/>
              <w:rPr>
                <w:rFonts w:hint="default"/>
                <w:highlight w:val="none"/>
                <w:vertAlign w:val="baseline"/>
                <w:lang w:val="en-US" w:eastAsia="zh-CN"/>
              </w:rPr>
            </w:pPr>
            <w:r>
              <w:rPr>
                <w:rFonts w:hint="eastAsia"/>
                <w:highlight w:val="none"/>
                <w:vertAlign w:val="baseline"/>
                <w:lang w:val="en-US" w:eastAsia="zh-CN"/>
              </w:rPr>
              <w:t>295</w:t>
            </w:r>
          </w:p>
        </w:tc>
        <w:tc>
          <w:tcPr>
            <w:tcW w:w="1690" w:type="dxa"/>
            <w:noWrap w:val="0"/>
            <w:vAlign w:val="center"/>
          </w:tcPr>
          <w:p w14:paraId="3A4ED0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钕铁硼磁钢</w:t>
            </w:r>
          </w:p>
        </w:tc>
        <w:tc>
          <w:tcPr>
            <w:tcW w:w="5928" w:type="dxa"/>
            <w:noWrap w:val="0"/>
            <w:vAlign w:val="center"/>
          </w:tcPr>
          <w:p w14:paraId="145DE9D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0.38 T</w:t>
            </w:r>
          </w:p>
        </w:tc>
        <w:tc>
          <w:tcPr>
            <w:tcW w:w="736" w:type="dxa"/>
            <w:noWrap w:val="0"/>
            <w:vAlign w:val="center"/>
          </w:tcPr>
          <w:p w14:paraId="49CAC8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98B8C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D185AAF">
            <w:pPr>
              <w:jc w:val="center"/>
              <w:rPr>
                <w:highlight w:val="none"/>
              </w:rPr>
            </w:pPr>
          </w:p>
        </w:tc>
        <w:tc>
          <w:tcPr>
            <w:tcW w:w="710" w:type="dxa"/>
            <w:gridSpan w:val="2"/>
            <w:noWrap w:val="0"/>
            <w:vAlign w:val="center"/>
          </w:tcPr>
          <w:p w14:paraId="1DC92D7C">
            <w:pPr>
              <w:jc w:val="both"/>
              <w:rPr>
                <w:highlight w:val="none"/>
                <w:vertAlign w:val="baseline"/>
              </w:rPr>
            </w:pPr>
          </w:p>
        </w:tc>
      </w:tr>
      <w:tr w14:paraId="7F60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28E10A">
            <w:pPr>
              <w:jc w:val="center"/>
              <w:rPr>
                <w:rFonts w:hint="default"/>
                <w:highlight w:val="none"/>
                <w:vertAlign w:val="baseline"/>
                <w:lang w:val="en-US" w:eastAsia="zh-CN"/>
              </w:rPr>
            </w:pPr>
            <w:r>
              <w:rPr>
                <w:rFonts w:hint="eastAsia"/>
                <w:highlight w:val="none"/>
                <w:vertAlign w:val="baseline"/>
                <w:lang w:val="en-US" w:eastAsia="zh-CN"/>
              </w:rPr>
              <w:t>296</w:t>
            </w:r>
          </w:p>
        </w:tc>
        <w:tc>
          <w:tcPr>
            <w:tcW w:w="1690" w:type="dxa"/>
            <w:noWrap w:val="0"/>
            <w:vAlign w:val="center"/>
          </w:tcPr>
          <w:p w14:paraId="33470C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翼形磁针</w:t>
            </w:r>
          </w:p>
        </w:tc>
        <w:tc>
          <w:tcPr>
            <w:tcW w:w="5928" w:type="dxa"/>
            <w:noWrap w:val="0"/>
            <w:vAlign w:val="center"/>
          </w:tcPr>
          <w:p w14:paraId="5B7A04E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2支，针体140 mm×8 mm</w:t>
            </w:r>
          </w:p>
        </w:tc>
        <w:tc>
          <w:tcPr>
            <w:tcW w:w="736" w:type="dxa"/>
            <w:noWrap w:val="0"/>
            <w:vAlign w:val="center"/>
          </w:tcPr>
          <w:p w14:paraId="79B12B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680CDE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136BC21F">
            <w:pPr>
              <w:jc w:val="center"/>
              <w:rPr>
                <w:highlight w:val="none"/>
              </w:rPr>
            </w:pPr>
          </w:p>
        </w:tc>
        <w:tc>
          <w:tcPr>
            <w:tcW w:w="710" w:type="dxa"/>
            <w:gridSpan w:val="2"/>
            <w:noWrap w:val="0"/>
            <w:vAlign w:val="center"/>
          </w:tcPr>
          <w:p w14:paraId="358F27F6">
            <w:pPr>
              <w:jc w:val="both"/>
              <w:rPr>
                <w:highlight w:val="none"/>
                <w:vertAlign w:val="baseline"/>
              </w:rPr>
            </w:pPr>
          </w:p>
        </w:tc>
      </w:tr>
      <w:tr w14:paraId="0981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B5195B">
            <w:pPr>
              <w:jc w:val="center"/>
              <w:rPr>
                <w:rFonts w:hint="default"/>
                <w:highlight w:val="none"/>
                <w:vertAlign w:val="baseline"/>
                <w:lang w:val="en-US" w:eastAsia="zh-CN"/>
              </w:rPr>
            </w:pPr>
            <w:r>
              <w:rPr>
                <w:rFonts w:hint="eastAsia"/>
                <w:highlight w:val="none"/>
                <w:vertAlign w:val="baseline"/>
                <w:lang w:val="en-US" w:eastAsia="zh-CN"/>
              </w:rPr>
              <w:t>297</w:t>
            </w:r>
          </w:p>
        </w:tc>
        <w:tc>
          <w:tcPr>
            <w:tcW w:w="1690" w:type="dxa"/>
            <w:noWrap w:val="0"/>
            <w:vAlign w:val="center"/>
          </w:tcPr>
          <w:p w14:paraId="58F7AB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菱形小磁针</w:t>
            </w:r>
          </w:p>
        </w:tc>
        <w:tc>
          <w:tcPr>
            <w:tcW w:w="5928" w:type="dxa"/>
            <w:noWrap w:val="0"/>
            <w:vAlign w:val="center"/>
          </w:tcPr>
          <w:p w14:paraId="293B07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16支，磁针 28 mm×8 mm</w:t>
            </w:r>
          </w:p>
        </w:tc>
        <w:tc>
          <w:tcPr>
            <w:tcW w:w="736" w:type="dxa"/>
            <w:noWrap w:val="0"/>
            <w:vAlign w:val="center"/>
          </w:tcPr>
          <w:p w14:paraId="3773B2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7A6062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6022AA0">
            <w:pPr>
              <w:jc w:val="center"/>
              <w:rPr>
                <w:highlight w:val="none"/>
              </w:rPr>
            </w:pPr>
          </w:p>
        </w:tc>
        <w:tc>
          <w:tcPr>
            <w:tcW w:w="710" w:type="dxa"/>
            <w:gridSpan w:val="2"/>
            <w:noWrap w:val="0"/>
            <w:vAlign w:val="center"/>
          </w:tcPr>
          <w:p w14:paraId="4EE5A03D">
            <w:pPr>
              <w:jc w:val="both"/>
              <w:rPr>
                <w:highlight w:val="none"/>
                <w:vertAlign w:val="baseline"/>
              </w:rPr>
            </w:pPr>
          </w:p>
        </w:tc>
      </w:tr>
      <w:tr w14:paraId="6355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0AC1C6">
            <w:pPr>
              <w:jc w:val="center"/>
              <w:rPr>
                <w:rFonts w:hint="default"/>
                <w:highlight w:val="none"/>
                <w:vertAlign w:val="baseline"/>
                <w:lang w:val="en-US" w:eastAsia="zh-CN"/>
              </w:rPr>
            </w:pPr>
            <w:r>
              <w:rPr>
                <w:rFonts w:hint="eastAsia"/>
                <w:highlight w:val="none"/>
                <w:vertAlign w:val="baseline"/>
                <w:lang w:val="en-US" w:eastAsia="zh-CN"/>
              </w:rPr>
              <w:t>298</w:t>
            </w:r>
          </w:p>
        </w:tc>
        <w:tc>
          <w:tcPr>
            <w:tcW w:w="1690" w:type="dxa"/>
            <w:noWrap w:val="0"/>
            <w:vAlign w:val="center"/>
          </w:tcPr>
          <w:p w14:paraId="0C0AE3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罗盘</w:t>
            </w:r>
          </w:p>
        </w:tc>
        <w:tc>
          <w:tcPr>
            <w:tcW w:w="5928" w:type="dxa"/>
            <w:noWrap w:val="0"/>
            <w:vAlign w:val="center"/>
          </w:tcPr>
          <w:p w14:paraId="341AC2B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表面嵌金属铝面，直径110mm,盘面分值1°</w:t>
            </w:r>
          </w:p>
        </w:tc>
        <w:tc>
          <w:tcPr>
            <w:tcW w:w="736" w:type="dxa"/>
            <w:noWrap w:val="0"/>
            <w:vAlign w:val="center"/>
          </w:tcPr>
          <w:p w14:paraId="754B86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FC847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C2E90F5">
            <w:pPr>
              <w:jc w:val="center"/>
              <w:rPr>
                <w:highlight w:val="none"/>
              </w:rPr>
            </w:pPr>
          </w:p>
        </w:tc>
        <w:tc>
          <w:tcPr>
            <w:tcW w:w="710" w:type="dxa"/>
            <w:gridSpan w:val="2"/>
            <w:noWrap w:val="0"/>
            <w:vAlign w:val="center"/>
          </w:tcPr>
          <w:p w14:paraId="295B21AD">
            <w:pPr>
              <w:jc w:val="both"/>
              <w:rPr>
                <w:highlight w:val="none"/>
                <w:vertAlign w:val="baseline"/>
              </w:rPr>
            </w:pPr>
          </w:p>
        </w:tc>
      </w:tr>
      <w:tr w14:paraId="2EA7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9C2663">
            <w:pPr>
              <w:jc w:val="center"/>
              <w:rPr>
                <w:rFonts w:hint="default"/>
                <w:highlight w:val="none"/>
                <w:vertAlign w:val="baseline"/>
                <w:lang w:val="en-US" w:eastAsia="zh-CN"/>
              </w:rPr>
            </w:pPr>
            <w:r>
              <w:rPr>
                <w:rFonts w:hint="eastAsia"/>
                <w:highlight w:val="none"/>
                <w:vertAlign w:val="baseline"/>
                <w:lang w:val="en-US" w:eastAsia="zh-CN"/>
              </w:rPr>
              <w:t>299</w:t>
            </w:r>
          </w:p>
        </w:tc>
        <w:tc>
          <w:tcPr>
            <w:tcW w:w="1690" w:type="dxa"/>
            <w:noWrap w:val="0"/>
            <w:vAlign w:val="center"/>
          </w:tcPr>
          <w:p w14:paraId="7B8A86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磁感线演示器</w:t>
            </w:r>
          </w:p>
        </w:tc>
        <w:tc>
          <w:tcPr>
            <w:tcW w:w="5928" w:type="dxa"/>
            <w:noWrap w:val="0"/>
            <w:vAlign w:val="center"/>
          </w:tcPr>
          <w:p w14:paraId="1DC6DBB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油封铁粉式，不小于200 mm×120 mm</w:t>
            </w:r>
          </w:p>
        </w:tc>
        <w:tc>
          <w:tcPr>
            <w:tcW w:w="736" w:type="dxa"/>
            <w:noWrap w:val="0"/>
            <w:vAlign w:val="center"/>
          </w:tcPr>
          <w:p w14:paraId="2D1192D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F7107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3BB0C64">
            <w:pPr>
              <w:jc w:val="center"/>
              <w:rPr>
                <w:highlight w:val="none"/>
              </w:rPr>
            </w:pPr>
          </w:p>
        </w:tc>
        <w:tc>
          <w:tcPr>
            <w:tcW w:w="710" w:type="dxa"/>
            <w:gridSpan w:val="2"/>
            <w:noWrap w:val="0"/>
            <w:vAlign w:val="center"/>
          </w:tcPr>
          <w:p w14:paraId="039E554A">
            <w:pPr>
              <w:jc w:val="both"/>
              <w:rPr>
                <w:highlight w:val="none"/>
                <w:vertAlign w:val="baseline"/>
              </w:rPr>
            </w:pPr>
          </w:p>
        </w:tc>
      </w:tr>
      <w:tr w14:paraId="4050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D9BDA2">
            <w:pPr>
              <w:jc w:val="center"/>
              <w:rPr>
                <w:rFonts w:hint="default"/>
                <w:highlight w:val="none"/>
                <w:vertAlign w:val="baseline"/>
                <w:lang w:val="en-US" w:eastAsia="zh-CN"/>
              </w:rPr>
            </w:pPr>
            <w:r>
              <w:rPr>
                <w:rFonts w:hint="eastAsia"/>
                <w:highlight w:val="none"/>
                <w:vertAlign w:val="baseline"/>
                <w:lang w:val="en-US" w:eastAsia="zh-CN"/>
              </w:rPr>
              <w:t>300</w:t>
            </w:r>
          </w:p>
        </w:tc>
        <w:tc>
          <w:tcPr>
            <w:tcW w:w="1690" w:type="dxa"/>
            <w:noWrap w:val="0"/>
            <w:vAlign w:val="center"/>
          </w:tcPr>
          <w:p w14:paraId="7ED3532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立体磁感线演示器</w:t>
            </w:r>
          </w:p>
        </w:tc>
        <w:tc>
          <w:tcPr>
            <w:tcW w:w="5928" w:type="dxa"/>
            <w:noWrap w:val="0"/>
            <w:vAlign w:val="center"/>
          </w:tcPr>
          <w:p w14:paraId="7D4C08F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永磁、电磁场</w:t>
            </w:r>
          </w:p>
        </w:tc>
        <w:tc>
          <w:tcPr>
            <w:tcW w:w="736" w:type="dxa"/>
            <w:noWrap w:val="0"/>
            <w:vAlign w:val="center"/>
          </w:tcPr>
          <w:p w14:paraId="620B06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AC97E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E7186B0">
            <w:pPr>
              <w:jc w:val="center"/>
              <w:rPr>
                <w:highlight w:val="none"/>
              </w:rPr>
            </w:pPr>
          </w:p>
        </w:tc>
        <w:tc>
          <w:tcPr>
            <w:tcW w:w="710" w:type="dxa"/>
            <w:gridSpan w:val="2"/>
            <w:noWrap w:val="0"/>
            <w:vAlign w:val="center"/>
          </w:tcPr>
          <w:p w14:paraId="46B86482">
            <w:pPr>
              <w:jc w:val="both"/>
              <w:rPr>
                <w:highlight w:val="none"/>
                <w:vertAlign w:val="baseline"/>
              </w:rPr>
            </w:pPr>
          </w:p>
        </w:tc>
      </w:tr>
      <w:tr w14:paraId="299A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E84545E">
            <w:pPr>
              <w:jc w:val="center"/>
              <w:rPr>
                <w:rFonts w:hint="default"/>
                <w:highlight w:val="none"/>
                <w:vertAlign w:val="baseline"/>
                <w:lang w:val="en-US" w:eastAsia="zh-CN"/>
              </w:rPr>
            </w:pPr>
            <w:r>
              <w:rPr>
                <w:rFonts w:hint="eastAsia"/>
                <w:highlight w:val="none"/>
                <w:vertAlign w:val="baseline"/>
                <w:lang w:val="en-US" w:eastAsia="zh-CN"/>
              </w:rPr>
              <w:t>301</w:t>
            </w:r>
          </w:p>
        </w:tc>
        <w:tc>
          <w:tcPr>
            <w:tcW w:w="1690" w:type="dxa"/>
            <w:noWrap w:val="0"/>
            <w:vAlign w:val="center"/>
          </w:tcPr>
          <w:p w14:paraId="561B122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磁感线演示板</w:t>
            </w:r>
          </w:p>
        </w:tc>
        <w:tc>
          <w:tcPr>
            <w:tcW w:w="5928" w:type="dxa"/>
            <w:noWrap w:val="0"/>
            <w:vAlign w:val="center"/>
          </w:tcPr>
          <w:p w14:paraId="6CDCBCD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每块板上有130以上空穴，含铁棒，可投影</w:t>
            </w:r>
          </w:p>
        </w:tc>
        <w:tc>
          <w:tcPr>
            <w:tcW w:w="736" w:type="dxa"/>
            <w:noWrap w:val="0"/>
            <w:vAlign w:val="center"/>
          </w:tcPr>
          <w:p w14:paraId="00F21F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DD336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7D3A552">
            <w:pPr>
              <w:jc w:val="center"/>
              <w:rPr>
                <w:highlight w:val="none"/>
              </w:rPr>
            </w:pPr>
          </w:p>
        </w:tc>
        <w:tc>
          <w:tcPr>
            <w:tcW w:w="710" w:type="dxa"/>
            <w:gridSpan w:val="2"/>
            <w:noWrap w:val="0"/>
            <w:vAlign w:val="center"/>
          </w:tcPr>
          <w:p w14:paraId="1484BD48">
            <w:pPr>
              <w:jc w:val="both"/>
              <w:rPr>
                <w:highlight w:val="none"/>
                <w:vertAlign w:val="baseline"/>
              </w:rPr>
            </w:pPr>
          </w:p>
        </w:tc>
      </w:tr>
      <w:tr w14:paraId="4739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FDC6AC">
            <w:pPr>
              <w:jc w:val="center"/>
              <w:rPr>
                <w:rFonts w:hint="default"/>
                <w:highlight w:val="none"/>
                <w:vertAlign w:val="baseline"/>
                <w:lang w:val="en-US" w:eastAsia="zh-CN"/>
              </w:rPr>
            </w:pPr>
            <w:r>
              <w:rPr>
                <w:rFonts w:hint="eastAsia"/>
                <w:highlight w:val="none"/>
                <w:vertAlign w:val="baseline"/>
                <w:lang w:val="en-US" w:eastAsia="zh-CN"/>
              </w:rPr>
              <w:t>302</w:t>
            </w:r>
          </w:p>
        </w:tc>
        <w:tc>
          <w:tcPr>
            <w:tcW w:w="1690" w:type="dxa"/>
            <w:noWrap w:val="0"/>
            <w:vAlign w:val="center"/>
          </w:tcPr>
          <w:p w14:paraId="6F11D7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稳压直流电源</w:t>
            </w:r>
          </w:p>
        </w:tc>
        <w:tc>
          <w:tcPr>
            <w:tcW w:w="5928" w:type="dxa"/>
            <w:noWrap w:val="0"/>
            <w:vAlign w:val="center"/>
          </w:tcPr>
          <w:p w14:paraId="4F3DD5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数显，双路稳压；0 V～15 V连续可调</w:t>
            </w:r>
          </w:p>
        </w:tc>
        <w:tc>
          <w:tcPr>
            <w:tcW w:w="736" w:type="dxa"/>
            <w:noWrap w:val="0"/>
            <w:vAlign w:val="center"/>
          </w:tcPr>
          <w:p w14:paraId="77C23F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57853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3B251C7C">
            <w:pPr>
              <w:jc w:val="center"/>
              <w:rPr>
                <w:highlight w:val="none"/>
              </w:rPr>
            </w:pPr>
          </w:p>
        </w:tc>
        <w:tc>
          <w:tcPr>
            <w:tcW w:w="710" w:type="dxa"/>
            <w:gridSpan w:val="2"/>
            <w:noWrap w:val="0"/>
            <w:vAlign w:val="center"/>
          </w:tcPr>
          <w:p w14:paraId="6E021455">
            <w:pPr>
              <w:jc w:val="both"/>
              <w:rPr>
                <w:highlight w:val="none"/>
                <w:vertAlign w:val="baseline"/>
              </w:rPr>
            </w:pPr>
          </w:p>
        </w:tc>
      </w:tr>
      <w:tr w14:paraId="5921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88F67E">
            <w:pPr>
              <w:jc w:val="center"/>
              <w:rPr>
                <w:rFonts w:hint="default"/>
                <w:highlight w:val="none"/>
                <w:vertAlign w:val="baseline"/>
                <w:lang w:val="en-US" w:eastAsia="zh-CN"/>
              </w:rPr>
            </w:pPr>
            <w:r>
              <w:rPr>
                <w:rFonts w:hint="eastAsia"/>
                <w:highlight w:val="none"/>
                <w:vertAlign w:val="baseline"/>
                <w:lang w:val="en-US" w:eastAsia="zh-CN"/>
              </w:rPr>
              <w:t>303</w:t>
            </w:r>
          </w:p>
        </w:tc>
        <w:tc>
          <w:tcPr>
            <w:tcW w:w="1690" w:type="dxa"/>
            <w:noWrap w:val="0"/>
            <w:vAlign w:val="center"/>
          </w:tcPr>
          <w:p w14:paraId="5A9829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学生电源（初中）</w:t>
            </w:r>
          </w:p>
        </w:tc>
        <w:tc>
          <w:tcPr>
            <w:tcW w:w="5928" w:type="dxa"/>
            <w:noWrap w:val="0"/>
            <w:vAlign w:val="center"/>
          </w:tcPr>
          <w:p w14:paraId="1AFE66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9V,1.5A</w:t>
            </w:r>
          </w:p>
        </w:tc>
        <w:tc>
          <w:tcPr>
            <w:tcW w:w="736" w:type="dxa"/>
            <w:noWrap w:val="0"/>
            <w:vAlign w:val="center"/>
          </w:tcPr>
          <w:p w14:paraId="5DB426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C993F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42498E5">
            <w:pPr>
              <w:jc w:val="center"/>
              <w:rPr>
                <w:highlight w:val="none"/>
              </w:rPr>
            </w:pPr>
          </w:p>
        </w:tc>
        <w:tc>
          <w:tcPr>
            <w:tcW w:w="710" w:type="dxa"/>
            <w:gridSpan w:val="2"/>
            <w:noWrap w:val="0"/>
            <w:vAlign w:val="center"/>
          </w:tcPr>
          <w:p w14:paraId="385907AD">
            <w:pPr>
              <w:jc w:val="both"/>
              <w:rPr>
                <w:highlight w:val="none"/>
                <w:vertAlign w:val="baseline"/>
              </w:rPr>
            </w:pPr>
          </w:p>
        </w:tc>
      </w:tr>
      <w:tr w14:paraId="0D58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BF8772">
            <w:pPr>
              <w:jc w:val="center"/>
              <w:rPr>
                <w:rFonts w:hint="default"/>
                <w:highlight w:val="none"/>
                <w:vertAlign w:val="baseline"/>
                <w:lang w:val="en-US" w:eastAsia="zh-CN"/>
              </w:rPr>
            </w:pPr>
            <w:r>
              <w:rPr>
                <w:rFonts w:hint="eastAsia"/>
                <w:highlight w:val="none"/>
                <w:vertAlign w:val="baseline"/>
                <w:lang w:val="en-US" w:eastAsia="zh-CN"/>
              </w:rPr>
              <w:t>304</w:t>
            </w:r>
          </w:p>
        </w:tc>
        <w:tc>
          <w:tcPr>
            <w:tcW w:w="1690" w:type="dxa"/>
            <w:noWrap w:val="0"/>
            <w:vAlign w:val="center"/>
          </w:tcPr>
          <w:p w14:paraId="0FB26A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教学电源（初中）</w:t>
            </w:r>
          </w:p>
        </w:tc>
        <w:tc>
          <w:tcPr>
            <w:tcW w:w="5928" w:type="dxa"/>
            <w:noWrap w:val="0"/>
            <w:vAlign w:val="center"/>
          </w:tcPr>
          <w:p w14:paraId="42A0AFA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交流2V—12V,5A,每2V一档；直流1.5V—12V/2A，共6档。40A、8S自动关断。</w:t>
            </w:r>
          </w:p>
        </w:tc>
        <w:tc>
          <w:tcPr>
            <w:tcW w:w="736" w:type="dxa"/>
            <w:noWrap w:val="0"/>
            <w:vAlign w:val="center"/>
          </w:tcPr>
          <w:p w14:paraId="62A22E3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17C2A0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62059C2">
            <w:pPr>
              <w:jc w:val="center"/>
              <w:rPr>
                <w:highlight w:val="none"/>
              </w:rPr>
            </w:pPr>
          </w:p>
        </w:tc>
        <w:tc>
          <w:tcPr>
            <w:tcW w:w="710" w:type="dxa"/>
            <w:gridSpan w:val="2"/>
            <w:noWrap w:val="0"/>
            <w:vAlign w:val="center"/>
          </w:tcPr>
          <w:p w14:paraId="6E5C3188">
            <w:pPr>
              <w:jc w:val="both"/>
              <w:rPr>
                <w:highlight w:val="none"/>
                <w:vertAlign w:val="baseline"/>
              </w:rPr>
            </w:pPr>
          </w:p>
        </w:tc>
      </w:tr>
      <w:tr w14:paraId="1B25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BE0F1D">
            <w:pPr>
              <w:jc w:val="center"/>
              <w:rPr>
                <w:rFonts w:hint="default"/>
                <w:highlight w:val="none"/>
                <w:vertAlign w:val="baseline"/>
                <w:lang w:val="en-US" w:eastAsia="zh-CN"/>
              </w:rPr>
            </w:pPr>
            <w:r>
              <w:rPr>
                <w:rFonts w:hint="eastAsia"/>
                <w:highlight w:val="none"/>
                <w:vertAlign w:val="baseline"/>
                <w:lang w:val="en-US" w:eastAsia="zh-CN"/>
              </w:rPr>
              <w:t>305</w:t>
            </w:r>
          </w:p>
        </w:tc>
        <w:tc>
          <w:tcPr>
            <w:tcW w:w="1690" w:type="dxa"/>
            <w:noWrap w:val="0"/>
            <w:vAlign w:val="center"/>
          </w:tcPr>
          <w:p w14:paraId="102891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电流磁场演示器</w:t>
            </w:r>
          </w:p>
        </w:tc>
        <w:tc>
          <w:tcPr>
            <w:tcW w:w="5928" w:type="dxa"/>
            <w:noWrap w:val="0"/>
            <w:vAlign w:val="center"/>
          </w:tcPr>
          <w:p w14:paraId="2FC42A0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直流导线、圆线圈、螺线管的磁场分布</w:t>
            </w:r>
          </w:p>
        </w:tc>
        <w:tc>
          <w:tcPr>
            <w:tcW w:w="736" w:type="dxa"/>
            <w:noWrap w:val="0"/>
            <w:vAlign w:val="center"/>
          </w:tcPr>
          <w:p w14:paraId="2C15B8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20A40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F45C7CC">
            <w:pPr>
              <w:jc w:val="center"/>
              <w:rPr>
                <w:highlight w:val="none"/>
              </w:rPr>
            </w:pPr>
          </w:p>
        </w:tc>
        <w:tc>
          <w:tcPr>
            <w:tcW w:w="710" w:type="dxa"/>
            <w:gridSpan w:val="2"/>
            <w:noWrap w:val="0"/>
            <w:vAlign w:val="center"/>
          </w:tcPr>
          <w:p w14:paraId="7AA7D694">
            <w:pPr>
              <w:jc w:val="both"/>
              <w:rPr>
                <w:highlight w:val="none"/>
                <w:vertAlign w:val="baseline"/>
              </w:rPr>
            </w:pPr>
          </w:p>
        </w:tc>
      </w:tr>
      <w:tr w14:paraId="3CD6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7E7EEA">
            <w:pPr>
              <w:jc w:val="center"/>
              <w:rPr>
                <w:rFonts w:hint="default"/>
                <w:highlight w:val="none"/>
                <w:vertAlign w:val="baseline"/>
                <w:lang w:val="en-US" w:eastAsia="zh-CN"/>
              </w:rPr>
            </w:pPr>
            <w:r>
              <w:rPr>
                <w:rFonts w:hint="eastAsia"/>
                <w:highlight w:val="none"/>
                <w:vertAlign w:val="baseline"/>
                <w:lang w:val="en-US" w:eastAsia="zh-CN"/>
              </w:rPr>
              <w:t>306</w:t>
            </w:r>
          </w:p>
        </w:tc>
        <w:tc>
          <w:tcPr>
            <w:tcW w:w="1690" w:type="dxa"/>
            <w:noWrap w:val="0"/>
            <w:vAlign w:val="center"/>
          </w:tcPr>
          <w:p w14:paraId="1092DF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蹄形电磁铁</w:t>
            </w:r>
          </w:p>
        </w:tc>
        <w:tc>
          <w:tcPr>
            <w:tcW w:w="5928" w:type="dxa"/>
            <w:noWrap w:val="0"/>
            <w:vAlign w:val="center"/>
          </w:tcPr>
          <w:p w14:paraId="1353F00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电流≤1 A，电压≤6 V</w:t>
            </w:r>
          </w:p>
        </w:tc>
        <w:tc>
          <w:tcPr>
            <w:tcW w:w="736" w:type="dxa"/>
            <w:noWrap w:val="0"/>
            <w:vAlign w:val="center"/>
          </w:tcPr>
          <w:p w14:paraId="2FBE3E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0B0FA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8FFA4B3">
            <w:pPr>
              <w:jc w:val="center"/>
              <w:rPr>
                <w:highlight w:val="none"/>
              </w:rPr>
            </w:pPr>
          </w:p>
        </w:tc>
        <w:tc>
          <w:tcPr>
            <w:tcW w:w="710" w:type="dxa"/>
            <w:gridSpan w:val="2"/>
            <w:noWrap w:val="0"/>
            <w:vAlign w:val="center"/>
          </w:tcPr>
          <w:p w14:paraId="4839A8BE">
            <w:pPr>
              <w:jc w:val="both"/>
              <w:rPr>
                <w:highlight w:val="none"/>
                <w:vertAlign w:val="baseline"/>
              </w:rPr>
            </w:pPr>
          </w:p>
        </w:tc>
      </w:tr>
      <w:tr w14:paraId="4412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88CCAC">
            <w:pPr>
              <w:jc w:val="center"/>
              <w:rPr>
                <w:rFonts w:hint="default"/>
                <w:highlight w:val="none"/>
                <w:vertAlign w:val="baseline"/>
                <w:lang w:val="en-US" w:eastAsia="zh-CN"/>
              </w:rPr>
            </w:pPr>
            <w:r>
              <w:rPr>
                <w:rFonts w:hint="eastAsia"/>
                <w:highlight w:val="none"/>
                <w:vertAlign w:val="baseline"/>
                <w:lang w:val="en-US" w:eastAsia="zh-CN"/>
              </w:rPr>
              <w:t>307</w:t>
            </w:r>
          </w:p>
        </w:tc>
        <w:tc>
          <w:tcPr>
            <w:tcW w:w="1690" w:type="dxa"/>
            <w:noWrap w:val="0"/>
            <w:vAlign w:val="center"/>
          </w:tcPr>
          <w:p w14:paraId="736798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电磁铁实验器</w:t>
            </w:r>
          </w:p>
        </w:tc>
        <w:tc>
          <w:tcPr>
            <w:tcW w:w="5928" w:type="dxa"/>
            <w:noWrap w:val="0"/>
            <w:vAlign w:val="center"/>
          </w:tcPr>
          <w:p w14:paraId="480D202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线圈2组、柱形、蹄形铁芯各1个、衔铁2个</w:t>
            </w:r>
          </w:p>
        </w:tc>
        <w:tc>
          <w:tcPr>
            <w:tcW w:w="736" w:type="dxa"/>
            <w:noWrap w:val="0"/>
            <w:vAlign w:val="center"/>
          </w:tcPr>
          <w:p w14:paraId="40A015F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C91068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A3CD0D4">
            <w:pPr>
              <w:jc w:val="center"/>
              <w:rPr>
                <w:highlight w:val="none"/>
              </w:rPr>
            </w:pPr>
          </w:p>
        </w:tc>
        <w:tc>
          <w:tcPr>
            <w:tcW w:w="710" w:type="dxa"/>
            <w:gridSpan w:val="2"/>
            <w:noWrap w:val="0"/>
            <w:vAlign w:val="center"/>
          </w:tcPr>
          <w:p w14:paraId="1695B777">
            <w:pPr>
              <w:jc w:val="both"/>
              <w:rPr>
                <w:highlight w:val="none"/>
                <w:vertAlign w:val="baseline"/>
              </w:rPr>
            </w:pPr>
          </w:p>
        </w:tc>
      </w:tr>
      <w:tr w14:paraId="5A9F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FB5DA3">
            <w:pPr>
              <w:jc w:val="center"/>
              <w:rPr>
                <w:rFonts w:hint="default"/>
                <w:highlight w:val="none"/>
                <w:vertAlign w:val="baseline"/>
                <w:lang w:val="en-US" w:eastAsia="zh-CN"/>
              </w:rPr>
            </w:pPr>
            <w:r>
              <w:rPr>
                <w:rFonts w:hint="eastAsia"/>
                <w:highlight w:val="none"/>
                <w:vertAlign w:val="baseline"/>
                <w:lang w:val="en-US" w:eastAsia="zh-CN"/>
              </w:rPr>
              <w:t>308</w:t>
            </w:r>
          </w:p>
        </w:tc>
        <w:tc>
          <w:tcPr>
            <w:tcW w:w="1690" w:type="dxa"/>
            <w:noWrap w:val="0"/>
            <w:vAlign w:val="center"/>
          </w:tcPr>
          <w:p w14:paraId="7B37D5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演示原副线圈</w:t>
            </w:r>
          </w:p>
        </w:tc>
        <w:tc>
          <w:tcPr>
            <w:tcW w:w="5928" w:type="dxa"/>
            <w:noWrap w:val="0"/>
            <w:vAlign w:val="center"/>
          </w:tcPr>
          <w:p w14:paraId="3ABC13C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原线圈、副线圈、铁芯</w:t>
            </w:r>
          </w:p>
        </w:tc>
        <w:tc>
          <w:tcPr>
            <w:tcW w:w="736" w:type="dxa"/>
            <w:noWrap w:val="0"/>
            <w:vAlign w:val="center"/>
          </w:tcPr>
          <w:p w14:paraId="38AA7C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67893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EB9E3D7">
            <w:pPr>
              <w:jc w:val="center"/>
              <w:rPr>
                <w:highlight w:val="none"/>
              </w:rPr>
            </w:pPr>
          </w:p>
        </w:tc>
        <w:tc>
          <w:tcPr>
            <w:tcW w:w="710" w:type="dxa"/>
            <w:gridSpan w:val="2"/>
            <w:noWrap w:val="0"/>
            <w:vAlign w:val="center"/>
          </w:tcPr>
          <w:p w14:paraId="6043FF8C">
            <w:pPr>
              <w:jc w:val="both"/>
              <w:rPr>
                <w:highlight w:val="none"/>
                <w:vertAlign w:val="baseline"/>
              </w:rPr>
            </w:pPr>
          </w:p>
        </w:tc>
      </w:tr>
      <w:tr w14:paraId="4F45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BC6935">
            <w:pPr>
              <w:jc w:val="center"/>
              <w:rPr>
                <w:rFonts w:hint="default"/>
                <w:highlight w:val="none"/>
                <w:vertAlign w:val="baseline"/>
                <w:lang w:val="en-US" w:eastAsia="zh-CN"/>
              </w:rPr>
            </w:pPr>
            <w:r>
              <w:rPr>
                <w:rFonts w:hint="eastAsia"/>
                <w:highlight w:val="none"/>
                <w:vertAlign w:val="baseline"/>
                <w:lang w:val="en-US" w:eastAsia="zh-CN"/>
              </w:rPr>
              <w:t>309</w:t>
            </w:r>
          </w:p>
        </w:tc>
        <w:tc>
          <w:tcPr>
            <w:tcW w:w="1690" w:type="dxa"/>
            <w:noWrap w:val="0"/>
            <w:vAlign w:val="center"/>
          </w:tcPr>
          <w:p w14:paraId="66B4D9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原副线圈</w:t>
            </w:r>
          </w:p>
        </w:tc>
        <w:tc>
          <w:tcPr>
            <w:tcW w:w="5928" w:type="dxa"/>
            <w:noWrap w:val="0"/>
            <w:vAlign w:val="center"/>
          </w:tcPr>
          <w:p w14:paraId="056AC8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原线圈、副线圈、铁芯</w:t>
            </w:r>
          </w:p>
        </w:tc>
        <w:tc>
          <w:tcPr>
            <w:tcW w:w="736" w:type="dxa"/>
            <w:noWrap w:val="0"/>
            <w:vAlign w:val="center"/>
          </w:tcPr>
          <w:p w14:paraId="127C25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53949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9D28FDB">
            <w:pPr>
              <w:jc w:val="center"/>
              <w:rPr>
                <w:highlight w:val="none"/>
              </w:rPr>
            </w:pPr>
          </w:p>
        </w:tc>
        <w:tc>
          <w:tcPr>
            <w:tcW w:w="710" w:type="dxa"/>
            <w:gridSpan w:val="2"/>
            <w:noWrap w:val="0"/>
            <w:vAlign w:val="center"/>
          </w:tcPr>
          <w:p w14:paraId="61D6AA23">
            <w:pPr>
              <w:jc w:val="both"/>
              <w:rPr>
                <w:highlight w:val="none"/>
                <w:vertAlign w:val="baseline"/>
              </w:rPr>
            </w:pPr>
          </w:p>
        </w:tc>
      </w:tr>
      <w:tr w14:paraId="3AA5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42330B">
            <w:pPr>
              <w:jc w:val="center"/>
              <w:rPr>
                <w:rFonts w:hint="default"/>
                <w:highlight w:val="none"/>
                <w:vertAlign w:val="baseline"/>
                <w:lang w:val="en-US" w:eastAsia="zh-CN"/>
              </w:rPr>
            </w:pPr>
            <w:r>
              <w:rPr>
                <w:rFonts w:hint="eastAsia"/>
                <w:highlight w:val="none"/>
                <w:vertAlign w:val="baseline"/>
                <w:lang w:val="en-US" w:eastAsia="zh-CN"/>
              </w:rPr>
              <w:t>310</w:t>
            </w:r>
          </w:p>
        </w:tc>
        <w:tc>
          <w:tcPr>
            <w:tcW w:w="1690" w:type="dxa"/>
            <w:noWrap w:val="0"/>
            <w:vAlign w:val="center"/>
          </w:tcPr>
          <w:p w14:paraId="2CE2E1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螺线管</w:t>
            </w:r>
          </w:p>
        </w:tc>
        <w:tc>
          <w:tcPr>
            <w:tcW w:w="5928" w:type="dxa"/>
            <w:noWrap w:val="0"/>
            <w:vAlign w:val="center"/>
          </w:tcPr>
          <w:p w14:paraId="74B76B5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透明底板，纯铜漆包线，附带手柄磁针</w:t>
            </w:r>
          </w:p>
        </w:tc>
        <w:tc>
          <w:tcPr>
            <w:tcW w:w="736" w:type="dxa"/>
            <w:noWrap w:val="0"/>
            <w:vAlign w:val="center"/>
          </w:tcPr>
          <w:p w14:paraId="1C806A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33D32C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22C4CC76">
            <w:pPr>
              <w:jc w:val="center"/>
              <w:rPr>
                <w:highlight w:val="none"/>
              </w:rPr>
            </w:pPr>
          </w:p>
        </w:tc>
        <w:tc>
          <w:tcPr>
            <w:tcW w:w="710" w:type="dxa"/>
            <w:gridSpan w:val="2"/>
            <w:noWrap w:val="0"/>
            <w:vAlign w:val="center"/>
          </w:tcPr>
          <w:p w14:paraId="68DAC10B">
            <w:pPr>
              <w:jc w:val="both"/>
              <w:rPr>
                <w:highlight w:val="none"/>
                <w:vertAlign w:val="baseline"/>
              </w:rPr>
            </w:pPr>
          </w:p>
        </w:tc>
      </w:tr>
      <w:tr w14:paraId="2B15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D9FA540">
            <w:pPr>
              <w:jc w:val="center"/>
              <w:rPr>
                <w:rFonts w:hint="default"/>
                <w:highlight w:val="none"/>
                <w:vertAlign w:val="baseline"/>
                <w:lang w:val="en-US" w:eastAsia="zh-CN"/>
              </w:rPr>
            </w:pPr>
            <w:r>
              <w:rPr>
                <w:rFonts w:hint="eastAsia"/>
                <w:highlight w:val="none"/>
                <w:vertAlign w:val="baseline"/>
                <w:lang w:val="en-US" w:eastAsia="zh-CN"/>
              </w:rPr>
              <w:t>311</w:t>
            </w:r>
          </w:p>
        </w:tc>
        <w:tc>
          <w:tcPr>
            <w:tcW w:w="1690" w:type="dxa"/>
            <w:noWrap w:val="0"/>
            <w:vAlign w:val="center"/>
          </w:tcPr>
          <w:p w14:paraId="453A99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充磁器</w:t>
            </w:r>
          </w:p>
        </w:tc>
        <w:tc>
          <w:tcPr>
            <w:tcW w:w="5928" w:type="dxa"/>
            <w:noWrap w:val="0"/>
            <w:vAlign w:val="center"/>
          </w:tcPr>
          <w:p w14:paraId="7801624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充、消两用</w:t>
            </w:r>
          </w:p>
        </w:tc>
        <w:tc>
          <w:tcPr>
            <w:tcW w:w="736" w:type="dxa"/>
            <w:noWrap w:val="0"/>
            <w:vAlign w:val="center"/>
          </w:tcPr>
          <w:p w14:paraId="619B58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B1FE6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4CE0E29">
            <w:pPr>
              <w:jc w:val="center"/>
              <w:rPr>
                <w:highlight w:val="none"/>
              </w:rPr>
            </w:pPr>
          </w:p>
        </w:tc>
        <w:tc>
          <w:tcPr>
            <w:tcW w:w="710" w:type="dxa"/>
            <w:gridSpan w:val="2"/>
            <w:noWrap w:val="0"/>
            <w:vAlign w:val="center"/>
          </w:tcPr>
          <w:p w14:paraId="46FFAC1E">
            <w:pPr>
              <w:jc w:val="both"/>
              <w:rPr>
                <w:highlight w:val="none"/>
                <w:vertAlign w:val="baseline"/>
              </w:rPr>
            </w:pPr>
          </w:p>
        </w:tc>
      </w:tr>
      <w:tr w14:paraId="0241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51DF292">
            <w:pPr>
              <w:jc w:val="center"/>
              <w:rPr>
                <w:rFonts w:hint="default"/>
                <w:highlight w:val="none"/>
                <w:vertAlign w:val="baseline"/>
                <w:lang w:val="en-US" w:eastAsia="zh-CN"/>
              </w:rPr>
            </w:pPr>
            <w:r>
              <w:rPr>
                <w:rFonts w:hint="eastAsia"/>
                <w:highlight w:val="none"/>
                <w:vertAlign w:val="baseline"/>
                <w:lang w:val="en-US" w:eastAsia="zh-CN"/>
              </w:rPr>
              <w:t>312</w:t>
            </w:r>
          </w:p>
        </w:tc>
        <w:tc>
          <w:tcPr>
            <w:tcW w:w="1690" w:type="dxa"/>
            <w:noWrap w:val="0"/>
            <w:vAlign w:val="center"/>
          </w:tcPr>
          <w:p w14:paraId="5B3983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演示电磁继电器</w:t>
            </w:r>
          </w:p>
        </w:tc>
        <w:tc>
          <w:tcPr>
            <w:tcW w:w="5928" w:type="dxa"/>
            <w:noWrap w:val="0"/>
            <w:vAlign w:val="center"/>
          </w:tcPr>
          <w:p w14:paraId="4FE27A4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电磁线圈、铁芯、轭铁、衔铁、常开触点、常闭触点、弹簧、底座等。</w:t>
            </w:r>
          </w:p>
        </w:tc>
        <w:tc>
          <w:tcPr>
            <w:tcW w:w="736" w:type="dxa"/>
            <w:noWrap w:val="0"/>
            <w:vAlign w:val="center"/>
          </w:tcPr>
          <w:p w14:paraId="16CE9D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80B03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0E69914">
            <w:pPr>
              <w:jc w:val="center"/>
              <w:rPr>
                <w:highlight w:val="none"/>
              </w:rPr>
            </w:pPr>
          </w:p>
        </w:tc>
        <w:tc>
          <w:tcPr>
            <w:tcW w:w="710" w:type="dxa"/>
            <w:gridSpan w:val="2"/>
            <w:noWrap w:val="0"/>
            <w:vAlign w:val="center"/>
          </w:tcPr>
          <w:p w14:paraId="75CA377E">
            <w:pPr>
              <w:jc w:val="both"/>
              <w:rPr>
                <w:highlight w:val="none"/>
                <w:vertAlign w:val="baseline"/>
              </w:rPr>
            </w:pPr>
          </w:p>
        </w:tc>
      </w:tr>
      <w:tr w14:paraId="624D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1FA703">
            <w:pPr>
              <w:jc w:val="center"/>
              <w:rPr>
                <w:rFonts w:hint="default"/>
                <w:highlight w:val="none"/>
                <w:vertAlign w:val="baseline"/>
                <w:lang w:val="en-US" w:eastAsia="zh-CN"/>
              </w:rPr>
            </w:pPr>
            <w:r>
              <w:rPr>
                <w:rFonts w:hint="eastAsia"/>
                <w:highlight w:val="none"/>
                <w:vertAlign w:val="baseline"/>
                <w:lang w:val="en-US" w:eastAsia="zh-CN"/>
              </w:rPr>
              <w:t>313</w:t>
            </w:r>
          </w:p>
        </w:tc>
        <w:tc>
          <w:tcPr>
            <w:tcW w:w="1690" w:type="dxa"/>
            <w:noWrap w:val="0"/>
            <w:vAlign w:val="center"/>
          </w:tcPr>
          <w:p w14:paraId="7D382C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电磁继电器</w:t>
            </w:r>
          </w:p>
        </w:tc>
        <w:tc>
          <w:tcPr>
            <w:tcW w:w="5928" w:type="dxa"/>
            <w:noWrap w:val="0"/>
            <w:vAlign w:val="center"/>
          </w:tcPr>
          <w:p w14:paraId="17DC9EE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电磁铁额定工作电压 6V，常开、常闭</w:t>
            </w:r>
          </w:p>
        </w:tc>
        <w:tc>
          <w:tcPr>
            <w:tcW w:w="736" w:type="dxa"/>
            <w:noWrap w:val="0"/>
            <w:vAlign w:val="center"/>
          </w:tcPr>
          <w:p w14:paraId="36ACA34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403FC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C963FCA">
            <w:pPr>
              <w:jc w:val="center"/>
              <w:rPr>
                <w:highlight w:val="none"/>
              </w:rPr>
            </w:pPr>
          </w:p>
        </w:tc>
        <w:tc>
          <w:tcPr>
            <w:tcW w:w="710" w:type="dxa"/>
            <w:gridSpan w:val="2"/>
            <w:noWrap w:val="0"/>
            <w:vAlign w:val="center"/>
          </w:tcPr>
          <w:p w14:paraId="220B3CEA">
            <w:pPr>
              <w:jc w:val="both"/>
              <w:rPr>
                <w:highlight w:val="none"/>
                <w:vertAlign w:val="baseline"/>
              </w:rPr>
            </w:pPr>
          </w:p>
        </w:tc>
      </w:tr>
      <w:tr w14:paraId="0FE3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C58AD1">
            <w:pPr>
              <w:jc w:val="center"/>
              <w:rPr>
                <w:rFonts w:hint="default"/>
                <w:highlight w:val="none"/>
                <w:vertAlign w:val="baseline"/>
                <w:lang w:val="en-US" w:eastAsia="zh-CN"/>
              </w:rPr>
            </w:pPr>
            <w:r>
              <w:rPr>
                <w:rFonts w:hint="eastAsia"/>
                <w:highlight w:val="none"/>
                <w:vertAlign w:val="baseline"/>
                <w:lang w:val="en-US" w:eastAsia="zh-CN"/>
              </w:rPr>
              <w:t>314</w:t>
            </w:r>
          </w:p>
        </w:tc>
        <w:tc>
          <w:tcPr>
            <w:tcW w:w="1690" w:type="dxa"/>
            <w:noWrap w:val="0"/>
            <w:vAlign w:val="center"/>
          </w:tcPr>
          <w:p w14:paraId="501F1D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磁场对电流实验器（新款）</w:t>
            </w:r>
          </w:p>
        </w:tc>
        <w:tc>
          <w:tcPr>
            <w:tcW w:w="5928" w:type="dxa"/>
            <w:noWrap w:val="0"/>
            <w:vAlign w:val="center"/>
          </w:tcPr>
          <w:p w14:paraId="1F2F792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铜棒、接线柱、导轨、U 形磁铁、底板组成</w:t>
            </w:r>
          </w:p>
        </w:tc>
        <w:tc>
          <w:tcPr>
            <w:tcW w:w="736" w:type="dxa"/>
            <w:noWrap w:val="0"/>
            <w:vAlign w:val="center"/>
          </w:tcPr>
          <w:p w14:paraId="586BE0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7292B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5B256D2">
            <w:pPr>
              <w:jc w:val="center"/>
              <w:rPr>
                <w:highlight w:val="none"/>
              </w:rPr>
            </w:pPr>
          </w:p>
        </w:tc>
        <w:tc>
          <w:tcPr>
            <w:tcW w:w="710" w:type="dxa"/>
            <w:gridSpan w:val="2"/>
            <w:noWrap w:val="0"/>
            <w:vAlign w:val="center"/>
          </w:tcPr>
          <w:p w14:paraId="4892638D">
            <w:pPr>
              <w:jc w:val="both"/>
              <w:rPr>
                <w:highlight w:val="none"/>
                <w:vertAlign w:val="baseline"/>
              </w:rPr>
            </w:pPr>
          </w:p>
        </w:tc>
      </w:tr>
      <w:tr w14:paraId="21F1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DAF541">
            <w:pPr>
              <w:jc w:val="center"/>
              <w:rPr>
                <w:rFonts w:hint="default"/>
                <w:highlight w:val="none"/>
                <w:vertAlign w:val="baseline"/>
                <w:lang w:val="en-US" w:eastAsia="zh-CN"/>
              </w:rPr>
            </w:pPr>
            <w:r>
              <w:rPr>
                <w:rFonts w:hint="eastAsia"/>
                <w:highlight w:val="none"/>
                <w:vertAlign w:val="baseline"/>
                <w:lang w:val="en-US" w:eastAsia="zh-CN"/>
              </w:rPr>
              <w:t>315</w:t>
            </w:r>
          </w:p>
        </w:tc>
        <w:tc>
          <w:tcPr>
            <w:tcW w:w="1690" w:type="dxa"/>
            <w:noWrap w:val="0"/>
            <w:vAlign w:val="center"/>
          </w:tcPr>
          <w:p w14:paraId="1120E1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电机原理说明器</w:t>
            </w:r>
          </w:p>
        </w:tc>
        <w:tc>
          <w:tcPr>
            <w:tcW w:w="5928" w:type="dxa"/>
            <w:noWrap w:val="0"/>
            <w:vAlign w:val="center"/>
          </w:tcPr>
          <w:p w14:paraId="6C8C81B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卧式，串激式、并激式、交直流发电</w:t>
            </w:r>
          </w:p>
        </w:tc>
        <w:tc>
          <w:tcPr>
            <w:tcW w:w="736" w:type="dxa"/>
            <w:noWrap w:val="0"/>
            <w:vAlign w:val="center"/>
          </w:tcPr>
          <w:p w14:paraId="2AA76C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2F6B0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39443F3">
            <w:pPr>
              <w:jc w:val="center"/>
              <w:rPr>
                <w:highlight w:val="none"/>
              </w:rPr>
            </w:pPr>
          </w:p>
        </w:tc>
        <w:tc>
          <w:tcPr>
            <w:tcW w:w="710" w:type="dxa"/>
            <w:gridSpan w:val="2"/>
            <w:noWrap w:val="0"/>
            <w:vAlign w:val="center"/>
          </w:tcPr>
          <w:p w14:paraId="2CBA0665">
            <w:pPr>
              <w:jc w:val="both"/>
              <w:rPr>
                <w:highlight w:val="none"/>
                <w:vertAlign w:val="baseline"/>
              </w:rPr>
            </w:pPr>
          </w:p>
        </w:tc>
      </w:tr>
      <w:tr w14:paraId="028D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D8CBE7">
            <w:pPr>
              <w:jc w:val="center"/>
              <w:rPr>
                <w:rFonts w:hint="default"/>
                <w:highlight w:val="none"/>
                <w:vertAlign w:val="baseline"/>
                <w:lang w:val="en-US" w:eastAsia="zh-CN"/>
              </w:rPr>
            </w:pPr>
            <w:r>
              <w:rPr>
                <w:rFonts w:hint="eastAsia"/>
                <w:highlight w:val="none"/>
                <w:vertAlign w:val="baseline"/>
                <w:lang w:val="en-US" w:eastAsia="zh-CN"/>
              </w:rPr>
              <w:t>316</w:t>
            </w:r>
          </w:p>
        </w:tc>
        <w:tc>
          <w:tcPr>
            <w:tcW w:w="1690" w:type="dxa"/>
            <w:noWrap w:val="0"/>
            <w:vAlign w:val="center"/>
          </w:tcPr>
          <w:p w14:paraId="33931E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小型电动机实验器</w:t>
            </w:r>
          </w:p>
        </w:tc>
        <w:tc>
          <w:tcPr>
            <w:tcW w:w="5928" w:type="dxa"/>
            <w:noWrap w:val="0"/>
            <w:vAlign w:val="center"/>
          </w:tcPr>
          <w:p w14:paraId="0A1E1B7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串激式、并激式两用</w:t>
            </w:r>
          </w:p>
        </w:tc>
        <w:tc>
          <w:tcPr>
            <w:tcW w:w="736" w:type="dxa"/>
            <w:noWrap w:val="0"/>
            <w:vAlign w:val="center"/>
          </w:tcPr>
          <w:p w14:paraId="37E216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5CA2D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587C533">
            <w:pPr>
              <w:jc w:val="center"/>
              <w:rPr>
                <w:highlight w:val="none"/>
              </w:rPr>
            </w:pPr>
          </w:p>
        </w:tc>
        <w:tc>
          <w:tcPr>
            <w:tcW w:w="710" w:type="dxa"/>
            <w:gridSpan w:val="2"/>
            <w:noWrap w:val="0"/>
            <w:vAlign w:val="center"/>
          </w:tcPr>
          <w:p w14:paraId="722E2E9B">
            <w:pPr>
              <w:jc w:val="both"/>
              <w:rPr>
                <w:highlight w:val="none"/>
                <w:vertAlign w:val="baseline"/>
              </w:rPr>
            </w:pPr>
          </w:p>
        </w:tc>
      </w:tr>
      <w:tr w14:paraId="00F1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752FE9">
            <w:pPr>
              <w:jc w:val="center"/>
              <w:rPr>
                <w:rFonts w:hint="default"/>
                <w:highlight w:val="none"/>
                <w:vertAlign w:val="baseline"/>
                <w:lang w:val="en-US" w:eastAsia="zh-CN"/>
              </w:rPr>
            </w:pPr>
            <w:r>
              <w:rPr>
                <w:rFonts w:hint="eastAsia"/>
                <w:highlight w:val="none"/>
                <w:vertAlign w:val="baseline"/>
                <w:lang w:val="en-US" w:eastAsia="zh-CN"/>
              </w:rPr>
              <w:t>317</w:t>
            </w:r>
          </w:p>
        </w:tc>
        <w:tc>
          <w:tcPr>
            <w:tcW w:w="1690" w:type="dxa"/>
            <w:noWrap w:val="0"/>
            <w:vAlign w:val="center"/>
          </w:tcPr>
          <w:p w14:paraId="5BFC43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初中电与磁实验箱</w:t>
            </w:r>
          </w:p>
        </w:tc>
        <w:tc>
          <w:tcPr>
            <w:tcW w:w="5928" w:type="dxa"/>
            <w:noWrap w:val="0"/>
            <w:vAlign w:val="center"/>
          </w:tcPr>
          <w:p w14:paraId="585697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套装组合式，可完成初中常规电学实验</w:t>
            </w:r>
          </w:p>
        </w:tc>
        <w:tc>
          <w:tcPr>
            <w:tcW w:w="736" w:type="dxa"/>
            <w:noWrap w:val="0"/>
            <w:vAlign w:val="center"/>
          </w:tcPr>
          <w:p w14:paraId="125BD5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D2858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9E31E2F">
            <w:pPr>
              <w:jc w:val="center"/>
              <w:rPr>
                <w:highlight w:val="none"/>
              </w:rPr>
            </w:pPr>
          </w:p>
        </w:tc>
        <w:tc>
          <w:tcPr>
            <w:tcW w:w="710" w:type="dxa"/>
            <w:gridSpan w:val="2"/>
            <w:noWrap w:val="0"/>
            <w:vAlign w:val="center"/>
          </w:tcPr>
          <w:p w14:paraId="31A3730C">
            <w:pPr>
              <w:jc w:val="both"/>
              <w:rPr>
                <w:highlight w:val="none"/>
                <w:vertAlign w:val="baseline"/>
              </w:rPr>
            </w:pPr>
          </w:p>
        </w:tc>
      </w:tr>
      <w:tr w14:paraId="48BD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52C2F2">
            <w:pPr>
              <w:jc w:val="center"/>
              <w:rPr>
                <w:rFonts w:hint="default"/>
                <w:highlight w:val="none"/>
                <w:vertAlign w:val="baseline"/>
                <w:lang w:val="en-US" w:eastAsia="zh-CN"/>
              </w:rPr>
            </w:pPr>
            <w:r>
              <w:rPr>
                <w:rFonts w:hint="eastAsia"/>
                <w:highlight w:val="none"/>
                <w:vertAlign w:val="baseline"/>
                <w:lang w:val="en-US" w:eastAsia="zh-CN"/>
              </w:rPr>
              <w:t>318</w:t>
            </w:r>
          </w:p>
        </w:tc>
        <w:tc>
          <w:tcPr>
            <w:tcW w:w="1690" w:type="dxa"/>
            <w:noWrap w:val="0"/>
            <w:vAlign w:val="center"/>
          </w:tcPr>
          <w:p w14:paraId="3BF606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方形线圈（新款）</w:t>
            </w:r>
          </w:p>
        </w:tc>
        <w:tc>
          <w:tcPr>
            <w:tcW w:w="5928" w:type="dxa"/>
            <w:noWrap w:val="0"/>
            <w:vAlign w:val="center"/>
          </w:tcPr>
          <w:p w14:paraId="1616939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正方形线圈和接线棒组成</w:t>
            </w:r>
          </w:p>
        </w:tc>
        <w:tc>
          <w:tcPr>
            <w:tcW w:w="736" w:type="dxa"/>
            <w:noWrap w:val="0"/>
            <w:vAlign w:val="center"/>
          </w:tcPr>
          <w:p w14:paraId="264B0F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DB9D1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8A5802F">
            <w:pPr>
              <w:jc w:val="center"/>
              <w:rPr>
                <w:highlight w:val="none"/>
              </w:rPr>
            </w:pPr>
          </w:p>
        </w:tc>
        <w:tc>
          <w:tcPr>
            <w:tcW w:w="710" w:type="dxa"/>
            <w:gridSpan w:val="2"/>
            <w:noWrap w:val="0"/>
            <w:vAlign w:val="center"/>
          </w:tcPr>
          <w:p w14:paraId="02784B9F">
            <w:pPr>
              <w:jc w:val="both"/>
              <w:rPr>
                <w:highlight w:val="none"/>
                <w:vertAlign w:val="baseline"/>
              </w:rPr>
            </w:pPr>
          </w:p>
        </w:tc>
      </w:tr>
      <w:tr w14:paraId="785D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C223EE">
            <w:pPr>
              <w:jc w:val="center"/>
              <w:rPr>
                <w:rFonts w:hint="default"/>
                <w:highlight w:val="none"/>
                <w:vertAlign w:val="baseline"/>
                <w:lang w:val="en-US" w:eastAsia="zh-CN"/>
              </w:rPr>
            </w:pPr>
            <w:r>
              <w:rPr>
                <w:rFonts w:hint="eastAsia"/>
                <w:highlight w:val="none"/>
                <w:vertAlign w:val="baseline"/>
                <w:lang w:val="en-US" w:eastAsia="zh-CN"/>
              </w:rPr>
              <w:t>319</w:t>
            </w:r>
          </w:p>
        </w:tc>
        <w:tc>
          <w:tcPr>
            <w:tcW w:w="1690" w:type="dxa"/>
            <w:noWrap w:val="0"/>
            <w:vAlign w:val="center"/>
          </w:tcPr>
          <w:p w14:paraId="503220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微电流放大器</w:t>
            </w:r>
          </w:p>
        </w:tc>
        <w:tc>
          <w:tcPr>
            <w:tcW w:w="5928" w:type="dxa"/>
            <w:noWrap w:val="0"/>
            <w:vAlign w:val="center"/>
          </w:tcPr>
          <w:p w14:paraId="646490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放大倍数1000倍，接单根导线，连演示电表</w:t>
            </w:r>
          </w:p>
        </w:tc>
        <w:tc>
          <w:tcPr>
            <w:tcW w:w="736" w:type="dxa"/>
            <w:noWrap w:val="0"/>
            <w:vAlign w:val="center"/>
          </w:tcPr>
          <w:p w14:paraId="57C42D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DBEC6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6F40768">
            <w:pPr>
              <w:jc w:val="center"/>
              <w:rPr>
                <w:highlight w:val="none"/>
              </w:rPr>
            </w:pPr>
          </w:p>
        </w:tc>
        <w:tc>
          <w:tcPr>
            <w:tcW w:w="710" w:type="dxa"/>
            <w:gridSpan w:val="2"/>
            <w:noWrap w:val="0"/>
            <w:vAlign w:val="center"/>
          </w:tcPr>
          <w:p w14:paraId="3809DF75">
            <w:pPr>
              <w:jc w:val="both"/>
              <w:rPr>
                <w:highlight w:val="none"/>
                <w:vertAlign w:val="baseline"/>
              </w:rPr>
            </w:pPr>
          </w:p>
        </w:tc>
      </w:tr>
      <w:tr w14:paraId="2D79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C71A9B">
            <w:pPr>
              <w:jc w:val="center"/>
              <w:rPr>
                <w:rFonts w:hint="default"/>
                <w:highlight w:val="none"/>
                <w:vertAlign w:val="baseline"/>
                <w:lang w:val="en-US" w:eastAsia="zh-CN"/>
              </w:rPr>
            </w:pPr>
            <w:r>
              <w:rPr>
                <w:rFonts w:hint="eastAsia"/>
                <w:highlight w:val="none"/>
                <w:vertAlign w:val="baseline"/>
                <w:lang w:val="en-US" w:eastAsia="zh-CN"/>
              </w:rPr>
              <w:t>320</w:t>
            </w:r>
          </w:p>
        </w:tc>
        <w:tc>
          <w:tcPr>
            <w:tcW w:w="1690" w:type="dxa"/>
            <w:noWrap w:val="0"/>
            <w:vAlign w:val="center"/>
          </w:tcPr>
          <w:p w14:paraId="731EDC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电磁感应线圈</w:t>
            </w:r>
          </w:p>
        </w:tc>
        <w:tc>
          <w:tcPr>
            <w:tcW w:w="5928" w:type="dxa"/>
            <w:noWrap w:val="0"/>
            <w:vAlign w:val="center"/>
          </w:tcPr>
          <w:p w14:paraId="01F32A3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单匝线圈及4匝线圈构，线圈固定在绝缘板上</w:t>
            </w:r>
          </w:p>
        </w:tc>
        <w:tc>
          <w:tcPr>
            <w:tcW w:w="736" w:type="dxa"/>
            <w:noWrap w:val="0"/>
            <w:vAlign w:val="center"/>
          </w:tcPr>
          <w:p w14:paraId="4B7847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64140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8FA8E66">
            <w:pPr>
              <w:jc w:val="center"/>
              <w:rPr>
                <w:highlight w:val="none"/>
              </w:rPr>
            </w:pPr>
          </w:p>
        </w:tc>
        <w:tc>
          <w:tcPr>
            <w:tcW w:w="710" w:type="dxa"/>
            <w:gridSpan w:val="2"/>
            <w:noWrap w:val="0"/>
            <w:vAlign w:val="center"/>
          </w:tcPr>
          <w:p w14:paraId="4305CCF6">
            <w:pPr>
              <w:jc w:val="both"/>
              <w:rPr>
                <w:highlight w:val="none"/>
                <w:vertAlign w:val="baseline"/>
              </w:rPr>
            </w:pPr>
          </w:p>
        </w:tc>
      </w:tr>
      <w:tr w14:paraId="1998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8883D3">
            <w:pPr>
              <w:jc w:val="center"/>
              <w:rPr>
                <w:rFonts w:hint="default"/>
                <w:highlight w:val="none"/>
                <w:vertAlign w:val="baseline"/>
                <w:lang w:val="en-US" w:eastAsia="zh-CN"/>
              </w:rPr>
            </w:pPr>
            <w:r>
              <w:rPr>
                <w:rFonts w:hint="eastAsia"/>
                <w:highlight w:val="none"/>
                <w:vertAlign w:val="baseline"/>
                <w:lang w:val="en-US" w:eastAsia="zh-CN"/>
              </w:rPr>
              <w:t>321</w:t>
            </w:r>
          </w:p>
        </w:tc>
        <w:tc>
          <w:tcPr>
            <w:tcW w:w="1690" w:type="dxa"/>
            <w:noWrap w:val="0"/>
            <w:vAlign w:val="center"/>
          </w:tcPr>
          <w:p w14:paraId="4EB9E1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圆线圈</w:t>
            </w:r>
          </w:p>
        </w:tc>
        <w:tc>
          <w:tcPr>
            <w:tcW w:w="5928" w:type="dxa"/>
            <w:noWrap w:val="0"/>
            <w:vAlign w:val="center"/>
          </w:tcPr>
          <w:p w14:paraId="2FBDE1D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线圈内径100mm，200匝</w:t>
            </w:r>
          </w:p>
        </w:tc>
        <w:tc>
          <w:tcPr>
            <w:tcW w:w="736" w:type="dxa"/>
            <w:noWrap w:val="0"/>
            <w:vAlign w:val="center"/>
          </w:tcPr>
          <w:p w14:paraId="0C39CE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853AF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0B11CB7">
            <w:pPr>
              <w:jc w:val="center"/>
              <w:rPr>
                <w:highlight w:val="none"/>
              </w:rPr>
            </w:pPr>
          </w:p>
        </w:tc>
        <w:tc>
          <w:tcPr>
            <w:tcW w:w="710" w:type="dxa"/>
            <w:gridSpan w:val="2"/>
            <w:noWrap w:val="0"/>
            <w:vAlign w:val="center"/>
          </w:tcPr>
          <w:p w14:paraId="1D205EFC">
            <w:pPr>
              <w:jc w:val="both"/>
              <w:rPr>
                <w:highlight w:val="none"/>
                <w:vertAlign w:val="baseline"/>
              </w:rPr>
            </w:pPr>
          </w:p>
        </w:tc>
      </w:tr>
      <w:tr w14:paraId="36A1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CE4D47">
            <w:pPr>
              <w:jc w:val="center"/>
              <w:rPr>
                <w:rFonts w:hint="default"/>
                <w:highlight w:val="none"/>
                <w:vertAlign w:val="baseline"/>
                <w:lang w:val="en-US" w:eastAsia="zh-CN"/>
              </w:rPr>
            </w:pPr>
            <w:r>
              <w:rPr>
                <w:rFonts w:hint="eastAsia"/>
                <w:highlight w:val="none"/>
                <w:vertAlign w:val="baseline"/>
                <w:lang w:val="en-US" w:eastAsia="zh-CN"/>
              </w:rPr>
              <w:t>322</w:t>
            </w:r>
          </w:p>
        </w:tc>
        <w:tc>
          <w:tcPr>
            <w:tcW w:w="1690" w:type="dxa"/>
            <w:noWrap w:val="0"/>
            <w:vAlign w:val="center"/>
          </w:tcPr>
          <w:p w14:paraId="20F7EC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阴极射线管</w:t>
            </w:r>
          </w:p>
        </w:tc>
        <w:tc>
          <w:tcPr>
            <w:tcW w:w="5928" w:type="dxa"/>
            <w:noWrap w:val="0"/>
            <w:vAlign w:val="center"/>
          </w:tcPr>
          <w:p w14:paraId="2009CAC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（磁偏转管)</w:t>
            </w:r>
          </w:p>
        </w:tc>
        <w:tc>
          <w:tcPr>
            <w:tcW w:w="736" w:type="dxa"/>
            <w:noWrap w:val="0"/>
            <w:vAlign w:val="center"/>
          </w:tcPr>
          <w:p w14:paraId="6D127B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FB2D6C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1321CD1">
            <w:pPr>
              <w:jc w:val="center"/>
              <w:rPr>
                <w:highlight w:val="none"/>
              </w:rPr>
            </w:pPr>
          </w:p>
        </w:tc>
        <w:tc>
          <w:tcPr>
            <w:tcW w:w="710" w:type="dxa"/>
            <w:gridSpan w:val="2"/>
            <w:noWrap w:val="0"/>
            <w:vAlign w:val="center"/>
          </w:tcPr>
          <w:p w14:paraId="7165009C">
            <w:pPr>
              <w:jc w:val="both"/>
              <w:rPr>
                <w:highlight w:val="none"/>
                <w:vertAlign w:val="baseline"/>
              </w:rPr>
            </w:pPr>
          </w:p>
        </w:tc>
      </w:tr>
      <w:tr w14:paraId="373E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58FF7C">
            <w:pPr>
              <w:jc w:val="center"/>
              <w:rPr>
                <w:rFonts w:hint="default"/>
                <w:highlight w:val="none"/>
                <w:vertAlign w:val="baseline"/>
                <w:lang w:val="en-US" w:eastAsia="zh-CN"/>
              </w:rPr>
            </w:pPr>
            <w:r>
              <w:rPr>
                <w:rFonts w:hint="eastAsia"/>
                <w:highlight w:val="none"/>
                <w:vertAlign w:val="baseline"/>
                <w:lang w:val="en-US" w:eastAsia="zh-CN"/>
              </w:rPr>
              <w:t>323</w:t>
            </w:r>
          </w:p>
        </w:tc>
        <w:tc>
          <w:tcPr>
            <w:tcW w:w="1690" w:type="dxa"/>
            <w:noWrap w:val="0"/>
            <w:vAlign w:val="center"/>
          </w:tcPr>
          <w:p w14:paraId="50B2710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手摇交直流发电机</w:t>
            </w:r>
          </w:p>
        </w:tc>
        <w:tc>
          <w:tcPr>
            <w:tcW w:w="5928" w:type="dxa"/>
            <w:noWrap w:val="0"/>
            <w:vAlign w:val="center"/>
          </w:tcPr>
          <w:p w14:paraId="02A14E7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发动机和电动机两用</w:t>
            </w:r>
          </w:p>
        </w:tc>
        <w:tc>
          <w:tcPr>
            <w:tcW w:w="736" w:type="dxa"/>
            <w:noWrap w:val="0"/>
            <w:vAlign w:val="center"/>
          </w:tcPr>
          <w:p w14:paraId="72BF15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22261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CC1ABF7">
            <w:pPr>
              <w:jc w:val="center"/>
              <w:rPr>
                <w:highlight w:val="none"/>
              </w:rPr>
            </w:pPr>
          </w:p>
        </w:tc>
        <w:tc>
          <w:tcPr>
            <w:tcW w:w="710" w:type="dxa"/>
            <w:gridSpan w:val="2"/>
            <w:noWrap w:val="0"/>
            <w:vAlign w:val="center"/>
          </w:tcPr>
          <w:p w14:paraId="20F1A862">
            <w:pPr>
              <w:jc w:val="both"/>
              <w:rPr>
                <w:highlight w:val="none"/>
                <w:vertAlign w:val="baseline"/>
              </w:rPr>
            </w:pPr>
          </w:p>
        </w:tc>
      </w:tr>
      <w:tr w14:paraId="29BD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BF6F0E">
            <w:pPr>
              <w:jc w:val="center"/>
              <w:rPr>
                <w:rFonts w:hint="default"/>
                <w:highlight w:val="none"/>
                <w:vertAlign w:val="baseline"/>
                <w:lang w:val="en-US" w:eastAsia="zh-CN"/>
              </w:rPr>
            </w:pPr>
            <w:r>
              <w:rPr>
                <w:rFonts w:hint="eastAsia"/>
                <w:highlight w:val="none"/>
                <w:vertAlign w:val="baseline"/>
                <w:lang w:val="en-US" w:eastAsia="zh-CN"/>
              </w:rPr>
              <w:t>324</w:t>
            </w:r>
          </w:p>
        </w:tc>
        <w:tc>
          <w:tcPr>
            <w:tcW w:w="1690" w:type="dxa"/>
            <w:noWrap w:val="0"/>
            <w:vAlign w:val="center"/>
          </w:tcPr>
          <w:p w14:paraId="19963C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半导体收音机</w:t>
            </w:r>
          </w:p>
        </w:tc>
        <w:tc>
          <w:tcPr>
            <w:tcW w:w="5928" w:type="dxa"/>
            <w:noWrap w:val="0"/>
            <w:vAlign w:val="center"/>
          </w:tcPr>
          <w:p w14:paraId="1CE54D9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全波段</w:t>
            </w:r>
          </w:p>
        </w:tc>
        <w:tc>
          <w:tcPr>
            <w:tcW w:w="736" w:type="dxa"/>
            <w:noWrap w:val="0"/>
            <w:vAlign w:val="center"/>
          </w:tcPr>
          <w:p w14:paraId="3A56BD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26A97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D50965A">
            <w:pPr>
              <w:jc w:val="center"/>
              <w:rPr>
                <w:highlight w:val="none"/>
              </w:rPr>
            </w:pPr>
          </w:p>
        </w:tc>
        <w:tc>
          <w:tcPr>
            <w:tcW w:w="710" w:type="dxa"/>
            <w:gridSpan w:val="2"/>
            <w:noWrap w:val="0"/>
            <w:vAlign w:val="center"/>
          </w:tcPr>
          <w:p w14:paraId="356B9873">
            <w:pPr>
              <w:jc w:val="both"/>
              <w:rPr>
                <w:highlight w:val="none"/>
                <w:vertAlign w:val="baseline"/>
              </w:rPr>
            </w:pPr>
          </w:p>
        </w:tc>
      </w:tr>
      <w:tr w14:paraId="719B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F5E698">
            <w:pPr>
              <w:jc w:val="center"/>
              <w:rPr>
                <w:rFonts w:hint="default"/>
                <w:highlight w:val="none"/>
                <w:vertAlign w:val="baseline"/>
                <w:lang w:val="en-US" w:eastAsia="zh-CN"/>
              </w:rPr>
            </w:pPr>
            <w:r>
              <w:rPr>
                <w:rFonts w:hint="eastAsia"/>
                <w:highlight w:val="none"/>
                <w:vertAlign w:val="baseline"/>
                <w:lang w:val="en-US" w:eastAsia="zh-CN"/>
              </w:rPr>
              <w:t>325</w:t>
            </w:r>
          </w:p>
        </w:tc>
        <w:tc>
          <w:tcPr>
            <w:tcW w:w="1690" w:type="dxa"/>
            <w:noWrap w:val="0"/>
            <w:vAlign w:val="center"/>
          </w:tcPr>
          <w:p w14:paraId="00F211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电话原理模型</w:t>
            </w:r>
          </w:p>
        </w:tc>
        <w:tc>
          <w:tcPr>
            <w:tcW w:w="5928" w:type="dxa"/>
            <w:noWrap w:val="0"/>
            <w:vAlign w:val="center"/>
          </w:tcPr>
          <w:p w14:paraId="28CF855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产品有送话器、受话器及指示灯等组成</w:t>
            </w:r>
          </w:p>
        </w:tc>
        <w:tc>
          <w:tcPr>
            <w:tcW w:w="736" w:type="dxa"/>
            <w:noWrap w:val="0"/>
            <w:vAlign w:val="center"/>
          </w:tcPr>
          <w:p w14:paraId="4F0C53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79338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DF01230">
            <w:pPr>
              <w:jc w:val="center"/>
              <w:rPr>
                <w:highlight w:val="none"/>
              </w:rPr>
            </w:pPr>
          </w:p>
        </w:tc>
        <w:tc>
          <w:tcPr>
            <w:tcW w:w="710" w:type="dxa"/>
            <w:gridSpan w:val="2"/>
            <w:noWrap w:val="0"/>
            <w:vAlign w:val="center"/>
          </w:tcPr>
          <w:p w14:paraId="17276254">
            <w:pPr>
              <w:jc w:val="both"/>
              <w:rPr>
                <w:highlight w:val="none"/>
                <w:vertAlign w:val="baseline"/>
              </w:rPr>
            </w:pPr>
          </w:p>
        </w:tc>
      </w:tr>
      <w:tr w14:paraId="58F2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0002CCA">
            <w:pPr>
              <w:jc w:val="center"/>
              <w:rPr>
                <w:rFonts w:hint="default"/>
                <w:highlight w:val="none"/>
                <w:vertAlign w:val="baseline"/>
                <w:lang w:val="en-US" w:eastAsia="zh-CN"/>
              </w:rPr>
            </w:pPr>
            <w:r>
              <w:rPr>
                <w:rFonts w:hint="eastAsia"/>
                <w:highlight w:val="none"/>
                <w:vertAlign w:val="baseline"/>
                <w:lang w:val="en-US" w:eastAsia="zh-CN"/>
              </w:rPr>
              <w:t>326</w:t>
            </w:r>
          </w:p>
        </w:tc>
        <w:tc>
          <w:tcPr>
            <w:tcW w:w="1690" w:type="dxa"/>
            <w:noWrap w:val="0"/>
            <w:vAlign w:val="center"/>
          </w:tcPr>
          <w:p w14:paraId="261EF3D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光导纤维应用演示器</w:t>
            </w:r>
          </w:p>
        </w:tc>
        <w:tc>
          <w:tcPr>
            <w:tcW w:w="5928" w:type="dxa"/>
            <w:noWrap w:val="0"/>
            <w:vAlign w:val="center"/>
          </w:tcPr>
          <w:p w14:paraId="1647884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传光束、传像束、有机玻璃棒和控制面板等</w:t>
            </w:r>
          </w:p>
        </w:tc>
        <w:tc>
          <w:tcPr>
            <w:tcW w:w="736" w:type="dxa"/>
            <w:noWrap w:val="0"/>
            <w:vAlign w:val="center"/>
          </w:tcPr>
          <w:p w14:paraId="192BCF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104C6C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C586435">
            <w:pPr>
              <w:jc w:val="center"/>
              <w:rPr>
                <w:highlight w:val="none"/>
              </w:rPr>
            </w:pPr>
          </w:p>
        </w:tc>
        <w:tc>
          <w:tcPr>
            <w:tcW w:w="710" w:type="dxa"/>
            <w:gridSpan w:val="2"/>
            <w:noWrap w:val="0"/>
            <w:vAlign w:val="center"/>
          </w:tcPr>
          <w:p w14:paraId="6A8972D3">
            <w:pPr>
              <w:jc w:val="both"/>
              <w:rPr>
                <w:highlight w:val="none"/>
                <w:vertAlign w:val="baseline"/>
              </w:rPr>
            </w:pPr>
          </w:p>
        </w:tc>
      </w:tr>
      <w:tr w14:paraId="5005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654A0F">
            <w:pPr>
              <w:jc w:val="center"/>
              <w:rPr>
                <w:rFonts w:hint="default"/>
                <w:highlight w:val="none"/>
                <w:vertAlign w:val="baseline"/>
                <w:lang w:val="en-US" w:eastAsia="zh-CN"/>
              </w:rPr>
            </w:pPr>
            <w:r>
              <w:rPr>
                <w:rFonts w:hint="eastAsia"/>
                <w:highlight w:val="none"/>
                <w:vertAlign w:val="baseline"/>
                <w:lang w:val="en-US" w:eastAsia="zh-CN"/>
              </w:rPr>
              <w:t>327</w:t>
            </w:r>
          </w:p>
        </w:tc>
        <w:tc>
          <w:tcPr>
            <w:tcW w:w="1690" w:type="dxa"/>
            <w:noWrap w:val="0"/>
            <w:vAlign w:val="center"/>
          </w:tcPr>
          <w:p w14:paraId="186683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单摆</w:t>
            </w:r>
          </w:p>
        </w:tc>
        <w:tc>
          <w:tcPr>
            <w:tcW w:w="5928" w:type="dxa"/>
            <w:noWrap w:val="0"/>
            <w:vAlign w:val="center"/>
          </w:tcPr>
          <w:p w14:paraId="17EE047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摆球、摆线组成</w:t>
            </w:r>
          </w:p>
        </w:tc>
        <w:tc>
          <w:tcPr>
            <w:tcW w:w="736" w:type="dxa"/>
            <w:noWrap w:val="0"/>
            <w:vAlign w:val="center"/>
          </w:tcPr>
          <w:p w14:paraId="2A322C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74E24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E10B4B8">
            <w:pPr>
              <w:jc w:val="center"/>
              <w:rPr>
                <w:highlight w:val="none"/>
              </w:rPr>
            </w:pPr>
          </w:p>
        </w:tc>
        <w:tc>
          <w:tcPr>
            <w:tcW w:w="710" w:type="dxa"/>
            <w:gridSpan w:val="2"/>
            <w:noWrap w:val="0"/>
            <w:vAlign w:val="center"/>
          </w:tcPr>
          <w:p w14:paraId="06052502">
            <w:pPr>
              <w:jc w:val="both"/>
              <w:rPr>
                <w:highlight w:val="none"/>
                <w:vertAlign w:val="baseline"/>
              </w:rPr>
            </w:pPr>
          </w:p>
        </w:tc>
      </w:tr>
      <w:tr w14:paraId="4BCF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90AB10">
            <w:pPr>
              <w:jc w:val="center"/>
              <w:rPr>
                <w:rFonts w:hint="default"/>
                <w:highlight w:val="none"/>
                <w:vertAlign w:val="baseline"/>
                <w:lang w:val="en-US" w:eastAsia="zh-CN"/>
              </w:rPr>
            </w:pPr>
            <w:r>
              <w:rPr>
                <w:rFonts w:hint="eastAsia"/>
                <w:highlight w:val="none"/>
                <w:vertAlign w:val="baseline"/>
                <w:lang w:val="en-US" w:eastAsia="zh-CN"/>
              </w:rPr>
              <w:t>328</w:t>
            </w:r>
          </w:p>
        </w:tc>
        <w:tc>
          <w:tcPr>
            <w:tcW w:w="1690" w:type="dxa"/>
            <w:noWrap w:val="0"/>
            <w:vAlign w:val="center"/>
          </w:tcPr>
          <w:p w14:paraId="57CD8AE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滚摆</w:t>
            </w:r>
          </w:p>
        </w:tc>
        <w:tc>
          <w:tcPr>
            <w:tcW w:w="5928" w:type="dxa"/>
            <w:noWrap w:val="0"/>
            <w:vAlign w:val="center"/>
          </w:tcPr>
          <w:p w14:paraId="723E49F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好的，大的</w:t>
            </w:r>
          </w:p>
        </w:tc>
        <w:tc>
          <w:tcPr>
            <w:tcW w:w="736" w:type="dxa"/>
            <w:noWrap w:val="0"/>
            <w:vAlign w:val="center"/>
          </w:tcPr>
          <w:p w14:paraId="49502C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C0783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BD50BDD">
            <w:pPr>
              <w:jc w:val="center"/>
              <w:rPr>
                <w:highlight w:val="none"/>
              </w:rPr>
            </w:pPr>
          </w:p>
        </w:tc>
        <w:tc>
          <w:tcPr>
            <w:tcW w:w="710" w:type="dxa"/>
            <w:gridSpan w:val="2"/>
            <w:noWrap w:val="0"/>
            <w:vAlign w:val="center"/>
          </w:tcPr>
          <w:p w14:paraId="042135A6">
            <w:pPr>
              <w:jc w:val="both"/>
              <w:rPr>
                <w:highlight w:val="none"/>
                <w:vertAlign w:val="baseline"/>
              </w:rPr>
            </w:pPr>
          </w:p>
        </w:tc>
      </w:tr>
      <w:tr w14:paraId="7F3E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95EA9F">
            <w:pPr>
              <w:jc w:val="center"/>
              <w:rPr>
                <w:rFonts w:hint="default"/>
                <w:highlight w:val="none"/>
                <w:vertAlign w:val="baseline"/>
                <w:lang w:val="en-US" w:eastAsia="zh-CN"/>
              </w:rPr>
            </w:pPr>
            <w:r>
              <w:rPr>
                <w:rFonts w:hint="eastAsia"/>
                <w:highlight w:val="none"/>
                <w:vertAlign w:val="baseline"/>
                <w:lang w:val="en-US" w:eastAsia="zh-CN"/>
              </w:rPr>
              <w:t>329</w:t>
            </w:r>
          </w:p>
        </w:tc>
        <w:tc>
          <w:tcPr>
            <w:tcW w:w="1690" w:type="dxa"/>
            <w:noWrap w:val="0"/>
            <w:vAlign w:val="center"/>
          </w:tcPr>
          <w:p w14:paraId="382ADE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离心轨道</w:t>
            </w:r>
          </w:p>
        </w:tc>
        <w:tc>
          <w:tcPr>
            <w:tcW w:w="5928" w:type="dxa"/>
            <w:noWrap w:val="0"/>
            <w:vAlign w:val="center"/>
          </w:tcPr>
          <w:p w14:paraId="2C50258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底板、环形轨道、等球和接球装置</w:t>
            </w:r>
          </w:p>
        </w:tc>
        <w:tc>
          <w:tcPr>
            <w:tcW w:w="736" w:type="dxa"/>
            <w:noWrap w:val="0"/>
            <w:vAlign w:val="center"/>
          </w:tcPr>
          <w:p w14:paraId="373629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51493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5B75266">
            <w:pPr>
              <w:jc w:val="center"/>
              <w:rPr>
                <w:highlight w:val="none"/>
              </w:rPr>
            </w:pPr>
          </w:p>
        </w:tc>
        <w:tc>
          <w:tcPr>
            <w:tcW w:w="710" w:type="dxa"/>
            <w:gridSpan w:val="2"/>
            <w:noWrap w:val="0"/>
            <w:vAlign w:val="center"/>
          </w:tcPr>
          <w:p w14:paraId="2886058A">
            <w:pPr>
              <w:jc w:val="both"/>
              <w:rPr>
                <w:highlight w:val="none"/>
                <w:vertAlign w:val="baseline"/>
              </w:rPr>
            </w:pPr>
          </w:p>
        </w:tc>
      </w:tr>
      <w:tr w14:paraId="14BD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526848">
            <w:pPr>
              <w:jc w:val="center"/>
              <w:rPr>
                <w:rFonts w:hint="default"/>
                <w:highlight w:val="none"/>
                <w:vertAlign w:val="baseline"/>
                <w:lang w:val="en-US" w:eastAsia="zh-CN"/>
              </w:rPr>
            </w:pPr>
            <w:r>
              <w:rPr>
                <w:rFonts w:hint="eastAsia"/>
                <w:highlight w:val="none"/>
                <w:vertAlign w:val="baseline"/>
                <w:lang w:val="en-US" w:eastAsia="zh-CN"/>
              </w:rPr>
              <w:t>330</w:t>
            </w:r>
          </w:p>
        </w:tc>
        <w:tc>
          <w:tcPr>
            <w:tcW w:w="1690" w:type="dxa"/>
            <w:noWrap w:val="0"/>
            <w:vAlign w:val="center"/>
          </w:tcPr>
          <w:p w14:paraId="3F9C1C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动能实验演示器</w:t>
            </w:r>
          </w:p>
        </w:tc>
        <w:tc>
          <w:tcPr>
            <w:tcW w:w="5928" w:type="dxa"/>
            <w:noWrap w:val="0"/>
            <w:vAlign w:val="center"/>
          </w:tcPr>
          <w:p w14:paraId="4DF09B1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平行铝合金滑道；金属球，释放系统，能定性观测和比较动能的大小</w:t>
            </w:r>
          </w:p>
        </w:tc>
        <w:tc>
          <w:tcPr>
            <w:tcW w:w="736" w:type="dxa"/>
            <w:noWrap w:val="0"/>
            <w:vAlign w:val="center"/>
          </w:tcPr>
          <w:p w14:paraId="46FB72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789AD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DE98709">
            <w:pPr>
              <w:jc w:val="center"/>
              <w:rPr>
                <w:highlight w:val="none"/>
              </w:rPr>
            </w:pPr>
          </w:p>
        </w:tc>
        <w:tc>
          <w:tcPr>
            <w:tcW w:w="710" w:type="dxa"/>
            <w:gridSpan w:val="2"/>
            <w:noWrap w:val="0"/>
            <w:vAlign w:val="center"/>
          </w:tcPr>
          <w:p w14:paraId="6BCAE6B0">
            <w:pPr>
              <w:jc w:val="both"/>
              <w:rPr>
                <w:highlight w:val="none"/>
                <w:vertAlign w:val="baseline"/>
              </w:rPr>
            </w:pPr>
          </w:p>
        </w:tc>
      </w:tr>
      <w:tr w14:paraId="19DD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FA4299">
            <w:pPr>
              <w:jc w:val="center"/>
              <w:rPr>
                <w:rFonts w:hint="default"/>
                <w:highlight w:val="none"/>
                <w:vertAlign w:val="baseline"/>
                <w:lang w:val="en-US" w:eastAsia="zh-CN"/>
              </w:rPr>
            </w:pPr>
            <w:r>
              <w:rPr>
                <w:rFonts w:hint="eastAsia"/>
                <w:highlight w:val="none"/>
                <w:vertAlign w:val="baseline"/>
                <w:lang w:val="en-US" w:eastAsia="zh-CN"/>
              </w:rPr>
              <w:t>331</w:t>
            </w:r>
          </w:p>
        </w:tc>
        <w:tc>
          <w:tcPr>
            <w:tcW w:w="1690" w:type="dxa"/>
            <w:noWrap w:val="0"/>
            <w:vAlign w:val="center"/>
          </w:tcPr>
          <w:p w14:paraId="691F92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数字计时器</w:t>
            </w:r>
          </w:p>
        </w:tc>
        <w:tc>
          <w:tcPr>
            <w:tcW w:w="5928" w:type="dxa"/>
            <w:noWrap w:val="0"/>
            <w:vAlign w:val="center"/>
          </w:tcPr>
          <w:p w14:paraId="4F77463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带两个光电门，测量间隔计时，挡光计时和计数等</w:t>
            </w:r>
          </w:p>
        </w:tc>
        <w:tc>
          <w:tcPr>
            <w:tcW w:w="736" w:type="dxa"/>
            <w:noWrap w:val="0"/>
            <w:vAlign w:val="center"/>
          </w:tcPr>
          <w:p w14:paraId="63DE27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45243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41B8D79">
            <w:pPr>
              <w:jc w:val="center"/>
              <w:rPr>
                <w:highlight w:val="none"/>
              </w:rPr>
            </w:pPr>
          </w:p>
        </w:tc>
        <w:tc>
          <w:tcPr>
            <w:tcW w:w="710" w:type="dxa"/>
            <w:gridSpan w:val="2"/>
            <w:noWrap w:val="0"/>
            <w:vAlign w:val="center"/>
          </w:tcPr>
          <w:p w14:paraId="788D37B2">
            <w:pPr>
              <w:jc w:val="both"/>
              <w:rPr>
                <w:highlight w:val="none"/>
                <w:vertAlign w:val="baseline"/>
              </w:rPr>
            </w:pPr>
          </w:p>
        </w:tc>
      </w:tr>
      <w:tr w14:paraId="56B5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2B8E63">
            <w:pPr>
              <w:jc w:val="center"/>
              <w:rPr>
                <w:rFonts w:hint="default"/>
                <w:highlight w:val="none"/>
                <w:vertAlign w:val="baseline"/>
                <w:lang w:val="en-US" w:eastAsia="zh-CN"/>
              </w:rPr>
            </w:pPr>
            <w:r>
              <w:rPr>
                <w:rFonts w:hint="eastAsia"/>
                <w:highlight w:val="none"/>
                <w:vertAlign w:val="baseline"/>
                <w:lang w:val="en-US" w:eastAsia="zh-CN"/>
              </w:rPr>
              <w:t>332</w:t>
            </w:r>
          </w:p>
        </w:tc>
        <w:tc>
          <w:tcPr>
            <w:tcW w:w="1690" w:type="dxa"/>
            <w:noWrap w:val="0"/>
            <w:vAlign w:val="center"/>
          </w:tcPr>
          <w:p w14:paraId="6247AB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重力势能实验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演示器</w:t>
            </w:r>
          </w:p>
        </w:tc>
        <w:tc>
          <w:tcPr>
            <w:tcW w:w="5928" w:type="dxa"/>
            <w:noWrap w:val="0"/>
            <w:vAlign w:val="center"/>
          </w:tcPr>
          <w:p w14:paraId="3DA461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由直径相同、质量不同的 2 个金属球，直径 相同、质量相同的 2 个金属球，金属球释放 系统，势能大小观察或比较系统，铝合金支 架等组成。可调节金属球释放的高度，能够 同时测量不少于 3 组实验数据。通过机械控 制或电子控制保证金属球能同时释放，势能 大小观测系统带有标尺，能定性观察和比较 势能的大小</w:t>
            </w:r>
          </w:p>
        </w:tc>
        <w:tc>
          <w:tcPr>
            <w:tcW w:w="736" w:type="dxa"/>
            <w:noWrap w:val="0"/>
            <w:vAlign w:val="center"/>
          </w:tcPr>
          <w:p w14:paraId="12CE78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26CA0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75F230D">
            <w:pPr>
              <w:jc w:val="center"/>
              <w:rPr>
                <w:highlight w:val="none"/>
              </w:rPr>
            </w:pPr>
          </w:p>
        </w:tc>
        <w:tc>
          <w:tcPr>
            <w:tcW w:w="710" w:type="dxa"/>
            <w:gridSpan w:val="2"/>
            <w:noWrap w:val="0"/>
            <w:vAlign w:val="center"/>
          </w:tcPr>
          <w:p w14:paraId="59BE7ED1">
            <w:pPr>
              <w:jc w:val="both"/>
              <w:rPr>
                <w:highlight w:val="none"/>
                <w:vertAlign w:val="baseline"/>
              </w:rPr>
            </w:pPr>
          </w:p>
        </w:tc>
      </w:tr>
      <w:tr w14:paraId="617F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B56D1B">
            <w:pPr>
              <w:jc w:val="center"/>
              <w:rPr>
                <w:rFonts w:hint="default"/>
                <w:highlight w:val="none"/>
                <w:vertAlign w:val="baseline"/>
                <w:lang w:val="en-US" w:eastAsia="zh-CN"/>
              </w:rPr>
            </w:pPr>
            <w:r>
              <w:rPr>
                <w:rFonts w:hint="eastAsia"/>
                <w:highlight w:val="none"/>
                <w:vertAlign w:val="baseline"/>
                <w:lang w:val="en-US" w:eastAsia="zh-CN"/>
              </w:rPr>
              <w:t>333</w:t>
            </w:r>
          </w:p>
        </w:tc>
        <w:tc>
          <w:tcPr>
            <w:tcW w:w="1690" w:type="dxa"/>
            <w:noWrap w:val="0"/>
            <w:vAlign w:val="center"/>
          </w:tcPr>
          <w:p w14:paraId="59295B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量热器</w:t>
            </w:r>
          </w:p>
        </w:tc>
        <w:tc>
          <w:tcPr>
            <w:tcW w:w="5928" w:type="dxa"/>
            <w:noWrap w:val="0"/>
            <w:vAlign w:val="center"/>
          </w:tcPr>
          <w:p w14:paraId="6018CC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内筒铝制，电加热</w:t>
            </w:r>
          </w:p>
        </w:tc>
        <w:tc>
          <w:tcPr>
            <w:tcW w:w="736" w:type="dxa"/>
            <w:noWrap w:val="0"/>
            <w:vAlign w:val="center"/>
          </w:tcPr>
          <w:p w14:paraId="6C8F63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069A3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3C19803">
            <w:pPr>
              <w:jc w:val="center"/>
              <w:rPr>
                <w:highlight w:val="none"/>
              </w:rPr>
            </w:pPr>
          </w:p>
        </w:tc>
        <w:tc>
          <w:tcPr>
            <w:tcW w:w="710" w:type="dxa"/>
            <w:gridSpan w:val="2"/>
            <w:noWrap w:val="0"/>
            <w:vAlign w:val="center"/>
          </w:tcPr>
          <w:p w14:paraId="172DC513">
            <w:pPr>
              <w:jc w:val="both"/>
              <w:rPr>
                <w:highlight w:val="none"/>
                <w:vertAlign w:val="baseline"/>
              </w:rPr>
            </w:pPr>
          </w:p>
        </w:tc>
      </w:tr>
      <w:tr w14:paraId="5A90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5E03B2">
            <w:pPr>
              <w:jc w:val="center"/>
              <w:rPr>
                <w:rFonts w:hint="default"/>
                <w:highlight w:val="none"/>
                <w:vertAlign w:val="baseline"/>
                <w:lang w:val="en-US" w:eastAsia="zh-CN"/>
              </w:rPr>
            </w:pPr>
            <w:r>
              <w:rPr>
                <w:rFonts w:hint="eastAsia"/>
                <w:highlight w:val="none"/>
                <w:vertAlign w:val="baseline"/>
                <w:lang w:val="en-US" w:eastAsia="zh-CN"/>
              </w:rPr>
              <w:t>334</w:t>
            </w:r>
          </w:p>
        </w:tc>
        <w:tc>
          <w:tcPr>
            <w:tcW w:w="1690" w:type="dxa"/>
            <w:noWrap w:val="0"/>
            <w:vAlign w:val="center"/>
          </w:tcPr>
          <w:p w14:paraId="7DD0D4F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气体做功内能减少演示器</w:t>
            </w:r>
          </w:p>
        </w:tc>
        <w:tc>
          <w:tcPr>
            <w:tcW w:w="5928" w:type="dxa"/>
            <w:noWrap w:val="0"/>
            <w:vAlign w:val="center"/>
          </w:tcPr>
          <w:p w14:paraId="5E664C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数显，热敏电阻式</w:t>
            </w:r>
          </w:p>
        </w:tc>
        <w:tc>
          <w:tcPr>
            <w:tcW w:w="736" w:type="dxa"/>
            <w:noWrap w:val="0"/>
            <w:vAlign w:val="center"/>
          </w:tcPr>
          <w:p w14:paraId="47A9ABA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625C0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BB41C17">
            <w:pPr>
              <w:jc w:val="center"/>
              <w:rPr>
                <w:highlight w:val="none"/>
              </w:rPr>
            </w:pPr>
          </w:p>
        </w:tc>
        <w:tc>
          <w:tcPr>
            <w:tcW w:w="710" w:type="dxa"/>
            <w:gridSpan w:val="2"/>
            <w:noWrap w:val="0"/>
            <w:vAlign w:val="center"/>
          </w:tcPr>
          <w:p w14:paraId="67D028CB">
            <w:pPr>
              <w:jc w:val="both"/>
              <w:rPr>
                <w:highlight w:val="none"/>
                <w:vertAlign w:val="baseline"/>
              </w:rPr>
            </w:pPr>
          </w:p>
        </w:tc>
      </w:tr>
      <w:tr w14:paraId="74A9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C6EB89">
            <w:pPr>
              <w:jc w:val="center"/>
              <w:rPr>
                <w:rFonts w:hint="default"/>
                <w:highlight w:val="none"/>
                <w:vertAlign w:val="baseline"/>
                <w:lang w:val="en-US" w:eastAsia="zh-CN"/>
              </w:rPr>
            </w:pPr>
            <w:r>
              <w:rPr>
                <w:rFonts w:hint="eastAsia"/>
                <w:highlight w:val="none"/>
                <w:vertAlign w:val="baseline"/>
                <w:lang w:val="en-US" w:eastAsia="zh-CN"/>
              </w:rPr>
              <w:t>335</w:t>
            </w:r>
          </w:p>
        </w:tc>
        <w:tc>
          <w:tcPr>
            <w:tcW w:w="1690" w:type="dxa"/>
            <w:noWrap w:val="0"/>
            <w:vAlign w:val="center"/>
          </w:tcPr>
          <w:p w14:paraId="23B1E6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气体做功内能减少演示器</w:t>
            </w:r>
          </w:p>
        </w:tc>
        <w:tc>
          <w:tcPr>
            <w:tcW w:w="5928" w:type="dxa"/>
            <w:noWrap w:val="0"/>
            <w:vAlign w:val="center"/>
          </w:tcPr>
          <w:p w14:paraId="474CA9D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气体压缩，体积膨胀</w:t>
            </w:r>
          </w:p>
        </w:tc>
        <w:tc>
          <w:tcPr>
            <w:tcW w:w="736" w:type="dxa"/>
            <w:noWrap w:val="0"/>
            <w:vAlign w:val="center"/>
          </w:tcPr>
          <w:p w14:paraId="48AC9AD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B0BF9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B40D334">
            <w:pPr>
              <w:jc w:val="center"/>
              <w:rPr>
                <w:highlight w:val="none"/>
              </w:rPr>
            </w:pPr>
          </w:p>
        </w:tc>
        <w:tc>
          <w:tcPr>
            <w:tcW w:w="710" w:type="dxa"/>
            <w:gridSpan w:val="2"/>
            <w:noWrap w:val="0"/>
            <w:vAlign w:val="center"/>
          </w:tcPr>
          <w:p w14:paraId="777FF420">
            <w:pPr>
              <w:jc w:val="both"/>
              <w:rPr>
                <w:highlight w:val="none"/>
                <w:vertAlign w:val="baseline"/>
              </w:rPr>
            </w:pPr>
          </w:p>
        </w:tc>
      </w:tr>
      <w:tr w14:paraId="69F2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07BBB9">
            <w:pPr>
              <w:jc w:val="center"/>
              <w:rPr>
                <w:rFonts w:hint="default"/>
                <w:highlight w:val="none"/>
                <w:vertAlign w:val="baseline"/>
                <w:lang w:val="en-US" w:eastAsia="zh-CN"/>
              </w:rPr>
            </w:pPr>
            <w:r>
              <w:rPr>
                <w:rFonts w:hint="eastAsia"/>
                <w:highlight w:val="none"/>
                <w:vertAlign w:val="baseline"/>
                <w:lang w:val="en-US" w:eastAsia="zh-CN"/>
              </w:rPr>
              <w:t>336</w:t>
            </w:r>
          </w:p>
        </w:tc>
        <w:tc>
          <w:tcPr>
            <w:tcW w:w="1690" w:type="dxa"/>
            <w:noWrap w:val="0"/>
            <w:vAlign w:val="center"/>
          </w:tcPr>
          <w:p w14:paraId="078E9D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克罗克斯辐射计</w:t>
            </w:r>
          </w:p>
        </w:tc>
        <w:tc>
          <w:tcPr>
            <w:tcW w:w="5928" w:type="dxa"/>
            <w:noWrap w:val="0"/>
            <w:vAlign w:val="center"/>
          </w:tcPr>
          <w:p w14:paraId="29F63AD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真空玻璃、光照叶片旋转</w:t>
            </w:r>
          </w:p>
        </w:tc>
        <w:tc>
          <w:tcPr>
            <w:tcW w:w="736" w:type="dxa"/>
            <w:noWrap w:val="0"/>
            <w:vAlign w:val="center"/>
          </w:tcPr>
          <w:p w14:paraId="6D5671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89B97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0980E9D">
            <w:pPr>
              <w:jc w:val="center"/>
              <w:rPr>
                <w:highlight w:val="none"/>
              </w:rPr>
            </w:pPr>
          </w:p>
        </w:tc>
        <w:tc>
          <w:tcPr>
            <w:tcW w:w="710" w:type="dxa"/>
            <w:gridSpan w:val="2"/>
            <w:noWrap w:val="0"/>
            <w:vAlign w:val="center"/>
          </w:tcPr>
          <w:p w14:paraId="21A045A0">
            <w:pPr>
              <w:jc w:val="both"/>
              <w:rPr>
                <w:highlight w:val="none"/>
                <w:vertAlign w:val="baseline"/>
              </w:rPr>
            </w:pPr>
          </w:p>
        </w:tc>
      </w:tr>
      <w:tr w14:paraId="7CB0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ABFF0C">
            <w:pPr>
              <w:jc w:val="center"/>
              <w:rPr>
                <w:rFonts w:hint="default"/>
                <w:highlight w:val="none"/>
                <w:vertAlign w:val="baseline"/>
                <w:lang w:val="en-US" w:eastAsia="zh-CN"/>
              </w:rPr>
            </w:pPr>
            <w:r>
              <w:rPr>
                <w:rFonts w:hint="eastAsia"/>
                <w:highlight w:val="none"/>
                <w:vertAlign w:val="baseline"/>
                <w:lang w:val="en-US" w:eastAsia="zh-CN"/>
              </w:rPr>
              <w:t>337</w:t>
            </w:r>
          </w:p>
        </w:tc>
        <w:tc>
          <w:tcPr>
            <w:tcW w:w="1690" w:type="dxa"/>
            <w:noWrap w:val="0"/>
            <w:vAlign w:val="center"/>
          </w:tcPr>
          <w:p w14:paraId="25E91B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机械能内能互变演示器</w:t>
            </w:r>
          </w:p>
        </w:tc>
        <w:tc>
          <w:tcPr>
            <w:tcW w:w="5928" w:type="dxa"/>
            <w:noWrap w:val="0"/>
            <w:vAlign w:val="center"/>
          </w:tcPr>
          <w:p w14:paraId="25C6BCA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有导热管、塞盖、弓形夹、磨擦绳</w:t>
            </w:r>
          </w:p>
        </w:tc>
        <w:tc>
          <w:tcPr>
            <w:tcW w:w="736" w:type="dxa"/>
            <w:noWrap w:val="0"/>
            <w:vAlign w:val="center"/>
          </w:tcPr>
          <w:p w14:paraId="46423E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C43BF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8C79B02">
            <w:pPr>
              <w:jc w:val="center"/>
              <w:rPr>
                <w:highlight w:val="none"/>
              </w:rPr>
            </w:pPr>
          </w:p>
        </w:tc>
        <w:tc>
          <w:tcPr>
            <w:tcW w:w="710" w:type="dxa"/>
            <w:gridSpan w:val="2"/>
            <w:noWrap w:val="0"/>
            <w:vAlign w:val="center"/>
          </w:tcPr>
          <w:p w14:paraId="297CA32F">
            <w:pPr>
              <w:jc w:val="both"/>
              <w:rPr>
                <w:highlight w:val="none"/>
                <w:vertAlign w:val="baseline"/>
              </w:rPr>
            </w:pPr>
          </w:p>
        </w:tc>
      </w:tr>
      <w:tr w14:paraId="2C58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8B4831">
            <w:pPr>
              <w:jc w:val="center"/>
              <w:rPr>
                <w:rFonts w:hint="default"/>
                <w:highlight w:val="none"/>
                <w:vertAlign w:val="baseline"/>
                <w:lang w:val="en-US" w:eastAsia="zh-CN"/>
              </w:rPr>
            </w:pPr>
            <w:r>
              <w:rPr>
                <w:rFonts w:hint="eastAsia"/>
                <w:highlight w:val="none"/>
                <w:vertAlign w:val="baseline"/>
                <w:lang w:val="en-US" w:eastAsia="zh-CN"/>
              </w:rPr>
              <w:t>338</w:t>
            </w:r>
          </w:p>
        </w:tc>
        <w:tc>
          <w:tcPr>
            <w:tcW w:w="1690" w:type="dxa"/>
            <w:noWrap w:val="0"/>
            <w:vAlign w:val="center"/>
          </w:tcPr>
          <w:p w14:paraId="14BF88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金属线膨胀演示器</w:t>
            </w:r>
          </w:p>
        </w:tc>
        <w:tc>
          <w:tcPr>
            <w:tcW w:w="5928" w:type="dxa"/>
            <w:noWrap w:val="0"/>
            <w:vAlign w:val="center"/>
          </w:tcPr>
          <w:p w14:paraId="6743C89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铜、铁、铝棒、传动机构、指针底座等</w:t>
            </w:r>
          </w:p>
        </w:tc>
        <w:tc>
          <w:tcPr>
            <w:tcW w:w="736" w:type="dxa"/>
            <w:noWrap w:val="0"/>
            <w:vAlign w:val="center"/>
          </w:tcPr>
          <w:p w14:paraId="372EC9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A0C71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E3E6129">
            <w:pPr>
              <w:jc w:val="center"/>
              <w:rPr>
                <w:highlight w:val="none"/>
              </w:rPr>
            </w:pPr>
          </w:p>
        </w:tc>
        <w:tc>
          <w:tcPr>
            <w:tcW w:w="710" w:type="dxa"/>
            <w:gridSpan w:val="2"/>
            <w:noWrap w:val="0"/>
            <w:vAlign w:val="center"/>
          </w:tcPr>
          <w:p w14:paraId="71253B88">
            <w:pPr>
              <w:jc w:val="both"/>
              <w:rPr>
                <w:highlight w:val="none"/>
                <w:vertAlign w:val="baseline"/>
              </w:rPr>
            </w:pPr>
          </w:p>
        </w:tc>
      </w:tr>
      <w:tr w14:paraId="57C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0544E2A">
            <w:pPr>
              <w:jc w:val="center"/>
              <w:rPr>
                <w:rFonts w:hint="default"/>
                <w:highlight w:val="none"/>
                <w:vertAlign w:val="baseline"/>
                <w:lang w:val="en-US" w:eastAsia="zh-CN"/>
              </w:rPr>
            </w:pPr>
            <w:r>
              <w:rPr>
                <w:rFonts w:hint="eastAsia"/>
                <w:highlight w:val="none"/>
                <w:vertAlign w:val="baseline"/>
                <w:lang w:val="en-US" w:eastAsia="zh-CN"/>
              </w:rPr>
              <w:t>339</w:t>
            </w:r>
          </w:p>
        </w:tc>
        <w:tc>
          <w:tcPr>
            <w:tcW w:w="1690" w:type="dxa"/>
            <w:noWrap w:val="0"/>
            <w:vAlign w:val="center"/>
          </w:tcPr>
          <w:p w14:paraId="7B5772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固体缩力演示器</w:t>
            </w:r>
          </w:p>
        </w:tc>
        <w:tc>
          <w:tcPr>
            <w:tcW w:w="5928" w:type="dxa"/>
            <w:noWrap w:val="0"/>
            <w:vAlign w:val="center"/>
          </w:tcPr>
          <w:p w14:paraId="7558F5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试棒、手柄、底座、碳棒、专用酒精槽</w:t>
            </w:r>
          </w:p>
        </w:tc>
        <w:tc>
          <w:tcPr>
            <w:tcW w:w="736" w:type="dxa"/>
            <w:noWrap w:val="0"/>
            <w:vAlign w:val="center"/>
          </w:tcPr>
          <w:p w14:paraId="027A2B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27198F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1429EE9">
            <w:pPr>
              <w:jc w:val="center"/>
              <w:rPr>
                <w:highlight w:val="none"/>
              </w:rPr>
            </w:pPr>
          </w:p>
        </w:tc>
        <w:tc>
          <w:tcPr>
            <w:tcW w:w="710" w:type="dxa"/>
            <w:gridSpan w:val="2"/>
            <w:noWrap w:val="0"/>
            <w:vAlign w:val="center"/>
          </w:tcPr>
          <w:p w14:paraId="03CE8DA6">
            <w:pPr>
              <w:jc w:val="both"/>
              <w:rPr>
                <w:highlight w:val="none"/>
                <w:vertAlign w:val="baseline"/>
              </w:rPr>
            </w:pPr>
          </w:p>
        </w:tc>
      </w:tr>
      <w:tr w14:paraId="30CC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C5C1BC">
            <w:pPr>
              <w:jc w:val="center"/>
              <w:rPr>
                <w:rFonts w:hint="default"/>
                <w:highlight w:val="none"/>
                <w:vertAlign w:val="baseline"/>
                <w:lang w:val="en-US" w:eastAsia="zh-CN"/>
              </w:rPr>
            </w:pPr>
            <w:r>
              <w:rPr>
                <w:rFonts w:hint="eastAsia"/>
                <w:highlight w:val="none"/>
                <w:vertAlign w:val="baseline"/>
                <w:lang w:val="en-US" w:eastAsia="zh-CN"/>
              </w:rPr>
              <w:t>340</w:t>
            </w:r>
          </w:p>
        </w:tc>
        <w:tc>
          <w:tcPr>
            <w:tcW w:w="1690" w:type="dxa"/>
            <w:noWrap w:val="0"/>
            <w:vAlign w:val="center"/>
          </w:tcPr>
          <w:p w14:paraId="09BAE0C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空气压缩引火仪</w:t>
            </w:r>
          </w:p>
        </w:tc>
        <w:tc>
          <w:tcPr>
            <w:tcW w:w="5928" w:type="dxa"/>
            <w:noWrap w:val="0"/>
            <w:vAlign w:val="center"/>
          </w:tcPr>
          <w:p w14:paraId="0BECAB0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由气缸、底座、端盖、活塞等部分组成。</w:t>
            </w:r>
          </w:p>
        </w:tc>
        <w:tc>
          <w:tcPr>
            <w:tcW w:w="736" w:type="dxa"/>
            <w:noWrap w:val="0"/>
            <w:vAlign w:val="center"/>
          </w:tcPr>
          <w:p w14:paraId="0B04734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9BC4A7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B2BF042">
            <w:pPr>
              <w:jc w:val="center"/>
              <w:rPr>
                <w:highlight w:val="none"/>
              </w:rPr>
            </w:pPr>
          </w:p>
        </w:tc>
        <w:tc>
          <w:tcPr>
            <w:tcW w:w="710" w:type="dxa"/>
            <w:gridSpan w:val="2"/>
            <w:noWrap w:val="0"/>
            <w:vAlign w:val="center"/>
          </w:tcPr>
          <w:p w14:paraId="7E80809E">
            <w:pPr>
              <w:jc w:val="both"/>
              <w:rPr>
                <w:highlight w:val="none"/>
                <w:vertAlign w:val="baseline"/>
              </w:rPr>
            </w:pPr>
          </w:p>
        </w:tc>
      </w:tr>
      <w:tr w14:paraId="0517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82EEF5">
            <w:pPr>
              <w:jc w:val="center"/>
              <w:rPr>
                <w:rFonts w:hint="default"/>
                <w:highlight w:val="none"/>
                <w:vertAlign w:val="baseline"/>
                <w:lang w:val="en-US" w:eastAsia="zh-CN"/>
              </w:rPr>
            </w:pPr>
            <w:r>
              <w:rPr>
                <w:rFonts w:hint="eastAsia"/>
                <w:highlight w:val="none"/>
                <w:vertAlign w:val="baseline"/>
                <w:lang w:val="en-US" w:eastAsia="zh-CN"/>
              </w:rPr>
              <w:t>341</w:t>
            </w:r>
          </w:p>
        </w:tc>
        <w:tc>
          <w:tcPr>
            <w:tcW w:w="1690" w:type="dxa"/>
            <w:noWrap w:val="0"/>
            <w:vAlign w:val="center"/>
          </w:tcPr>
          <w:p w14:paraId="09EA412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爆燃器</w:t>
            </w:r>
          </w:p>
        </w:tc>
        <w:tc>
          <w:tcPr>
            <w:tcW w:w="5928" w:type="dxa"/>
            <w:noWrap w:val="0"/>
            <w:vAlign w:val="center"/>
          </w:tcPr>
          <w:p w14:paraId="42CAFEE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酒精点火，透明盒，附电子点火器</w:t>
            </w:r>
          </w:p>
        </w:tc>
        <w:tc>
          <w:tcPr>
            <w:tcW w:w="736" w:type="dxa"/>
            <w:noWrap w:val="0"/>
            <w:vAlign w:val="center"/>
          </w:tcPr>
          <w:p w14:paraId="5C8F59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E5ED0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E095BEA">
            <w:pPr>
              <w:jc w:val="center"/>
              <w:rPr>
                <w:highlight w:val="none"/>
              </w:rPr>
            </w:pPr>
          </w:p>
        </w:tc>
        <w:tc>
          <w:tcPr>
            <w:tcW w:w="710" w:type="dxa"/>
            <w:gridSpan w:val="2"/>
            <w:noWrap w:val="0"/>
            <w:vAlign w:val="center"/>
          </w:tcPr>
          <w:p w14:paraId="280EA7B2">
            <w:pPr>
              <w:jc w:val="both"/>
              <w:rPr>
                <w:highlight w:val="none"/>
                <w:vertAlign w:val="baseline"/>
              </w:rPr>
            </w:pPr>
          </w:p>
        </w:tc>
      </w:tr>
      <w:tr w14:paraId="4857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6F6B72">
            <w:pPr>
              <w:jc w:val="center"/>
              <w:rPr>
                <w:rFonts w:hint="default"/>
                <w:highlight w:val="none"/>
                <w:vertAlign w:val="baseline"/>
                <w:lang w:val="en-US" w:eastAsia="zh-CN"/>
              </w:rPr>
            </w:pPr>
            <w:r>
              <w:rPr>
                <w:rFonts w:hint="eastAsia"/>
                <w:highlight w:val="none"/>
                <w:vertAlign w:val="baseline"/>
                <w:lang w:val="en-US" w:eastAsia="zh-CN"/>
              </w:rPr>
              <w:t>342</w:t>
            </w:r>
          </w:p>
        </w:tc>
        <w:tc>
          <w:tcPr>
            <w:tcW w:w="1690" w:type="dxa"/>
            <w:noWrap w:val="0"/>
            <w:vAlign w:val="center"/>
          </w:tcPr>
          <w:p w14:paraId="49ECB1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蒸汽机模型</w:t>
            </w:r>
          </w:p>
        </w:tc>
        <w:tc>
          <w:tcPr>
            <w:tcW w:w="5928" w:type="dxa"/>
            <w:noWrap w:val="0"/>
            <w:vAlign w:val="center"/>
          </w:tcPr>
          <w:p w14:paraId="181FE6B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气源吹动和手动两用，气缸无色、透明</w:t>
            </w:r>
          </w:p>
        </w:tc>
        <w:tc>
          <w:tcPr>
            <w:tcW w:w="736" w:type="dxa"/>
            <w:noWrap w:val="0"/>
            <w:vAlign w:val="center"/>
          </w:tcPr>
          <w:p w14:paraId="604CAB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E558F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3ACC71B">
            <w:pPr>
              <w:jc w:val="center"/>
              <w:rPr>
                <w:highlight w:val="none"/>
              </w:rPr>
            </w:pPr>
          </w:p>
        </w:tc>
        <w:tc>
          <w:tcPr>
            <w:tcW w:w="710" w:type="dxa"/>
            <w:gridSpan w:val="2"/>
            <w:noWrap w:val="0"/>
            <w:vAlign w:val="center"/>
          </w:tcPr>
          <w:p w14:paraId="3152BF4B">
            <w:pPr>
              <w:jc w:val="both"/>
              <w:rPr>
                <w:highlight w:val="none"/>
                <w:vertAlign w:val="baseline"/>
              </w:rPr>
            </w:pPr>
          </w:p>
        </w:tc>
      </w:tr>
      <w:tr w14:paraId="3052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87A618">
            <w:pPr>
              <w:jc w:val="center"/>
              <w:rPr>
                <w:rFonts w:hint="default"/>
                <w:highlight w:val="none"/>
                <w:vertAlign w:val="baseline"/>
                <w:lang w:val="en-US" w:eastAsia="zh-CN"/>
              </w:rPr>
            </w:pPr>
            <w:r>
              <w:rPr>
                <w:rFonts w:hint="eastAsia"/>
                <w:highlight w:val="none"/>
                <w:vertAlign w:val="baseline"/>
                <w:lang w:val="en-US" w:eastAsia="zh-CN"/>
              </w:rPr>
              <w:t>343</w:t>
            </w:r>
          </w:p>
        </w:tc>
        <w:tc>
          <w:tcPr>
            <w:tcW w:w="1690" w:type="dxa"/>
            <w:noWrap w:val="0"/>
            <w:vAlign w:val="center"/>
          </w:tcPr>
          <w:p w14:paraId="6AEB57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汽油机模型</w:t>
            </w:r>
          </w:p>
        </w:tc>
        <w:tc>
          <w:tcPr>
            <w:tcW w:w="5928" w:type="dxa"/>
            <w:noWrap w:val="0"/>
            <w:vAlign w:val="center"/>
          </w:tcPr>
          <w:p w14:paraId="5745224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四冲程，单缸，示结构原理。整体高300mm</w:t>
            </w:r>
          </w:p>
        </w:tc>
        <w:tc>
          <w:tcPr>
            <w:tcW w:w="736" w:type="dxa"/>
            <w:noWrap w:val="0"/>
            <w:vAlign w:val="center"/>
          </w:tcPr>
          <w:p w14:paraId="525BE3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635C5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6520095">
            <w:pPr>
              <w:jc w:val="center"/>
              <w:rPr>
                <w:highlight w:val="none"/>
              </w:rPr>
            </w:pPr>
          </w:p>
        </w:tc>
        <w:tc>
          <w:tcPr>
            <w:tcW w:w="710" w:type="dxa"/>
            <w:gridSpan w:val="2"/>
            <w:noWrap w:val="0"/>
            <w:vAlign w:val="center"/>
          </w:tcPr>
          <w:p w14:paraId="15482D5B">
            <w:pPr>
              <w:jc w:val="both"/>
              <w:rPr>
                <w:highlight w:val="none"/>
                <w:vertAlign w:val="baseline"/>
              </w:rPr>
            </w:pPr>
          </w:p>
        </w:tc>
      </w:tr>
      <w:tr w14:paraId="2219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EE315A">
            <w:pPr>
              <w:jc w:val="center"/>
              <w:rPr>
                <w:rFonts w:hint="default"/>
                <w:highlight w:val="none"/>
                <w:vertAlign w:val="baseline"/>
                <w:lang w:val="en-US" w:eastAsia="zh-CN"/>
              </w:rPr>
            </w:pPr>
            <w:r>
              <w:rPr>
                <w:rFonts w:hint="eastAsia"/>
                <w:highlight w:val="none"/>
                <w:vertAlign w:val="baseline"/>
                <w:lang w:val="en-US" w:eastAsia="zh-CN"/>
              </w:rPr>
              <w:t>344</w:t>
            </w:r>
          </w:p>
        </w:tc>
        <w:tc>
          <w:tcPr>
            <w:tcW w:w="1690" w:type="dxa"/>
            <w:noWrap w:val="0"/>
            <w:vAlign w:val="center"/>
          </w:tcPr>
          <w:p w14:paraId="5F0DBE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柴油机模型</w:t>
            </w:r>
          </w:p>
        </w:tc>
        <w:tc>
          <w:tcPr>
            <w:tcW w:w="5928" w:type="dxa"/>
            <w:noWrap w:val="0"/>
            <w:vAlign w:val="center"/>
          </w:tcPr>
          <w:p w14:paraId="7B3EB8E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四冲程，单缸，示结构原理。整体高300mm</w:t>
            </w:r>
          </w:p>
        </w:tc>
        <w:tc>
          <w:tcPr>
            <w:tcW w:w="736" w:type="dxa"/>
            <w:noWrap w:val="0"/>
            <w:vAlign w:val="center"/>
          </w:tcPr>
          <w:p w14:paraId="5DAE4A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5CE87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8E5E108">
            <w:pPr>
              <w:jc w:val="center"/>
              <w:rPr>
                <w:highlight w:val="none"/>
              </w:rPr>
            </w:pPr>
          </w:p>
        </w:tc>
        <w:tc>
          <w:tcPr>
            <w:tcW w:w="710" w:type="dxa"/>
            <w:gridSpan w:val="2"/>
            <w:noWrap w:val="0"/>
            <w:vAlign w:val="center"/>
          </w:tcPr>
          <w:p w14:paraId="02E583A5">
            <w:pPr>
              <w:jc w:val="both"/>
              <w:rPr>
                <w:highlight w:val="none"/>
                <w:vertAlign w:val="baseline"/>
              </w:rPr>
            </w:pPr>
          </w:p>
        </w:tc>
      </w:tr>
      <w:tr w14:paraId="64D9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D3BA11">
            <w:pPr>
              <w:jc w:val="center"/>
              <w:rPr>
                <w:rFonts w:hint="default"/>
                <w:highlight w:val="none"/>
                <w:vertAlign w:val="baseline"/>
                <w:lang w:val="en-US" w:eastAsia="zh-CN"/>
              </w:rPr>
            </w:pPr>
            <w:r>
              <w:rPr>
                <w:rFonts w:hint="eastAsia"/>
                <w:highlight w:val="none"/>
                <w:vertAlign w:val="baseline"/>
                <w:lang w:val="en-US" w:eastAsia="zh-CN"/>
              </w:rPr>
              <w:t>345</w:t>
            </w:r>
          </w:p>
        </w:tc>
        <w:tc>
          <w:tcPr>
            <w:tcW w:w="1690" w:type="dxa"/>
            <w:noWrap w:val="0"/>
            <w:vAlign w:val="center"/>
          </w:tcPr>
          <w:p w14:paraId="66500C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演示电表</w:t>
            </w:r>
          </w:p>
        </w:tc>
        <w:tc>
          <w:tcPr>
            <w:tcW w:w="5928" w:type="dxa"/>
            <w:noWrap w:val="0"/>
            <w:vAlign w:val="center"/>
          </w:tcPr>
          <w:p w14:paraId="1AEAF21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2.5级</w:t>
            </w:r>
          </w:p>
        </w:tc>
        <w:tc>
          <w:tcPr>
            <w:tcW w:w="736" w:type="dxa"/>
            <w:noWrap w:val="0"/>
            <w:vAlign w:val="center"/>
          </w:tcPr>
          <w:p w14:paraId="2B6F580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360967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E1ECF94">
            <w:pPr>
              <w:jc w:val="center"/>
              <w:rPr>
                <w:highlight w:val="none"/>
              </w:rPr>
            </w:pPr>
          </w:p>
        </w:tc>
        <w:tc>
          <w:tcPr>
            <w:tcW w:w="710" w:type="dxa"/>
            <w:gridSpan w:val="2"/>
            <w:noWrap w:val="0"/>
            <w:vAlign w:val="center"/>
          </w:tcPr>
          <w:p w14:paraId="331EC01E">
            <w:pPr>
              <w:jc w:val="both"/>
              <w:rPr>
                <w:highlight w:val="none"/>
                <w:vertAlign w:val="baseline"/>
              </w:rPr>
            </w:pPr>
          </w:p>
        </w:tc>
      </w:tr>
      <w:tr w14:paraId="478B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7FD630">
            <w:pPr>
              <w:jc w:val="center"/>
              <w:rPr>
                <w:rFonts w:hint="default"/>
                <w:highlight w:val="none"/>
                <w:vertAlign w:val="baseline"/>
                <w:lang w:val="en-US" w:eastAsia="zh-CN"/>
              </w:rPr>
            </w:pPr>
            <w:r>
              <w:rPr>
                <w:rFonts w:hint="eastAsia"/>
                <w:highlight w:val="none"/>
                <w:vertAlign w:val="baseline"/>
                <w:lang w:val="en-US" w:eastAsia="zh-CN"/>
              </w:rPr>
              <w:t>346</w:t>
            </w:r>
          </w:p>
        </w:tc>
        <w:tc>
          <w:tcPr>
            <w:tcW w:w="1690" w:type="dxa"/>
            <w:noWrap w:val="0"/>
            <w:vAlign w:val="center"/>
          </w:tcPr>
          <w:p w14:paraId="78D8BF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数字演示电表</w:t>
            </w:r>
          </w:p>
        </w:tc>
        <w:tc>
          <w:tcPr>
            <w:tcW w:w="5928" w:type="dxa"/>
            <w:noWrap w:val="0"/>
            <w:vAlign w:val="center"/>
          </w:tcPr>
          <w:p w14:paraId="01D518A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4-1/2 位，双面显示</w:t>
            </w:r>
          </w:p>
        </w:tc>
        <w:tc>
          <w:tcPr>
            <w:tcW w:w="736" w:type="dxa"/>
            <w:noWrap w:val="0"/>
            <w:vAlign w:val="center"/>
          </w:tcPr>
          <w:p w14:paraId="5AD86F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3EAC97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3E8243F">
            <w:pPr>
              <w:jc w:val="center"/>
              <w:rPr>
                <w:highlight w:val="none"/>
              </w:rPr>
            </w:pPr>
          </w:p>
        </w:tc>
        <w:tc>
          <w:tcPr>
            <w:tcW w:w="710" w:type="dxa"/>
            <w:gridSpan w:val="2"/>
            <w:noWrap w:val="0"/>
            <w:vAlign w:val="center"/>
          </w:tcPr>
          <w:p w14:paraId="3F952172">
            <w:pPr>
              <w:jc w:val="both"/>
              <w:rPr>
                <w:highlight w:val="none"/>
                <w:vertAlign w:val="baseline"/>
              </w:rPr>
            </w:pPr>
          </w:p>
        </w:tc>
      </w:tr>
      <w:tr w14:paraId="378D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7D72A0">
            <w:pPr>
              <w:jc w:val="center"/>
              <w:rPr>
                <w:rFonts w:hint="default"/>
                <w:highlight w:val="none"/>
                <w:vertAlign w:val="baseline"/>
                <w:lang w:val="en-US" w:eastAsia="zh-CN"/>
              </w:rPr>
            </w:pPr>
            <w:r>
              <w:rPr>
                <w:rFonts w:hint="eastAsia"/>
                <w:highlight w:val="none"/>
                <w:vertAlign w:val="baseline"/>
                <w:lang w:val="en-US" w:eastAsia="zh-CN"/>
              </w:rPr>
              <w:t>347</w:t>
            </w:r>
          </w:p>
        </w:tc>
        <w:tc>
          <w:tcPr>
            <w:tcW w:w="1690" w:type="dxa"/>
            <w:noWrap w:val="0"/>
            <w:vAlign w:val="center"/>
          </w:tcPr>
          <w:p w14:paraId="17FC68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直流电流表</w:t>
            </w:r>
          </w:p>
        </w:tc>
        <w:tc>
          <w:tcPr>
            <w:tcW w:w="5928" w:type="dxa"/>
            <w:noWrap w:val="0"/>
            <w:vAlign w:val="center"/>
          </w:tcPr>
          <w:p w14:paraId="06D2CE4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0.6A、3A双量程，2.5级</w:t>
            </w:r>
          </w:p>
        </w:tc>
        <w:tc>
          <w:tcPr>
            <w:tcW w:w="736" w:type="dxa"/>
            <w:noWrap w:val="0"/>
            <w:vAlign w:val="center"/>
          </w:tcPr>
          <w:p w14:paraId="3CFEB1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270D2F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6B9F2322">
            <w:pPr>
              <w:jc w:val="center"/>
              <w:rPr>
                <w:highlight w:val="none"/>
              </w:rPr>
            </w:pPr>
          </w:p>
        </w:tc>
        <w:tc>
          <w:tcPr>
            <w:tcW w:w="710" w:type="dxa"/>
            <w:gridSpan w:val="2"/>
            <w:noWrap w:val="0"/>
            <w:vAlign w:val="center"/>
          </w:tcPr>
          <w:p w14:paraId="05EB92E7">
            <w:pPr>
              <w:jc w:val="both"/>
              <w:rPr>
                <w:highlight w:val="none"/>
                <w:vertAlign w:val="baseline"/>
              </w:rPr>
            </w:pPr>
          </w:p>
        </w:tc>
      </w:tr>
      <w:tr w14:paraId="770B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A48920">
            <w:pPr>
              <w:jc w:val="center"/>
              <w:rPr>
                <w:rFonts w:hint="default"/>
                <w:highlight w:val="none"/>
                <w:vertAlign w:val="baseline"/>
                <w:lang w:val="en-US" w:eastAsia="zh-CN"/>
              </w:rPr>
            </w:pPr>
            <w:r>
              <w:rPr>
                <w:rFonts w:hint="eastAsia"/>
                <w:highlight w:val="none"/>
                <w:vertAlign w:val="baseline"/>
                <w:lang w:val="en-US" w:eastAsia="zh-CN"/>
              </w:rPr>
              <w:t>348</w:t>
            </w:r>
          </w:p>
        </w:tc>
        <w:tc>
          <w:tcPr>
            <w:tcW w:w="1690" w:type="dxa"/>
            <w:noWrap w:val="0"/>
            <w:vAlign w:val="center"/>
          </w:tcPr>
          <w:p w14:paraId="732195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数字低压电流表</w:t>
            </w:r>
          </w:p>
        </w:tc>
        <w:tc>
          <w:tcPr>
            <w:tcW w:w="5928" w:type="dxa"/>
            <w:noWrap w:val="0"/>
            <w:vAlign w:val="center"/>
          </w:tcPr>
          <w:p w14:paraId="1663408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液晶显示，电池供电，0～4A，3位</w:t>
            </w:r>
          </w:p>
        </w:tc>
        <w:tc>
          <w:tcPr>
            <w:tcW w:w="736" w:type="dxa"/>
            <w:noWrap w:val="0"/>
            <w:vAlign w:val="center"/>
          </w:tcPr>
          <w:p w14:paraId="0E6ABB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3901DE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32B6E03">
            <w:pPr>
              <w:jc w:val="center"/>
              <w:rPr>
                <w:highlight w:val="none"/>
              </w:rPr>
            </w:pPr>
          </w:p>
        </w:tc>
        <w:tc>
          <w:tcPr>
            <w:tcW w:w="710" w:type="dxa"/>
            <w:gridSpan w:val="2"/>
            <w:noWrap w:val="0"/>
            <w:vAlign w:val="center"/>
          </w:tcPr>
          <w:p w14:paraId="3C79FDCD">
            <w:pPr>
              <w:jc w:val="both"/>
              <w:rPr>
                <w:highlight w:val="none"/>
                <w:vertAlign w:val="baseline"/>
              </w:rPr>
            </w:pPr>
          </w:p>
        </w:tc>
      </w:tr>
      <w:tr w14:paraId="7F0E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03E10E1">
            <w:pPr>
              <w:jc w:val="center"/>
              <w:rPr>
                <w:rFonts w:hint="default"/>
                <w:highlight w:val="none"/>
                <w:vertAlign w:val="baseline"/>
                <w:lang w:val="en-US" w:eastAsia="zh-CN"/>
              </w:rPr>
            </w:pPr>
            <w:r>
              <w:rPr>
                <w:rFonts w:hint="eastAsia"/>
                <w:highlight w:val="none"/>
                <w:vertAlign w:val="baseline"/>
                <w:lang w:val="en-US" w:eastAsia="zh-CN"/>
              </w:rPr>
              <w:t>349</w:t>
            </w:r>
          </w:p>
        </w:tc>
        <w:tc>
          <w:tcPr>
            <w:tcW w:w="1690" w:type="dxa"/>
            <w:noWrap w:val="0"/>
            <w:vAlign w:val="center"/>
          </w:tcPr>
          <w:p w14:paraId="09291D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直流电压表</w:t>
            </w:r>
          </w:p>
        </w:tc>
        <w:tc>
          <w:tcPr>
            <w:tcW w:w="5928" w:type="dxa"/>
            <w:noWrap w:val="0"/>
            <w:vAlign w:val="center"/>
          </w:tcPr>
          <w:p w14:paraId="4FC51C9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 V、15 V 双量程，2.5级</w:t>
            </w:r>
          </w:p>
        </w:tc>
        <w:tc>
          <w:tcPr>
            <w:tcW w:w="736" w:type="dxa"/>
            <w:noWrap w:val="0"/>
            <w:vAlign w:val="center"/>
          </w:tcPr>
          <w:p w14:paraId="71E1C3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4ED75D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45DD92EB">
            <w:pPr>
              <w:jc w:val="center"/>
              <w:rPr>
                <w:highlight w:val="none"/>
              </w:rPr>
            </w:pPr>
          </w:p>
        </w:tc>
        <w:tc>
          <w:tcPr>
            <w:tcW w:w="710" w:type="dxa"/>
            <w:gridSpan w:val="2"/>
            <w:noWrap w:val="0"/>
            <w:vAlign w:val="center"/>
          </w:tcPr>
          <w:p w14:paraId="0EC2C640">
            <w:pPr>
              <w:jc w:val="both"/>
              <w:rPr>
                <w:highlight w:val="none"/>
                <w:vertAlign w:val="baseline"/>
              </w:rPr>
            </w:pPr>
          </w:p>
        </w:tc>
      </w:tr>
      <w:tr w14:paraId="4E69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17709E">
            <w:pPr>
              <w:jc w:val="center"/>
              <w:rPr>
                <w:rFonts w:hint="default"/>
                <w:highlight w:val="none"/>
                <w:vertAlign w:val="baseline"/>
                <w:lang w:val="en-US" w:eastAsia="zh-CN"/>
              </w:rPr>
            </w:pPr>
            <w:r>
              <w:rPr>
                <w:rFonts w:hint="eastAsia"/>
                <w:highlight w:val="none"/>
                <w:vertAlign w:val="baseline"/>
                <w:lang w:val="en-US" w:eastAsia="zh-CN"/>
              </w:rPr>
              <w:t>350</w:t>
            </w:r>
          </w:p>
        </w:tc>
        <w:tc>
          <w:tcPr>
            <w:tcW w:w="1690" w:type="dxa"/>
            <w:noWrap w:val="0"/>
            <w:vAlign w:val="center"/>
          </w:tcPr>
          <w:p w14:paraId="4776AC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数字低压电压表</w:t>
            </w:r>
          </w:p>
        </w:tc>
        <w:tc>
          <w:tcPr>
            <w:tcW w:w="5928" w:type="dxa"/>
            <w:noWrap w:val="0"/>
            <w:vAlign w:val="center"/>
          </w:tcPr>
          <w:p w14:paraId="66AE04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液晶显示，电池供电，0～40V，3-3/4位</w:t>
            </w:r>
          </w:p>
        </w:tc>
        <w:tc>
          <w:tcPr>
            <w:tcW w:w="736" w:type="dxa"/>
            <w:noWrap w:val="0"/>
            <w:vAlign w:val="center"/>
          </w:tcPr>
          <w:p w14:paraId="69CD4A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5F81D3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89BA49C">
            <w:pPr>
              <w:jc w:val="center"/>
              <w:rPr>
                <w:highlight w:val="none"/>
              </w:rPr>
            </w:pPr>
          </w:p>
        </w:tc>
        <w:tc>
          <w:tcPr>
            <w:tcW w:w="710" w:type="dxa"/>
            <w:gridSpan w:val="2"/>
            <w:noWrap w:val="0"/>
            <w:vAlign w:val="center"/>
          </w:tcPr>
          <w:p w14:paraId="74FF5E60">
            <w:pPr>
              <w:jc w:val="both"/>
              <w:rPr>
                <w:highlight w:val="none"/>
                <w:vertAlign w:val="baseline"/>
              </w:rPr>
            </w:pPr>
          </w:p>
        </w:tc>
      </w:tr>
      <w:tr w14:paraId="73A9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FE90FEA">
            <w:pPr>
              <w:jc w:val="center"/>
              <w:rPr>
                <w:rFonts w:hint="default"/>
                <w:highlight w:val="none"/>
                <w:vertAlign w:val="baseline"/>
                <w:lang w:val="en-US" w:eastAsia="zh-CN"/>
              </w:rPr>
            </w:pPr>
            <w:r>
              <w:rPr>
                <w:rFonts w:hint="eastAsia"/>
                <w:highlight w:val="none"/>
                <w:vertAlign w:val="baseline"/>
                <w:lang w:val="en-US" w:eastAsia="zh-CN"/>
              </w:rPr>
              <w:t>351</w:t>
            </w:r>
          </w:p>
        </w:tc>
        <w:tc>
          <w:tcPr>
            <w:tcW w:w="1690" w:type="dxa"/>
            <w:noWrap w:val="0"/>
            <w:vAlign w:val="center"/>
          </w:tcPr>
          <w:p w14:paraId="0BCE06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多用电表（教师用）</w:t>
            </w:r>
          </w:p>
        </w:tc>
        <w:tc>
          <w:tcPr>
            <w:tcW w:w="5928" w:type="dxa"/>
            <w:noWrap w:val="0"/>
            <w:vAlign w:val="center"/>
          </w:tcPr>
          <w:p w14:paraId="5CE28EE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MF47</w:t>
            </w:r>
          </w:p>
        </w:tc>
        <w:tc>
          <w:tcPr>
            <w:tcW w:w="736" w:type="dxa"/>
            <w:noWrap w:val="0"/>
            <w:vAlign w:val="center"/>
          </w:tcPr>
          <w:p w14:paraId="6F2258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0C6A46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4D6D43B">
            <w:pPr>
              <w:jc w:val="center"/>
              <w:rPr>
                <w:highlight w:val="none"/>
              </w:rPr>
            </w:pPr>
          </w:p>
        </w:tc>
        <w:tc>
          <w:tcPr>
            <w:tcW w:w="710" w:type="dxa"/>
            <w:gridSpan w:val="2"/>
            <w:noWrap w:val="0"/>
            <w:vAlign w:val="center"/>
          </w:tcPr>
          <w:p w14:paraId="01C9D45B">
            <w:pPr>
              <w:jc w:val="both"/>
              <w:rPr>
                <w:highlight w:val="none"/>
                <w:vertAlign w:val="baseline"/>
              </w:rPr>
            </w:pPr>
          </w:p>
        </w:tc>
      </w:tr>
      <w:tr w14:paraId="29C1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443C7F">
            <w:pPr>
              <w:jc w:val="center"/>
              <w:rPr>
                <w:rFonts w:hint="default"/>
                <w:highlight w:val="none"/>
                <w:vertAlign w:val="baseline"/>
                <w:lang w:val="en-US" w:eastAsia="zh-CN"/>
              </w:rPr>
            </w:pPr>
            <w:r>
              <w:rPr>
                <w:rFonts w:hint="eastAsia"/>
                <w:highlight w:val="none"/>
                <w:vertAlign w:val="baseline"/>
                <w:lang w:val="en-US" w:eastAsia="zh-CN"/>
              </w:rPr>
              <w:t>352</w:t>
            </w:r>
          </w:p>
        </w:tc>
        <w:tc>
          <w:tcPr>
            <w:tcW w:w="1690" w:type="dxa"/>
            <w:noWrap w:val="0"/>
            <w:vAlign w:val="center"/>
          </w:tcPr>
          <w:p w14:paraId="719F06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多用电表</w:t>
            </w:r>
          </w:p>
        </w:tc>
        <w:tc>
          <w:tcPr>
            <w:tcW w:w="5928" w:type="dxa"/>
            <w:noWrap w:val="0"/>
            <w:vAlign w:val="center"/>
          </w:tcPr>
          <w:p w14:paraId="2FF31B1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数字式，4-1/2位</w:t>
            </w:r>
          </w:p>
        </w:tc>
        <w:tc>
          <w:tcPr>
            <w:tcW w:w="736" w:type="dxa"/>
            <w:noWrap w:val="0"/>
            <w:vAlign w:val="center"/>
          </w:tcPr>
          <w:p w14:paraId="32E692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57038C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BD49347">
            <w:pPr>
              <w:jc w:val="center"/>
              <w:rPr>
                <w:highlight w:val="none"/>
              </w:rPr>
            </w:pPr>
          </w:p>
        </w:tc>
        <w:tc>
          <w:tcPr>
            <w:tcW w:w="710" w:type="dxa"/>
            <w:gridSpan w:val="2"/>
            <w:noWrap w:val="0"/>
            <w:vAlign w:val="center"/>
          </w:tcPr>
          <w:p w14:paraId="31D2563B">
            <w:pPr>
              <w:jc w:val="both"/>
              <w:rPr>
                <w:highlight w:val="none"/>
                <w:vertAlign w:val="baseline"/>
              </w:rPr>
            </w:pPr>
          </w:p>
        </w:tc>
      </w:tr>
      <w:tr w14:paraId="740B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075F5B">
            <w:pPr>
              <w:jc w:val="center"/>
              <w:rPr>
                <w:rFonts w:hint="default"/>
                <w:highlight w:val="none"/>
                <w:vertAlign w:val="baseline"/>
                <w:lang w:val="en-US" w:eastAsia="zh-CN"/>
              </w:rPr>
            </w:pPr>
            <w:r>
              <w:rPr>
                <w:rFonts w:hint="eastAsia"/>
                <w:highlight w:val="none"/>
                <w:vertAlign w:val="baseline"/>
                <w:lang w:val="en-US" w:eastAsia="zh-CN"/>
              </w:rPr>
              <w:t>353</w:t>
            </w:r>
          </w:p>
        </w:tc>
        <w:tc>
          <w:tcPr>
            <w:tcW w:w="1690" w:type="dxa"/>
            <w:noWrap w:val="0"/>
            <w:vAlign w:val="center"/>
          </w:tcPr>
          <w:p w14:paraId="5EF3AC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灵敏电流计</w:t>
            </w:r>
          </w:p>
        </w:tc>
        <w:tc>
          <w:tcPr>
            <w:tcW w:w="5928" w:type="dxa"/>
            <w:noWrap w:val="0"/>
            <w:vAlign w:val="center"/>
          </w:tcPr>
          <w:p w14:paraId="39F559A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300μA，G0档表头内阻</w:t>
            </w:r>
          </w:p>
        </w:tc>
        <w:tc>
          <w:tcPr>
            <w:tcW w:w="736" w:type="dxa"/>
            <w:noWrap w:val="0"/>
            <w:vAlign w:val="center"/>
          </w:tcPr>
          <w:p w14:paraId="52AF2E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799CAF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7C79CF5">
            <w:pPr>
              <w:jc w:val="center"/>
              <w:rPr>
                <w:highlight w:val="none"/>
              </w:rPr>
            </w:pPr>
          </w:p>
        </w:tc>
        <w:tc>
          <w:tcPr>
            <w:tcW w:w="710" w:type="dxa"/>
            <w:gridSpan w:val="2"/>
            <w:noWrap w:val="0"/>
            <w:vAlign w:val="center"/>
          </w:tcPr>
          <w:p w14:paraId="1DB641BB">
            <w:pPr>
              <w:jc w:val="both"/>
              <w:rPr>
                <w:highlight w:val="none"/>
                <w:vertAlign w:val="baseline"/>
              </w:rPr>
            </w:pPr>
          </w:p>
        </w:tc>
      </w:tr>
      <w:tr w14:paraId="2F46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2C931A4">
            <w:pPr>
              <w:jc w:val="center"/>
              <w:rPr>
                <w:rFonts w:hint="default"/>
                <w:highlight w:val="none"/>
                <w:vertAlign w:val="baseline"/>
                <w:lang w:val="en-US" w:eastAsia="zh-CN"/>
              </w:rPr>
            </w:pPr>
            <w:r>
              <w:rPr>
                <w:rFonts w:hint="eastAsia"/>
                <w:highlight w:val="none"/>
                <w:vertAlign w:val="baseline"/>
                <w:lang w:val="en-US" w:eastAsia="zh-CN"/>
              </w:rPr>
              <w:t>354</w:t>
            </w:r>
          </w:p>
        </w:tc>
        <w:tc>
          <w:tcPr>
            <w:tcW w:w="1690" w:type="dxa"/>
            <w:noWrap w:val="0"/>
            <w:vAlign w:val="center"/>
          </w:tcPr>
          <w:p w14:paraId="34F1B6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绝缘电阻表</w:t>
            </w:r>
          </w:p>
        </w:tc>
        <w:tc>
          <w:tcPr>
            <w:tcW w:w="5928" w:type="dxa"/>
            <w:noWrap w:val="0"/>
            <w:vAlign w:val="center"/>
          </w:tcPr>
          <w:p w14:paraId="72BC4CA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ZC25-3型，额定电压500V，0～500MΩ</w:t>
            </w:r>
          </w:p>
        </w:tc>
        <w:tc>
          <w:tcPr>
            <w:tcW w:w="736" w:type="dxa"/>
            <w:noWrap w:val="0"/>
            <w:vAlign w:val="center"/>
          </w:tcPr>
          <w:p w14:paraId="4801F80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2BFE08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30EA148">
            <w:pPr>
              <w:jc w:val="center"/>
              <w:rPr>
                <w:highlight w:val="none"/>
              </w:rPr>
            </w:pPr>
          </w:p>
        </w:tc>
        <w:tc>
          <w:tcPr>
            <w:tcW w:w="710" w:type="dxa"/>
            <w:gridSpan w:val="2"/>
            <w:noWrap w:val="0"/>
            <w:vAlign w:val="center"/>
          </w:tcPr>
          <w:p w14:paraId="6C5AA01E">
            <w:pPr>
              <w:jc w:val="both"/>
              <w:rPr>
                <w:highlight w:val="none"/>
                <w:vertAlign w:val="baseline"/>
              </w:rPr>
            </w:pPr>
          </w:p>
        </w:tc>
      </w:tr>
      <w:tr w14:paraId="5814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CC7BEF">
            <w:pPr>
              <w:jc w:val="center"/>
              <w:rPr>
                <w:rFonts w:hint="default"/>
                <w:highlight w:val="none"/>
                <w:vertAlign w:val="baseline"/>
                <w:lang w:val="en-US" w:eastAsia="zh-CN"/>
              </w:rPr>
            </w:pPr>
            <w:r>
              <w:rPr>
                <w:rFonts w:hint="eastAsia"/>
                <w:highlight w:val="none"/>
                <w:vertAlign w:val="baseline"/>
                <w:lang w:val="en-US" w:eastAsia="zh-CN"/>
              </w:rPr>
              <w:t>355</w:t>
            </w:r>
          </w:p>
        </w:tc>
        <w:tc>
          <w:tcPr>
            <w:tcW w:w="1690" w:type="dxa"/>
            <w:noWrap w:val="0"/>
            <w:vAlign w:val="center"/>
          </w:tcPr>
          <w:p w14:paraId="30FE79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电池盒</w:t>
            </w:r>
          </w:p>
        </w:tc>
        <w:tc>
          <w:tcPr>
            <w:tcW w:w="5928" w:type="dxa"/>
            <w:noWrap w:val="0"/>
            <w:vAlign w:val="center"/>
          </w:tcPr>
          <w:p w14:paraId="2768E5B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5号电池盒，适用于 R6 电池</w:t>
            </w:r>
          </w:p>
        </w:tc>
        <w:tc>
          <w:tcPr>
            <w:tcW w:w="736" w:type="dxa"/>
            <w:noWrap w:val="0"/>
            <w:vAlign w:val="center"/>
          </w:tcPr>
          <w:p w14:paraId="10EDFBC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B86B0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w:t>
            </w:r>
          </w:p>
        </w:tc>
        <w:tc>
          <w:tcPr>
            <w:tcW w:w="3396" w:type="dxa"/>
            <w:gridSpan w:val="2"/>
            <w:noWrap w:val="0"/>
            <w:vAlign w:val="center"/>
          </w:tcPr>
          <w:p w14:paraId="2D1610E0">
            <w:pPr>
              <w:jc w:val="center"/>
              <w:rPr>
                <w:highlight w:val="none"/>
              </w:rPr>
            </w:pPr>
          </w:p>
        </w:tc>
        <w:tc>
          <w:tcPr>
            <w:tcW w:w="710" w:type="dxa"/>
            <w:gridSpan w:val="2"/>
            <w:noWrap w:val="0"/>
            <w:vAlign w:val="center"/>
          </w:tcPr>
          <w:p w14:paraId="036A980F">
            <w:pPr>
              <w:jc w:val="both"/>
              <w:rPr>
                <w:highlight w:val="none"/>
                <w:vertAlign w:val="baseline"/>
              </w:rPr>
            </w:pPr>
          </w:p>
        </w:tc>
      </w:tr>
      <w:tr w14:paraId="3CC7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1248F5">
            <w:pPr>
              <w:jc w:val="center"/>
              <w:rPr>
                <w:rFonts w:hint="default"/>
                <w:highlight w:val="none"/>
                <w:vertAlign w:val="baseline"/>
                <w:lang w:val="en-US" w:eastAsia="zh-CN"/>
              </w:rPr>
            </w:pPr>
            <w:r>
              <w:rPr>
                <w:rFonts w:hint="eastAsia"/>
                <w:highlight w:val="none"/>
                <w:vertAlign w:val="baseline"/>
                <w:lang w:val="en-US" w:eastAsia="zh-CN"/>
              </w:rPr>
              <w:t>356</w:t>
            </w:r>
          </w:p>
        </w:tc>
        <w:tc>
          <w:tcPr>
            <w:tcW w:w="1690" w:type="dxa"/>
            <w:noWrap w:val="0"/>
            <w:vAlign w:val="center"/>
          </w:tcPr>
          <w:p w14:paraId="102423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电池盒</w:t>
            </w:r>
          </w:p>
        </w:tc>
        <w:tc>
          <w:tcPr>
            <w:tcW w:w="5928" w:type="dxa"/>
            <w:noWrap w:val="0"/>
            <w:vAlign w:val="center"/>
          </w:tcPr>
          <w:p w14:paraId="57E673D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1号电池盒，有接线柱，串联接插口</w:t>
            </w:r>
          </w:p>
        </w:tc>
        <w:tc>
          <w:tcPr>
            <w:tcW w:w="736" w:type="dxa"/>
            <w:noWrap w:val="0"/>
            <w:vAlign w:val="center"/>
          </w:tcPr>
          <w:p w14:paraId="0C0475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8D65F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w:t>
            </w:r>
          </w:p>
        </w:tc>
        <w:tc>
          <w:tcPr>
            <w:tcW w:w="3396" w:type="dxa"/>
            <w:gridSpan w:val="2"/>
            <w:noWrap w:val="0"/>
            <w:vAlign w:val="center"/>
          </w:tcPr>
          <w:p w14:paraId="426706EA">
            <w:pPr>
              <w:jc w:val="center"/>
              <w:rPr>
                <w:highlight w:val="none"/>
              </w:rPr>
            </w:pPr>
          </w:p>
        </w:tc>
        <w:tc>
          <w:tcPr>
            <w:tcW w:w="710" w:type="dxa"/>
            <w:gridSpan w:val="2"/>
            <w:noWrap w:val="0"/>
            <w:vAlign w:val="center"/>
          </w:tcPr>
          <w:p w14:paraId="0F3D6704">
            <w:pPr>
              <w:jc w:val="both"/>
              <w:rPr>
                <w:highlight w:val="none"/>
                <w:vertAlign w:val="baseline"/>
              </w:rPr>
            </w:pPr>
          </w:p>
        </w:tc>
      </w:tr>
      <w:tr w14:paraId="47B9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58377E">
            <w:pPr>
              <w:jc w:val="center"/>
              <w:rPr>
                <w:rFonts w:hint="default"/>
                <w:highlight w:val="none"/>
                <w:vertAlign w:val="baseline"/>
                <w:lang w:val="en-US" w:eastAsia="zh-CN"/>
              </w:rPr>
            </w:pPr>
            <w:r>
              <w:rPr>
                <w:rFonts w:hint="eastAsia"/>
                <w:highlight w:val="none"/>
                <w:vertAlign w:val="baseline"/>
                <w:lang w:val="en-US" w:eastAsia="zh-CN"/>
              </w:rPr>
              <w:t>357</w:t>
            </w:r>
          </w:p>
        </w:tc>
        <w:tc>
          <w:tcPr>
            <w:tcW w:w="1690" w:type="dxa"/>
            <w:noWrap w:val="0"/>
            <w:vAlign w:val="center"/>
          </w:tcPr>
          <w:p w14:paraId="13FC1B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充电电池</w:t>
            </w:r>
          </w:p>
        </w:tc>
        <w:tc>
          <w:tcPr>
            <w:tcW w:w="5928" w:type="dxa"/>
            <w:noWrap w:val="0"/>
            <w:vAlign w:val="center"/>
          </w:tcPr>
          <w:p w14:paraId="78C496B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镍氢电池，R6，5号电池</w:t>
            </w:r>
          </w:p>
        </w:tc>
        <w:tc>
          <w:tcPr>
            <w:tcW w:w="736" w:type="dxa"/>
            <w:noWrap w:val="0"/>
            <w:vAlign w:val="center"/>
          </w:tcPr>
          <w:p w14:paraId="40F436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7E7B5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4BFF05AE">
            <w:pPr>
              <w:jc w:val="center"/>
              <w:rPr>
                <w:highlight w:val="none"/>
              </w:rPr>
            </w:pPr>
          </w:p>
        </w:tc>
        <w:tc>
          <w:tcPr>
            <w:tcW w:w="710" w:type="dxa"/>
            <w:gridSpan w:val="2"/>
            <w:noWrap w:val="0"/>
            <w:vAlign w:val="center"/>
          </w:tcPr>
          <w:p w14:paraId="7466BE46">
            <w:pPr>
              <w:jc w:val="both"/>
              <w:rPr>
                <w:highlight w:val="none"/>
                <w:vertAlign w:val="baseline"/>
              </w:rPr>
            </w:pPr>
          </w:p>
        </w:tc>
      </w:tr>
      <w:tr w14:paraId="1466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CF0B6D">
            <w:pPr>
              <w:jc w:val="center"/>
              <w:rPr>
                <w:rFonts w:hint="default"/>
                <w:highlight w:val="none"/>
                <w:vertAlign w:val="baseline"/>
                <w:lang w:val="en-US" w:eastAsia="zh-CN"/>
              </w:rPr>
            </w:pPr>
            <w:r>
              <w:rPr>
                <w:rFonts w:hint="eastAsia"/>
                <w:highlight w:val="none"/>
                <w:vertAlign w:val="baseline"/>
                <w:lang w:val="en-US" w:eastAsia="zh-CN"/>
              </w:rPr>
              <w:t>358</w:t>
            </w:r>
          </w:p>
        </w:tc>
        <w:tc>
          <w:tcPr>
            <w:tcW w:w="1690" w:type="dxa"/>
            <w:noWrap w:val="0"/>
            <w:vAlign w:val="center"/>
          </w:tcPr>
          <w:p w14:paraId="7D94BD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干电池</w:t>
            </w:r>
          </w:p>
        </w:tc>
        <w:tc>
          <w:tcPr>
            <w:tcW w:w="5928" w:type="dxa"/>
            <w:noWrap w:val="0"/>
            <w:vAlign w:val="center"/>
          </w:tcPr>
          <w:p w14:paraId="18864A0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1号电池，无汞</w:t>
            </w:r>
          </w:p>
        </w:tc>
        <w:tc>
          <w:tcPr>
            <w:tcW w:w="736" w:type="dxa"/>
            <w:noWrap w:val="0"/>
            <w:vAlign w:val="center"/>
          </w:tcPr>
          <w:p w14:paraId="580DDB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A3BDC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w:t>
            </w:r>
          </w:p>
        </w:tc>
        <w:tc>
          <w:tcPr>
            <w:tcW w:w="3396" w:type="dxa"/>
            <w:gridSpan w:val="2"/>
            <w:noWrap w:val="0"/>
            <w:vAlign w:val="center"/>
          </w:tcPr>
          <w:p w14:paraId="017BB681">
            <w:pPr>
              <w:jc w:val="center"/>
              <w:rPr>
                <w:highlight w:val="none"/>
              </w:rPr>
            </w:pPr>
          </w:p>
        </w:tc>
        <w:tc>
          <w:tcPr>
            <w:tcW w:w="710" w:type="dxa"/>
            <w:gridSpan w:val="2"/>
            <w:noWrap w:val="0"/>
            <w:vAlign w:val="center"/>
          </w:tcPr>
          <w:p w14:paraId="61997C68">
            <w:pPr>
              <w:jc w:val="both"/>
              <w:rPr>
                <w:highlight w:val="none"/>
                <w:vertAlign w:val="baseline"/>
              </w:rPr>
            </w:pPr>
          </w:p>
        </w:tc>
      </w:tr>
      <w:tr w14:paraId="6270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390638">
            <w:pPr>
              <w:jc w:val="center"/>
              <w:rPr>
                <w:rFonts w:hint="default"/>
                <w:highlight w:val="none"/>
                <w:vertAlign w:val="baseline"/>
                <w:lang w:val="en-US" w:eastAsia="zh-CN"/>
              </w:rPr>
            </w:pPr>
            <w:r>
              <w:rPr>
                <w:rFonts w:hint="eastAsia"/>
                <w:highlight w:val="none"/>
                <w:vertAlign w:val="baseline"/>
                <w:lang w:val="en-US" w:eastAsia="zh-CN"/>
              </w:rPr>
              <w:t>359</w:t>
            </w:r>
          </w:p>
        </w:tc>
        <w:tc>
          <w:tcPr>
            <w:tcW w:w="1690" w:type="dxa"/>
            <w:noWrap w:val="0"/>
            <w:vAlign w:val="center"/>
          </w:tcPr>
          <w:p w14:paraId="40E52F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充电器</w:t>
            </w:r>
          </w:p>
        </w:tc>
        <w:tc>
          <w:tcPr>
            <w:tcW w:w="5928" w:type="dxa"/>
            <w:noWrap w:val="0"/>
            <w:vAlign w:val="center"/>
          </w:tcPr>
          <w:p w14:paraId="6E78A6F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 槽，容量≥2700 mAh</w:t>
            </w:r>
          </w:p>
        </w:tc>
        <w:tc>
          <w:tcPr>
            <w:tcW w:w="736" w:type="dxa"/>
            <w:noWrap w:val="0"/>
            <w:vAlign w:val="center"/>
          </w:tcPr>
          <w:p w14:paraId="7A6DD2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3FF1E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E7DADC7">
            <w:pPr>
              <w:jc w:val="center"/>
              <w:rPr>
                <w:highlight w:val="none"/>
              </w:rPr>
            </w:pPr>
          </w:p>
        </w:tc>
        <w:tc>
          <w:tcPr>
            <w:tcW w:w="710" w:type="dxa"/>
            <w:gridSpan w:val="2"/>
            <w:noWrap w:val="0"/>
            <w:vAlign w:val="center"/>
          </w:tcPr>
          <w:p w14:paraId="79CB2B01">
            <w:pPr>
              <w:jc w:val="both"/>
              <w:rPr>
                <w:highlight w:val="none"/>
                <w:vertAlign w:val="baseline"/>
              </w:rPr>
            </w:pPr>
          </w:p>
        </w:tc>
      </w:tr>
      <w:tr w14:paraId="5CBC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2FE9099">
            <w:pPr>
              <w:jc w:val="center"/>
              <w:rPr>
                <w:rFonts w:hint="default"/>
                <w:highlight w:val="none"/>
                <w:vertAlign w:val="baseline"/>
                <w:lang w:val="en-US" w:eastAsia="zh-CN"/>
              </w:rPr>
            </w:pPr>
            <w:r>
              <w:rPr>
                <w:rFonts w:hint="eastAsia"/>
                <w:highlight w:val="none"/>
                <w:vertAlign w:val="baseline"/>
                <w:lang w:val="en-US" w:eastAsia="zh-CN"/>
              </w:rPr>
              <w:t>360</w:t>
            </w:r>
          </w:p>
        </w:tc>
        <w:tc>
          <w:tcPr>
            <w:tcW w:w="1690" w:type="dxa"/>
            <w:noWrap w:val="0"/>
            <w:vAlign w:val="center"/>
          </w:tcPr>
          <w:p w14:paraId="2C14F3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教学用 E10 螺口灯座（小灯座）</w:t>
            </w:r>
          </w:p>
        </w:tc>
        <w:tc>
          <w:tcPr>
            <w:tcW w:w="5928" w:type="dxa"/>
            <w:noWrap w:val="0"/>
            <w:vAlign w:val="center"/>
          </w:tcPr>
          <w:p w14:paraId="5C7BAB9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原小灯座 螺口</w:t>
            </w:r>
          </w:p>
        </w:tc>
        <w:tc>
          <w:tcPr>
            <w:tcW w:w="736" w:type="dxa"/>
            <w:noWrap w:val="0"/>
            <w:vAlign w:val="center"/>
          </w:tcPr>
          <w:p w14:paraId="634F6B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5A536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1D09DFE4">
            <w:pPr>
              <w:jc w:val="center"/>
              <w:rPr>
                <w:highlight w:val="none"/>
              </w:rPr>
            </w:pPr>
          </w:p>
        </w:tc>
        <w:tc>
          <w:tcPr>
            <w:tcW w:w="710" w:type="dxa"/>
            <w:gridSpan w:val="2"/>
            <w:noWrap w:val="0"/>
            <w:vAlign w:val="center"/>
          </w:tcPr>
          <w:p w14:paraId="2AE69402">
            <w:pPr>
              <w:jc w:val="both"/>
              <w:rPr>
                <w:highlight w:val="none"/>
                <w:vertAlign w:val="baseline"/>
              </w:rPr>
            </w:pPr>
          </w:p>
        </w:tc>
      </w:tr>
      <w:tr w14:paraId="1459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7CDAE7">
            <w:pPr>
              <w:jc w:val="center"/>
              <w:rPr>
                <w:rFonts w:hint="default"/>
                <w:highlight w:val="none"/>
                <w:vertAlign w:val="baseline"/>
                <w:lang w:val="en-US" w:eastAsia="zh-CN"/>
              </w:rPr>
            </w:pPr>
            <w:r>
              <w:rPr>
                <w:rFonts w:hint="eastAsia"/>
                <w:highlight w:val="none"/>
                <w:vertAlign w:val="baseline"/>
                <w:lang w:val="en-US" w:eastAsia="zh-CN"/>
              </w:rPr>
              <w:t>361</w:t>
            </w:r>
          </w:p>
        </w:tc>
        <w:tc>
          <w:tcPr>
            <w:tcW w:w="1690" w:type="dxa"/>
            <w:noWrap w:val="0"/>
            <w:vAlign w:val="center"/>
          </w:tcPr>
          <w:p w14:paraId="184C31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电珠(小灯泡)</w:t>
            </w:r>
          </w:p>
        </w:tc>
        <w:tc>
          <w:tcPr>
            <w:tcW w:w="5928" w:type="dxa"/>
            <w:noWrap w:val="0"/>
            <w:vAlign w:val="center"/>
          </w:tcPr>
          <w:p w14:paraId="145C16D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 V、0.3 A</w:t>
            </w:r>
          </w:p>
        </w:tc>
        <w:tc>
          <w:tcPr>
            <w:tcW w:w="736" w:type="dxa"/>
            <w:noWrap w:val="0"/>
            <w:vAlign w:val="center"/>
          </w:tcPr>
          <w:p w14:paraId="6BBFD3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27D17D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3A130B1">
            <w:pPr>
              <w:jc w:val="center"/>
              <w:rPr>
                <w:highlight w:val="none"/>
              </w:rPr>
            </w:pPr>
          </w:p>
        </w:tc>
        <w:tc>
          <w:tcPr>
            <w:tcW w:w="710" w:type="dxa"/>
            <w:gridSpan w:val="2"/>
            <w:noWrap w:val="0"/>
            <w:vAlign w:val="center"/>
          </w:tcPr>
          <w:p w14:paraId="5F598282">
            <w:pPr>
              <w:jc w:val="both"/>
              <w:rPr>
                <w:highlight w:val="none"/>
                <w:vertAlign w:val="baseline"/>
              </w:rPr>
            </w:pPr>
          </w:p>
        </w:tc>
      </w:tr>
      <w:tr w14:paraId="6127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D574F6">
            <w:pPr>
              <w:jc w:val="center"/>
              <w:rPr>
                <w:rFonts w:hint="default"/>
                <w:highlight w:val="none"/>
                <w:vertAlign w:val="baseline"/>
                <w:lang w:val="en-US" w:eastAsia="zh-CN"/>
              </w:rPr>
            </w:pPr>
            <w:r>
              <w:rPr>
                <w:rFonts w:hint="eastAsia"/>
                <w:highlight w:val="none"/>
                <w:vertAlign w:val="baseline"/>
                <w:lang w:val="en-US" w:eastAsia="zh-CN"/>
              </w:rPr>
              <w:t>362</w:t>
            </w:r>
          </w:p>
        </w:tc>
        <w:tc>
          <w:tcPr>
            <w:tcW w:w="1690" w:type="dxa"/>
            <w:noWrap w:val="0"/>
            <w:vAlign w:val="center"/>
          </w:tcPr>
          <w:p w14:paraId="55C376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电珠(小灯泡)</w:t>
            </w:r>
          </w:p>
        </w:tc>
        <w:tc>
          <w:tcPr>
            <w:tcW w:w="5928" w:type="dxa"/>
            <w:noWrap w:val="0"/>
            <w:vAlign w:val="center"/>
          </w:tcPr>
          <w:p w14:paraId="372D090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 V、0.3 A</w:t>
            </w:r>
          </w:p>
        </w:tc>
        <w:tc>
          <w:tcPr>
            <w:tcW w:w="736" w:type="dxa"/>
            <w:noWrap w:val="0"/>
            <w:vAlign w:val="center"/>
          </w:tcPr>
          <w:p w14:paraId="0D9D85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2E1EE7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766D7A8">
            <w:pPr>
              <w:jc w:val="center"/>
              <w:rPr>
                <w:highlight w:val="none"/>
              </w:rPr>
            </w:pPr>
          </w:p>
        </w:tc>
        <w:tc>
          <w:tcPr>
            <w:tcW w:w="710" w:type="dxa"/>
            <w:gridSpan w:val="2"/>
            <w:noWrap w:val="0"/>
            <w:vAlign w:val="center"/>
          </w:tcPr>
          <w:p w14:paraId="00276303">
            <w:pPr>
              <w:jc w:val="both"/>
              <w:rPr>
                <w:highlight w:val="none"/>
                <w:vertAlign w:val="baseline"/>
              </w:rPr>
            </w:pPr>
          </w:p>
        </w:tc>
      </w:tr>
      <w:tr w14:paraId="7069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FF6CB04">
            <w:pPr>
              <w:jc w:val="center"/>
              <w:rPr>
                <w:rFonts w:hint="default"/>
                <w:highlight w:val="none"/>
                <w:vertAlign w:val="baseline"/>
                <w:lang w:val="en-US" w:eastAsia="zh-CN"/>
              </w:rPr>
            </w:pPr>
            <w:r>
              <w:rPr>
                <w:rFonts w:hint="eastAsia"/>
                <w:highlight w:val="none"/>
                <w:vertAlign w:val="baseline"/>
                <w:lang w:val="en-US" w:eastAsia="zh-CN"/>
              </w:rPr>
              <w:t>363</w:t>
            </w:r>
          </w:p>
        </w:tc>
        <w:tc>
          <w:tcPr>
            <w:tcW w:w="1690" w:type="dxa"/>
            <w:noWrap w:val="0"/>
            <w:vAlign w:val="center"/>
          </w:tcPr>
          <w:p w14:paraId="7622DB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电珠（小灯泡）</w:t>
            </w:r>
          </w:p>
        </w:tc>
        <w:tc>
          <w:tcPr>
            <w:tcW w:w="5928" w:type="dxa"/>
            <w:noWrap w:val="0"/>
            <w:vAlign w:val="center"/>
          </w:tcPr>
          <w:p w14:paraId="3A388EC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3.8 V、0.3 A</w:t>
            </w:r>
          </w:p>
        </w:tc>
        <w:tc>
          <w:tcPr>
            <w:tcW w:w="736" w:type="dxa"/>
            <w:noWrap w:val="0"/>
            <w:vAlign w:val="center"/>
          </w:tcPr>
          <w:p w14:paraId="620756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3E0AFD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CB0F4F9">
            <w:pPr>
              <w:jc w:val="center"/>
              <w:rPr>
                <w:highlight w:val="none"/>
              </w:rPr>
            </w:pPr>
          </w:p>
        </w:tc>
        <w:tc>
          <w:tcPr>
            <w:tcW w:w="710" w:type="dxa"/>
            <w:gridSpan w:val="2"/>
            <w:noWrap w:val="0"/>
            <w:vAlign w:val="center"/>
          </w:tcPr>
          <w:p w14:paraId="71EDAF16">
            <w:pPr>
              <w:jc w:val="both"/>
              <w:rPr>
                <w:highlight w:val="none"/>
                <w:vertAlign w:val="baseline"/>
              </w:rPr>
            </w:pPr>
          </w:p>
        </w:tc>
      </w:tr>
      <w:tr w14:paraId="322E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5E5344">
            <w:pPr>
              <w:jc w:val="center"/>
              <w:rPr>
                <w:rFonts w:hint="default"/>
                <w:highlight w:val="none"/>
                <w:vertAlign w:val="baseline"/>
                <w:lang w:val="en-US" w:eastAsia="zh-CN"/>
              </w:rPr>
            </w:pPr>
            <w:r>
              <w:rPr>
                <w:rFonts w:hint="eastAsia"/>
                <w:highlight w:val="none"/>
                <w:vertAlign w:val="baseline"/>
                <w:lang w:val="en-US" w:eastAsia="zh-CN"/>
              </w:rPr>
              <w:t>364</w:t>
            </w:r>
          </w:p>
        </w:tc>
        <w:tc>
          <w:tcPr>
            <w:tcW w:w="1690" w:type="dxa"/>
            <w:noWrap w:val="0"/>
            <w:vAlign w:val="center"/>
          </w:tcPr>
          <w:p w14:paraId="342975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电珠(小灯泡)</w:t>
            </w:r>
          </w:p>
        </w:tc>
        <w:tc>
          <w:tcPr>
            <w:tcW w:w="5928" w:type="dxa"/>
            <w:noWrap w:val="0"/>
            <w:vAlign w:val="center"/>
          </w:tcPr>
          <w:p w14:paraId="748289C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 V、0.15 A</w:t>
            </w:r>
          </w:p>
        </w:tc>
        <w:tc>
          <w:tcPr>
            <w:tcW w:w="736" w:type="dxa"/>
            <w:noWrap w:val="0"/>
            <w:vAlign w:val="center"/>
          </w:tcPr>
          <w:p w14:paraId="03834E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5BEA50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4D095C9">
            <w:pPr>
              <w:jc w:val="center"/>
              <w:rPr>
                <w:highlight w:val="none"/>
              </w:rPr>
            </w:pPr>
          </w:p>
        </w:tc>
        <w:tc>
          <w:tcPr>
            <w:tcW w:w="710" w:type="dxa"/>
            <w:gridSpan w:val="2"/>
            <w:noWrap w:val="0"/>
            <w:vAlign w:val="center"/>
          </w:tcPr>
          <w:p w14:paraId="7374D752">
            <w:pPr>
              <w:jc w:val="both"/>
              <w:rPr>
                <w:highlight w:val="none"/>
                <w:vertAlign w:val="baseline"/>
              </w:rPr>
            </w:pPr>
          </w:p>
        </w:tc>
      </w:tr>
      <w:tr w14:paraId="3D1A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EF17305">
            <w:pPr>
              <w:jc w:val="center"/>
              <w:rPr>
                <w:rFonts w:hint="default"/>
                <w:highlight w:val="none"/>
                <w:vertAlign w:val="baseline"/>
                <w:lang w:val="en-US" w:eastAsia="zh-CN"/>
              </w:rPr>
            </w:pPr>
            <w:r>
              <w:rPr>
                <w:rFonts w:hint="eastAsia"/>
                <w:highlight w:val="none"/>
                <w:vertAlign w:val="baseline"/>
                <w:lang w:val="en-US" w:eastAsia="zh-CN"/>
              </w:rPr>
              <w:t>365</w:t>
            </w:r>
          </w:p>
        </w:tc>
        <w:tc>
          <w:tcPr>
            <w:tcW w:w="1690" w:type="dxa"/>
            <w:noWrap w:val="0"/>
            <w:vAlign w:val="center"/>
          </w:tcPr>
          <w:p w14:paraId="38D98A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单刀开关</w:t>
            </w:r>
          </w:p>
        </w:tc>
        <w:tc>
          <w:tcPr>
            <w:tcW w:w="5928" w:type="dxa"/>
            <w:noWrap w:val="0"/>
            <w:vAlign w:val="center"/>
          </w:tcPr>
          <w:p w14:paraId="7654646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单闸刀开关，闸刀、刀座为铜制</w:t>
            </w:r>
          </w:p>
        </w:tc>
        <w:tc>
          <w:tcPr>
            <w:tcW w:w="736" w:type="dxa"/>
            <w:noWrap w:val="0"/>
            <w:vAlign w:val="center"/>
          </w:tcPr>
          <w:p w14:paraId="209AA09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C437D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w:t>
            </w:r>
          </w:p>
        </w:tc>
        <w:tc>
          <w:tcPr>
            <w:tcW w:w="3396" w:type="dxa"/>
            <w:gridSpan w:val="2"/>
            <w:noWrap w:val="0"/>
            <w:vAlign w:val="center"/>
          </w:tcPr>
          <w:p w14:paraId="69A817AB">
            <w:pPr>
              <w:jc w:val="center"/>
              <w:rPr>
                <w:highlight w:val="none"/>
              </w:rPr>
            </w:pPr>
          </w:p>
        </w:tc>
        <w:tc>
          <w:tcPr>
            <w:tcW w:w="710" w:type="dxa"/>
            <w:gridSpan w:val="2"/>
            <w:noWrap w:val="0"/>
            <w:vAlign w:val="center"/>
          </w:tcPr>
          <w:p w14:paraId="5D3E000E">
            <w:pPr>
              <w:jc w:val="both"/>
              <w:rPr>
                <w:highlight w:val="none"/>
                <w:vertAlign w:val="baseline"/>
              </w:rPr>
            </w:pPr>
          </w:p>
        </w:tc>
      </w:tr>
      <w:tr w14:paraId="7EDF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E48F13B">
            <w:pPr>
              <w:jc w:val="center"/>
              <w:rPr>
                <w:rFonts w:hint="default"/>
                <w:highlight w:val="none"/>
                <w:vertAlign w:val="baseline"/>
                <w:lang w:val="en-US" w:eastAsia="zh-CN"/>
              </w:rPr>
            </w:pPr>
            <w:r>
              <w:rPr>
                <w:rFonts w:hint="eastAsia"/>
                <w:highlight w:val="none"/>
                <w:vertAlign w:val="baseline"/>
                <w:lang w:val="en-US" w:eastAsia="zh-CN"/>
              </w:rPr>
              <w:t>366</w:t>
            </w:r>
          </w:p>
        </w:tc>
        <w:tc>
          <w:tcPr>
            <w:tcW w:w="1690" w:type="dxa"/>
            <w:noWrap w:val="0"/>
            <w:vAlign w:val="center"/>
          </w:tcPr>
          <w:p w14:paraId="7B6583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单刀双掷开关</w:t>
            </w:r>
          </w:p>
        </w:tc>
        <w:tc>
          <w:tcPr>
            <w:tcW w:w="5928" w:type="dxa"/>
            <w:noWrap w:val="0"/>
            <w:vAlign w:val="center"/>
          </w:tcPr>
          <w:p w14:paraId="31DA1ED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单闸刀双掷开关，闸刀、刀座为铜制</w:t>
            </w:r>
          </w:p>
        </w:tc>
        <w:tc>
          <w:tcPr>
            <w:tcW w:w="736" w:type="dxa"/>
            <w:noWrap w:val="0"/>
            <w:vAlign w:val="center"/>
          </w:tcPr>
          <w:p w14:paraId="1DC8B2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55B44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CDD4E61">
            <w:pPr>
              <w:jc w:val="center"/>
              <w:rPr>
                <w:highlight w:val="none"/>
              </w:rPr>
            </w:pPr>
          </w:p>
        </w:tc>
        <w:tc>
          <w:tcPr>
            <w:tcW w:w="710" w:type="dxa"/>
            <w:gridSpan w:val="2"/>
            <w:noWrap w:val="0"/>
            <w:vAlign w:val="center"/>
          </w:tcPr>
          <w:p w14:paraId="164740DE">
            <w:pPr>
              <w:jc w:val="both"/>
              <w:rPr>
                <w:highlight w:val="none"/>
                <w:vertAlign w:val="baseline"/>
              </w:rPr>
            </w:pPr>
          </w:p>
        </w:tc>
      </w:tr>
      <w:tr w14:paraId="5E35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DEB9DE">
            <w:pPr>
              <w:jc w:val="center"/>
              <w:rPr>
                <w:rFonts w:hint="default"/>
                <w:highlight w:val="none"/>
                <w:vertAlign w:val="baseline"/>
                <w:lang w:val="en-US" w:eastAsia="zh-CN"/>
              </w:rPr>
            </w:pPr>
            <w:r>
              <w:rPr>
                <w:rFonts w:hint="eastAsia"/>
                <w:highlight w:val="none"/>
                <w:vertAlign w:val="baseline"/>
                <w:lang w:val="en-US" w:eastAsia="zh-CN"/>
              </w:rPr>
              <w:t>367</w:t>
            </w:r>
          </w:p>
        </w:tc>
        <w:tc>
          <w:tcPr>
            <w:tcW w:w="1690" w:type="dxa"/>
            <w:noWrap w:val="0"/>
            <w:vAlign w:val="center"/>
          </w:tcPr>
          <w:p w14:paraId="4D662A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双刀双掷开关</w:t>
            </w:r>
          </w:p>
        </w:tc>
        <w:tc>
          <w:tcPr>
            <w:tcW w:w="5928" w:type="dxa"/>
            <w:noWrap w:val="0"/>
            <w:vAlign w:val="center"/>
          </w:tcPr>
          <w:p w14:paraId="5CB99EC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双闸刀双掷开关，闸刀、刀座为铜制</w:t>
            </w:r>
          </w:p>
        </w:tc>
        <w:tc>
          <w:tcPr>
            <w:tcW w:w="736" w:type="dxa"/>
            <w:noWrap w:val="0"/>
            <w:vAlign w:val="center"/>
          </w:tcPr>
          <w:p w14:paraId="6F9E37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E1EF8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20776B42">
            <w:pPr>
              <w:jc w:val="center"/>
              <w:rPr>
                <w:highlight w:val="none"/>
              </w:rPr>
            </w:pPr>
          </w:p>
        </w:tc>
        <w:tc>
          <w:tcPr>
            <w:tcW w:w="710" w:type="dxa"/>
            <w:gridSpan w:val="2"/>
            <w:noWrap w:val="0"/>
            <w:vAlign w:val="center"/>
          </w:tcPr>
          <w:p w14:paraId="64D8579B">
            <w:pPr>
              <w:jc w:val="both"/>
              <w:rPr>
                <w:highlight w:val="none"/>
                <w:vertAlign w:val="baseline"/>
              </w:rPr>
            </w:pPr>
          </w:p>
        </w:tc>
      </w:tr>
      <w:tr w14:paraId="1CD4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8E84270">
            <w:pPr>
              <w:jc w:val="center"/>
              <w:rPr>
                <w:rFonts w:hint="default"/>
                <w:highlight w:val="none"/>
                <w:vertAlign w:val="baseline"/>
                <w:lang w:val="en-US" w:eastAsia="zh-CN"/>
              </w:rPr>
            </w:pPr>
            <w:r>
              <w:rPr>
                <w:rFonts w:hint="eastAsia"/>
                <w:highlight w:val="none"/>
                <w:vertAlign w:val="baseline"/>
                <w:lang w:val="en-US" w:eastAsia="zh-CN"/>
              </w:rPr>
              <w:t>368</w:t>
            </w:r>
          </w:p>
        </w:tc>
        <w:tc>
          <w:tcPr>
            <w:tcW w:w="1690" w:type="dxa"/>
            <w:noWrap w:val="0"/>
            <w:vAlign w:val="center"/>
          </w:tcPr>
          <w:p w14:paraId="0428F6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滑动变阻器</w:t>
            </w:r>
          </w:p>
        </w:tc>
        <w:tc>
          <w:tcPr>
            <w:tcW w:w="5928" w:type="dxa"/>
            <w:noWrap w:val="0"/>
            <w:vAlign w:val="center"/>
          </w:tcPr>
          <w:p w14:paraId="1C6F801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5Ω，3A；滑杆采用正六边形</w:t>
            </w:r>
          </w:p>
        </w:tc>
        <w:tc>
          <w:tcPr>
            <w:tcW w:w="736" w:type="dxa"/>
            <w:noWrap w:val="0"/>
            <w:vAlign w:val="center"/>
          </w:tcPr>
          <w:p w14:paraId="7E09A3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A57A7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2404C61A">
            <w:pPr>
              <w:jc w:val="center"/>
              <w:rPr>
                <w:highlight w:val="none"/>
              </w:rPr>
            </w:pPr>
          </w:p>
        </w:tc>
        <w:tc>
          <w:tcPr>
            <w:tcW w:w="710" w:type="dxa"/>
            <w:gridSpan w:val="2"/>
            <w:noWrap w:val="0"/>
            <w:vAlign w:val="center"/>
          </w:tcPr>
          <w:p w14:paraId="2031310C">
            <w:pPr>
              <w:jc w:val="both"/>
              <w:rPr>
                <w:highlight w:val="none"/>
                <w:vertAlign w:val="baseline"/>
              </w:rPr>
            </w:pPr>
          </w:p>
        </w:tc>
      </w:tr>
      <w:tr w14:paraId="6BAE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D04ACB">
            <w:pPr>
              <w:jc w:val="center"/>
              <w:rPr>
                <w:rFonts w:hint="default"/>
                <w:highlight w:val="none"/>
                <w:vertAlign w:val="baseline"/>
                <w:lang w:val="en-US" w:eastAsia="zh-CN"/>
              </w:rPr>
            </w:pPr>
            <w:r>
              <w:rPr>
                <w:rFonts w:hint="eastAsia"/>
                <w:highlight w:val="none"/>
                <w:vertAlign w:val="baseline"/>
                <w:lang w:val="en-US" w:eastAsia="zh-CN"/>
              </w:rPr>
              <w:t>369</w:t>
            </w:r>
          </w:p>
        </w:tc>
        <w:tc>
          <w:tcPr>
            <w:tcW w:w="1690" w:type="dxa"/>
            <w:noWrap w:val="0"/>
            <w:vAlign w:val="center"/>
          </w:tcPr>
          <w:p w14:paraId="16840D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滑动变阻器</w:t>
            </w:r>
          </w:p>
        </w:tc>
        <w:tc>
          <w:tcPr>
            <w:tcW w:w="5928" w:type="dxa"/>
            <w:noWrap w:val="0"/>
            <w:vAlign w:val="center"/>
          </w:tcPr>
          <w:p w14:paraId="30815A0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20Ω，2A；滑杆采用正六边形</w:t>
            </w:r>
          </w:p>
        </w:tc>
        <w:tc>
          <w:tcPr>
            <w:tcW w:w="736" w:type="dxa"/>
            <w:noWrap w:val="0"/>
            <w:vAlign w:val="center"/>
          </w:tcPr>
          <w:p w14:paraId="07E265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4D827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71D4E65D">
            <w:pPr>
              <w:jc w:val="center"/>
              <w:rPr>
                <w:highlight w:val="none"/>
              </w:rPr>
            </w:pPr>
          </w:p>
        </w:tc>
        <w:tc>
          <w:tcPr>
            <w:tcW w:w="710" w:type="dxa"/>
            <w:gridSpan w:val="2"/>
            <w:noWrap w:val="0"/>
            <w:vAlign w:val="center"/>
          </w:tcPr>
          <w:p w14:paraId="2EB0B631">
            <w:pPr>
              <w:jc w:val="both"/>
              <w:rPr>
                <w:highlight w:val="none"/>
                <w:vertAlign w:val="baseline"/>
              </w:rPr>
            </w:pPr>
          </w:p>
        </w:tc>
      </w:tr>
      <w:tr w14:paraId="13F6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9EEE8A">
            <w:pPr>
              <w:jc w:val="center"/>
              <w:rPr>
                <w:rFonts w:hint="default"/>
                <w:highlight w:val="none"/>
                <w:vertAlign w:val="baseline"/>
                <w:lang w:val="en-US" w:eastAsia="zh-CN"/>
              </w:rPr>
            </w:pPr>
            <w:r>
              <w:rPr>
                <w:rFonts w:hint="eastAsia"/>
                <w:highlight w:val="none"/>
                <w:vertAlign w:val="baseline"/>
                <w:lang w:val="en-US" w:eastAsia="zh-CN"/>
              </w:rPr>
              <w:t>370</w:t>
            </w:r>
          </w:p>
        </w:tc>
        <w:tc>
          <w:tcPr>
            <w:tcW w:w="1690" w:type="dxa"/>
            <w:noWrap w:val="0"/>
            <w:vAlign w:val="center"/>
          </w:tcPr>
          <w:p w14:paraId="75EF6E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滑动变阻器</w:t>
            </w:r>
          </w:p>
        </w:tc>
        <w:tc>
          <w:tcPr>
            <w:tcW w:w="5928" w:type="dxa"/>
            <w:noWrap w:val="0"/>
            <w:vAlign w:val="center"/>
          </w:tcPr>
          <w:p w14:paraId="26E8EDF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50Ω、1.5A，滑杆采用正六边形</w:t>
            </w:r>
          </w:p>
        </w:tc>
        <w:tc>
          <w:tcPr>
            <w:tcW w:w="736" w:type="dxa"/>
            <w:noWrap w:val="0"/>
            <w:vAlign w:val="center"/>
          </w:tcPr>
          <w:p w14:paraId="2F4D23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AD2B0F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1550E5DE">
            <w:pPr>
              <w:jc w:val="center"/>
              <w:rPr>
                <w:highlight w:val="none"/>
              </w:rPr>
            </w:pPr>
          </w:p>
        </w:tc>
        <w:tc>
          <w:tcPr>
            <w:tcW w:w="710" w:type="dxa"/>
            <w:gridSpan w:val="2"/>
            <w:noWrap w:val="0"/>
            <w:vAlign w:val="center"/>
          </w:tcPr>
          <w:p w14:paraId="4B19EE51">
            <w:pPr>
              <w:jc w:val="both"/>
              <w:rPr>
                <w:highlight w:val="none"/>
                <w:vertAlign w:val="baseline"/>
              </w:rPr>
            </w:pPr>
          </w:p>
        </w:tc>
      </w:tr>
      <w:tr w14:paraId="3F93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29F692">
            <w:pPr>
              <w:jc w:val="center"/>
              <w:rPr>
                <w:rFonts w:hint="default"/>
                <w:highlight w:val="none"/>
                <w:vertAlign w:val="baseline"/>
                <w:lang w:val="en-US" w:eastAsia="zh-CN"/>
              </w:rPr>
            </w:pPr>
            <w:r>
              <w:rPr>
                <w:rFonts w:hint="eastAsia"/>
                <w:highlight w:val="none"/>
                <w:vertAlign w:val="baseline"/>
                <w:lang w:val="en-US" w:eastAsia="zh-CN"/>
              </w:rPr>
              <w:t>371</w:t>
            </w:r>
          </w:p>
        </w:tc>
        <w:tc>
          <w:tcPr>
            <w:tcW w:w="1690" w:type="dxa"/>
            <w:noWrap w:val="0"/>
            <w:vAlign w:val="center"/>
          </w:tcPr>
          <w:p w14:paraId="430AE1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电阻圈</w:t>
            </w:r>
          </w:p>
        </w:tc>
        <w:tc>
          <w:tcPr>
            <w:tcW w:w="5928" w:type="dxa"/>
            <w:noWrap w:val="0"/>
            <w:vAlign w:val="center"/>
          </w:tcPr>
          <w:p w14:paraId="2F17CCE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5Ω、1.5A，10Ω、1.0A，15Ω、0.6A</w:t>
            </w:r>
          </w:p>
        </w:tc>
        <w:tc>
          <w:tcPr>
            <w:tcW w:w="736" w:type="dxa"/>
            <w:noWrap w:val="0"/>
            <w:vAlign w:val="center"/>
          </w:tcPr>
          <w:p w14:paraId="3BCE1D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834" w:type="dxa"/>
            <w:noWrap w:val="0"/>
            <w:vAlign w:val="center"/>
          </w:tcPr>
          <w:p w14:paraId="3EEAEC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40</w:t>
            </w:r>
          </w:p>
        </w:tc>
        <w:tc>
          <w:tcPr>
            <w:tcW w:w="3396" w:type="dxa"/>
            <w:gridSpan w:val="2"/>
            <w:noWrap w:val="0"/>
            <w:vAlign w:val="center"/>
          </w:tcPr>
          <w:p w14:paraId="0EA3F997">
            <w:pPr>
              <w:jc w:val="center"/>
              <w:rPr>
                <w:highlight w:val="none"/>
              </w:rPr>
            </w:pPr>
          </w:p>
        </w:tc>
        <w:tc>
          <w:tcPr>
            <w:tcW w:w="710" w:type="dxa"/>
            <w:gridSpan w:val="2"/>
            <w:noWrap w:val="0"/>
            <w:vAlign w:val="center"/>
          </w:tcPr>
          <w:p w14:paraId="433DEA7E">
            <w:pPr>
              <w:jc w:val="both"/>
              <w:rPr>
                <w:highlight w:val="none"/>
                <w:vertAlign w:val="baseline"/>
              </w:rPr>
            </w:pPr>
          </w:p>
        </w:tc>
      </w:tr>
      <w:tr w14:paraId="628B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40A7856">
            <w:pPr>
              <w:jc w:val="center"/>
              <w:rPr>
                <w:rFonts w:hint="default"/>
                <w:highlight w:val="none"/>
                <w:vertAlign w:val="baseline"/>
                <w:lang w:val="en-US" w:eastAsia="zh-CN"/>
              </w:rPr>
            </w:pPr>
            <w:r>
              <w:rPr>
                <w:rFonts w:hint="eastAsia"/>
                <w:highlight w:val="none"/>
                <w:vertAlign w:val="baseline"/>
                <w:lang w:val="en-US" w:eastAsia="zh-CN"/>
              </w:rPr>
              <w:t>372</w:t>
            </w:r>
          </w:p>
        </w:tc>
        <w:tc>
          <w:tcPr>
            <w:tcW w:w="1690" w:type="dxa"/>
            <w:noWrap w:val="0"/>
            <w:vAlign w:val="center"/>
          </w:tcPr>
          <w:p w14:paraId="5317E2F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演示电阻箱</w:t>
            </w:r>
          </w:p>
        </w:tc>
        <w:tc>
          <w:tcPr>
            <w:tcW w:w="5928" w:type="dxa"/>
            <w:noWrap w:val="0"/>
            <w:vAlign w:val="center"/>
          </w:tcPr>
          <w:p w14:paraId="1D9F71F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插头式，阻值为 1 Ω、2 Ω、2 Ω、5 Ω</w:t>
            </w:r>
          </w:p>
        </w:tc>
        <w:tc>
          <w:tcPr>
            <w:tcW w:w="736" w:type="dxa"/>
            <w:noWrap w:val="0"/>
            <w:vAlign w:val="center"/>
          </w:tcPr>
          <w:p w14:paraId="75F13A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0E321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313F5FE">
            <w:pPr>
              <w:jc w:val="center"/>
              <w:rPr>
                <w:highlight w:val="none"/>
              </w:rPr>
            </w:pPr>
          </w:p>
        </w:tc>
        <w:tc>
          <w:tcPr>
            <w:tcW w:w="710" w:type="dxa"/>
            <w:gridSpan w:val="2"/>
            <w:noWrap w:val="0"/>
            <w:vAlign w:val="center"/>
          </w:tcPr>
          <w:p w14:paraId="30A5B961">
            <w:pPr>
              <w:jc w:val="both"/>
              <w:rPr>
                <w:highlight w:val="none"/>
                <w:vertAlign w:val="baseline"/>
              </w:rPr>
            </w:pPr>
          </w:p>
        </w:tc>
      </w:tr>
      <w:tr w14:paraId="454A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2E4D1A">
            <w:pPr>
              <w:jc w:val="center"/>
              <w:rPr>
                <w:rFonts w:hint="default"/>
                <w:highlight w:val="none"/>
                <w:vertAlign w:val="baseline"/>
                <w:lang w:val="en-US" w:eastAsia="zh-CN"/>
              </w:rPr>
            </w:pPr>
            <w:r>
              <w:rPr>
                <w:rFonts w:hint="eastAsia"/>
                <w:highlight w:val="none"/>
                <w:vertAlign w:val="baseline"/>
                <w:lang w:val="en-US" w:eastAsia="zh-CN"/>
              </w:rPr>
              <w:t>373</w:t>
            </w:r>
          </w:p>
        </w:tc>
        <w:tc>
          <w:tcPr>
            <w:tcW w:w="1690" w:type="dxa"/>
            <w:noWrap w:val="0"/>
            <w:vAlign w:val="center"/>
          </w:tcPr>
          <w:p w14:paraId="384BD9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教学电阻箱</w:t>
            </w:r>
          </w:p>
        </w:tc>
        <w:tc>
          <w:tcPr>
            <w:tcW w:w="5928" w:type="dxa"/>
            <w:noWrap w:val="0"/>
            <w:vAlign w:val="center"/>
          </w:tcPr>
          <w:p w14:paraId="4416EF1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十进多盘式，调解范围 0 Ω～9999.9 Ω</w:t>
            </w:r>
          </w:p>
        </w:tc>
        <w:tc>
          <w:tcPr>
            <w:tcW w:w="736" w:type="dxa"/>
            <w:noWrap w:val="0"/>
            <w:vAlign w:val="center"/>
          </w:tcPr>
          <w:p w14:paraId="7BBF6E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59957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52F46E9">
            <w:pPr>
              <w:jc w:val="center"/>
              <w:rPr>
                <w:highlight w:val="none"/>
              </w:rPr>
            </w:pPr>
          </w:p>
        </w:tc>
        <w:tc>
          <w:tcPr>
            <w:tcW w:w="710" w:type="dxa"/>
            <w:gridSpan w:val="2"/>
            <w:noWrap w:val="0"/>
            <w:vAlign w:val="center"/>
          </w:tcPr>
          <w:p w14:paraId="626DF08A">
            <w:pPr>
              <w:jc w:val="both"/>
              <w:rPr>
                <w:highlight w:val="none"/>
                <w:vertAlign w:val="baseline"/>
              </w:rPr>
            </w:pPr>
          </w:p>
        </w:tc>
      </w:tr>
      <w:tr w14:paraId="5183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00980B">
            <w:pPr>
              <w:jc w:val="center"/>
              <w:rPr>
                <w:rFonts w:hint="default"/>
                <w:highlight w:val="none"/>
                <w:vertAlign w:val="baseline"/>
                <w:lang w:val="en-US" w:eastAsia="zh-CN"/>
              </w:rPr>
            </w:pPr>
            <w:r>
              <w:rPr>
                <w:rFonts w:hint="eastAsia"/>
                <w:highlight w:val="none"/>
                <w:vertAlign w:val="baseline"/>
                <w:lang w:val="en-US" w:eastAsia="zh-CN"/>
              </w:rPr>
              <w:t>374</w:t>
            </w:r>
          </w:p>
        </w:tc>
        <w:tc>
          <w:tcPr>
            <w:tcW w:w="1690" w:type="dxa"/>
            <w:noWrap w:val="0"/>
            <w:vAlign w:val="center"/>
          </w:tcPr>
          <w:p w14:paraId="5627B0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学生电阻箱（简式电阻箱）</w:t>
            </w:r>
          </w:p>
        </w:tc>
        <w:tc>
          <w:tcPr>
            <w:tcW w:w="5928" w:type="dxa"/>
            <w:noWrap w:val="0"/>
            <w:vAlign w:val="center"/>
          </w:tcPr>
          <w:p w14:paraId="7B11645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0～9999 Ω(原简式电阻箱），</w:t>
            </w:r>
          </w:p>
        </w:tc>
        <w:tc>
          <w:tcPr>
            <w:tcW w:w="736" w:type="dxa"/>
            <w:noWrap w:val="0"/>
            <w:vAlign w:val="center"/>
          </w:tcPr>
          <w:p w14:paraId="0243D6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F3E26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3A212822">
            <w:pPr>
              <w:jc w:val="center"/>
              <w:rPr>
                <w:highlight w:val="none"/>
              </w:rPr>
            </w:pPr>
          </w:p>
        </w:tc>
        <w:tc>
          <w:tcPr>
            <w:tcW w:w="710" w:type="dxa"/>
            <w:gridSpan w:val="2"/>
            <w:noWrap w:val="0"/>
            <w:vAlign w:val="center"/>
          </w:tcPr>
          <w:p w14:paraId="50F1150A">
            <w:pPr>
              <w:jc w:val="both"/>
              <w:rPr>
                <w:highlight w:val="none"/>
                <w:vertAlign w:val="baseline"/>
              </w:rPr>
            </w:pPr>
          </w:p>
        </w:tc>
      </w:tr>
      <w:tr w14:paraId="7ADC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4E64EC">
            <w:pPr>
              <w:jc w:val="center"/>
              <w:rPr>
                <w:rFonts w:hint="default"/>
                <w:highlight w:val="none"/>
                <w:vertAlign w:val="baseline"/>
                <w:lang w:val="en-US" w:eastAsia="zh-CN"/>
              </w:rPr>
            </w:pPr>
            <w:r>
              <w:rPr>
                <w:rFonts w:hint="eastAsia"/>
                <w:highlight w:val="none"/>
                <w:vertAlign w:val="baseline"/>
                <w:lang w:val="en-US" w:eastAsia="zh-CN"/>
              </w:rPr>
              <w:t>375</w:t>
            </w:r>
          </w:p>
        </w:tc>
        <w:tc>
          <w:tcPr>
            <w:tcW w:w="1690" w:type="dxa"/>
            <w:noWrap w:val="0"/>
            <w:vAlign w:val="center"/>
          </w:tcPr>
          <w:p w14:paraId="31CE3D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电阻定律演示器</w:t>
            </w:r>
          </w:p>
        </w:tc>
        <w:tc>
          <w:tcPr>
            <w:tcW w:w="5928" w:type="dxa"/>
            <w:noWrap w:val="0"/>
            <w:vAlign w:val="center"/>
          </w:tcPr>
          <w:p w14:paraId="15ED67F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底板、2种金属导线、接线柱、连接片、支撑架等组成；康铜导线2根</w:t>
            </w:r>
          </w:p>
        </w:tc>
        <w:tc>
          <w:tcPr>
            <w:tcW w:w="736" w:type="dxa"/>
            <w:noWrap w:val="0"/>
            <w:vAlign w:val="center"/>
          </w:tcPr>
          <w:p w14:paraId="6E331B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81904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7175BE4">
            <w:pPr>
              <w:jc w:val="center"/>
              <w:rPr>
                <w:highlight w:val="none"/>
              </w:rPr>
            </w:pPr>
          </w:p>
        </w:tc>
        <w:tc>
          <w:tcPr>
            <w:tcW w:w="710" w:type="dxa"/>
            <w:gridSpan w:val="2"/>
            <w:noWrap w:val="0"/>
            <w:vAlign w:val="center"/>
          </w:tcPr>
          <w:p w14:paraId="0B27B77C">
            <w:pPr>
              <w:jc w:val="both"/>
              <w:rPr>
                <w:highlight w:val="none"/>
                <w:vertAlign w:val="baseline"/>
              </w:rPr>
            </w:pPr>
          </w:p>
        </w:tc>
      </w:tr>
      <w:tr w14:paraId="2D91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AC3EB2">
            <w:pPr>
              <w:jc w:val="center"/>
              <w:rPr>
                <w:rFonts w:hint="default"/>
                <w:highlight w:val="none"/>
                <w:vertAlign w:val="baseline"/>
                <w:lang w:val="en-US" w:eastAsia="zh-CN"/>
              </w:rPr>
            </w:pPr>
            <w:r>
              <w:rPr>
                <w:rFonts w:hint="eastAsia"/>
                <w:highlight w:val="none"/>
                <w:vertAlign w:val="baseline"/>
                <w:lang w:val="en-US" w:eastAsia="zh-CN"/>
              </w:rPr>
              <w:t>376</w:t>
            </w:r>
          </w:p>
        </w:tc>
        <w:tc>
          <w:tcPr>
            <w:tcW w:w="1690" w:type="dxa"/>
            <w:noWrap w:val="0"/>
            <w:vAlign w:val="center"/>
          </w:tcPr>
          <w:p w14:paraId="31F08F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电阻定律实验器</w:t>
            </w:r>
          </w:p>
        </w:tc>
        <w:tc>
          <w:tcPr>
            <w:tcW w:w="5928" w:type="dxa"/>
            <w:noWrap w:val="0"/>
            <w:vAlign w:val="center"/>
          </w:tcPr>
          <w:p w14:paraId="6B58B1B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由底板、2种金属导线、接线柱、连接片、支撑架等组成；康铜导线2根</w:t>
            </w:r>
          </w:p>
        </w:tc>
        <w:tc>
          <w:tcPr>
            <w:tcW w:w="736" w:type="dxa"/>
            <w:noWrap w:val="0"/>
            <w:vAlign w:val="center"/>
          </w:tcPr>
          <w:p w14:paraId="621FD67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AED46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8470030">
            <w:pPr>
              <w:jc w:val="center"/>
              <w:rPr>
                <w:highlight w:val="none"/>
              </w:rPr>
            </w:pPr>
          </w:p>
        </w:tc>
        <w:tc>
          <w:tcPr>
            <w:tcW w:w="710" w:type="dxa"/>
            <w:gridSpan w:val="2"/>
            <w:noWrap w:val="0"/>
            <w:vAlign w:val="center"/>
          </w:tcPr>
          <w:p w14:paraId="190C4BC8">
            <w:pPr>
              <w:jc w:val="both"/>
              <w:rPr>
                <w:highlight w:val="none"/>
                <w:vertAlign w:val="baseline"/>
              </w:rPr>
            </w:pPr>
          </w:p>
        </w:tc>
      </w:tr>
      <w:tr w14:paraId="1D24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7A0600">
            <w:pPr>
              <w:jc w:val="center"/>
              <w:rPr>
                <w:rFonts w:hint="default"/>
                <w:highlight w:val="none"/>
                <w:vertAlign w:val="baseline"/>
                <w:lang w:val="en-US" w:eastAsia="zh-CN"/>
              </w:rPr>
            </w:pPr>
            <w:r>
              <w:rPr>
                <w:rFonts w:hint="eastAsia"/>
                <w:highlight w:val="none"/>
                <w:vertAlign w:val="baseline"/>
                <w:lang w:val="en-US" w:eastAsia="zh-CN"/>
              </w:rPr>
              <w:t>377</w:t>
            </w:r>
          </w:p>
        </w:tc>
        <w:tc>
          <w:tcPr>
            <w:tcW w:w="1690" w:type="dxa"/>
            <w:noWrap w:val="0"/>
            <w:vAlign w:val="center"/>
          </w:tcPr>
          <w:p w14:paraId="71DF29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插头导线</w:t>
            </w:r>
          </w:p>
        </w:tc>
        <w:tc>
          <w:tcPr>
            <w:tcW w:w="5928" w:type="dxa"/>
            <w:noWrap w:val="0"/>
            <w:vAlign w:val="center"/>
          </w:tcPr>
          <w:p w14:paraId="6107908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长度分别为 200 mm、300 mm、400 mm；单芯 4 mm 纯铜插头，纯铜导线；宜用不同线色</w:t>
            </w:r>
          </w:p>
        </w:tc>
        <w:tc>
          <w:tcPr>
            <w:tcW w:w="736" w:type="dxa"/>
            <w:noWrap w:val="0"/>
            <w:vAlign w:val="center"/>
          </w:tcPr>
          <w:p w14:paraId="31DD73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8361E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554608D4">
            <w:pPr>
              <w:jc w:val="center"/>
              <w:rPr>
                <w:highlight w:val="none"/>
              </w:rPr>
            </w:pPr>
          </w:p>
        </w:tc>
        <w:tc>
          <w:tcPr>
            <w:tcW w:w="710" w:type="dxa"/>
            <w:gridSpan w:val="2"/>
            <w:noWrap w:val="0"/>
            <w:vAlign w:val="center"/>
          </w:tcPr>
          <w:p w14:paraId="79D13BCA">
            <w:pPr>
              <w:jc w:val="both"/>
              <w:rPr>
                <w:highlight w:val="none"/>
                <w:vertAlign w:val="baseline"/>
              </w:rPr>
            </w:pPr>
          </w:p>
        </w:tc>
      </w:tr>
      <w:tr w14:paraId="3C32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09308D">
            <w:pPr>
              <w:jc w:val="center"/>
              <w:rPr>
                <w:rFonts w:hint="default"/>
                <w:highlight w:val="none"/>
                <w:vertAlign w:val="baseline"/>
                <w:lang w:val="en-US" w:eastAsia="zh-CN"/>
              </w:rPr>
            </w:pPr>
            <w:r>
              <w:rPr>
                <w:rFonts w:hint="eastAsia"/>
                <w:highlight w:val="none"/>
                <w:vertAlign w:val="baseline"/>
                <w:lang w:val="en-US" w:eastAsia="zh-CN"/>
              </w:rPr>
              <w:t>378</w:t>
            </w:r>
          </w:p>
        </w:tc>
        <w:tc>
          <w:tcPr>
            <w:tcW w:w="1690" w:type="dxa"/>
            <w:noWrap w:val="0"/>
            <w:vAlign w:val="center"/>
          </w:tcPr>
          <w:p w14:paraId="78B9E5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接线夹导线</w:t>
            </w:r>
          </w:p>
        </w:tc>
        <w:tc>
          <w:tcPr>
            <w:tcW w:w="5928" w:type="dxa"/>
            <w:noWrap w:val="0"/>
            <w:vAlign w:val="center"/>
          </w:tcPr>
          <w:p w14:paraId="7C5DE4C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双头鳄鱼夹，长度200mm、300 mm、400mm</w:t>
            </w:r>
          </w:p>
        </w:tc>
        <w:tc>
          <w:tcPr>
            <w:tcW w:w="736" w:type="dxa"/>
            <w:noWrap w:val="0"/>
            <w:vAlign w:val="center"/>
          </w:tcPr>
          <w:p w14:paraId="40653E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888E9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0C6DC2C1">
            <w:pPr>
              <w:jc w:val="center"/>
              <w:rPr>
                <w:highlight w:val="none"/>
              </w:rPr>
            </w:pPr>
          </w:p>
        </w:tc>
        <w:tc>
          <w:tcPr>
            <w:tcW w:w="710" w:type="dxa"/>
            <w:gridSpan w:val="2"/>
            <w:noWrap w:val="0"/>
            <w:vAlign w:val="center"/>
          </w:tcPr>
          <w:p w14:paraId="6F4BBC8E">
            <w:pPr>
              <w:jc w:val="both"/>
              <w:rPr>
                <w:highlight w:val="none"/>
                <w:vertAlign w:val="baseline"/>
              </w:rPr>
            </w:pPr>
          </w:p>
        </w:tc>
      </w:tr>
      <w:tr w14:paraId="405D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166DDC">
            <w:pPr>
              <w:jc w:val="center"/>
              <w:rPr>
                <w:rFonts w:hint="default"/>
                <w:highlight w:val="none"/>
                <w:vertAlign w:val="baseline"/>
                <w:lang w:val="en-US" w:eastAsia="zh-CN"/>
              </w:rPr>
            </w:pPr>
            <w:r>
              <w:rPr>
                <w:rFonts w:hint="eastAsia"/>
                <w:highlight w:val="none"/>
                <w:vertAlign w:val="baseline"/>
                <w:lang w:val="en-US" w:eastAsia="zh-CN"/>
              </w:rPr>
              <w:t>379</w:t>
            </w:r>
          </w:p>
        </w:tc>
        <w:tc>
          <w:tcPr>
            <w:tcW w:w="1690" w:type="dxa"/>
            <w:noWrap w:val="0"/>
            <w:vAlign w:val="center"/>
          </w:tcPr>
          <w:p w14:paraId="0F9968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接线叉导线</w:t>
            </w:r>
          </w:p>
        </w:tc>
        <w:tc>
          <w:tcPr>
            <w:tcW w:w="5928" w:type="dxa"/>
            <w:noWrap w:val="0"/>
            <w:vAlign w:val="center"/>
          </w:tcPr>
          <w:p w14:paraId="79F079D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双头U型叉，长度200mm、300mm、400mm</w:t>
            </w:r>
          </w:p>
        </w:tc>
        <w:tc>
          <w:tcPr>
            <w:tcW w:w="736" w:type="dxa"/>
            <w:noWrap w:val="0"/>
            <w:vAlign w:val="center"/>
          </w:tcPr>
          <w:p w14:paraId="68A40A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8ECCD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18A3D062">
            <w:pPr>
              <w:jc w:val="center"/>
              <w:rPr>
                <w:highlight w:val="none"/>
              </w:rPr>
            </w:pPr>
          </w:p>
        </w:tc>
        <w:tc>
          <w:tcPr>
            <w:tcW w:w="710" w:type="dxa"/>
            <w:gridSpan w:val="2"/>
            <w:noWrap w:val="0"/>
            <w:vAlign w:val="center"/>
          </w:tcPr>
          <w:p w14:paraId="71038E98">
            <w:pPr>
              <w:jc w:val="both"/>
              <w:rPr>
                <w:highlight w:val="none"/>
                <w:vertAlign w:val="baseline"/>
              </w:rPr>
            </w:pPr>
          </w:p>
        </w:tc>
      </w:tr>
      <w:tr w14:paraId="5175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5B2501">
            <w:pPr>
              <w:jc w:val="center"/>
              <w:rPr>
                <w:rFonts w:hint="default"/>
                <w:highlight w:val="none"/>
                <w:vertAlign w:val="baseline"/>
                <w:lang w:val="en-US" w:eastAsia="zh-CN"/>
              </w:rPr>
            </w:pPr>
            <w:r>
              <w:rPr>
                <w:rFonts w:hint="eastAsia"/>
                <w:highlight w:val="none"/>
                <w:vertAlign w:val="baseline"/>
                <w:lang w:val="en-US" w:eastAsia="zh-CN"/>
              </w:rPr>
              <w:t>380</w:t>
            </w:r>
          </w:p>
        </w:tc>
        <w:tc>
          <w:tcPr>
            <w:tcW w:w="1690" w:type="dxa"/>
            <w:noWrap w:val="0"/>
            <w:vAlign w:val="center"/>
          </w:tcPr>
          <w:p w14:paraId="08351C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组合接头导线</w:t>
            </w:r>
          </w:p>
        </w:tc>
        <w:tc>
          <w:tcPr>
            <w:tcW w:w="5928" w:type="dxa"/>
            <w:noWrap w:val="0"/>
            <w:vAlign w:val="center"/>
          </w:tcPr>
          <w:p w14:paraId="48D6B6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一头U型叉，一头鳄鱼夹,20cm、30cm、40cm</w:t>
            </w:r>
          </w:p>
        </w:tc>
        <w:tc>
          <w:tcPr>
            <w:tcW w:w="736" w:type="dxa"/>
            <w:noWrap w:val="0"/>
            <w:vAlign w:val="center"/>
          </w:tcPr>
          <w:p w14:paraId="24CF0D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071B3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51898529">
            <w:pPr>
              <w:jc w:val="center"/>
              <w:rPr>
                <w:highlight w:val="none"/>
              </w:rPr>
            </w:pPr>
          </w:p>
        </w:tc>
        <w:tc>
          <w:tcPr>
            <w:tcW w:w="710" w:type="dxa"/>
            <w:gridSpan w:val="2"/>
            <w:noWrap w:val="0"/>
            <w:vAlign w:val="center"/>
          </w:tcPr>
          <w:p w14:paraId="40F90009">
            <w:pPr>
              <w:jc w:val="both"/>
              <w:rPr>
                <w:highlight w:val="none"/>
                <w:vertAlign w:val="baseline"/>
              </w:rPr>
            </w:pPr>
          </w:p>
        </w:tc>
      </w:tr>
      <w:tr w14:paraId="7638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D0F9FC">
            <w:pPr>
              <w:jc w:val="center"/>
              <w:rPr>
                <w:rFonts w:hint="default"/>
                <w:highlight w:val="none"/>
                <w:vertAlign w:val="baseline"/>
                <w:lang w:val="en-US" w:eastAsia="zh-CN"/>
              </w:rPr>
            </w:pPr>
            <w:r>
              <w:rPr>
                <w:rFonts w:hint="eastAsia"/>
                <w:highlight w:val="none"/>
                <w:vertAlign w:val="baseline"/>
                <w:lang w:val="en-US" w:eastAsia="zh-CN"/>
              </w:rPr>
              <w:t>381</w:t>
            </w:r>
          </w:p>
        </w:tc>
        <w:tc>
          <w:tcPr>
            <w:tcW w:w="1690" w:type="dxa"/>
            <w:noWrap w:val="0"/>
            <w:vAlign w:val="center"/>
          </w:tcPr>
          <w:p w14:paraId="5D1066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演示线路实验板（老款）</w:t>
            </w:r>
          </w:p>
        </w:tc>
        <w:tc>
          <w:tcPr>
            <w:tcW w:w="5928" w:type="dxa"/>
            <w:noWrap w:val="0"/>
            <w:vAlign w:val="center"/>
          </w:tcPr>
          <w:p w14:paraId="588CE60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初中 插接式</w:t>
            </w:r>
          </w:p>
        </w:tc>
        <w:tc>
          <w:tcPr>
            <w:tcW w:w="736" w:type="dxa"/>
            <w:noWrap w:val="0"/>
            <w:vAlign w:val="center"/>
          </w:tcPr>
          <w:p w14:paraId="53E122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942FF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401F0B1">
            <w:pPr>
              <w:jc w:val="center"/>
              <w:rPr>
                <w:highlight w:val="none"/>
              </w:rPr>
            </w:pPr>
          </w:p>
        </w:tc>
        <w:tc>
          <w:tcPr>
            <w:tcW w:w="710" w:type="dxa"/>
            <w:gridSpan w:val="2"/>
            <w:noWrap w:val="0"/>
            <w:vAlign w:val="center"/>
          </w:tcPr>
          <w:p w14:paraId="5CD832DF">
            <w:pPr>
              <w:jc w:val="both"/>
              <w:rPr>
                <w:highlight w:val="none"/>
                <w:vertAlign w:val="baseline"/>
              </w:rPr>
            </w:pPr>
          </w:p>
        </w:tc>
      </w:tr>
      <w:tr w14:paraId="3655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22AFC7">
            <w:pPr>
              <w:jc w:val="center"/>
              <w:rPr>
                <w:rFonts w:hint="default"/>
                <w:highlight w:val="none"/>
                <w:vertAlign w:val="baseline"/>
                <w:lang w:val="en-US" w:eastAsia="zh-CN"/>
              </w:rPr>
            </w:pPr>
            <w:r>
              <w:rPr>
                <w:rFonts w:hint="eastAsia"/>
                <w:highlight w:val="none"/>
                <w:vertAlign w:val="baseline"/>
                <w:lang w:val="en-US" w:eastAsia="zh-CN"/>
              </w:rPr>
              <w:t>382</w:t>
            </w:r>
          </w:p>
        </w:tc>
        <w:tc>
          <w:tcPr>
            <w:tcW w:w="1690" w:type="dxa"/>
            <w:noWrap w:val="0"/>
            <w:vAlign w:val="center"/>
          </w:tcPr>
          <w:p w14:paraId="14EC7C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初中学生线路实验板（新款）</w:t>
            </w:r>
          </w:p>
        </w:tc>
        <w:tc>
          <w:tcPr>
            <w:tcW w:w="5928" w:type="dxa"/>
            <w:noWrap w:val="0"/>
            <w:vAlign w:val="center"/>
          </w:tcPr>
          <w:p w14:paraId="49EA7E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学生用</w:t>
            </w:r>
          </w:p>
        </w:tc>
        <w:tc>
          <w:tcPr>
            <w:tcW w:w="736" w:type="dxa"/>
            <w:noWrap w:val="0"/>
            <w:vAlign w:val="center"/>
          </w:tcPr>
          <w:p w14:paraId="60B4B4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3AEE8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9F454FD">
            <w:pPr>
              <w:jc w:val="center"/>
              <w:rPr>
                <w:highlight w:val="none"/>
              </w:rPr>
            </w:pPr>
          </w:p>
        </w:tc>
        <w:tc>
          <w:tcPr>
            <w:tcW w:w="710" w:type="dxa"/>
            <w:gridSpan w:val="2"/>
            <w:noWrap w:val="0"/>
            <w:vAlign w:val="center"/>
          </w:tcPr>
          <w:p w14:paraId="4C203BED">
            <w:pPr>
              <w:jc w:val="both"/>
              <w:rPr>
                <w:highlight w:val="none"/>
                <w:vertAlign w:val="baseline"/>
              </w:rPr>
            </w:pPr>
          </w:p>
        </w:tc>
      </w:tr>
      <w:tr w14:paraId="3A1A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C18797">
            <w:pPr>
              <w:jc w:val="center"/>
              <w:rPr>
                <w:rFonts w:hint="default"/>
                <w:highlight w:val="none"/>
                <w:vertAlign w:val="baseline"/>
                <w:lang w:val="en-US" w:eastAsia="zh-CN"/>
              </w:rPr>
            </w:pPr>
            <w:r>
              <w:rPr>
                <w:rFonts w:hint="eastAsia"/>
                <w:highlight w:val="none"/>
                <w:vertAlign w:val="baseline"/>
                <w:lang w:val="en-US" w:eastAsia="zh-CN"/>
              </w:rPr>
              <w:t>383</w:t>
            </w:r>
          </w:p>
        </w:tc>
        <w:tc>
          <w:tcPr>
            <w:tcW w:w="1690" w:type="dxa"/>
            <w:noWrap w:val="0"/>
            <w:vAlign w:val="center"/>
          </w:tcPr>
          <w:p w14:paraId="4C9CA0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初中电路实验箱</w:t>
            </w:r>
          </w:p>
        </w:tc>
        <w:tc>
          <w:tcPr>
            <w:tcW w:w="5928" w:type="dxa"/>
            <w:noWrap w:val="0"/>
            <w:vAlign w:val="center"/>
          </w:tcPr>
          <w:p w14:paraId="6C33FFA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模块化插接式，不需用导线连接，可完成串联、并联电路等</w:t>
            </w:r>
          </w:p>
        </w:tc>
        <w:tc>
          <w:tcPr>
            <w:tcW w:w="736" w:type="dxa"/>
            <w:noWrap w:val="0"/>
            <w:vAlign w:val="center"/>
          </w:tcPr>
          <w:p w14:paraId="3E07C94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BB694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5EB4D7BB">
            <w:pPr>
              <w:jc w:val="center"/>
              <w:rPr>
                <w:highlight w:val="none"/>
              </w:rPr>
            </w:pPr>
          </w:p>
        </w:tc>
        <w:tc>
          <w:tcPr>
            <w:tcW w:w="710" w:type="dxa"/>
            <w:gridSpan w:val="2"/>
            <w:noWrap w:val="0"/>
            <w:vAlign w:val="center"/>
          </w:tcPr>
          <w:p w14:paraId="138EA954">
            <w:pPr>
              <w:jc w:val="both"/>
              <w:rPr>
                <w:highlight w:val="none"/>
                <w:vertAlign w:val="baseline"/>
              </w:rPr>
            </w:pPr>
          </w:p>
        </w:tc>
      </w:tr>
      <w:tr w14:paraId="0BE9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717334">
            <w:pPr>
              <w:jc w:val="center"/>
              <w:rPr>
                <w:rFonts w:hint="default"/>
                <w:highlight w:val="none"/>
                <w:vertAlign w:val="baseline"/>
                <w:lang w:val="en-US" w:eastAsia="zh-CN"/>
              </w:rPr>
            </w:pPr>
            <w:r>
              <w:rPr>
                <w:rFonts w:hint="eastAsia"/>
                <w:highlight w:val="none"/>
                <w:vertAlign w:val="baseline"/>
                <w:lang w:val="en-US" w:eastAsia="zh-CN"/>
              </w:rPr>
              <w:t>384</w:t>
            </w:r>
          </w:p>
        </w:tc>
        <w:tc>
          <w:tcPr>
            <w:tcW w:w="1690" w:type="dxa"/>
            <w:noWrap w:val="0"/>
            <w:vAlign w:val="center"/>
          </w:tcPr>
          <w:p w14:paraId="15534D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电路设计实验套装</w:t>
            </w:r>
          </w:p>
        </w:tc>
        <w:tc>
          <w:tcPr>
            <w:tcW w:w="5928" w:type="dxa"/>
            <w:noWrap w:val="0"/>
            <w:vAlign w:val="center"/>
          </w:tcPr>
          <w:p w14:paraId="7943F63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包含电机、小灯泡、蜂鸣器、干簧管、开关等部件</w:t>
            </w:r>
          </w:p>
        </w:tc>
        <w:tc>
          <w:tcPr>
            <w:tcW w:w="736" w:type="dxa"/>
            <w:noWrap w:val="0"/>
            <w:vAlign w:val="center"/>
          </w:tcPr>
          <w:p w14:paraId="42510A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994C6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2EA9A925">
            <w:pPr>
              <w:jc w:val="center"/>
              <w:rPr>
                <w:highlight w:val="none"/>
              </w:rPr>
            </w:pPr>
          </w:p>
        </w:tc>
        <w:tc>
          <w:tcPr>
            <w:tcW w:w="710" w:type="dxa"/>
            <w:gridSpan w:val="2"/>
            <w:noWrap w:val="0"/>
            <w:vAlign w:val="center"/>
          </w:tcPr>
          <w:p w14:paraId="0FF1F9B7">
            <w:pPr>
              <w:jc w:val="both"/>
              <w:rPr>
                <w:highlight w:val="none"/>
                <w:vertAlign w:val="baseline"/>
              </w:rPr>
            </w:pPr>
          </w:p>
        </w:tc>
      </w:tr>
      <w:tr w14:paraId="37D0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1BE2AF">
            <w:pPr>
              <w:jc w:val="center"/>
              <w:rPr>
                <w:rFonts w:hint="default"/>
                <w:highlight w:val="none"/>
                <w:vertAlign w:val="baseline"/>
                <w:lang w:val="en-US" w:eastAsia="zh-CN"/>
              </w:rPr>
            </w:pPr>
            <w:r>
              <w:rPr>
                <w:rFonts w:hint="eastAsia"/>
                <w:highlight w:val="none"/>
                <w:vertAlign w:val="baseline"/>
                <w:lang w:val="en-US" w:eastAsia="zh-CN"/>
              </w:rPr>
              <w:t>385</w:t>
            </w:r>
          </w:p>
        </w:tc>
        <w:tc>
          <w:tcPr>
            <w:tcW w:w="1690" w:type="dxa"/>
            <w:noWrap w:val="0"/>
            <w:vAlign w:val="center"/>
          </w:tcPr>
          <w:p w14:paraId="374E68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焦耳定律演示器（新款）</w:t>
            </w:r>
          </w:p>
        </w:tc>
        <w:tc>
          <w:tcPr>
            <w:tcW w:w="5928" w:type="dxa"/>
            <w:noWrap w:val="0"/>
            <w:vAlign w:val="center"/>
          </w:tcPr>
          <w:p w14:paraId="02E57A6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液体式，温度、电流、时间均采用数字显示，电阻圈三只</w:t>
            </w:r>
          </w:p>
        </w:tc>
        <w:tc>
          <w:tcPr>
            <w:tcW w:w="736" w:type="dxa"/>
            <w:noWrap w:val="0"/>
            <w:vAlign w:val="center"/>
          </w:tcPr>
          <w:p w14:paraId="719721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0ADF8C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0804DCB">
            <w:pPr>
              <w:jc w:val="center"/>
              <w:rPr>
                <w:highlight w:val="none"/>
              </w:rPr>
            </w:pPr>
          </w:p>
        </w:tc>
        <w:tc>
          <w:tcPr>
            <w:tcW w:w="710" w:type="dxa"/>
            <w:gridSpan w:val="2"/>
            <w:noWrap w:val="0"/>
            <w:vAlign w:val="center"/>
          </w:tcPr>
          <w:p w14:paraId="4EBB7992">
            <w:pPr>
              <w:jc w:val="both"/>
              <w:rPr>
                <w:highlight w:val="none"/>
                <w:vertAlign w:val="baseline"/>
              </w:rPr>
            </w:pPr>
          </w:p>
        </w:tc>
      </w:tr>
      <w:tr w14:paraId="395D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D65E38">
            <w:pPr>
              <w:jc w:val="center"/>
              <w:rPr>
                <w:rFonts w:hint="default"/>
                <w:highlight w:val="none"/>
                <w:vertAlign w:val="baseline"/>
                <w:lang w:val="en-US" w:eastAsia="zh-CN"/>
              </w:rPr>
            </w:pPr>
            <w:r>
              <w:rPr>
                <w:rFonts w:hint="eastAsia"/>
                <w:highlight w:val="none"/>
                <w:vertAlign w:val="baseline"/>
                <w:lang w:val="en-US" w:eastAsia="zh-CN"/>
              </w:rPr>
              <w:t>386</w:t>
            </w:r>
          </w:p>
        </w:tc>
        <w:tc>
          <w:tcPr>
            <w:tcW w:w="1690" w:type="dxa"/>
            <w:noWrap w:val="0"/>
            <w:vAlign w:val="center"/>
          </w:tcPr>
          <w:p w14:paraId="3A3391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焦耳定律实验器(新款）</w:t>
            </w:r>
          </w:p>
        </w:tc>
        <w:tc>
          <w:tcPr>
            <w:tcW w:w="5928" w:type="dxa"/>
            <w:noWrap w:val="0"/>
            <w:vAlign w:val="center"/>
          </w:tcPr>
          <w:p w14:paraId="1209646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包括温度计、塑料容器、电热丝及并联电阻等；温度计测量范围不小于 0 ℃～100 ℃，分度值为 1 ℃，误差≤±1 ℃</w:t>
            </w:r>
          </w:p>
        </w:tc>
        <w:tc>
          <w:tcPr>
            <w:tcW w:w="736" w:type="dxa"/>
            <w:noWrap w:val="0"/>
            <w:vAlign w:val="center"/>
          </w:tcPr>
          <w:p w14:paraId="4C097C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FEA58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249B973">
            <w:pPr>
              <w:jc w:val="center"/>
              <w:rPr>
                <w:highlight w:val="none"/>
              </w:rPr>
            </w:pPr>
          </w:p>
        </w:tc>
        <w:tc>
          <w:tcPr>
            <w:tcW w:w="710" w:type="dxa"/>
            <w:gridSpan w:val="2"/>
            <w:noWrap w:val="0"/>
            <w:vAlign w:val="center"/>
          </w:tcPr>
          <w:p w14:paraId="7F72235A">
            <w:pPr>
              <w:jc w:val="both"/>
              <w:rPr>
                <w:highlight w:val="none"/>
                <w:vertAlign w:val="baseline"/>
              </w:rPr>
            </w:pPr>
          </w:p>
        </w:tc>
      </w:tr>
      <w:tr w14:paraId="4F28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F621DC8">
            <w:pPr>
              <w:jc w:val="center"/>
              <w:rPr>
                <w:rFonts w:hint="default"/>
                <w:highlight w:val="none"/>
                <w:vertAlign w:val="baseline"/>
                <w:lang w:val="en-US" w:eastAsia="zh-CN"/>
              </w:rPr>
            </w:pPr>
            <w:r>
              <w:rPr>
                <w:rFonts w:hint="eastAsia"/>
                <w:highlight w:val="none"/>
                <w:vertAlign w:val="baseline"/>
                <w:lang w:val="en-US" w:eastAsia="zh-CN"/>
              </w:rPr>
              <w:t>387</w:t>
            </w:r>
          </w:p>
        </w:tc>
        <w:tc>
          <w:tcPr>
            <w:tcW w:w="1690" w:type="dxa"/>
            <w:noWrap w:val="0"/>
            <w:vAlign w:val="center"/>
          </w:tcPr>
          <w:p w14:paraId="41EF0D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家庭电路示教板</w:t>
            </w:r>
          </w:p>
        </w:tc>
        <w:tc>
          <w:tcPr>
            <w:tcW w:w="5928" w:type="dxa"/>
            <w:noWrap w:val="0"/>
            <w:vAlign w:val="center"/>
          </w:tcPr>
          <w:p w14:paraId="2C28E1D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示教板竖立在桌上，带剩余电流的过电流保护器（空气开关）</w:t>
            </w:r>
          </w:p>
        </w:tc>
        <w:tc>
          <w:tcPr>
            <w:tcW w:w="736" w:type="dxa"/>
            <w:noWrap w:val="0"/>
            <w:vAlign w:val="center"/>
          </w:tcPr>
          <w:p w14:paraId="6E708A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41C91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934FCBE">
            <w:pPr>
              <w:jc w:val="center"/>
              <w:rPr>
                <w:highlight w:val="none"/>
              </w:rPr>
            </w:pPr>
          </w:p>
        </w:tc>
        <w:tc>
          <w:tcPr>
            <w:tcW w:w="710" w:type="dxa"/>
            <w:gridSpan w:val="2"/>
            <w:noWrap w:val="0"/>
            <w:vAlign w:val="center"/>
          </w:tcPr>
          <w:p w14:paraId="06F32383">
            <w:pPr>
              <w:jc w:val="both"/>
              <w:rPr>
                <w:highlight w:val="none"/>
                <w:vertAlign w:val="baseline"/>
              </w:rPr>
            </w:pPr>
          </w:p>
        </w:tc>
      </w:tr>
      <w:tr w14:paraId="739A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EC8168E">
            <w:pPr>
              <w:jc w:val="center"/>
              <w:rPr>
                <w:rFonts w:hint="default"/>
                <w:highlight w:val="none"/>
                <w:vertAlign w:val="baseline"/>
                <w:lang w:val="en-US" w:eastAsia="zh-CN"/>
              </w:rPr>
            </w:pPr>
            <w:r>
              <w:rPr>
                <w:rFonts w:hint="eastAsia"/>
                <w:highlight w:val="none"/>
                <w:vertAlign w:val="baseline"/>
                <w:lang w:val="en-US" w:eastAsia="zh-CN"/>
              </w:rPr>
              <w:t>388</w:t>
            </w:r>
          </w:p>
        </w:tc>
        <w:tc>
          <w:tcPr>
            <w:tcW w:w="1690" w:type="dxa"/>
            <w:noWrap w:val="0"/>
            <w:vAlign w:val="center"/>
          </w:tcPr>
          <w:p w14:paraId="17C83A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家庭电路示教板</w:t>
            </w:r>
          </w:p>
        </w:tc>
        <w:tc>
          <w:tcPr>
            <w:tcW w:w="5928" w:type="dxa"/>
            <w:noWrap w:val="0"/>
            <w:vAlign w:val="center"/>
          </w:tcPr>
          <w:p w14:paraId="3454CFD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配电部分：三线 10 A 插头与电网连接，带剩余电流保护器的过电流保护器（空气开关）、单相静止式有功电能表（2.0 级，5 A）。负荷部分：三极和二极插座、三极和二极插头、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螺口灯座（E27）1 个、插口灯座（E27）1 个、E27LED 螺口灯泡、卡口－螺口转换器（有卡口灯座时配）、倒扳开关、拉线开关、宜有声控开关和光控开关。火线用红色，零线用蓝色，保护地线用黄绿双色。示教板应能竖立在桌上。开关电极应为左面是零线，右面是火线，三极插座上面是保护接地线。底板可用木板或塑料板</w:t>
            </w:r>
          </w:p>
        </w:tc>
        <w:tc>
          <w:tcPr>
            <w:tcW w:w="736" w:type="dxa"/>
            <w:noWrap w:val="0"/>
            <w:vAlign w:val="center"/>
          </w:tcPr>
          <w:p w14:paraId="58CE06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921D8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F68613E">
            <w:pPr>
              <w:jc w:val="center"/>
              <w:rPr>
                <w:highlight w:val="none"/>
              </w:rPr>
            </w:pPr>
          </w:p>
        </w:tc>
        <w:tc>
          <w:tcPr>
            <w:tcW w:w="710" w:type="dxa"/>
            <w:gridSpan w:val="2"/>
            <w:noWrap w:val="0"/>
            <w:vAlign w:val="center"/>
          </w:tcPr>
          <w:p w14:paraId="70CE2749">
            <w:pPr>
              <w:jc w:val="both"/>
              <w:rPr>
                <w:highlight w:val="none"/>
                <w:vertAlign w:val="baseline"/>
              </w:rPr>
            </w:pPr>
          </w:p>
        </w:tc>
      </w:tr>
      <w:tr w14:paraId="77BA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A7393F">
            <w:pPr>
              <w:jc w:val="center"/>
              <w:rPr>
                <w:rFonts w:hint="default"/>
                <w:highlight w:val="none"/>
                <w:vertAlign w:val="baseline"/>
                <w:lang w:val="en-US" w:eastAsia="zh-CN"/>
              </w:rPr>
            </w:pPr>
            <w:r>
              <w:rPr>
                <w:rFonts w:hint="eastAsia"/>
                <w:highlight w:val="none"/>
                <w:vertAlign w:val="baseline"/>
                <w:lang w:val="en-US" w:eastAsia="zh-CN"/>
              </w:rPr>
              <w:t>389</w:t>
            </w:r>
          </w:p>
        </w:tc>
        <w:tc>
          <w:tcPr>
            <w:tcW w:w="1690" w:type="dxa"/>
            <w:noWrap w:val="0"/>
            <w:vAlign w:val="center"/>
          </w:tcPr>
          <w:p w14:paraId="05C959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安全用电示教板</w:t>
            </w:r>
          </w:p>
        </w:tc>
        <w:tc>
          <w:tcPr>
            <w:tcW w:w="5928" w:type="dxa"/>
            <w:noWrap w:val="0"/>
            <w:vAlign w:val="center"/>
          </w:tcPr>
          <w:p w14:paraId="58C2DF7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 V 供电，能演示安全用电</w:t>
            </w:r>
          </w:p>
        </w:tc>
        <w:tc>
          <w:tcPr>
            <w:tcW w:w="736" w:type="dxa"/>
            <w:noWrap w:val="0"/>
            <w:vAlign w:val="center"/>
          </w:tcPr>
          <w:p w14:paraId="252070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58D7A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DF21E00">
            <w:pPr>
              <w:jc w:val="center"/>
              <w:rPr>
                <w:highlight w:val="none"/>
              </w:rPr>
            </w:pPr>
          </w:p>
        </w:tc>
        <w:tc>
          <w:tcPr>
            <w:tcW w:w="710" w:type="dxa"/>
            <w:gridSpan w:val="2"/>
            <w:noWrap w:val="0"/>
            <w:vAlign w:val="center"/>
          </w:tcPr>
          <w:p w14:paraId="5597FC2C">
            <w:pPr>
              <w:jc w:val="both"/>
              <w:rPr>
                <w:highlight w:val="none"/>
                <w:vertAlign w:val="baseline"/>
              </w:rPr>
            </w:pPr>
          </w:p>
        </w:tc>
      </w:tr>
      <w:tr w14:paraId="2AA6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660A66">
            <w:pPr>
              <w:jc w:val="center"/>
              <w:rPr>
                <w:rFonts w:hint="default"/>
                <w:highlight w:val="none"/>
                <w:vertAlign w:val="baseline"/>
                <w:lang w:val="en-US" w:eastAsia="zh-CN"/>
              </w:rPr>
            </w:pPr>
            <w:r>
              <w:rPr>
                <w:rFonts w:hint="eastAsia"/>
                <w:highlight w:val="none"/>
                <w:vertAlign w:val="baseline"/>
                <w:lang w:val="en-US" w:eastAsia="zh-CN"/>
              </w:rPr>
              <w:t>390</w:t>
            </w:r>
          </w:p>
        </w:tc>
        <w:tc>
          <w:tcPr>
            <w:tcW w:w="1690" w:type="dxa"/>
            <w:noWrap w:val="0"/>
            <w:vAlign w:val="center"/>
          </w:tcPr>
          <w:p w14:paraId="79AC2E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高压电弧触电示教板</w:t>
            </w:r>
          </w:p>
        </w:tc>
        <w:tc>
          <w:tcPr>
            <w:tcW w:w="5928" w:type="dxa"/>
            <w:noWrap w:val="0"/>
            <w:vAlign w:val="center"/>
          </w:tcPr>
          <w:p w14:paraId="73347BA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变压器，高压输电线，人与高压线的距离25～50mm可调</w:t>
            </w:r>
          </w:p>
        </w:tc>
        <w:tc>
          <w:tcPr>
            <w:tcW w:w="736" w:type="dxa"/>
            <w:noWrap w:val="0"/>
            <w:vAlign w:val="center"/>
          </w:tcPr>
          <w:p w14:paraId="100BEA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97D84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FA3EB54">
            <w:pPr>
              <w:jc w:val="center"/>
              <w:rPr>
                <w:highlight w:val="none"/>
              </w:rPr>
            </w:pPr>
          </w:p>
        </w:tc>
        <w:tc>
          <w:tcPr>
            <w:tcW w:w="710" w:type="dxa"/>
            <w:gridSpan w:val="2"/>
            <w:noWrap w:val="0"/>
            <w:vAlign w:val="center"/>
          </w:tcPr>
          <w:p w14:paraId="56284E11">
            <w:pPr>
              <w:jc w:val="both"/>
              <w:rPr>
                <w:highlight w:val="none"/>
                <w:vertAlign w:val="baseline"/>
              </w:rPr>
            </w:pPr>
          </w:p>
        </w:tc>
      </w:tr>
      <w:tr w14:paraId="45F1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B26A23">
            <w:pPr>
              <w:jc w:val="center"/>
              <w:rPr>
                <w:rFonts w:hint="default"/>
                <w:highlight w:val="none"/>
                <w:vertAlign w:val="baseline"/>
                <w:lang w:val="en-US" w:eastAsia="zh-CN"/>
              </w:rPr>
            </w:pPr>
            <w:r>
              <w:rPr>
                <w:rFonts w:hint="eastAsia"/>
                <w:highlight w:val="none"/>
                <w:vertAlign w:val="baseline"/>
                <w:lang w:val="en-US" w:eastAsia="zh-CN"/>
              </w:rPr>
              <w:t>391</w:t>
            </w:r>
          </w:p>
        </w:tc>
        <w:tc>
          <w:tcPr>
            <w:tcW w:w="1690" w:type="dxa"/>
            <w:noWrap w:val="0"/>
            <w:vAlign w:val="center"/>
          </w:tcPr>
          <w:p w14:paraId="65631A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保险丝作用演示器</w:t>
            </w:r>
          </w:p>
        </w:tc>
        <w:tc>
          <w:tcPr>
            <w:tcW w:w="5928" w:type="dxa"/>
            <w:noWrap w:val="0"/>
            <w:vAlign w:val="center"/>
          </w:tcPr>
          <w:p w14:paraId="020C8F6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示教版带电流表</w:t>
            </w:r>
          </w:p>
        </w:tc>
        <w:tc>
          <w:tcPr>
            <w:tcW w:w="736" w:type="dxa"/>
            <w:noWrap w:val="0"/>
            <w:vAlign w:val="center"/>
          </w:tcPr>
          <w:p w14:paraId="3C761F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C457F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7FD98E0">
            <w:pPr>
              <w:jc w:val="center"/>
              <w:rPr>
                <w:highlight w:val="none"/>
              </w:rPr>
            </w:pPr>
          </w:p>
        </w:tc>
        <w:tc>
          <w:tcPr>
            <w:tcW w:w="710" w:type="dxa"/>
            <w:gridSpan w:val="2"/>
            <w:noWrap w:val="0"/>
            <w:vAlign w:val="center"/>
          </w:tcPr>
          <w:p w14:paraId="59A83C54">
            <w:pPr>
              <w:jc w:val="both"/>
              <w:rPr>
                <w:highlight w:val="none"/>
                <w:vertAlign w:val="baseline"/>
              </w:rPr>
            </w:pPr>
          </w:p>
        </w:tc>
      </w:tr>
      <w:tr w14:paraId="336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BF75054">
            <w:pPr>
              <w:jc w:val="center"/>
              <w:rPr>
                <w:rFonts w:hint="default"/>
                <w:highlight w:val="none"/>
                <w:vertAlign w:val="baseline"/>
                <w:lang w:val="en-US" w:eastAsia="zh-CN"/>
              </w:rPr>
            </w:pPr>
            <w:r>
              <w:rPr>
                <w:rFonts w:hint="eastAsia"/>
                <w:highlight w:val="none"/>
                <w:vertAlign w:val="baseline"/>
                <w:lang w:val="en-US" w:eastAsia="zh-CN"/>
              </w:rPr>
              <w:t>392</w:t>
            </w:r>
          </w:p>
        </w:tc>
        <w:tc>
          <w:tcPr>
            <w:tcW w:w="1690" w:type="dxa"/>
            <w:noWrap w:val="0"/>
            <w:vAlign w:val="center"/>
          </w:tcPr>
          <w:p w14:paraId="6049B0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能的转化演示器</w:t>
            </w:r>
          </w:p>
        </w:tc>
        <w:tc>
          <w:tcPr>
            <w:tcW w:w="5928" w:type="dxa"/>
            <w:noWrap w:val="0"/>
            <w:vAlign w:val="center"/>
          </w:tcPr>
          <w:p w14:paraId="14DB8DB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磁吸式模块，有风力、照明灯、太阳能电池、发光二极管、电压表、镍氢蓄电池、灯泡、半导体制冷/温差发电、机械能—电能等</w:t>
            </w:r>
          </w:p>
        </w:tc>
        <w:tc>
          <w:tcPr>
            <w:tcW w:w="736" w:type="dxa"/>
            <w:noWrap w:val="0"/>
            <w:vAlign w:val="center"/>
          </w:tcPr>
          <w:p w14:paraId="2D47FF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089F1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4E7FF92">
            <w:pPr>
              <w:jc w:val="center"/>
              <w:rPr>
                <w:highlight w:val="none"/>
              </w:rPr>
            </w:pPr>
          </w:p>
        </w:tc>
        <w:tc>
          <w:tcPr>
            <w:tcW w:w="710" w:type="dxa"/>
            <w:gridSpan w:val="2"/>
            <w:noWrap w:val="0"/>
            <w:vAlign w:val="center"/>
          </w:tcPr>
          <w:p w14:paraId="329AF492">
            <w:pPr>
              <w:jc w:val="both"/>
              <w:rPr>
                <w:highlight w:val="none"/>
                <w:vertAlign w:val="baseline"/>
              </w:rPr>
            </w:pPr>
          </w:p>
        </w:tc>
      </w:tr>
      <w:tr w14:paraId="2364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5A99C6">
            <w:pPr>
              <w:jc w:val="center"/>
              <w:rPr>
                <w:rFonts w:hint="default"/>
                <w:highlight w:val="none"/>
                <w:vertAlign w:val="baseline"/>
                <w:lang w:val="en-US" w:eastAsia="zh-CN"/>
              </w:rPr>
            </w:pPr>
            <w:r>
              <w:rPr>
                <w:rFonts w:hint="eastAsia"/>
                <w:highlight w:val="none"/>
                <w:vertAlign w:val="baseline"/>
                <w:lang w:val="en-US" w:eastAsia="zh-CN"/>
              </w:rPr>
              <w:t>393</w:t>
            </w:r>
          </w:p>
        </w:tc>
        <w:tc>
          <w:tcPr>
            <w:tcW w:w="1690" w:type="dxa"/>
            <w:noWrap w:val="0"/>
            <w:vAlign w:val="center"/>
          </w:tcPr>
          <w:p w14:paraId="1D679B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能的转化实验器</w:t>
            </w:r>
          </w:p>
        </w:tc>
        <w:tc>
          <w:tcPr>
            <w:tcW w:w="5928" w:type="dxa"/>
            <w:noWrap w:val="0"/>
            <w:vAlign w:val="center"/>
          </w:tcPr>
          <w:p w14:paraId="5890E9C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机械能－电能模块 2 个、风力发电模块 1 个、镍氢蓄电池模块 1 个、太阳能电池模块 1 个、发光二极管显示模块 1 个、白炽灯模块 1 个、半导体制冷 (热)/温差发电模块 1 个、电压指示模块 1 个。选配：斯特林发动机模型 1个、专用电源（12 V/4 A）1 个（半导体致冷实验用）</w:t>
            </w:r>
          </w:p>
        </w:tc>
        <w:tc>
          <w:tcPr>
            <w:tcW w:w="736" w:type="dxa"/>
            <w:noWrap w:val="0"/>
            <w:vAlign w:val="center"/>
          </w:tcPr>
          <w:p w14:paraId="515677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797AC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4FC8A2F9">
            <w:pPr>
              <w:jc w:val="center"/>
              <w:rPr>
                <w:highlight w:val="none"/>
              </w:rPr>
            </w:pPr>
          </w:p>
        </w:tc>
        <w:tc>
          <w:tcPr>
            <w:tcW w:w="710" w:type="dxa"/>
            <w:gridSpan w:val="2"/>
            <w:noWrap w:val="0"/>
            <w:vAlign w:val="center"/>
          </w:tcPr>
          <w:p w14:paraId="78E0D3B8">
            <w:pPr>
              <w:jc w:val="both"/>
              <w:rPr>
                <w:highlight w:val="none"/>
                <w:vertAlign w:val="baseline"/>
              </w:rPr>
            </w:pPr>
          </w:p>
        </w:tc>
      </w:tr>
      <w:tr w14:paraId="7680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48FD2F5">
            <w:pPr>
              <w:jc w:val="center"/>
              <w:rPr>
                <w:rFonts w:hint="default"/>
                <w:highlight w:val="none"/>
                <w:vertAlign w:val="baseline"/>
                <w:lang w:val="en-US" w:eastAsia="zh-CN"/>
              </w:rPr>
            </w:pPr>
            <w:r>
              <w:rPr>
                <w:rFonts w:hint="eastAsia"/>
                <w:highlight w:val="none"/>
                <w:vertAlign w:val="baseline"/>
                <w:lang w:val="en-US" w:eastAsia="zh-CN"/>
              </w:rPr>
              <w:t>394</w:t>
            </w:r>
          </w:p>
        </w:tc>
        <w:tc>
          <w:tcPr>
            <w:tcW w:w="1690" w:type="dxa"/>
            <w:noWrap w:val="0"/>
            <w:vAlign w:val="center"/>
          </w:tcPr>
          <w:p w14:paraId="1A367A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水轮机模型</w:t>
            </w:r>
          </w:p>
        </w:tc>
        <w:tc>
          <w:tcPr>
            <w:tcW w:w="5928" w:type="dxa"/>
            <w:noWrap w:val="0"/>
            <w:vAlign w:val="center"/>
          </w:tcPr>
          <w:p w14:paraId="2913FAE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含混流式、轴流式、冲击式（水斗式）等；混流式和轴流式含水槽，注满水到水流尽，叶轮能连续转动 15 s；冲击式需水流量≤0.05 L/s</w:t>
            </w:r>
          </w:p>
        </w:tc>
        <w:tc>
          <w:tcPr>
            <w:tcW w:w="736" w:type="dxa"/>
            <w:noWrap w:val="0"/>
            <w:vAlign w:val="center"/>
          </w:tcPr>
          <w:p w14:paraId="479693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83FCA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FA0B32A">
            <w:pPr>
              <w:jc w:val="center"/>
              <w:rPr>
                <w:highlight w:val="none"/>
              </w:rPr>
            </w:pPr>
          </w:p>
        </w:tc>
        <w:tc>
          <w:tcPr>
            <w:tcW w:w="710" w:type="dxa"/>
            <w:gridSpan w:val="2"/>
            <w:noWrap w:val="0"/>
            <w:vAlign w:val="center"/>
          </w:tcPr>
          <w:p w14:paraId="6F3685B6">
            <w:pPr>
              <w:jc w:val="both"/>
              <w:rPr>
                <w:highlight w:val="none"/>
                <w:vertAlign w:val="baseline"/>
              </w:rPr>
            </w:pPr>
          </w:p>
        </w:tc>
      </w:tr>
      <w:tr w14:paraId="2B81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9296DA">
            <w:pPr>
              <w:jc w:val="center"/>
              <w:rPr>
                <w:rFonts w:hint="default"/>
                <w:highlight w:val="none"/>
                <w:vertAlign w:val="baseline"/>
                <w:lang w:val="en-US" w:eastAsia="zh-CN"/>
              </w:rPr>
            </w:pPr>
            <w:r>
              <w:rPr>
                <w:rFonts w:hint="eastAsia"/>
                <w:highlight w:val="none"/>
                <w:vertAlign w:val="baseline"/>
                <w:lang w:val="en-US" w:eastAsia="zh-CN"/>
              </w:rPr>
              <w:t>395</w:t>
            </w:r>
          </w:p>
        </w:tc>
        <w:tc>
          <w:tcPr>
            <w:tcW w:w="1690" w:type="dxa"/>
            <w:noWrap w:val="0"/>
            <w:vAlign w:val="center"/>
          </w:tcPr>
          <w:p w14:paraId="68DF390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铁粉</w:t>
            </w:r>
          </w:p>
        </w:tc>
        <w:tc>
          <w:tcPr>
            <w:tcW w:w="5928" w:type="dxa"/>
            <w:noWrap w:val="0"/>
            <w:vAlign w:val="center"/>
          </w:tcPr>
          <w:p w14:paraId="12D7867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w:t>
            </w:r>
          </w:p>
        </w:tc>
        <w:tc>
          <w:tcPr>
            <w:tcW w:w="736" w:type="dxa"/>
            <w:noWrap w:val="0"/>
            <w:vAlign w:val="center"/>
          </w:tcPr>
          <w:p w14:paraId="36FA94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405F6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0277E65">
            <w:pPr>
              <w:jc w:val="center"/>
              <w:rPr>
                <w:highlight w:val="none"/>
              </w:rPr>
            </w:pPr>
          </w:p>
        </w:tc>
        <w:tc>
          <w:tcPr>
            <w:tcW w:w="710" w:type="dxa"/>
            <w:gridSpan w:val="2"/>
            <w:noWrap w:val="0"/>
            <w:vAlign w:val="center"/>
          </w:tcPr>
          <w:p w14:paraId="2401E350">
            <w:pPr>
              <w:jc w:val="both"/>
              <w:rPr>
                <w:highlight w:val="none"/>
                <w:vertAlign w:val="baseline"/>
              </w:rPr>
            </w:pPr>
          </w:p>
        </w:tc>
      </w:tr>
      <w:tr w14:paraId="126A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44AEDB">
            <w:pPr>
              <w:jc w:val="center"/>
              <w:rPr>
                <w:rFonts w:hint="default"/>
                <w:highlight w:val="none"/>
                <w:vertAlign w:val="baseline"/>
                <w:lang w:val="en-US" w:eastAsia="zh-CN"/>
              </w:rPr>
            </w:pPr>
            <w:r>
              <w:rPr>
                <w:rFonts w:hint="eastAsia"/>
                <w:highlight w:val="none"/>
                <w:vertAlign w:val="baseline"/>
                <w:lang w:val="en-US" w:eastAsia="zh-CN"/>
              </w:rPr>
              <w:t>396</w:t>
            </w:r>
          </w:p>
        </w:tc>
        <w:tc>
          <w:tcPr>
            <w:tcW w:w="1690" w:type="dxa"/>
            <w:noWrap w:val="0"/>
            <w:vAlign w:val="center"/>
          </w:tcPr>
          <w:p w14:paraId="35156F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硫代硫酸钠</w:t>
            </w:r>
          </w:p>
        </w:tc>
        <w:tc>
          <w:tcPr>
            <w:tcW w:w="5928" w:type="dxa"/>
            <w:noWrap w:val="0"/>
            <w:vAlign w:val="center"/>
          </w:tcPr>
          <w:p w14:paraId="086C7D9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俗称海波，分析纯500g</w:t>
            </w:r>
          </w:p>
        </w:tc>
        <w:tc>
          <w:tcPr>
            <w:tcW w:w="736" w:type="dxa"/>
            <w:noWrap w:val="0"/>
            <w:vAlign w:val="center"/>
          </w:tcPr>
          <w:p w14:paraId="196F9F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7DDF08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28D6D37">
            <w:pPr>
              <w:jc w:val="center"/>
              <w:rPr>
                <w:highlight w:val="none"/>
              </w:rPr>
            </w:pPr>
          </w:p>
        </w:tc>
        <w:tc>
          <w:tcPr>
            <w:tcW w:w="710" w:type="dxa"/>
            <w:gridSpan w:val="2"/>
            <w:noWrap w:val="0"/>
            <w:vAlign w:val="center"/>
          </w:tcPr>
          <w:p w14:paraId="2A1954D5">
            <w:pPr>
              <w:jc w:val="both"/>
              <w:rPr>
                <w:highlight w:val="none"/>
                <w:vertAlign w:val="baseline"/>
              </w:rPr>
            </w:pPr>
          </w:p>
        </w:tc>
      </w:tr>
      <w:tr w14:paraId="016E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D08B7E">
            <w:pPr>
              <w:jc w:val="center"/>
              <w:rPr>
                <w:rFonts w:hint="default"/>
                <w:highlight w:val="none"/>
                <w:vertAlign w:val="baseline"/>
                <w:lang w:val="en-US" w:eastAsia="zh-CN"/>
              </w:rPr>
            </w:pPr>
            <w:r>
              <w:rPr>
                <w:rFonts w:hint="eastAsia"/>
                <w:highlight w:val="none"/>
                <w:vertAlign w:val="baseline"/>
                <w:lang w:val="en-US" w:eastAsia="zh-CN"/>
              </w:rPr>
              <w:t>397</w:t>
            </w:r>
          </w:p>
        </w:tc>
        <w:tc>
          <w:tcPr>
            <w:tcW w:w="1690" w:type="dxa"/>
            <w:noWrap w:val="0"/>
            <w:vAlign w:val="center"/>
          </w:tcPr>
          <w:p w14:paraId="1D3FB1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石蜡</w:t>
            </w:r>
          </w:p>
        </w:tc>
        <w:tc>
          <w:tcPr>
            <w:tcW w:w="5928" w:type="dxa"/>
            <w:noWrap w:val="0"/>
            <w:vAlign w:val="center"/>
          </w:tcPr>
          <w:p w14:paraId="7EFEA37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58E6E2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A58B2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43E1F74">
            <w:pPr>
              <w:jc w:val="center"/>
              <w:rPr>
                <w:highlight w:val="none"/>
              </w:rPr>
            </w:pPr>
          </w:p>
        </w:tc>
        <w:tc>
          <w:tcPr>
            <w:tcW w:w="710" w:type="dxa"/>
            <w:gridSpan w:val="2"/>
            <w:noWrap w:val="0"/>
            <w:vAlign w:val="center"/>
          </w:tcPr>
          <w:p w14:paraId="7CC5AADB">
            <w:pPr>
              <w:jc w:val="both"/>
              <w:rPr>
                <w:highlight w:val="none"/>
                <w:vertAlign w:val="baseline"/>
              </w:rPr>
            </w:pPr>
          </w:p>
        </w:tc>
      </w:tr>
      <w:tr w14:paraId="1EBB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36F590">
            <w:pPr>
              <w:jc w:val="center"/>
              <w:rPr>
                <w:rFonts w:hint="default"/>
                <w:highlight w:val="none"/>
                <w:vertAlign w:val="baseline"/>
                <w:lang w:val="en-US" w:eastAsia="zh-CN"/>
              </w:rPr>
            </w:pPr>
            <w:r>
              <w:rPr>
                <w:rFonts w:hint="eastAsia"/>
                <w:highlight w:val="none"/>
                <w:vertAlign w:val="baseline"/>
                <w:lang w:val="en-US" w:eastAsia="zh-CN"/>
              </w:rPr>
              <w:t>398</w:t>
            </w:r>
          </w:p>
        </w:tc>
        <w:tc>
          <w:tcPr>
            <w:tcW w:w="1690" w:type="dxa"/>
            <w:noWrap w:val="0"/>
            <w:vAlign w:val="center"/>
          </w:tcPr>
          <w:p w14:paraId="4A7EAF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蜂蜡</w:t>
            </w:r>
          </w:p>
        </w:tc>
        <w:tc>
          <w:tcPr>
            <w:tcW w:w="5928" w:type="dxa"/>
            <w:noWrap w:val="0"/>
            <w:vAlign w:val="center"/>
          </w:tcPr>
          <w:p w14:paraId="2315B78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w:t>
            </w:r>
          </w:p>
        </w:tc>
        <w:tc>
          <w:tcPr>
            <w:tcW w:w="736" w:type="dxa"/>
            <w:noWrap w:val="0"/>
            <w:vAlign w:val="center"/>
          </w:tcPr>
          <w:p w14:paraId="46B6E0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56383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E6333A4">
            <w:pPr>
              <w:jc w:val="center"/>
              <w:rPr>
                <w:highlight w:val="none"/>
              </w:rPr>
            </w:pPr>
          </w:p>
        </w:tc>
        <w:tc>
          <w:tcPr>
            <w:tcW w:w="710" w:type="dxa"/>
            <w:gridSpan w:val="2"/>
            <w:noWrap w:val="0"/>
            <w:vAlign w:val="center"/>
          </w:tcPr>
          <w:p w14:paraId="007D4C0E">
            <w:pPr>
              <w:jc w:val="both"/>
              <w:rPr>
                <w:highlight w:val="none"/>
                <w:vertAlign w:val="baseline"/>
              </w:rPr>
            </w:pPr>
          </w:p>
        </w:tc>
      </w:tr>
      <w:tr w14:paraId="1EFF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FFBC9D">
            <w:pPr>
              <w:jc w:val="center"/>
              <w:rPr>
                <w:rFonts w:hint="default"/>
                <w:highlight w:val="none"/>
                <w:vertAlign w:val="baseline"/>
                <w:lang w:val="en-US" w:eastAsia="zh-CN"/>
              </w:rPr>
            </w:pPr>
            <w:r>
              <w:rPr>
                <w:rFonts w:hint="eastAsia"/>
                <w:highlight w:val="none"/>
                <w:vertAlign w:val="baseline"/>
                <w:lang w:val="en-US" w:eastAsia="zh-CN"/>
              </w:rPr>
              <w:t>399</w:t>
            </w:r>
          </w:p>
        </w:tc>
        <w:tc>
          <w:tcPr>
            <w:tcW w:w="1690" w:type="dxa"/>
            <w:noWrap w:val="0"/>
            <w:vAlign w:val="center"/>
          </w:tcPr>
          <w:p w14:paraId="7DF5BF7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无水硫酸铜</w:t>
            </w:r>
          </w:p>
        </w:tc>
        <w:tc>
          <w:tcPr>
            <w:tcW w:w="5928" w:type="dxa"/>
            <w:noWrap w:val="0"/>
            <w:vAlign w:val="center"/>
          </w:tcPr>
          <w:p w14:paraId="124CEE4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4D46D8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9B2BE2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BB9987B">
            <w:pPr>
              <w:jc w:val="center"/>
              <w:rPr>
                <w:highlight w:val="none"/>
              </w:rPr>
            </w:pPr>
          </w:p>
        </w:tc>
        <w:tc>
          <w:tcPr>
            <w:tcW w:w="710" w:type="dxa"/>
            <w:gridSpan w:val="2"/>
            <w:noWrap w:val="0"/>
            <w:vAlign w:val="center"/>
          </w:tcPr>
          <w:p w14:paraId="001F8B46">
            <w:pPr>
              <w:jc w:val="both"/>
              <w:rPr>
                <w:highlight w:val="none"/>
                <w:vertAlign w:val="baseline"/>
              </w:rPr>
            </w:pPr>
          </w:p>
        </w:tc>
      </w:tr>
      <w:tr w14:paraId="58C7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A31274">
            <w:pPr>
              <w:jc w:val="center"/>
              <w:rPr>
                <w:rFonts w:hint="default"/>
                <w:highlight w:val="none"/>
                <w:vertAlign w:val="baseline"/>
                <w:lang w:val="en-US" w:eastAsia="zh-CN"/>
              </w:rPr>
            </w:pPr>
            <w:r>
              <w:rPr>
                <w:rFonts w:hint="eastAsia"/>
                <w:highlight w:val="none"/>
                <w:vertAlign w:val="baseline"/>
                <w:lang w:val="en-US" w:eastAsia="zh-CN"/>
              </w:rPr>
              <w:t>400</w:t>
            </w:r>
          </w:p>
        </w:tc>
        <w:tc>
          <w:tcPr>
            <w:tcW w:w="1690" w:type="dxa"/>
            <w:noWrap w:val="0"/>
            <w:vAlign w:val="center"/>
          </w:tcPr>
          <w:p w14:paraId="00A778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保险丝作用演示器</w:t>
            </w:r>
          </w:p>
        </w:tc>
        <w:tc>
          <w:tcPr>
            <w:tcW w:w="5928" w:type="dxa"/>
            <w:noWrap w:val="0"/>
            <w:vAlign w:val="center"/>
          </w:tcPr>
          <w:p w14:paraId="6E84074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示教版带电流表</w:t>
            </w:r>
          </w:p>
        </w:tc>
        <w:tc>
          <w:tcPr>
            <w:tcW w:w="736" w:type="dxa"/>
            <w:noWrap w:val="0"/>
            <w:vAlign w:val="center"/>
          </w:tcPr>
          <w:p w14:paraId="652A0D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CFD4B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180A7B2">
            <w:pPr>
              <w:jc w:val="center"/>
              <w:rPr>
                <w:highlight w:val="none"/>
              </w:rPr>
            </w:pPr>
          </w:p>
        </w:tc>
        <w:tc>
          <w:tcPr>
            <w:tcW w:w="710" w:type="dxa"/>
            <w:gridSpan w:val="2"/>
            <w:noWrap w:val="0"/>
            <w:vAlign w:val="center"/>
          </w:tcPr>
          <w:p w14:paraId="39D768FB">
            <w:pPr>
              <w:jc w:val="both"/>
              <w:rPr>
                <w:highlight w:val="none"/>
                <w:vertAlign w:val="baseline"/>
              </w:rPr>
            </w:pPr>
          </w:p>
        </w:tc>
      </w:tr>
      <w:tr w14:paraId="44A8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2A5966A">
            <w:pPr>
              <w:jc w:val="center"/>
              <w:rPr>
                <w:rFonts w:hint="default"/>
                <w:highlight w:val="none"/>
                <w:vertAlign w:val="baseline"/>
                <w:lang w:val="en-US" w:eastAsia="zh-CN"/>
              </w:rPr>
            </w:pPr>
            <w:r>
              <w:rPr>
                <w:rFonts w:hint="eastAsia"/>
                <w:highlight w:val="none"/>
                <w:vertAlign w:val="baseline"/>
                <w:lang w:val="en-US" w:eastAsia="zh-CN"/>
              </w:rPr>
              <w:t>401</w:t>
            </w:r>
          </w:p>
        </w:tc>
        <w:tc>
          <w:tcPr>
            <w:tcW w:w="1690" w:type="dxa"/>
            <w:noWrap w:val="0"/>
            <w:vAlign w:val="center"/>
          </w:tcPr>
          <w:p w14:paraId="0EA298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甘油</w:t>
            </w:r>
          </w:p>
        </w:tc>
        <w:tc>
          <w:tcPr>
            <w:tcW w:w="5928" w:type="dxa"/>
            <w:noWrap w:val="0"/>
            <w:vAlign w:val="center"/>
          </w:tcPr>
          <w:p w14:paraId="3B440C4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试剂500mL</w:t>
            </w:r>
          </w:p>
        </w:tc>
        <w:tc>
          <w:tcPr>
            <w:tcW w:w="736" w:type="dxa"/>
            <w:noWrap w:val="0"/>
            <w:vAlign w:val="center"/>
          </w:tcPr>
          <w:p w14:paraId="2A34FB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C1157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1486330">
            <w:pPr>
              <w:jc w:val="center"/>
              <w:rPr>
                <w:highlight w:val="none"/>
              </w:rPr>
            </w:pPr>
          </w:p>
        </w:tc>
        <w:tc>
          <w:tcPr>
            <w:tcW w:w="710" w:type="dxa"/>
            <w:gridSpan w:val="2"/>
            <w:noWrap w:val="0"/>
            <w:vAlign w:val="center"/>
          </w:tcPr>
          <w:p w14:paraId="633964A1">
            <w:pPr>
              <w:jc w:val="both"/>
              <w:rPr>
                <w:highlight w:val="none"/>
                <w:vertAlign w:val="baseline"/>
              </w:rPr>
            </w:pPr>
          </w:p>
        </w:tc>
      </w:tr>
      <w:tr w14:paraId="6076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4189" w:type="dxa"/>
            <w:gridSpan w:val="9"/>
            <w:noWrap w:val="0"/>
            <w:vAlign w:val="center"/>
          </w:tcPr>
          <w:p w14:paraId="45981264">
            <w:pPr>
              <w:jc w:val="both"/>
              <w:rPr>
                <w:highlight w:val="none"/>
                <w:vertAlign w:val="baseline"/>
              </w:rPr>
            </w:pPr>
            <w:r>
              <w:rPr>
                <w:rFonts w:hint="eastAsia"/>
                <w:b/>
                <w:bCs/>
                <w:sz w:val="30"/>
                <w:szCs w:val="30"/>
                <w:highlight w:val="none"/>
                <w:vertAlign w:val="baseline"/>
                <w:lang w:val="en-US" w:eastAsia="zh-CN"/>
              </w:rPr>
              <w:t>化学仪器及试剂</w:t>
            </w:r>
          </w:p>
        </w:tc>
      </w:tr>
      <w:tr w14:paraId="07E3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95" w:type="dxa"/>
            <w:noWrap w:val="0"/>
            <w:vAlign w:val="center"/>
          </w:tcPr>
          <w:p w14:paraId="456E4E8E">
            <w:pPr>
              <w:keepNext w:val="0"/>
              <w:keepLines w:val="0"/>
              <w:widowControl/>
              <w:suppressLineNumbers w:val="0"/>
              <w:jc w:val="center"/>
              <w:textAlignment w:val="center"/>
              <w:rPr>
                <w:rFonts w:hint="default"/>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6E2E94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2AEC72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6C8895F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634E8E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081902D9">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42017628">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1627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E63072">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2FF7CF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危险化学品储存柜</w:t>
            </w:r>
          </w:p>
        </w:tc>
        <w:tc>
          <w:tcPr>
            <w:tcW w:w="5928" w:type="dxa"/>
            <w:noWrap w:val="0"/>
            <w:vAlign w:val="center"/>
          </w:tcPr>
          <w:p w14:paraId="36AC5ED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仪器总尺寸为900mm宽×500mm深×1850mm高，防爆、防盗、阻 燃、耐腐蚀，带双锁</w:t>
            </w:r>
          </w:p>
        </w:tc>
        <w:tc>
          <w:tcPr>
            <w:tcW w:w="736" w:type="dxa"/>
            <w:noWrap w:val="0"/>
            <w:vAlign w:val="center"/>
          </w:tcPr>
          <w:p w14:paraId="6B3873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93C5EC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5165FBA">
            <w:pPr>
              <w:jc w:val="center"/>
              <w:rPr>
                <w:highlight w:val="none"/>
              </w:rPr>
            </w:pPr>
          </w:p>
        </w:tc>
        <w:tc>
          <w:tcPr>
            <w:tcW w:w="710" w:type="dxa"/>
            <w:gridSpan w:val="2"/>
            <w:noWrap w:val="0"/>
            <w:vAlign w:val="center"/>
          </w:tcPr>
          <w:p w14:paraId="74BDE1A1">
            <w:pPr>
              <w:jc w:val="both"/>
              <w:rPr>
                <w:highlight w:val="none"/>
                <w:vertAlign w:val="baseline"/>
              </w:rPr>
            </w:pPr>
          </w:p>
        </w:tc>
      </w:tr>
      <w:tr w14:paraId="25D9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2705DE">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326597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紧急喷淋器</w:t>
            </w:r>
          </w:p>
        </w:tc>
        <w:tc>
          <w:tcPr>
            <w:tcW w:w="5928" w:type="dxa"/>
            <w:noWrap w:val="0"/>
            <w:vAlign w:val="center"/>
          </w:tcPr>
          <w:p w14:paraId="083B0A0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w:t>
            </w:r>
          </w:p>
        </w:tc>
        <w:tc>
          <w:tcPr>
            <w:tcW w:w="736" w:type="dxa"/>
            <w:noWrap w:val="0"/>
            <w:vAlign w:val="center"/>
          </w:tcPr>
          <w:p w14:paraId="4A253E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F3E37C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25B33D9">
            <w:pPr>
              <w:jc w:val="center"/>
              <w:rPr>
                <w:highlight w:val="none"/>
              </w:rPr>
            </w:pPr>
          </w:p>
        </w:tc>
        <w:tc>
          <w:tcPr>
            <w:tcW w:w="710" w:type="dxa"/>
            <w:gridSpan w:val="2"/>
            <w:noWrap w:val="0"/>
            <w:vAlign w:val="center"/>
          </w:tcPr>
          <w:p w14:paraId="319262BA">
            <w:pPr>
              <w:jc w:val="both"/>
              <w:rPr>
                <w:highlight w:val="none"/>
                <w:vertAlign w:val="baseline"/>
              </w:rPr>
            </w:pPr>
          </w:p>
        </w:tc>
      </w:tr>
      <w:tr w14:paraId="03AA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E21777">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554043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洗眼器</w:t>
            </w:r>
          </w:p>
        </w:tc>
        <w:tc>
          <w:tcPr>
            <w:tcW w:w="5928" w:type="dxa"/>
            <w:noWrap w:val="0"/>
            <w:vAlign w:val="center"/>
          </w:tcPr>
          <w:p w14:paraId="7B80EA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台式双口，铜质阀门</w:t>
            </w:r>
          </w:p>
        </w:tc>
        <w:tc>
          <w:tcPr>
            <w:tcW w:w="736" w:type="dxa"/>
            <w:noWrap w:val="0"/>
            <w:vAlign w:val="center"/>
          </w:tcPr>
          <w:p w14:paraId="44F7EA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A466C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031DD1B">
            <w:pPr>
              <w:jc w:val="center"/>
              <w:rPr>
                <w:highlight w:val="none"/>
              </w:rPr>
            </w:pPr>
          </w:p>
        </w:tc>
        <w:tc>
          <w:tcPr>
            <w:tcW w:w="710" w:type="dxa"/>
            <w:gridSpan w:val="2"/>
            <w:noWrap w:val="0"/>
            <w:vAlign w:val="center"/>
          </w:tcPr>
          <w:p w14:paraId="7186C3C3">
            <w:pPr>
              <w:jc w:val="both"/>
              <w:rPr>
                <w:highlight w:val="none"/>
                <w:vertAlign w:val="baseline"/>
              </w:rPr>
            </w:pPr>
          </w:p>
        </w:tc>
      </w:tr>
      <w:tr w14:paraId="70CA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E61AC9">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2540D5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灭火毯</w:t>
            </w:r>
          </w:p>
        </w:tc>
        <w:tc>
          <w:tcPr>
            <w:tcW w:w="5928" w:type="dxa"/>
            <w:noWrap w:val="0"/>
            <w:vAlign w:val="center"/>
          </w:tcPr>
          <w:p w14:paraId="3548DEC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1200 mm×1800 mm</w:t>
            </w:r>
          </w:p>
        </w:tc>
        <w:tc>
          <w:tcPr>
            <w:tcW w:w="736" w:type="dxa"/>
            <w:noWrap w:val="0"/>
            <w:vAlign w:val="center"/>
          </w:tcPr>
          <w:p w14:paraId="00EE1F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5EE18A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801054A">
            <w:pPr>
              <w:jc w:val="center"/>
              <w:rPr>
                <w:highlight w:val="none"/>
              </w:rPr>
            </w:pPr>
          </w:p>
        </w:tc>
        <w:tc>
          <w:tcPr>
            <w:tcW w:w="710" w:type="dxa"/>
            <w:gridSpan w:val="2"/>
            <w:noWrap w:val="0"/>
            <w:vAlign w:val="center"/>
          </w:tcPr>
          <w:p w14:paraId="12960B71">
            <w:pPr>
              <w:jc w:val="both"/>
              <w:rPr>
                <w:highlight w:val="none"/>
                <w:vertAlign w:val="baseline"/>
              </w:rPr>
            </w:pPr>
          </w:p>
        </w:tc>
      </w:tr>
      <w:tr w14:paraId="2D9D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C7BE49">
            <w:pPr>
              <w:jc w:val="center"/>
              <w:rPr>
                <w:rFonts w:hint="default"/>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3394D2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简易急救箱</w:t>
            </w:r>
          </w:p>
        </w:tc>
        <w:tc>
          <w:tcPr>
            <w:tcW w:w="5928" w:type="dxa"/>
            <w:noWrap w:val="0"/>
            <w:vAlign w:val="center"/>
          </w:tcPr>
          <w:p w14:paraId="76E8697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塑料盒，常规要品</w:t>
            </w:r>
          </w:p>
        </w:tc>
        <w:tc>
          <w:tcPr>
            <w:tcW w:w="736" w:type="dxa"/>
            <w:noWrap w:val="0"/>
            <w:vAlign w:val="center"/>
          </w:tcPr>
          <w:p w14:paraId="724DB82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5EEA1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9456BB9">
            <w:pPr>
              <w:jc w:val="center"/>
              <w:rPr>
                <w:highlight w:val="none"/>
              </w:rPr>
            </w:pPr>
          </w:p>
        </w:tc>
        <w:tc>
          <w:tcPr>
            <w:tcW w:w="710" w:type="dxa"/>
            <w:gridSpan w:val="2"/>
            <w:noWrap w:val="0"/>
            <w:vAlign w:val="center"/>
          </w:tcPr>
          <w:p w14:paraId="2EE6B295">
            <w:pPr>
              <w:jc w:val="both"/>
              <w:rPr>
                <w:highlight w:val="none"/>
                <w:vertAlign w:val="baseline"/>
              </w:rPr>
            </w:pPr>
          </w:p>
        </w:tc>
      </w:tr>
      <w:tr w14:paraId="52EF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6E0211">
            <w:pPr>
              <w:jc w:val="center"/>
              <w:rPr>
                <w:rFonts w:hint="default"/>
                <w:highlight w:val="none"/>
                <w:vertAlign w:val="baseline"/>
                <w:lang w:val="en-US" w:eastAsia="zh-CN"/>
              </w:rPr>
            </w:pPr>
            <w:r>
              <w:rPr>
                <w:rFonts w:hint="eastAsia"/>
                <w:highlight w:val="none"/>
                <w:vertAlign w:val="baseline"/>
                <w:lang w:val="en-US" w:eastAsia="zh-CN"/>
              </w:rPr>
              <w:t>6</w:t>
            </w:r>
          </w:p>
        </w:tc>
        <w:tc>
          <w:tcPr>
            <w:tcW w:w="1690" w:type="dxa"/>
            <w:noWrap w:val="0"/>
            <w:vAlign w:val="center"/>
          </w:tcPr>
          <w:p w14:paraId="125A8F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实验服</w:t>
            </w:r>
          </w:p>
        </w:tc>
        <w:tc>
          <w:tcPr>
            <w:tcW w:w="5928" w:type="dxa"/>
            <w:noWrap w:val="0"/>
            <w:vAlign w:val="center"/>
          </w:tcPr>
          <w:p w14:paraId="569A329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白大褂</w:t>
            </w:r>
          </w:p>
        </w:tc>
        <w:tc>
          <w:tcPr>
            <w:tcW w:w="736" w:type="dxa"/>
            <w:noWrap w:val="0"/>
            <w:vAlign w:val="center"/>
          </w:tcPr>
          <w:p w14:paraId="31FFDF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0DA3AE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52</w:t>
            </w:r>
          </w:p>
        </w:tc>
        <w:tc>
          <w:tcPr>
            <w:tcW w:w="3396" w:type="dxa"/>
            <w:gridSpan w:val="2"/>
            <w:noWrap w:val="0"/>
            <w:vAlign w:val="center"/>
          </w:tcPr>
          <w:p w14:paraId="6F806F4A">
            <w:pPr>
              <w:jc w:val="center"/>
              <w:rPr>
                <w:highlight w:val="none"/>
              </w:rPr>
            </w:pPr>
          </w:p>
        </w:tc>
        <w:tc>
          <w:tcPr>
            <w:tcW w:w="710" w:type="dxa"/>
            <w:gridSpan w:val="2"/>
            <w:noWrap w:val="0"/>
            <w:vAlign w:val="center"/>
          </w:tcPr>
          <w:p w14:paraId="32AE948D">
            <w:pPr>
              <w:jc w:val="both"/>
              <w:rPr>
                <w:highlight w:val="none"/>
                <w:vertAlign w:val="baseline"/>
              </w:rPr>
            </w:pPr>
          </w:p>
        </w:tc>
      </w:tr>
      <w:tr w14:paraId="6260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0E4FFAC">
            <w:pPr>
              <w:jc w:val="center"/>
              <w:rPr>
                <w:rFonts w:hint="default"/>
                <w:highlight w:val="none"/>
                <w:vertAlign w:val="baseline"/>
                <w:lang w:val="en-US" w:eastAsia="zh-CN"/>
              </w:rPr>
            </w:pPr>
            <w:r>
              <w:rPr>
                <w:rFonts w:hint="eastAsia"/>
                <w:highlight w:val="none"/>
                <w:vertAlign w:val="baseline"/>
                <w:lang w:val="en-US" w:eastAsia="zh-CN"/>
              </w:rPr>
              <w:t>7</w:t>
            </w:r>
          </w:p>
        </w:tc>
        <w:tc>
          <w:tcPr>
            <w:tcW w:w="1690" w:type="dxa"/>
            <w:noWrap w:val="0"/>
            <w:vAlign w:val="center"/>
          </w:tcPr>
          <w:p w14:paraId="21006A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护目镜</w:t>
            </w:r>
          </w:p>
        </w:tc>
        <w:tc>
          <w:tcPr>
            <w:tcW w:w="5928" w:type="dxa"/>
            <w:noWrap w:val="0"/>
            <w:vAlign w:val="center"/>
          </w:tcPr>
          <w:p w14:paraId="1A09218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侧面完全遮挡</w:t>
            </w:r>
          </w:p>
        </w:tc>
        <w:tc>
          <w:tcPr>
            <w:tcW w:w="736" w:type="dxa"/>
            <w:noWrap w:val="0"/>
            <w:vAlign w:val="center"/>
          </w:tcPr>
          <w:p w14:paraId="70716C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5E382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52</w:t>
            </w:r>
          </w:p>
        </w:tc>
        <w:tc>
          <w:tcPr>
            <w:tcW w:w="3396" w:type="dxa"/>
            <w:gridSpan w:val="2"/>
            <w:noWrap w:val="0"/>
            <w:vAlign w:val="center"/>
          </w:tcPr>
          <w:p w14:paraId="5F0BB4EC">
            <w:pPr>
              <w:jc w:val="center"/>
              <w:rPr>
                <w:highlight w:val="none"/>
              </w:rPr>
            </w:pPr>
          </w:p>
        </w:tc>
        <w:tc>
          <w:tcPr>
            <w:tcW w:w="710" w:type="dxa"/>
            <w:gridSpan w:val="2"/>
            <w:noWrap w:val="0"/>
            <w:vAlign w:val="center"/>
          </w:tcPr>
          <w:p w14:paraId="3B36670F">
            <w:pPr>
              <w:jc w:val="both"/>
              <w:rPr>
                <w:highlight w:val="none"/>
                <w:vertAlign w:val="baseline"/>
              </w:rPr>
            </w:pPr>
          </w:p>
        </w:tc>
      </w:tr>
      <w:tr w14:paraId="5C67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1A46CD">
            <w:pPr>
              <w:jc w:val="center"/>
              <w:rPr>
                <w:rFonts w:hint="default"/>
                <w:highlight w:val="none"/>
                <w:vertAlign w:val="baseline"/>
                <w:lang w:val="en-US" w:eastAsia="zh-CN"/>
              </w:rPr>
            </w:pPr>
            <w:r>
              <w:rPr>
                <w:rFonts w:hint="eastAsia"/>
                <w:highlight w:val="none"/>
                <w:vertAlign w:val="baseline"/>
                <w:lang w:val="en-US" w:eastAsia="zh-CN"/>
              </w:rPr>
              <w:t>8</w:t>
            </w:r>
          </w:p>
        </w:tc>
        <w:tc>
          <w:tcPr>
            <w:tcW w:w="1690" w:type="dxa"/>
            <w:noWrap w:val="0"/>
            <w:vAlign w:val="center"/>
          </w:tcPr>
          <w:p w14:paraId="28EDE8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防护面罩</w:t>
            </w:r>
          </w:p>
        </w:tc>
        <w:tc>
          <w:tcPr>
            <w:tcW w:w="5928" w:type="dxa"/>
            <w:noWrap w:val="0"/>
            <w:vAlign w:val="center"/>
          </w:tcPr>
          <w:p w14:paraId="6FBF17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防冲击面屏</w:t>
            </w:r>
          </w:p>
        </w:tc>
        <w:tc>
          <w:tcPr>
            <w:tcW w:w="736" w:type="dxa"/>
            <w:noWrap w:val="0"/>
            <w:vAlign w:val="center"/>
          </w:tcPr>
          <w:p w14:paraId="34FAF7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778E4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3A714F3">
            <w:pPr>
              <w:jc w:val="center"/>
              <w:rPr>
                <w:highlight w:val="none"/>
              </w:rPr>
            </w:pPr>
          </w:p>
        </w:tc>
        <w:tc>
          <w:tcPr>
            <w:tcW w:w="710" w:type="dxa"/>
            <w:gridSpan w:val="2"/>
            <w:noWrap w:val="0"/>
            <w:vAlign w:val="center"/>
          </w:tcPr>
          <w:p w14:paraId="12BBCFD8">
            <w:pPr>
              <w:jc w:val="both"/>
              <w:rPr>
                <w:highlight w:val="none"/>
                <w:vertAlign w:val="baseline"/>
              </w:rPr>
            </w:pPr>
          </w:p>
        </w:tc>
      </w:tr>
      <w:tr w14:paraId="338D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5818E3">
            <w:pPr>
              <w:jc w:val="center"/>
              <w:rPr>
                <w:rFonts w:hint="default"/>
                <w:highlight w:val="none"/>
                <w:vertAlign w:val="baseline"/>
                <w:lang w:val="en-US" w:eastAsia="zh-CN"/>
              </w:rPr>
            </w:pPr>
            <w:r>
              <w:rPr>
                <w:rFonts w:hint="eastAsia"/>
                <w:highlight w:val="none"/>
                <w:vertAlign w:val="baseline"/>
                <w:lang w:val="en-US" w:eastAsia="zh-CN"/>
              </w:rPr>
              <w:t>9</w:t>
            </w:r>
          </w:p>
        </w:tc>
        <w:tc>
          <w:tcPr>
            <w:tcW w:w="1690" w:type="dxa"/>
            <w:noWrap w:val="0"/>
            <w:vAlign w:val="center"/>
          </w:tcPr>
          <w:p w14:paraId="774E85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防毒口罩</w:t>
            </w:r>
          </w:p>
        </w:tc>
        <w:tc>
          <w:tcPr>
            <w:tcW w:w="5928" w:type="dxa"/>
            <w:noWrap w:val="0"/>
            <w:vAlign w:val="center"/>
          </w:tcPr>
          <w:p w14:paraId="1C6946A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E 型，</w:t>
            </w:r>
          </w:p>
        </w:tc>
        <w:tc>
          <w:tcPr>
            <w:tcW w:w="736" w:type="dxa"/>
            <w:noWrap w:val="0"/>
            <w:vAlign w:val="center"/>
          </w:tcPr>
          <w:p w14:paraId="0C9729C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9B46B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CB8FAB2">
            <w:pPr>
              <w:jc w:val="center"/>
              <w:rPr>
                <w:highlight w:val="none"/>
              </w:rPr>
            </w:pPr>
          </w:p>
        </w:tc>
        <w:tc>
          <w:tcPr>
            <w:tcW w:w="710" w:type="dxa"/>
            <w:gridSpan w:val="2"/>
            <w:noWrap w:val="0"/>
            <w:vAlign w:val="center"/>
          </w:tcPr>
          <w:p w14:paraId="79DC784A">
            <w:pPr>
              <w:jc w:val="both"/>
              <w:rPr>
                <w:highlight w:val="none"/>
                <w:vertAlign w:val="baseline"/>
              </w:rPr>
            </w:pPr>
          </w:p>
        </w:tc>
      </w:tr>
      <w:tr w14:paraId="78AE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22E79C">
            <w:pPr>
              <w:jc w:val="center"/>
              <w:rPr>
                <w:rFonts w:hint="default"/>
                <w:highlight w:val="none"/>
                <w:vertAlign w:val="baseline"/>
                <w:lang w:val="en-US" w:eastAsia="zh-CN"/>
              </w:rPr>
            </w:pPr>
            <w:r>
              <w:rPr>
                <w:rFonts w:hint="eastAsia"/>
                <w:highlight w:val="none"/>
                <w:vertAlign w:val="baseline"/>
                <w:lang w:val="en-US" w:eastAsia="zh-CN"/>
              </w:rPr>
              <w:t>10</w:t>
            </w:r>
          </w:p>
        </w:tc>
        <w:tc>
          <w:tcPr>
            <w:tcW w:w="1690" w:type="dxa"/>
            <w:noWrap w:val="0"/>
            <w:vAlign w:val="center"/>
          </w:tcPr>
          <w:p w14:paraId="0115DE0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防毒口罩</w:t>
            </w:r>
          </w:p>
        </w:tc>
        <w:tc>
          <w:tcPr>
            <w:tcW w:w="5928" w:type="dxa"/>
            <w:noWrap w:val="0"/>
            <w:vAlign w:val="center"/>
          </w:tcPr>
          <w:p w14:paraId="7F64DF6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CO 型</w:t>
            </w:r>
          </w:p>
        </w:tc>
        <w:tc>
          <w:tcPr>
            <w:tcW w:w="736" w:type="dxa"/>
            <w:noWrap w:val="0"/>
            <w:vAlign w:val="center"/>
          </w:tcPr>
          <w:p w14:paraId="65725DA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F1000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DEA92B2">
            <w:pPr>
              <w:jc w:val="center"/>
              <w:rPr>
                <w:highlight w:val="none"/>
              </w:rPr>
            </w:pPr>
          </w:p>
        </w:tc>
        <w:tc>
          <w:tcPr>
            <w:tcW w:w="710" w:type="dxa"/>
            <w:gridSpan w:val="2"/>
            <w:noWrap w:val="0"/>
            <w:vAlign w:val="center"/>
          </w:tcPr>
          <w:p w14:paraId="496447D1">
            <w:pPr>
              <w:jc w:val="both"/>
              <w:rPr>
                <w:highlight w:val="none"/>
                <w:vertAlign w:val="baseline"/>
              </w:rPr>
            </w:pPr>
          </w:p>
        </w:tc>
      </w:tr>
      <w:tr w14:paraId="0BA4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FB1B7C1">
            <w:pPr>
              <w:jc w:val="center"/>
              <w:rPr>
                <w:rFonts w:hint="default"/>
                <w:highlight w:val="none"/>
                <w:vertAlign w:val="baseline"/>
                <w:lang w:val="en-US" w:eastAsia="zh-CN"/>
              </w:rPr>
            </w:pPr>
            <w:r>
              <w:rPr>
                <w:rFonts w:hint="eastAsia"/>
                <w:highlight w:val="none"/>
                <w:vertAlign w:val="baseline"/>
                <w:lang w:val="en-US" w:eastAsia="zh-CN"/>
              </w:rPr>
              <w:t>11</w:t>
            </w:r>
          </w:p>
        </w:tc>
        <w:tc>
          <w:tcPr>
            <w:tcW w:w="1690" w:type="dxa"/>
            <w:noWrap w:val="0"/>
            <w:vAlign w:val="center"/>
          </w:tcPr>
          <w:p w14:paraId="401FEE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耐酸手套</w:t>
            </w:r>
          </w:p>
        </w:tc>
        <w:tc>
          <w:tcPr>
            <w:tcW w:w="5928" w:type="dxa"/>
            <w:noWrap w:val="0"/>
            <w:vAlign w:val="center"/>
          </w:tcPr>
          <w:p w14:paraId="01DA997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大中小码</w:t>
            </w:r>
          </w:p>
        </w:tc>
        <w:tc>
          <w:tcPr>
            <w:tcW w:w="736" w:type="dxa"/>
            <w:noWrap w:val="0"/>
            <w:vAlign w:val="center"/>
          </w:tcPr>
          <w:p w14:paraId="651361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w:t>
            </w:r>
          </w:p>
        </w:tc>
        <w:tc>
          <w:tcPr>
            <w:tcW w:w="834" w:type="dxa"/>
            <w:noWrap w:val="0"/>
            <w:vAlign w:val="center"/>
          </w:tcPr>
          <w:p w14:paraId="324ABA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649807F2">
            <w:pPr>
              <w:jc w:val="center"/>
              <w:rPr>
                <w:highlight w:val="none"/>
              </w:rPr>
            </w:pPr>
          </w:p>
        </w:tc>
        <w:tc>
          <w:tcPr>
            <w:tcW w:w="710" w:type="dxa"/>
            <w:gridSpan w:val="2"/>
            <w:noWrap w:val="0"/>
            <w:vAlign w:val="center"/>
          </w:tcPr>
          <w:p w14:paraId="49D58D1F">
            <w:pPr>
              <w:jc w:val="both"/>
              <w:rPr>
                <w:highlight w:val="none"/>
                <w:vertAlign w:val="baseline"/>
              </w:rPr>
            </w:pPr>
          </w:p>
        </w:tc>
      </w:tr>
      <w:tr w14:paraId="7532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288EBD">
            <w:pPr>
              <w:jc w:val="center"/>
              <w:rPr>
                <w:rFonts w:hint="default"/>
                <w:highlight w:val="none"/>
                <w:vertAlign w:val="baseline"/>
                <w:lang w:val="en-US" w:eastAsia="zh-CN"/>
              </w:rPr>
            </w:pPr>
            <w:r>
              <w:rPr>
                <w:rFonts w:hint="eastAsia"/>
                <w:highlight w:val="none"/>
                <w:vertAlign w:val="baseline"/>
                <w:lang w:val="en-US" w:eastAsia="zh-CN"/>
              </w:rPr>
              <w:t>12</w:t>
            </w:r>
          </w:p>
        </w:tc>
        <w:tc>
          <w:tcPr>
            <w:tcW w:w="1690" w:type="dxa"/>
            <w:noWrap w:val="0"/>
            <w:vAlign w:val="center"/>
          </w:tcPr>
          <w:p w14:paraId="2E1F4B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一次性乳胶手套</w:t>
            </w:r>
          </w:p>
        </w:tc>
        <w:tc>
          <w:tcPr>
            <w:tcW w:w="5928" w:type="dxa"/>
            <w:noWrap w:val="0"/>
            <w:vAlign w:val="center"/>
          </w:tcPr>
          <w:p w14:paraId="5125EF4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50双</w:t>
            </w:r>
          </w:p>
        </w:tc>
        <w:tc>
          <w:tcPr>
            <w:tcW w:w="736" w:type="dxa"/>
            <w:noWrap w:val="0"/>
            <w:vAlign w:val="center"/>
          </w:tcPr>
          <w:p w14:paraId="336229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70BE3D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2645893">
            <w:pPr>
              <w:jc w:val="center"/>
              <w:rPr>
                <w:highlight w:val="none"/>
              </w:rPr>
            </w:pPr>
          </w:p>
        </w:tc>
        <w:tc>
          <w:tcPr>
            <w:tcW w:w="710" w:type="dxa"/>
            <w:gridSpan w:val="2"/>
            <w:noWrap w:val="0"/>
            <w:vAlign w:val="center"/>
          </w:tcPr>
          <w:p w14:paraId="61824620">
            <w:pPr>
              <w:jc w:val="both"/>
              <w:rPr>
                <w:highlight w:val="none"/>
                <w:vertAlign w:val="baseline"/>
              </w:rPr>
            </w:pPr>
          </w:p>
        </w:tc>
      </w:tr>
      <w:tr w14:paraId="38C5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022EF9">
            <w:pPr>
              <w:jc w:val="center"/>
              <w:rPr>
                <w:rFonts w:hint="default"/>
                <w:highlight w:val="none"/>
                <w:vertAlign w:val="baseline"/>
                <w:lang w:val="en-US" w:eastAsia="zh-CN"/>
              </w:rPr>
            </w:pPr>
            <w:r>
              <w:rPr>
                <w:rFonts w:hint="eastAsia"/>
                <w:highlight w:val="none"/>
                <w:vertAlign w:val="baseline"/>
                <w:lang w:val="en-US" w:eastAsia="zh-CN"/>
              </w:rPr>
              <w:t>13</w:t>
            </w:r>
          </w:p>
        </w:tc>
        <w:tc>
          <w:tcPr>
            <w:tcW w:w="1690" w:type="dxa"/>
            <w:noWrap w:val="0"/>
            <w:vAlign w:val="center"/>
          </w:tcPr>
          <w:p w14:paraId="6DB87D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化学实验废水处理装置</w:t>
            </w:r>
          </w:p>
        </w:tc>
        <w:tc>
          <w:tcPr>
            <w:tcW w:w="5928" w:type="dxa"/>
            <w:noWrap w:val="0"/>
            <w:vAlign w:val="center"/>
          </w:tcPr>
          <w:p w14:paraId="706D27C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一次处理废水总量为12L，专用电源：AC220V/50HZ-DC12V 90W，主机尺寸：375mm（长）*375mm（宽）*770mm（高），主机材料壁厚：3mm，半透明，主机支撑脚材料：透明有机玻璃棒，直径为20mm，每台重量：约6.5Kg，外形为长方体，配有四个500mL试剂瓶</w:t>
            </w:r>
          </w:p>
        </w:tc>
        <w:tc>
          <w:tcPr>
            <w:tcW w:w="736" w:type="dxa"/>
            <w:noWrap w:val="0"/>
            <w:vAlign w:val="center"/>
          </w:tcPr>
          <w:p w14:paraId="5CB0D9F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2FF9CF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9D5A45D">
            <w:pPr>
              <w:jc w:val="center"/>
              <w:rPr>
                <w:highlight w:val="none"/>
              </w:rPr>
            </w:pPr>
          </w:p>
        </w:tc>
        <w:tc>
          <w:tcPr>
            <w:tcW w:w="710" w:type="dxa"/>
            <w:gridSpan w:val="2"/>
            <w:noWrap w:val="0"/>
            <w:vAlign w:val="center"/>
          </w:tcPr>
          <w:p w14:paraId="0B69B6BF">
            <w:pPr>
              <w:jc w:val="both"/>
              <w:rPr>
                <w:highlight w:val="none"/>
                <w:vertAlign w:val="baseline"/>
              </w:rPr>
            </w:pPr>
          </w:p>
        </w:tc>
      </w:tr>
      <w:tr w14:paraId="5DF1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849A8D">
            <w:pPr>
              <w:jc w:val="center"/>
              <w:rPr>
                <w:rFonts w:hint="default"/>
                <w:highlight w:val="none"/>
                <w:vertAlign w:val="baseline"/>
                <w:lang w:val="en-US" w:eastAsia="zh-CN"/>
              </w:rPr>
            </w:pPr>
            <w:r>
              <w:rPr>
                <w:rFonts w:hint="eastAsia"/>
                <w:highlight w:val="none"/>
                <w:vertAlign w:val="baseline"/>
                <w:lang w:val="en-US" w:eastAsia="zh-CN"/>
              </w:rPr>
              <w:t>14</w:t>
            </w:r>
          </w:p>
        </w:tc>
        <w:tc>
          <w:tcPr>
            <w:tcW w:w="1690" w:type="dxa"/>
            <w:noWrap w:val="0"/>
            <w:vAlign w:val="center"/>
          </w:tcPr>
          <w:p w14:paraId="3404E3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废液分类回收桶</w:t>
            </w:r>
          </w:p>
        </w:tc>
        <w:tc>
          <w:tcPr>
            <w:tcW w:w="5928" w:type="dxa"/>
            <w:noWrap w:val="0"/>
            <w:vAlign w:val="center"/>
          </w:tcPr>
          <w:p w14:paraId="58C4B84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塑料制，25 L</w:t>
            </w:r>
          </w:p>
        </w:tc>
        <w:tc>
          <w:tcPr>
            <w:tcW w:w="736" w:type="dxa"/>
            <w:noWrap w:val="0"/>
            <w:vAlign w:val="center"/>
          </w:tcPr>
          <w:p w14:paraId="7C1D8D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0176F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81950E0">
            <w:pPr>
              <w:jc w:val="center"/>
              <w:rPr>
                <w:highlight w:val="none"/>
              </w:rPr>
            </w:pPr>
          </w:p>
        </w:tc>
        <w:tc>
          <w:tcPr>
            <w:tcW w:w="710" w:type="dxa"/>
            <w:gridSpan w:val="2"/>
            <w:noWrap w:val="0"/>
            <w:vAlign w:val="center"/>
          </w:tcPr>
          <w:p w14:paraId="5F74CC6D">
            <w:pPr>
              <w:jc w:val="both"/>
              <w:rPr>
                <w:highlight w:val="none"/>
                <w:vertAlign w:val="baseline"/>
              </w:rPr>
            </w:pPr>
          </w:p>
        </w:tc>
      </w:tr>
      <w:tr w14:paraId="4EEC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0BDAA6">
            <w:pPr>
              <w:jc w:val="center"/>
              <w:rPr>
                <w:rFonts w:hint="default"/>
                <w:highlight w:val="none"/>
                <w:vertAlign w:val="baseline"/>
                <w:lang w:val="en-US" w:eastAsia="zh-CN"/>
              </w:rPr>
            </w:pPr>
            <w:r>
              <w:rPr>
                <w:rFonts w:hint="eastAsia"/>
                <w:highlight w:val="none"/>
                <w:vertAlign w:val="baseline"/>
                <w:lang w:val="en-US" w:eastAsia="zh-CN"/>
              </w:rPr>
              <w:t>15</w:t>
            </w:r>
          </w:p>
        </w:tc>
        <w:tc>
          <w:tcPr>
            <w:tcW w:w="1690" w:type="dxa"/>
            <w:noWrap w:val="0"/>
            <w:vAlign w:val="center"/>
          </w:tcPr>
          <w:p w14:paraId="2A641F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电动离心机</w:t>
            </w:r>
          </w:p>
        </w:tc>
        <w:tc>
          <w:tcPr>
            <w:tcW w:w="5928" w:type="dxa"/>
            <w:noWrap w:val="0"/>
            <w:vAlign w:val="center"/>
          </w:tcPr>
          <w:p w14:paraId="3C89DA2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转速≥4000 r/min，配离心管24 支，带电机，带电锁，有定时器</w:t>
            </w:r>
          </w:p>
        </w:tc>
        <w:tc>
          <w:tcPr>
            <w:tcW w:w="736" w:type="dxa"/>
            <w:noWrap w:val="0"/>
            <w:vAlign w:val="center"/>
          </w:tcPr>
          <w:p w14:paraId="48E231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17721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C5A24AA">
            <w:pPr>
              <w:jc w:val="center"/>
              <w:rPr>
                <w:highlight w:val="none"/>
              </w:rPr>
            </w:pPr>
          </w:p>
        </w:tc>
        <w:tc>
          <w:tcPr>
            <w:tcW w:w="710" w:type="dxa"/>
            <w:gridSpan w:val="2"/>
            <w:noWrap w:val="0"/>
            <w:vAlign w:val="center"/>
          </w:tcPr>
          <w:p w14:paraId="6B2D3F9E">
            <w:pPr>
              <w:jc w:val="both"/>
              <w:rPr>
                <w:highlight w:val="none"/>
                <w:vertAlign w:val="baseline"/>
              </w:rPr>
            </w:pPr>
          </w:p>
        </w:tc>
      </w:tr>
      <w:tr w14:paraId="4870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E00617">
            <w:pPr>
              <w:jc w:val="center"/>
              <w:rPr>
                <w:rFonts w:hint="default"/>
                <w:highlight w:val="none"/>
                <w:vertAlign w:val="baseline"/>
                <w:lang w:val="en-US" w:eastAsia="zh-CN"/>
              </w:rPr>
            </w:pPr>
            <w:r>
              <w:rPr>
                <w:rFonts w:hint="eastAsia"/>
                <w:highlight w:val="none"/>
                <w:vertAlign w:val="baseline"/>
                <w:lang w:val="en-US" w:eastAsia="zh-CN"/>
              </w:rPr>
              <w:t>16</w:t>
            </w:r>
          </w:p>
        </w:tc>
        <w:tc>
          <w:tcPr>
            <w:tcW w:w="1690" w:type="dxa"/>
            <w:noWrap w:val="0"/>
            <w:vAlign w:val="center"/>
          </w:tcPr>
          <w:p w14:paraId="613466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电加热器</w:t>
            </w:r>
          </w:p>
        </w:tc>
        <w:tc>
          <w:tcPr>
            <w:tcW w:w="5928" w:type="dxa"/>
            <w:noWrap w:val="0"/>
            <w:vAlign w:val="center"/>
          </w:tcPr>
          <w:p w14:paraId="6FB16D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密封式</w:t>
            </w:r>
          </w:p>
        </w:tc>
        <w:tc>
          <w:tcPr>
            <w:tcW w:w="736" w:type="dxa"/>
            <w:noWrap w:val="0"/>
            <w:vAlign w:val="center"/>
          </w:tcPr>
          <w:p w14:paraId="538530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928E6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A302FD4">
            <w:pPr>
              <w:jc w:val="center"/>
              <w:rPr>
                <w:highlight w:val="none"/>
              </w:rPr>
            </w:pPr>
          </w:p>
        </w:tc>
        <w:tc>
          <w:tcPr>
            <w:tcW w:w="710" w:type="dxa"/>
            <w:gridSpan w:val="2"/>
            <w:noWrap w:val="0"/>
            <w:vAlign w:val="center"/>
          </w:tcPr>
          <w:p w14:paraId="75AF94F5">
            <w:pPr>
              <w:jc w:val="both"/>
              <w:rPr>
                <w:highlight w:val="none"/>
                <w:vertAlign w:val="baseline"/>
              </w:rPr>
            </w:pPr>
          </w:p>
        </w:tc>
      </w:tr>
      <w:tr w14:paraId="3038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5C7B29">
            <w:pPr>
              <w:jc w:val="center"/>
              <w:rPr>
                <w:rFonts w:hint="default"/>
                <w:highlight w:val="none"/>
                <w:vertAlign w:val="baseline"/>
                <w:lang w:val="en-US" w:eastAsia="zh-CN"/>
              </w:rPr>
            </w:pPr>
            <w:r>
              <w:rPr>
                <w:rFonts w:hint="eastAsia"/>
                <w:highlight w:val="none"/>
                <w:vertAlign w:val="baseline"/>
                <w:lang w:val="en-US" w:eastAsia="zh-CN"/>
              </w:rPr>
              <w:t>17</w:t>
            </w:r>
          </w:p>
        </w:tc>
        <w:tc>
          <w:tcPr>
            <w:tcW w:w="1690" w:type="dxa"/>
            <w:noWrap w:val="0"/>
            <w:vAlign w:val="center"/>
          </w:tcPr>
          <w:p w14:paraId="66A80C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蒸馏水器</w:t>
            </w:r>
          </w:p>
        </w:tc>
        <w:tc>
          <w:tcPr>
            <w:tcW w:w="5928" w:type="dxa"/>
            <w:noWrap w:val="0"/>
            <w:vAlign w:val="center"/>
          </w:tcPr>
          <w:p w14:paraId="3FEE8CC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 L/h,缺水报警</w:t>
            </w:r>
          </w:p>
        </w:tc>
        <w:tc>
          <w:tcPr>
            <w:tcW w:w="736" w:type="dxa"/>
            <w:noWrap w:val="0"/>
            <w:vAlign w:val="center"/>
          </w:tcPr>
          <w:p w14:paraId="08A459A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2A1D09C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08B9098">
            <w:pPr>
              <w:jc w:val="center"/>
              <w:rPr>
                <w:highlight w:val="none"/>
              </w:rPr>
            </w:pPr>
          </w:p>
        </w:tc>
        <w:tc>
          <w:tcPr>
            <w:tcW w:w="710" w:type="dxa"/>
            <w:gridSpan w:val="2"/>
            <w:noWrap w:val="0"/>
            <w:vAlign w:val="center"/>
          </w:tcPr>
          <w:p w14:paraId="4D1214FF">
            <w:pPr>
              <w:jc w:val="both"/>
              <w:rPr>
                <w:highlight w:val="none"/>
                <w:vertAlign w:val="baseline"/>
              </w:rPr>
            </w:pPr>
          </w:p>
        </w:tc>
      </w:tr>
      <w:tr w14:paraId="722B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3A6EC2">
            <w:pPr>
              <w:jc w:val="center"/>
              <w:rPr>
                <w:rFonts w:hint="default"/>
                <w:highlight w:val="none"/>
                <w:vertAlign w:val="baseline"/>
                <w:lang w:val="en-US" w:eastAsia="zh-CN"/>
              </w:rPr>
            </w:pPr>
            <w:r>
              <w:rPr>
                <w:rFonts w:hint="eastAsia"/>
                <w:highlight w:val="none"/>
                <w:vertAlign w:val="baseline"/>
                <w:lang w:val="en-US" w:eastAsia="zh-CN"/>
              </w:rPr>
              <w:t>18</w:t>
            </w:r>
          </w:p>
        </w:tc>
        <w:tc>
          <w:tcPr>
            <w:tcW w:w="1690" w:type="dxa"/>
            <w:noWrap w:val="0"/>
            <w:vAlign w:val="center"/>
          </w:tcPr>
          <w:p w14:paraId="3FD2E4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列管式烘干器</w:t>
            </w:r>
          </w:p>
        </w:tc>
        <w:tc>
          <w:tcPr>
            <w:tcW w:w="5928" w:type="dxa"/>
            <w:noWrap w:val="0"/>
            <w:vAlign w:val="center"/>
          </w:tcPr>
          <w:p w14:paraId="585BAE6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由13根烘干管热器流组成</w:t>
            </w:r>
          </w:p>
        </w:tc>
        <w:tc>
          <w:tcPr>
            <w:tcW w:w="736" w:type="dxa"/>
            <w:noWrap w:val="0"/>
            <w:vAlign w:val="center"/>
          </w:tcPr>
          <w:p w14:paraId="5A1D1A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D752D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FFBBCF1">
            <w:pPr>
              <w:jc w:val="center"/>
              <w:rPr>
                <w:highlight w:val="none"/>
              </w:rPr>
            </w:pPr>
          </w:p>
        </w:tc>
        <w:tc>
          <w:tcPr>
            <w:tcW w:w="710" w:type="dxa"/>
            <w:gridSpan w:val="2"/>
            <w:noWrap w:val="0"/>
            <w:vAlign w:val="center"/>
          </w:tcPr>
          <w:p w14:paraId="3D7B82F1">
            <w:pPr>
              <w:jc w:val="both"/>
              <w:rPr>
                <w:highlight w:val="none"/>
                <w:vertAlign w:val="baseline"/>
              </w:rPr>
            </w:pPr>
          </w:p>
        </w:tc>
      </w:tr>
      <w:tr w14:paraId="76F5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B16280">
            <w:pPr>
              <w:jc w:val="center"/>
              <w:rPr>
                <w:rFonts w:hint="default"/>
                <w:highlight w:val="none"/>
                <w:vertAlign w:val="baseline"/>
                <w:lang w:val="en-US" w:eastAsia="zh-CN"/>
              </w:rPr>
            </w:pPr>
            <w:r>
              <w:rPr>
                <w:rFonts w:hint="eastAsia"/>
                <w:highlight w:val="none"/>
                <w:vertAlign w:val="baseline"/>
                <w:lang w:val="en-US" w:eastAsia="zh-CN"/>
              </w:rPr>
              <w:t>19</w:t>
            </w:r>
          </w:p>
        </w:tc>
        <w:tc>
          <w:tcPr>
            <w:tcW w:w="1690" w:type="dxa"/>
            <w:noWrap w:val="0"/>
            <w:vAlign w:val="center"/>
          </w:tcPr>
          <w:p w14:paraId="2B53CD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烘干箱</w:t>
            </w:r>
          </w:p>
        </w:tc>
        <w:tc>
          <w:tcPr>
            <w:tcW w:w="5928" w:type="dxa"/>
            <w:noWrap w:val="0"/>
            <w:vAlign w:val="center"/>
          </w:tcPr>
          <w:p w14:paraId="5A0C4AC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电热鼓风型，功率≥600 W</w:t>
            </w:r>
          </w:p>
        </w:tc>
        <w:tc>
          <w:tcPr>
            <w:tcW w:w="736" w:type="dxa"/>
            <w:noWrap w:val="0"/>
            <w:vAlign w:val="center"/>
          </w:tcPr>
          <w:p w14:paraId="53C13A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414F1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EE5F0B7">
            <w:pPr>
              <w:jc w:val="center"/>
              <w:rPr>
                <w:highlight w:val="none"/>
              </w:rPr>
            </w:pPr>
          </w:p>
        </w:tc>
        <w:tc>
          <w:tcPr>
            <w:tcW w:w="710" w:type="dxa"/>
            <w:gridSpan w:val="2"/>
            <w:noWrap w:val="0"/>
            <w:vAlign w:val="center"/>
          </w:tcPr>
          <w:p w14:paraId="76445D0F">
            <w:pPr>
              <w:jc w:val="both"/>
              <w:rPr>
                <w:highlight w:val="none"/>
                <w:vertAlign w:val="baseline"/>
              </w:rPr>
            </w:pPr>
          </w:p>
        </w:tc>
      </w:tr>
      <w:tr w14:paraId="3B5A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1C43C7">
            <w:pPr>
              <w:jc w:val="center"/>
              <w:rPr>
                <w:rFonts w:hint="default"/>
                <w:highlight w:val="none"/>
                <w:vertAlign w:val="baseline"/>
                <w:lang w:val="en-US" w:eastAsia="zh-CN"/>
              </w:rPr>
            </w:pPr>
            <w:r>
              <w:rPr>
                <w:rFonts w:hint="eastAsia"/>
                <w:highlight w:val="none"/>
                <w:vertAlign w:val="baseline"/>
                <w:lang w:val="en-US" w:eastAsia="zh-CN"/>
              </w:rPr>
              <w:t>20</w:t>
            </w:r>
          </w:p>
        </w:tc>
        <w:tc>
          <w:tcPr>
            <w:tcW w:w="1690" w:type="dxa"/>
            <w:noWrap w:val="0"/>
            <w:vAlign w:val="center"/>
          </w:tcPr>
          <w:p w14:paraId="0ECA81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学生电源（初中）</w:t>
            </w:r>
          </w:p>
        </w:tc>
        <w:tc>
          <w:tcPr>
            <w:tcW w:w="5928" w:type="dxa"/>
            <w:noWrap w:val="0"/>
            <w:vAlign w:val="center"/>
          </w:tcPr>
          <w:p w14:paraId="3DC234D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9V,1.5A</w:t>
            </w:r>
          </w:p>
        </w:tc>
        <w:tc>
          <w:tcPr>
            <w:tcW w:w="736" w:type="dxa"/>
            <w:noWrap w:val="0"/>
            <w:vAlign w:val="center"/>
          </w:tcPr>
          <w:p w14:paraId="0BEA8C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1B06E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E0501F3">
            <w:pPr>
              <w:jc w:val="center"/>
              <w:rPr>
                <w:highlight w:val="none"/>
              </w:rPr>
            </w:pPr>
          </w:p>
        </w:tc>
        <w:tc>
          <w:tcPr>
            <w:tcW w:w="710" w:type="dxa"/>
            <w:gridSpan w:val="2"/>
            <w:noWrap w:val="0"/>
            <w:vAlign w:val="center"/>
          </w:tcPr>
          <w:p w14:paraId="5F502BF3">
            <w:pPr>
              <w:jc w:val="both"/>
              <w:rPr>
                <w:highlight w:val="none"/>
                <w:vertAlign w:val="baseline"/>
              </w:rPr>
            </w:pPr>
          </w:p>
        </w:tc>
      </w:tr>
      <w:tr w14:paraId="25B6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6D9B77">
            <w:pPr>
              <w:jc w:val="center"/>
              <w:rPr>
                <w:rFonts w:hint="default"/>
                <w:highlight w:val="none"/>
                <w:vertAlign w:val="baseline"/>
                <w:lang w:val="en-US" w:eastAsia="zh-CN"/>
              </w:rPr>
            </w:pPr>
            <w:r>
              <w:rPr>
                <w:rFonts w:hint="eastAsia"/>
                <w:highlight w:val="none"/>
                <w:vertAlign w:val="baseline"/>
                <w:lang w:val="en-US" w:eastAsia="zh-CN"/>
              </w:rPr>
              <w:t>21</w:t>
            </w:r>
          </w:p>
        </w:tc>
        <w:tc>
          <w:tcPr>
            <w:tcW w:w="1690" w:type="dxa"/>
            <w:noWrap w:val="0"/>
            <w:vAlign w:val="center"/>
          </w:tcPr>
          <w:p w14:paraId="105134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教学电源（初中）</w:t>
            </w:r>
          </w:p>
        </w:tc>
        <w:tc>
          <w:tcPr>
            <w:tcW w:w="5928" w:type="dxa"/>
            <w:noWrap w:val="0"/>
            <w:vAlign w:val="center"/>
          </w:tcPr>
          <w:p w14:paraId="2E69FE6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12V，2A</w:t>
            </w:r>
          </w:p>
        </w:tc>
        <w:tc>
          <w:tcPr>
            <w:tcW w:w="736" w:type="dxa"/>
            <w:noWrap w:val="0"/>
            <w:vAlign w:val="center"/>
          </w:tcPr>
          <w:p w14:paraId="1C4C85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0BB44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68ADC44">
            <w:pPr>
              <w:jc w:val="center"/>
              <w:rPr>
                <w:highlight w:val="none"/>
              </w:rPr>
            </w:pPr>
          </w:p>
        </w:tc>
        <w:tc>
          <w:tcPr>
            <w:tcW w:w="710" w:type="dxa"/>
            <w:gridSpan w:val="2"/>
            <w:noWrap w:val="0"/>
            <w:vAlign w:val="center"/>
          </w:tcPr>
          <w:p w14:paraId="6B8DB933">
            <w:pPr>
              <w:jc w:val="both"/>
              <w:rPr>
                <w:highlight w:val="none"/>
                <w:vertAlign w:val="baseline"/>
              </w:rPr>
            </w:pPr>
          </w:p>
        </w:tc>
      </w:tr>
      <w:tr w14:paraId="4014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06CAA6">
            <w:pPr>
              <w:jc w:val="center"/>
              <w:rPr>
                <w:rFonts w:hint="default"/>
                <w:highlight w:val="none"/>
                <w:vertAlign w:val="baseline"/>
                <w:lang w:val="en-US" w:eastAsia="zh-CN"/>
              </w:rPr>
            </w:pPr>
            <w:r>
              <w:rPr>
                <w:rFonts w:hint="eastAsia"/>
                <w:highlight w:val="none"/>
                <w:vertAlign w:val="baseline"/>
                <w:lang w:val="en-US" w:eastAsia="zh-CN"/>
              </w:rPr>
              <w:t>22</w:t>
            </w:r>
          </w:p>
        </w:tc>
        <w:tc>
          <w:tcPr>
            <w:tcW w:w="1690" w:type="dxa"/>
            <w:noWrap w:val="0"/>
            <w:vAlign w:val="center"/>
          </w:tcPr>
          <w:p w14:paraId="7D0FD6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仪器车</w:t>
            </w:r>
          </w:p>
        </w:tc>
        <w:tc>
          <w:tcPr>
            <w:tcW w:w="5928" w:type="dxa"/>
            <w:noWrap w:val="0"/>
            <w:vAlign w:val="center"/>
          </w:tcPr>
          <w:p w14:paraId="68916EA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不锈钢，带护栏</w:t>
            </w:r>
          </w:p>
        </w:tc>
        <w:tc>
          <w:tcPr>
            <w:tcW w:w="736" w:type="dxa"/>
            <w:noWrap w:val="0"/>
            <w:vAlign w:val="center"/>
          </w:tcPr>
          <w:p w14:paraId="55733A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辆</w:t>
            </w:r>
          </w:p>
        </w:tc>
        <w:tc>
          <w:tcPr>
            <w:tcW w:w="834" w:type="dxa"/>
            <w:noWrap w:val="0"/>
            <w:vAlign w:val="center"/>
          </w:tcPr>
          <w:p w14:paraId="1F6897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CF798D3">
            <w:pPr>
              <w:jc w:val="center"/>
              <w:rPr>
                <w:highlight w:val="none"/>
              </w:rPr>
            </w:pPr>
          </w:p>
        </w:tc>
        <w:tc>
          <w:tcPr>
            <w:tcW w:w="710" w:type="dxa"/>
            <w:gridSpan w:val="2"/>
            <w:noWrap w:val="0"/>
            <w:vAlign w:val="center"/>
          </w:tcPr>
          <w:p w14:paraId="431D99B1">
            <w:pPr>
              <w:jc w:val="both"/>
              <w:rPr>
                <w:highlight w:val="none"/>
                <w:vertAlign w:val="baseline"/>
              </w:rPr>
            </w:pPr>
          </w:p>
        </w:tc>
      </w:tr>
      <w:tr w14:paraId="5323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179D61">
            <w:pPr>
              <w:jc w:val="center"/>
              <w:rPr>
                <w:rFonts w:hint="default"/>
                <w:highlight w:val="none"/>
                <w:vertAlign w:val="baseline"/>
                <w:lang w:val="en-US" w:eastAsia="zh-CN"/>
              </w:rPr>
            </w:pPr>
            <w:r>
              <w:rPr>
                <w:rFonts w:hint="eastAsia"/>
                <w:highlight w:val="none"/>
                <w:vertAlign w:val="baseline"/>
                <w:lang w:val="en-US" w:eastAsia="zh-CN"/>
              </w:rPr>
              <w:t>23</w:t>
            </w:r>
          </w:p>
        </w:tc>
        <w:tc>
          <w:tcPr>
            <w:tcW w:w="1690" w:type="dxa"/>
            <w:noWrap w:val="0"/>
            <w:vAlign w:val="center"/>
          </w:tcPr>
          <w:p w14:paraId="3AF8F6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试剂瓶托盘</w:t>
            </w:r>
          </w:p>
        </w:tc>
        <w:tc>
          <w:tcPr>
            <w:tcW w:w="5928" w:type="dxa"/>
            <w:noWrap w:val="0"/>
            <w:vAlign w:val="center"/>
          </w:tcPr>
          <w:p w14:paraId="74BF663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塑料制420*310*155</w:t>
            </w:r>
          </w:p>
        </w:tc>
        <w:tc>
          <w:tcPr>
            <w:tcW w:w="736" w:type="dxa"/>
            <w:noWrap w:val="0"/>
            <w:vAlign w:val="center"/>
          </w:tcPr>
          <w:p w14:paraId="3A4DBF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4E159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w:t>
            </w:r>
          </w:p>
        </w:tc>
        <w:tc>
          <w:tcPr>
            <w:tcW w:w="3396" w:type="dxa"/>
            <w:gridSpan w:val="2"/>
            <w:noWrap w:val="0"/>
            <w:vAlign w:val="center"/>
          </w:tcPr>
          <w:p w14:paraId="29489EC0">
            <w:pPr>
              <w:jc w:val="center"/>
              <w:rPr>
                <w:highlight w:val="none"/>
              </w:rPr>
            </w:pPr>
          </w:p>
        </w:tc>
        <w:tc>
          <w:tcPr>
            <w:tcW w:w="710" w:type="dxa"/>
            <w:gridSpan w:val="2"/>
            <w:noWrap w:val="0"/>
            <w:vAlign w:val="center"/>
          </w:tcPr>
          <w:p w14:paraId="15B427D2">
            <w:pPr>
              <w:jc w:val="both"/>
              <w:rPr>
                <w:highlight w:val="none"/>
                <w:vertAlign w:val="baseline"/>
              </w:rPr>
            </w:pPr>
          </w:p>
        </w:tc>
      </w:tr>
      <w:tr w14:paraId="5800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A12B03">
            <w:pPr>
              <w:jc w:val="center"/>
              <w:rPr>
                <w:rFonts w:hint="default"/>
                <w:highlight w:val="none"/>
                <w:vertAlign w:val="baseline"/>
                <w:lang w:val="en-US" w:eastAsia="zh-CN"/>
              </w:rPr>
            </w:pPr>
            <w:r>
              <w:rPr>
                <w:rFonts w:hint="eastAsia"/>
                <w:highlight w:val="none"/>
                <w:vertAlign w:val="baseline"/>
                <w:lang w:val="en-US" w:eastAsia="zh-CN"/>
              </w:rPr>
              <w:t>24</w:t>
            </w:r>
          </w:p>
        </w:tc>
        <w:tc>
          <w:tcPr>
            <w:tcW w:w="1690" w:type="dxa"/>
            <w:noWrap w:val="0"/>
            <w:vAlign w:val="center"/>
          </w:tcPr>
          <w:p w14:paraId="315847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实验用品提篮</w:t>
            </w:r>
          </w:p>
        </w:tc>
        <w:tc>
          <w:tcPr>
            <w:tcW w:w="5928" w:type="dxa"/>
            <w:noWrap w:val="0"/>
            <w:vAlign w:val="center"/>
          </w:tcPr>
          <w:p w14:paraId="097560B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木制，配有提手,长42cm宽28cm高38cm，底部高8cm，木制</w:t>
            </w:r>
          </w:p>
        </w:tc>
        <w:tc>
          <w:tcPr>
            <w:tcW w:w="736" w:type="dxa"/>
            <w:noWrap w:val="0"/>
            <w:vAlign w:val="center"/>
          </w:tcPr>
          <w:p w14:paraId="0E59C2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8BD6B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5A2DF32">
            <w:pPr>
              <w:jc w:val="center"/>
              <w:rPr>
                <w:highlight w:val="none"/>
              </w:rPr>
            </w:pPr>
          </w:p>
        </w:tc>
        <w:tc>
          <w:tcPr>
            <w:tcW w:w="710" w:type="dxa"/>
            <w:gridSpan w:val="2"/>
            <w:noWrap w:val="0"/>
            <w:vAlign w:val="center"/>
          </w:tcPr>
          <w:p w14:paraId="133CAA1B">
            <w:pPr>
              <w:jc w:val="both"/>
              <w:rPr>
                <w:highlight w:val="none"/>
                <w:vertAlign w:val="baseline"/>
              </w:rPr>
            </w:pPr>
          </w:p>
        </w:tc>
      </w:tr>
      <w:tr w14:paraId="1616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863E23">
            <w:pPr>
              <w:jc w:val="center"/>
              <w:rPr>
                <w:rFonts w:hint="default"/>
                <w:highlight w:val="none"/>
                <w:vertAlign w:val="baseline"/>
                <w:lang w:val="en-US" w:eastAsia="zh-CN"/>
              </w:rPr>
            </w:pPr>
            <w:r>
              <w:rPr>
                <w:rFonts w:hint="eastAsia"/>
                <w:highlight w:val="none"/>
                <w:vertAlign w:val="baseline"/>
                <w:lang w:val="en-US" w:eastAsia="zh-CN"/>
              </w:rPr>
              <w:t>25</w:t>
            </w:r>
          </w:p>
        </w:tc>
        <w:tc>
          <w:tcPr>
            <w:tcW w:w="1690" w:type="dxa"/>
            <w:noWrap w:val="0"/>
            <w:vAlign w:val="center"/>
          </w:tcPr>
          <w:p w14:paraId="3C1AAD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一字螺丝刀</w:t>
            </w:r>
          </w:p>
        </w:tc>
        <w:tc>
          <w:tcPr>
            <w:tcW w:w="5928" w:type="dxa"/>
            <w:noWrap w:val="0"/>
            <w:vAlign w:val="center"/>
          </w:tcPr>
          <w:p w14:paraId="2324DC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套装 Φ6 mm，Φ3 mm，各一把</w:t>
            </w:r>
          </w:p>
        </w:tc>
        <w:tc>
          <w:tcPr>
            <w:tcW w:w="736" w:type="dxa"/>
            <w:noWrap w:val="0"/>
            <w:vAlign w:val="bottom"/>
          </w:tcPr>
          <w:p w14:paraId="6355F6A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690DD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E4D040B">
            <w:pPr>
              <w:jc w:val="center"/>
              <w:rPr>
                <w:highlight w:val="none"/>
              </w:rPr>
            </w:pPr>
          </w:p>
        </w:tc>
        <w:tc>
          <w:tcPr>
            <w:tcW w:w="710" w:type="dxa"/>
            <w:gridSpan w:val="2"/>
            <w:noWrap w:val="0"/>
            <w:vAlign w:val="center"/>
          </w:tcPr>
          <w:p w14:paraId="3CFB134F">
            <w:pPr>
              <w:jc w:val="both"/>
              <w:rPr>
                <w:highlight w:val="none"/>
                <w:vertAlign w:val="baseline"/>
              </w:rPr>
            </w:pPr>
          </w:p>
        </w:tc>
      </w:tr>
      <w:tr w14:paraId="478E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3962EB">
            <w:pPr>
              <w:jc w:val="center"/>
              <w:rPr>
                <w:rFonts w:hint="default"/>
                <w:highlight w:val="none"/>
                <w:vertAlign w:val="baseline"/>
                <w:lang w:val="en-US" w:eastAsia="zh-CN"/>
              </w:rPr>
            </w:pPr>
            <w:r>
              <w:rPr>
                <w:rFonts w:hint="eastAsia"/>
                <w:highlight w:val="none"/>
                <w:vertAlign w:val="baseline"/>
                <w:lang w:val="en-US" w:eastAsia="zh-CN"/>
              </w:rPr>
              <w:t>26</w:t>
            </w:r>
          </w:p>
        </w:tc>
        <w:tc>
          <w:tcPr>
            <w:tcW w:w="1690" w:type="dxa"/>
            <w:noWrap w:val="0"/>
            <w:vAlign w:val="center"/>
          </w:tcPr>
          <w:p w14:paraId="6F9B08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十字螺丝刀</w:t>
            </w:r>
          </w:p>
        </w:tc>
        <w:tc>
          <w:tcPr>
            <w:tcW w:w="5928" w:type="dxa"/>
            <w:noWrap w:val="0"/>
            <w:vAlign w:val="center"/>
          </w:tcPr>
          <w:p w14:paraId="1BC31E7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套装 Φ6 mm，Φ3 mm，各一把</w:t>
            </w:r>
          </w:p>
        </w:tc>
        <w:tc>
          <w:tcPr>
            <w:tcW w:w="736" w:type="dxa"/>
            <w:noWrap w:val="0"/>
            <w:vAlign w:val="bottom"/>
          </w:tcPr>
          <w:p w14:paraId="2494F81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ECE64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A933850">
            <w:pPr>
              <w:jc w:val="center"/>
              <w:rPr>
                <w:highlight w:val="none"/>
              </w:rPr>
            </w:pPr>
          </w:p>
        </w:tc>
        <w:tc>
          <w:tcPr>
            <w:tcW w:w="710" w:type="dxa"/>
            <w:gridSpan w:val="2"/>
            <w:noWrap w:val="0"/>
            <w:vAlign w:val="center"/>
          </w:tcPr>
          <w:p w14:paraId="7B512629">
            <w:pPr>
              <w:jc w:val="both"/>
              <w:rPr>
                <w:highlight w:val="none"/>
                <w:vertAlign w:val="baseline"/>
              </w:rPr>
            </w:pPr>
          </w:p>
        </w:tc>
      </w:tr>
      <w:tr w14:paraId="5B15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215E1E">
            <w:pPr>
              <w:jc w:val="center"/>
              <w:rPr>
                <w:rFonts w:hint="default"/>
                <w:highlight w:val="none"/>
                <w:vertAlign w:val="baseline"/>
                <w:lang w:val="en-US" w:eastAsia="zh-CN"/>
              </w:rPr>
            </w:pPr>
            <w:r>
              <w:rPr>
                <w:rFonts w:hint="eastAsia"/>
                <w:highlight w:val="none"/>
                <w:vertAlign w:val="baseline"/>
                <w:lang w:val="en-US" w:eastAsia="zh-CN"/>
              </w:rPr>
              <w:t>27</w:t>
            </w:r>
          </w:p>
        </w:tc>
        <w:tc>
          <w:tcPr>
            <w:tcW w:w="1690" w:type="dxa"/>
            <w:noWrap w:val="0"/>
            <w:vAlign w:val="center"/>
          </w:tcPr>
          <w:p w14:paraId="1D0925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钢丝钳</w:t>
            </w:r>
          </w:p>
        </w:tc>
        <w:tc>
          <w:tcPr>
            <w:tcW w:w="5928" w:type="dxa"/>
            <w:noWrap w:val="0"/>
            <w:vAlign w:val="center"/>
          </w:tcPr>
          <w:p w14:paraId="3F5C55D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160 mm</w:t>
            </w:r>
          </w:p>
        </w:tc>
        <w:tc>
          <w:tcPr>
            <w:tcW w:w="736" w:type="dxa"/>
            <w:noWrap w:val="0"/>
            <w:vAlign w:val="bottom"/>
          </w:tcPr>
          <w:p w14:paraId="0972D9B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313DB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EFE15D5">
            <w:pPr>
              <w:jc w:val="center"/>
              <w:rPr>
                <w:highlight w:val="none"/>
              </w:rPr>
            </w:pPr>
          </w:p>
        </w:tc>
        <w:tc>
          <w:tcPr>
            <w:tcW w:w="710" w:type="dxa"/>
            <w:gridSpan w:val="2"/>
            <w:noWrap w:val="0"/>
            <w:vAlign w:val="center"/>
          </w:tcPr>
          <w:p w14:paraId="093B046A">
            <w:pPr>
              <w:jc w:val="both"/>
              <w:rPr>
                <w:highlight w:val="none"/>
                <w:vertAlign w:val="baseline"/>
              </w:rPr>
            </w:pPr>
          </w:p>
        </w:tc>
      </w:tr>
      <w:tr w14:paraId="787E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8BCCD6">
            <w:pPr>
              <w:jc w:val="center"/>
              <w:rPr>
                <w:rFonts w:hint="default"/>
                <w:highlight w:val="none"/>
                <w:vertAlign w:val="baseline"/>
                <w:lang w:val="en-US" w:eastAsia="zh-CN"/>
              </w:rPr>
            </w:pPr>
            <w:r>
              <w:rPr>
                <w:rFonts w:hint="eastAsia"/>
                <w:highlight w:val="none"/>
                <w:vertAlign w:val="baseline"/>
                <w:lang w:val="en-US" w:eastAsia="zh-CN"/>
              </w:rPr>
              <w:t>28</w:t>
            </w:r>
          </w:p>
        </w:tc>
        <w:tc>
          <w:tcPr>
            <w:tcW w:w="1690" w:type="dxa"/>
            <w:noWrap w:val="0"/>
            <w:vAlign w:val="center"/>
          </w:tcPr>
          <w:p w14:paraId="18F758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钢锤</w:t>
            </w:r>
          </w:p>
        </w:tc>
        <w:tc>
          <w:tcPr>
            <w:tcW w:w="5928" w:type="dxa"/>
            <w:noWrap w:val="0"/>
            <w:vAlign w:val="center"/>
          </w:tcPr>
          <w:p w14:paraId="14E0EBB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0.25 kg，羊角锤</w:t>
            </w:r>
          </w:p>
        </w:tc>
        <w:tc>
          <w:tcPr>
            <w:tcW w:w="736" w:type="dxa"/>
            <w:noWrap w:val="0"/>
            <w:vAlign w:val="bottom"/>
          </w:tcPr>
          <w:p w14:paraId="2AF3F92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70700B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D1048B5">
            <w:pPr>
              <w:jc w:val="center"/>
              <w:rPr>
                <w:highlight w:val="none"/>
              </w:rPr>
            </w:pPr>
          </w:p>
        </w:tc>
        <w:tc>
          <w:tcPr>
            <w:tcW w:w="710" w:type="dxa"/>
            <w:gridSpan w:val="2"/>
            <w:noWrap w:val="0"/>
            <w:vAlign w:val="center"/>
          </w:tcPr>
          <w:p w14:paraId="206B0485">
            <w:pPr>
              <w:jc w:val="both"/>
              <w:rPr>
                <w:highlight w:val="none"/>
                <w:vertAlign w:val="baseline"/>
              </w:rPr>
            </w:pPr>
          </w:p>
        </w:tc>
      </w:tr>
      <w:tr w14:paraId="59DB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5690D3">
            <w:pPr>
              <w:jc w:val="center"/>
              <w:rPr>
                <w:rFonts w:hint="default"/>
                <w:highlight w:val="none"/>
                <w:vertAlign w:val="baseline"/>
                <w:lang w:val="en-US" w:eastAsia="zh-CN"/>
              </w:rPr>
            </w:pPr>
            <w:r>
              <w:rPr>
                <w:rFonts w:hint="eastAsia"/>
                <w:highlight w:val="none"/>
                <w:vertAlign w:val="baseline"/>
                <w:lang w:val="en-US" w:eastAsia="zh-CN"/>
              </w:rPr>
              <w:t>29</w:t>
            </w:r>
          </w:p>
        </w:tc>
        <w:tc>
          <w:tcPr>
            <w:tcW w:w="1690" w:type="dxa"/>
            <w:noWrap w:val="0"/>
            <w:vAlign w:val="center"/>
          </w:tcPr>
          <w:p w14:paraId="3C34BA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三角锉</w:t>
            </w:r>
          </w:p>
        </w:tc>
        <w:tc>
          <w:tcPr>
            <w:tcW w:w="5928" w:type="dxa"/>
            <w:noWrap w:val="0"/>
            <w:vAlign w:val="center"/>
          </w:tcPr>
          <w:p w14:paraId="63F81B8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mm，带柄</w:t>
            </w:r>
          </w:p>
        </w:tc>
        <w:tc>
          <w:tcPr>
            <w:tcW w:w="736" w:type="dxa"/>
            <w:noWrap w:val="0"/>
            <w:vAlign w:val="bottom"/>
          </w:tcPr>
          <w:p w14:paraId="0A4DDA6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FA9262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F2F8D73">
            <w:pPr>
              <w:jc w:val="center"/>
              <w:rPr>
                <w:highlight w:val="none"/>
              </w:rPr>
            </w:pPr>
          </w:p>
        </w:tc>
        <w:tc>
          <w:tcPr>
            <w:tcW w:w="710" w:type="dxa"/>
            <w:gridSpan w:val="2"/>
            <w:noWrap w:val="0"/>
            <w:vAlign w:val="center"/>
          </w:tcPr>
          <w:p w14:paraId="16EDD034">
            <w:pPr>
              <w:jc w:val="both"/>
              <w:rPr>
                <w:highlight w:val="none"/>
                <w:vertAlign w:val="baseline"/>
              </w:rPr>
            </w:pPr>
          </w:p>
        </w:tc>
      </w:tr>
      <w:tr w14:paraId="2759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DB24EA">
            <w:pPr>
              <w:jc w:val="center"/>
              <w:rPr>
                <w:rFonts w:hint="default"/>
                <w:highlight w:val="none"/>
                <w:vertAlign w:val="baseline"/>
                <w:lang w:val="en-US" w:eastAsia="zh-CN"/>
              </w:rPr>
            </w:pPr>
            <w:r>
              <w:rPr>
                <w:rFonts w:hint="eastAsia"/>
                <w:highlight w:val="none"/>
                <w:vertAlign w:val="baseline"/>
                <w:lang w:val="en-US" w:eastAsia="zh-CN"/>
              </w:rPr>
              <w:t>30</w:t>
            </w:r>
          </w:p>
        </w:tc>
        <w:tc>
          <w:tcPr>
            <w:tcW w:w="1690" w:type="dxa"/>
            <w:noWrap w:val="0"/>
            <w:vAlign w:val="center"/>
          </w:tcPr>
          <w:p w14:paraId="0E73E0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民用剪</w:t>
            </w:r>
          </w:p>
        </w:tc>
        <w:tc>
          <w:tcPr>
            <w:tcW w:w="5928" w:type="dxa"/>
            <w:noWrap w:val="0"/>
            <w:vAlign w:val="center"/>
          </w:tcPr>
          <w:p w14:paraId="61C60CD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 号 ，150 mm，A 型</w:t>
            </w:r>
          </w:p>
        </w:tc>
        <w:tc>
          <w:tcPr>
            <w:tcW w:w="736" w:type="dxa"/>
            <w:noWrap w:val="0"/>
            <w:vAlign w:val="bottom"/>
          </w:tcPr>
          <w:p w14:paraId="6BCAE99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53E8E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5404F071">
            <w:pPr>
              <w:jc w:val="center"/>
              <w:rPr>
                <w:highlight w:val="none"/>
              </w:rPr>
            </w:pPr>
          </w:p>
        </w:tc>
        <w:tc>
          <w:tcPr>
            <w:tcW w:w="710" w:type="dxa"/>
            <w:gridSpan w:val="2"/>
            <w:noWrap w:val="0"/>
            <w:vAlign w:val="center"/>
          </w:tcPr>
          <w:p w14:paraId="0B7A4C1A">
            <w:pPr>
              <w:jc w:val="both"/>
              <w:rPr>
                <w:highlight w:val="none"/>
                <w:vertAlign w:val="baseline"/>
              </w:rPr>
            </w:pPr>
          </w:p>
        </w:tc>
      </w:tr>
      <w:tr w14:paraId="139A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D2EE68">
            <w:pPr>
              <w:jc w:val="center"/>
              <w:rPr>
                <w:rFonts w:hint="default"/>
                <w:highlight w:val="none"/>
                <w:vertAlign w:val="baseline"/>
                <w:lang w:val="en-US" w:eastAsia="zh-CN"/>
              </w:rPr>
            </w:pPr>
            <w:r>
              <w:rPr>
                <w:rFonts w:hint="eastAsia"/>
                <w:highlight w:val="none"/>
                <w:vertAlign w:val="baseline"/>
                <w:lang w:val="en-US" w:eastAsia="zh-CN"/>
              </w:rPr>
              <w:t>31</w:t>
            </w:r>
          </w:p>
        </w:tc>
        <w:tc>
          <w:tcPr>
            <w:tcW w:w="1690" w:type="dxa"/>
            <w:noWrap w:val="0"/>
            <w:vAlign w:val="center"/>
          </w:tcPr>
          <w:p w14:paraId="474221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玻璃瓶盖开启器</w:t>
            </w:r>
          </w:p>
        </w:tc>
        <w:tc>
          <w:tcPr>
            <w:tcW w:w="5928" w:type="dxa"/>
            <w:noWrap w:val="0"/>
            <w:vAlign w:val="center"/>
          </w:tcPr>
          <w:p w14:paraId="61F5F02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铁质</w:t>
            </w:r>
          </w:p>
        </w:tc>
        <w:tc>
          <w:tcPr>
            <w:tcW w:w="736" w:type="dxa"/>
            <w:noWrap w:val="0"/>
            <w:vAlign w:val="bottom"/>
          </w:tcPr>
          <w:p w14:paraId="2D5B37A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B62B6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2B95666">
            <w:pPr>
              <w:jc w:val="center"/>
              <w:rPr>
                <w:highlight w:val="none"/>
              </w:rPr>
            </w:pPr>
          </w:p>
        </w:tc>
        <w:tc>
          <w:tcPr>
            <w:tcW w:w="710" w:type="dxa"/>
            <w:gridSpan w:val="2"/>
            <w:noWrap w:val="0"/>
            <w:vAlign w:val="center"/>
          </w:tcPr>
          <w:p w14:paraId="2026EF85">
            <w:pPr>
              <w:jc w:val="both"/>
              <w:rPr>
                <w:highlight w:val="none"/>
                <w:vertAlign w:val="baseline"/>
              </w:rPr>
            </w:pPr>
          </w:p>
        </w:tc>
      </w:tr>
      <w:tr w14:paraId="5F7C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BED21C4">
            <w:pPr>
              <w:jc w:val="center"/>
              <w:rPr>
                <w:rFonts w:hint="default"/>
                <w:highlight w:val="none"/>
                <w:vertAlign w:val="baseline"/>
                <w:lang w:val="en-US" w:eastAsia="zh-CN"/>
              </w:rPr>
            </w:pPr>
            <w:r>
              <w:rPr>
                <w:rFonts w:hint="eastAsia"/>
                <w:highlight w:val="none"/>
                <w:vertAlign w:val="baseline"/>
                <w:lang w:val="en-US" w:eastAsia="zh-CN"/>
              </w:rPr>
              <w:t>32</w:t>
            </w:r>
          </w:p>
        </w:tc>
        <w:tc>
          <w:tcPr>
            <w:tcW w:w="1690" w:type="dxa"/>
            <w:noWrap w:val="0"/>
            <w:vAlign w:val="center"/>
          </w:tcPr>
          <w:p w14:paraId="77DC61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玻璃管切割器</w:t>
            </w:r>
          </w:p>
        </w:tc>
        <w:tc>
          <w:tcPr>
            <w:tcW w:w="5928" w:type="dxa"/>
            <w:noWrap w:val="0"/>
            <w:vAlign w:val="center"/>
          </w:tcPr>
          <w:p w14:paraId="2505E8B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可切割直径 20 mm 以下玻璃管</w:t>
            </w:r>
          </w:p>
        </w:tc>
        <w:tc>
          <w:tcPr>
            <w:tcW w:w="736" w:type="dxa"/>
            <w:noWrap w:val="0"/>
            <w:vAlign w:val="bottom"/>
          </w:tcPr>
          <w:p w14:paraId="1C678B6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B715B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8574C99">
            <w:pPr>
              <w:jc w:val="center"/>
              <w:rPr>
                <w:highlight w:val="none"/>
              </w:rPr>
            </w:pPr>
          </w:p>
        </w:tc>
        <w:tc>
          <w:tcPr>
            <w:tcW w:w="710" w:type="dxa"/>
            <w:gridSpan w:val="2"/>
            <w:noWrap w:val="0"/>
            <w:vAlign w:val="center"/>
          </w:tcPr>
          <w:p w14:paraId="0C91FECB">
            <w:pPr>
              <w:jc w:val="both"/>
              <w:rPr>
                <w:highlight w:val="none"/>
                <w:vertAlign w:val="baseline"/>
              </w:rPr>
            </w:pPr>
          </w:p>
        </w:tc>
      </w:tr>
      <w:tr w14:paraId="0257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6B81C6">
            <w:pPr>
              <w:jc w:val="center"/>
              <w:rPr>
                <w:rFonts w:hint="default"/>
                <w:highlight w:val="none"/>
                <w:vertAlign w:val="baseline"/>
                <w:lang w:val="en-US" w:eastAsia="zh-CN"/>
              </w:rPr>
            </w:pPr>
            <w:r>
              <w:rPr>
                <w:rFonts w:hint="eastAsia"/>
                <w:highlight w:val="none"/>
                <w:vertAlign w:val="baseline"/>
                <w:lang w:val="en-US" w:eastAsia="zh-CN"/>
              </w:rPr>
              <w:t>33</w:t>
            </w:r>
          </w:p>
        </w:tc>
        <w:tc>
          <w:tcPr>
            <w:tcW w:w="1690" w:type="dxa"/>
            <w:noWrap w:val="0"/>
            <w:vAlign w:val="center"/>
          </w:tcPr>
          <w:p w14:paraId="621899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打孔器</w:t>
            </w:r>
          </w:p>
        </w:tc>
        <w:tc>
          <w:tcPr>
            <w:tcW w:w="5928" w:type="dxa"/>
            <w:noWrap w:val="0"/>
            <w:vAlign w:val="center"/>
          </w:tcPr>
          <w:p w14:paraId="11BF3AA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齿口式、不锈钢材质，每组4支</w:t>
            </w:r>
          </w:p>
        </w:tc>
        <w:tc>
          <w:tcPr>
            <w:tcW w:w="736" w:type="dxa"/>
            <w:noWrap w:val="0"/>
            <w:vAlign w:val="bottom"/>
          </w:tcPr>
          <w:p w14:paraId="5FE9634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E18FA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90AF8F0">
            <w:pPr>
              <w:jc w:val="center"/>
              <w:rPr>
                <w:highlight w:val="none"/>
              </w:rPr>
            </w:pPr>
          </w:p>
        </w:tc>
        <w:tc>
          <w:tcPr>
            <w:tcW w:w="710" w:type="dxa"/>
            <w:gridSpan w:val="2"/>
            <w:noWrap w:val="0"/>
            <w:vAlign w:val="center"/>
          </w:tcPr>
          <w:p w14:paraId="05D9FA27">
            <w:pPr>
              <w:jc w:val="both"/>
              <w:rPr>
                <w:highlight w:val="none"/>
                <w:vertAlign w:val="baseline"/>
              </w:rPr>
            </w:pPr>
          </w:p>
        </w:tc>
      </w:tr>
      <w:tr w14:paraId="148A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7FC2BF">
            <w:pPr>
              <w:jc w:val="center"/>
              <w:rPr>
                <w:rFonts w:hint="default"/>
                <w:highlight w:val="none"/>
                <w:vertAlign w:val="baseline"/>
                <w:lang w:val="en-US" w:eastAsia="zh-CN"/>
              </w:rPr>
            </w:pPr>
            <w:r>
              <w:rPr>
                <w:rFonts w:hint="eastAsia"/>
                <w:highlight w:val="none"/>
                <w:vertAlign w:val="baseline"/>
                <w:lang w:val="en-US" w:eastAsia="zh-CN"/>
              </w:rPr>
              <w:t>34</w:t>
            </w:r>
          </w:p>
        </w:tc>
        <w:tc>
          <w:tcPr>
            <w:tcW w:w="1690" w:type="dxa"/>
            <w:noWrap w:val="0"/>
            <w:vAlign w:val="center"/>
          </w:tcPr>
          <w:p w14:paraId="75F072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打孔器夹板</w:t>
            </w:r>
          </w:p>
        </w:tc>
        <w:tc>
          <w:tcPr>
            <w:tcW w:w="5928" w:type="dxa"/>
            <w:noWrap w:val="0"/>
            <w:vAlign w:val="center"/>
          </w:tcPr>
          <w:p w14:paraId="2AB8994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塑料的</w:t>
            </w:r>
          </w:p>
        </w:tc>
        <w:tc>
          <w:tcPr>
            <w:tcW w:w="736" w:type="dxa"/>
            <w:noWrap w:val="0"/>
            <w:vAlign w:val="bottom"/>
          </w:tcPr>
          <w:p w14:paraId="39A903E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7BC39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77C6C7B">
            <w:pPr>
              <w:jc w:val="center"/>
              <w:rPr>
                <w:highlight w:val="none"/>
              </w:rPr>
            </w:pPr>
          </w:p>
        </w:tc>
        <w:tc>
          <w:tcPr>
            <w:tcW w:w="710" w:type="dxa"/>
            <w:gridSpan w:val="2"/>
            <w:noWrap w:val="0"/>
            <w:vAlign w:val="center"/>
          </w:tcPr>
          <w:p w14:paraId="3345E5EB">
            <w:pPr>
              <w:jc w:val="both"/>
              <w:rPr>
                <w:highlight w:val="none"/>
                <w:vertAlign w:val="baseline"/>
              </w:rPr>
            </w:pPr>
          </w:p>
        </w:tc>
      </w:tr>
      <w:tr w14:paraId="67A7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DA6AB0">
            <w:pPr>
              <w:jc w:val="center"/>
              <w:rPr>
                <w:rFonts w:hint="default"/>
                <w:highlight w:val="none"/>
                <w:vertAlign w:val="baseline"/>
                <w:lang w:val="en-US" w:eastAsia="zh-CN"/>
              </w:rPr>
            </w:pPr>
            <w:r>
              <w:rPr>
                <w:rFonts w:hint="eastAsia"/>
                <w:highlight w:val="none"/>
                <w:vertAlign w:val="baseline"/>
                <w:lang w:val="en-US" w:eastAsia="zh-CN"/>
              </w:rPr>
              <w:t>35</w:t>
            </w:r>
          </w:p>
        </w:tc>
        <w:tc>
          <w:tcPr>
            <w:tcW w:w="1690" w:type="dxa"/>
            <w:noWrap w:val="0"/>
            <w:vAlign w:val="center"/>
          </w:tcPr>
          <w:p w14:paraId="6BF01C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打孔器刮刀</w:t>
            </w:r>
          </w:p>
        </w:tc>
        <w:tc>
          <w:tcPr>
            <w:tcW w:w="5928" w:type="dxa"/>
            <w:noWrap w:val="0"/>
            <w:vAlign w:val="center"/>
          </w:tcPr>
          <w:p w14:paraId="1A9C572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bottom"/>
          </w:tcPr>
          <w:p w14:paraId="6066020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A83E4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3EF9A5F">
            <w:pPr>
              <w:jc w:val="center"/>
              <w:rPr>
                <w:highlight w:val="none"/>
              </w:rPr>
            </w:pPr>
          </w:p>
        </w:tc>
        <w:tc>
          <w:tcPr>
            <w:tcW w:w="710" w:type="dxa"/>
            <w:gridSpan w:val="2"/>
            <w:noWrap w:val="0"/>
            <w:vAlign w:val="center"/>
          </w:tcPr>
          <w:p w14:paraId="40FD12C9">
            <w:pPr>
              <w:jc w:val="both"/>
              <w:rPr>
                <w:highlight w:val="none"/>
                <w:vertAlign w:val="baseline"/>
              </w:rPr>
            </w:pPr>
          </w:p>
        </w:tc>
      </w:tr>
      <w:tr w14:paraId="679D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4F6F64">
            <w:pPr>
              <w:jc w:val="center"/>
              <w:rPr>
                <w:rFonts w:hint="default"/>
                <w:highlight w:val="none"/>
                <w:vertAlign w:val="baseline"/>
                <w:lang w:val="en-US" w:eastAsia="zh-CN"/>
              </w:rPr>
            </w:pPr>
            <w:r>
              <w:rPr>
                <w:rFonts w:hint="eastAsia"/>
                <w:highlight w:val="none"/>
                <w:vertAlign w:val="baseline"/>
                <w:lang w:val="en-US" w:eastAsia="zh-CN"/>
              </w:rPr>
              <w:t>36</w:t>
            </w:r>
          </w:p>
        </w:tc>
        <w:tc>
          <w:tcPr>
            <w:tcW w:w="1690" w:type="dxa"/>
            <w:noWrap w:val="0"/>
            <w:vAlign w:val="center"/>
          </w:tcPr>
          <w:p w14:paraId="2F1560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电动钻孔器</w:t>
            </w:r>
          </w:p>
        </w:tc>
        <w:tc>
          <w:tcPr>
            <w:tcW w:w="5928" w:type="dxa"/>
            <w:noWrap w:val="0"/>
            <w:vAlign w:val="center"/>
          </w:tcPr>
          <w:p w14:paraId="019DE59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钻头可拆卸</w:t>
            </w:r>
          </w:p>
        </w:tc>
        <w:tc>
          <w:tcPr>
            <w:tcW w:w="736" w:type="dxa"/>
            <w:noWrap w:val="0"/>
            <w:vAlign w:val="bottom"/>
          </w:tcPr>
          <w:p w14:paraId="47427B6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146A69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99CB85B">
            <w:pPr>
              <w:jc w:val="center"/>
              <w:rPr>
                <w:highlight w:val="none"/>
              </w:rPr>
            </w:pPr>
          </w:p>
        </w:tc>
        <w:tc>
          <w:tcPr>
            <w:tcW w:w="710" w:type="dxa"/>
            <w:gridSpan w:val="2"/>
            <w:noWrap w:val="0"/>
            <w:vAlign w:val="center"/>
          </w:tcPr>
          <w:p w14:paraId="4A31D44F">
            <w:pPr>
              <w:jc w:val="both"/>
              <w:rPr>
                <w:highlight w:val="none"/>
                <w:vertAlign w:val="baseline"/>
              </w:rPr>
            </w:pPr>
          </w:p>
        </w:tc>
      </w:tr>
      <w:tr w14:paraId="7A67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E4FB72">
            <w:pPr>
              <w:jc w:val="center"/>
              <w:rPr>
                <w:rFonts w:hint="default"/>
                <w:highlight w:val="none"/>
                <w:vertAlign w:val="baseline"/>
                <w:lang w:val="en-US" w:eastAsia="zh-CN"/>
              </w:rPr>
            </w:pPr>
            <w:r>
              <w:rPr>
                <w:rFonts w:hint="eastAsia"/>
                <w:highlight w:val="none"/>
                <w:vertAlign w:val="baseline"/>
                <w:lang w:val="en-US" w:eastAsia="zh-CN"/>
              </w:rPr>
              <w:t>37</w:t>
            </w:r>
          </w:p>
        </w:tc>
        <w:tc>
          <w:tcPr>
            <w:tcW w:w="1690" w:type="dxa"/>
            <w:noWrap w:val="0"/>
            <w:vAlign w:val="center"/>
          </w:tcPr>
          <w:p w14:paraId="33B659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托盘天平</w:t>
            </w:r>
          </w:p>
        </w:tc>
        <w:tc>
          <w:tcPr>
            <w:tcW w:w="5928" w:type="dxa"/>
            <w:noWrap w:val="0"/>
            <w:vAlign w:val="center"/>
          </w:tcPr>
          <w:p w14:paraId="243BB1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100g，0.1g</w:t>
            </w:r>
          </w:p>
        </w:tc>
        <w:tc>
          <w:tcPr>
            <w:tcW w:w="736" w:type="dxa"/>
            <w:noWrap w:val="0"/>
            <w:vAlign w:val="bottom"/>
          </w:tcPr>
          <w:p w14:paraId="014EB11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43339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F9C5675">
            <w:pPr>
              <w:jc w:val="center"/>
              <w:rPr>
                <w:highlight w:val="none"/>
              </w:rPr>
            </w:pPr>
          </w:p>
        </w:tc>
        <w:tc>
          <w:tcPr>
            <w:tcW w:w="710" w:type="dxa"/>
            <w:gridSpan w:val="2"/>
            <w:noWrap w:val="0"/>
            <w:vAlign w:val="center"/>
          </w:tcPr>
          <w:p w14:paraId="0E11FFE9">
            <w:pPr>
              <w:jc w:val="both"/>
              <w:rPr>
                <w:highlight w:val="none"/>
                <w:vertAlign w:val="baseline"/>
              </w:rPr>
            </w:pPr>
          </w:p>
        </w:tc>
      </w:tr>
      <w:tr w14:paraId="12C9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89DF6A0">
            <w:pPr>
              <w:jc w:val="center"/>
              <w:rPr>
                <w:rFonts w:hint="default"/>
                <w:highlight w:val="none"/>
                <w:vertAlign w:val="baseline"/>
                <w:lang w:val="en-US" w:eastAsia="zh-CN"/>
              </w:rPr>
            </w:pPr>
            <w:r>
              <w:rPr>
                <w:rFonts w:hint="eastAsia"/>
                <w:highlight w:val="none"/>
                <w:vertAlign w:val="baseline"/>
                <w:lang w:val="en-US" w:eastAsia="zh-CN"/>
              </w:rPr>
              <w:t>38</w:t>
            </w:r>
          </w:p>
        </w:tc>
        <w:tc>
          <w:tcPr>
            <w:tcW w:w="1690" w:type="dxa"/>
            <w:noWrap w:val="0"/>
            <w:vAlign w:val="center"/>
          </w:tcPr>
          <w:p w14:paraId="08626C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托盘天平</w:t>
            </w:r>
          </w:p>
        </w:tc>
        <w:tc>
          <w:tcPr>
            <w:tcW w:w="5928" w:type="dxa"/>
            <w:noWrap w:val="0"/>
            <w:vAlign w:val="center"/>
          </w:tcPr>
          <w:p w14:paraId="642BC78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500g,0.5g</w:t>
            </w:r>
          </w:p>
        </w:tc>
        <w:tc>
          <w:tcPr>
            <w:tcW w:w="736" w:type="dxa"/>
            <w:noWrap w:val="0"/>
            <w:vAlign w:val="bottom"/>
          </w:tcPr>
          <w:p w14:paraId="196F0DE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18A7CC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1E5D4DF">
            <w:pPr>
              <w:jc w:val="center"/>
              <w:rPr>
                <w:highlight w:val="none"/>
              </w:rPr>
            </w:pPr>
          </w:p>
        </w:tc>
        <w:tc>
          <w:tcPr>
            <w:tcW w:w="710" w:type="dxa"/>
            <w:gridSpan w:val="2"/>
            <w:noWrap w:val="0"/>
            <w:vAlign w:val="center"/>
          </w:tcPr>
          <w:p w14:paraId="15286EF9">
            <w:pPr>
              <w:jc w:val="both"/>
              <w:rPr>
                <w:highlight w:val="none"/>
                <w:vertAlign w:val="baseline"/>
              </w:rPr>
            </w:pPr>
          </w:p>
        </w:tc>
      </w:tr>
      <w:tr w14:paraId="1826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B653A90">
            <w:pPr>
              <w:jc w:val="center"/>
              <w:rPr>
                <w:rFonts w:hint="default"/>
                <w:highlight w:val="none"/>
                <w:vertAlign w:val="baseline"/>
                <w:lang w:val="en-US" w:eastAsia="zh-CN"/>
              </w:rPr>
            </w:pPr>
            <w:r>
              <w:rPr>
                <w:rFonts w:hint="eastAsia"/>
                <w:highlight w:val="none"/>
                <w:vertAlign w:val="baseline"/>
                <w:lang w:val="en-US" w:eastAsia="zh-CN"/>
              </w:rPr>
              <w:t>39</w:t>
            </w:r>
          </w:p>
        </w:tc>
        <w:tc>
          <w:tcPr>
            <w:tcW w:w="1690" w:type="dxa"/>
            <w:noWrap w:val="0"/>
            <w:vAlign w:val="center"/>
          </w:tcPr>
          <w:p w14:paraId="2BF2E6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电子天平</w:t>
            </w:r>
          </w:p>
        </w:tc>
        <w:tc>
          <w:tcPr>
            <w:tcW w:w="5928" w:type="dxa"/>
            <w:noWrap w:val="0"/>
            <w:vAlign w:val="center"/>
          </w:tcPr>
          <w:p w14:paraId="0840D3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g，0.0001 g</w:t>
            </w:r>
          </w:p>
        </w:tc>
        <w:tc>
          <w:tcPr>
            <w:tcW w:w="736" w:type="dxa"/>
            <w:noWrap w:val="0"/>
            <w:vAlign w:val="bottom"/>
          </w:tcPr>
          <w:p w14:paraId="2F8A4D4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3E4ED2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6BFD716">
            <w:pPr>
              <w:jc w:val="center"/>
              <w:rPr>
                <w:highlight w:val="none"/>
              </w:rPr>
            </w:pPr>
          </w:p>
        </w:tc>
        <w:tc>
          <w:tcPr>
            <w:tcW w:w="710" w:type="dxa"/>
            <w:gridSpan w:val="2"/>
            <w:noWrap w:val="0"/>
            <w:vAlign w:val="center"/>
          </w:tcPr>
          <w:p w14:paraId="671EC9FB">
            <w:pPr>
              <w:jc w:val="both"/>
              <w:rPr>
                <w:highlight w:val="none"/>
                <w:vertAlign w:val="baseline"/>
              </w:rPr>
            </w:pPr>
          </w:p>
        </w:tc>
      </w:tr>
      <w:tr w14:paraId="6B11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F5A4766">
            <w:pPr>
              <w:jc w:val="center"/>
              <w:rPr>
                <w:rFonts w:hint="default"/>
                <w:highlight w:val="none"/>
                <w:vertAlign w:val="baseline"/>
                <w:lang w:val="en-US" w:eastAsia="zh-CN"/>
              </w:rPr>
            </w:pPr>
            <w:r>
              <w:rPr>
                <w:rFonts w:hint="eastAsia"/>
                <w:highlight w:val="none"/>
                <w:vertAlign w:val="baseline"/>
                <w:lang w:val="en-US" w:eastAsia="zh-CN"/>
              </w:rPr>
              <w:t>40</w:t>
            </w:r>
          </w:p>
        </w:tc>
        <w:tc>
          <w:tcPr>
            <w:tcW w:w="1690" w:type="dxa"/>
            <w:noWrap w:val="0"/>
            <w:vAlign w:val="center"/>
          </w:tcPr>
          <w:p w14:paraId="7AD2A1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电子天平</w:t>
            </w:r>
          </w:p>
        </w:tc>
        <w:tc>
          <w:tcPr>
            <w:tcW w:w="5928" w:type="dxa"/>
            <w:noWrap w:val="0"/>
            <w:vAlign w:val="center"/>
          </w:tcPr>
          <w:p w14:paraId="560B73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500g，0.01</w:t>
            </w:r>
          </w:p>
        </w:tc>
        <w:tc>
          <w:tcPr>
            <w:tcW w:w="736" w:type="dxa"/>
            <w:noWrap w:val="0"/>
            <w:vAlign w:val="bottom"/>
          </w:tcPr>
          <w:p w14:paraId="43DE3F1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F7C19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09C4FDF9">
            <w:pPr>
              <w:jc w:val="center"/>
              <w:rPr>
                <w:highlight w:val="none"/>
              </w:rPr>
            </w:pPr>
          </w:p>
        </w:tc>
        <w:tc>
          <w:tcPr>
            <w:tcW w:w="710" w:type="dxa"/>
            <w:gridSpan w:val="2"/>
            <w:noWrap w:val="0"/>
            <w:vAlign w:val="center"/>
          </w:tcPr>
          <w:p w14:paraId="1DF035AB">
            <w:pPr>
              <w:jc w:val="both"/>
              <w:rPr>
                <w:highlight w:val="none"/>
                <w:vertAlign w:val="baseline"/>
              </w:rPr>
            </w:pPr>
          </w:p>
        </w:tc>
      </w:tr>
      <w:tr w14:paraId="77A4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139ADD0">
            <w:pPr>
              <w:jc w:val="center"/>
              <w:rPr>
                <w:rFonts w:hint="default"/>
                <w:highlight w:val="none"/>
                <w:vertAlign w:val="baseline"/>
                <w:lang w:val="en-US" w:eastAsia="zh-CN"/>
              </w:rPr>
            </w:pPr>
            <w:r>
              <w:rPr>
                <w:rFonts w:hint="eastAsia"/>
                <w:highlight w:val="none"/>
                <w:vertAlign w:val="baseline"/>
                <w:lang w:val="en-US" w:eastAsia="zh-CN"/>
              </w:rPr>
              <w:t>41</w:t>
            </w:r>
          </w:p>
        </w:tc>
        <w:tc>
          <w:tcPr>
            <w:tcW w:w="1690" w:type="dxa"/>
            <w:noWrap w:val="0"/>
            <w:vAlign w:val="center"/>
          </w:tcPr>
          <w:p w14:paraId="6C1B49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电子天平</w:t>
            </w:r>
          </w:p>
        </w:tc>
        <w:tc>
          <w:tcPr>
            <w:tcW w:w="5928" w:type="dxa"/>
            <w:noWrap w:val="0"/>
            <w:vAlign w:val="center"/>
          </w:tcPr>
          <w:p w14:paraId="76156A3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1000g，0.1</w:t>
            </w:r>
          </w:p>
        </w:tc>
        <w:tc>
          <w:tcPr>
            <w:tcW w:w="736" w:type="dxa"/>
            <w:noWrap w:val="0"/>
            <w:vAlign w:val="bottom"/>
          </w:tcPr>
          <w:p w14:paraId="478E09F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65DE9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D761BEC">
            <w:pPr>
              <w:jc w:val="center"/>
              <w:rPr>
                <w:highlight w:val="none"/>
              </w:rPr>
            </w:pPr>
          </w:p>
        </w:tc>
        <w:tc>
          <w:tcPr>
            <w:tcW w:w="710" w:type="dxa"/>
            <w:gridSpan w:val="2"/>
            <w:noWrap w:val="0"/>
            <w:vAlign w:val="center"/>
          </w:tcPr>
          <w:p w14:paraId="5BD29943">
            <w:pPr>
              <w:jc w:val="both"/>
              <w:rPr>
                <w:highlight w:val="none"/>
                <w:vertAlign w:val="baseline"/>
              </w:rPr>
            </w:pPr>
          </w:p>
        </w:tc>
      </w:tr>
      <w:tr w14:paraId="0E97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FA61A4">
            <w:pPr>
              <w:jc w:val="center"/>
              <w:rPr>
                <w:rFonts w:hint="default"/>
                <w:highlight w:val="none"/>
                <w:vertAlign w:val="baseline"/>
                <w:lang w:val="en-US" w:eastAsia="zh-CN"/>
              </w:rPr>
            </w:pPr>
            <w:r>
              <w:rPr>
                <w:rFonts w:hint="eastAsia"/>
                <w:highlight w:val="none"/>
                <w:vertAlign w:val="baseline"/>
                <w:lang w:val="en-US" w:eastAsia="zh-CN"/>
              </w:rPr>
              <w:t>42</w:t>
            </w:r>
          </w:p>
        </w:tc>
        <w:tc>
          <w:tcPr>
            <w:tcW w:w="1690" w:type="dxa"/>
            <w:noWrap w:val="0"/>
            <w:vAlign w:val="center"/>
          </w:tcPr>
          <w:p w14:paraId="5E9A88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红液温度计</w:t>
            </w:r>
          </w:p>
        </w:tc>
        <w:tc>
          <w:tcPr>
            <w:tcW w:w="5928" w:type="dxa"/>
            <w:noWrap w:val="0"/>
            <w:vAlign w:val="center"/>
          </w:tcPr>
          <w:p w14:paraId="43A1526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 ℃～100 ℃</w:t>
            </w:r>
          </w:p>
        </w:tc>
        <w:tc>
          <w:tcPr>
            <w:tcW w:w="736" w:type="dxa"/>
            <w:noWrap w:val="0"/>
            <w:vAlign w:val="bottom"/>
          </w:tcPr>
          <w:p w14:paraId="1B7DAB9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17ECA7E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66227D8">
            <w:pPr>
              <w:jc w:val="center"/>
              <w:rPr>
                <w:highlight w:val="none"/>
              </w:rPr>
            </w:pPr>
          </w:p>
        </w:tc>
        <w:tc>
          <w:tcPr>
            <w:tcW w:w="710" w:type="dxa"/>
            <w:gridSpan w:val="2"/>
            <w:noWrap w:val="0"/>
            <w:vAlign w:val="center"/>
          </w:tcPr>
          <w:p w14:paraId="1FD61D38">
            <w:pPr>
              <w:jc w:val="both"/>
              <w:rPr>
                <w:highlight w:val="none"/>
                <w:vertAlign w:val="baseline"/>
              </w:rPr>
            </w:pPr>
          </w:p>
        </w:tc>
      </w:tr>
      <w:tr w14:paraId="5444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F440C9">
            <w:pPr>
              <w:jc w:val="center"/>
              <w:rPr>
                <w:rFonts w:hint="default"/>
                <w:highlight w:val="none"/>
                <w:vertAlign w:val="baseline"/>
                <w:lang w:val="en-US" w:eastAsia="zh-CN"/>
              </w:rPr>
            </w:pPr>
            <w:r>
              <w:rPr>
                <w:rFonts w:hint="eastAsia"/>
                <w:highlight w:val="none"/>
                <w:vertAlign w:val="baseline"/>
                <w:lang w:val="en-US" w:eastAsia="zh-CN"/>
              </w:rPr>
              <w:t>43</w:t>
            </w:r>
          </w:p>
        </w:tc>
        <w:tc>
          <w:tcPr>
            <w:tcW w:w="1690" w:type="dxa"/>
            <w:noWrap w:val="0"/>
            <w:vAlign w:val="center"/>
          </w:tcPr>
          <w:p w14:paraId="73AAED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水银温度计</w:t>
            </w:r>
          </w:p>
        </w:tc>
        <w:tc>
          <w:tcPr>
            <w:tcW w:w="5928" w:type="dxa"/>
            <w:noWrap w:val="0"/>
            <w:vAlign w:val="center"/>
          </w:tcPr>
          <w:p w14:paraId="0D653C5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 ℃～200 ℃</w:t>
            </w:r>
          </w:p>
        </w:tc>
        <w:tc>
          <w:tcPr>
            <w:tcW w:w="736" w:type="dxa"/>
            <w:noWrap w:val="0"/>
            <w:vAlign w:val="bottom"/>
          </w:tcPr>
          <w:p w14:paraId="6C1476B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5FBCEDC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5F471F0">
            <w:pPr>
              <w:jc w:val="center"/>
              <w:rPr>
                <w:highlight w:val="none"/>
              </w:rPr>
            </w:pPr>
          </w:p>
        </w:tc>
        <w:tc>
          <w:tcPr>
            <w:tcW w:w="710" w:type="dxa"/>
            <w:gridSpan w:val="2"/>
            <w:noWrap w:val="0"/>
            <w:vAlign w:val="center"/>
          </w:tcPr>
          <w:p w14:paraId="2F296A05">
            <w:pPr>
              <w:jc w:val="both"/>
              <w:rPr>
                <w:highlight w:val="none"/>
                <w:vertAlign w:val="baseline"/>
              </w:rPr>
            </w:pPr>
          </w:p>
        </w:tc>
      </w:tr>
      <w:tr w14:paraId="6037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955829">
            <w:pPr>
              <w:jc w:val="center"/>
              <w:rPr>
                <w:rFonts w:hint="default"/>
                <w:highlight w:val="none"/>
                <w:vertAlign w:val="baseline"/>
                <w:lang w:val="en-US" w:eastAsia="zh-CN"/>
              </w:rPr>
            </w:pPr>
            <w:r>
              <w:rPr>
                <w:rFonts w:hint="eastAsia"/>
                <w:highlight w:val="none"/>
                <w:vertAlign w:val="baseline"/>
                <w:lang w:val="en-US" w:eastAsia="zh-CN"/>
              </w:rPr>
              <w:t>44</w:t>
            </w:r>
          </w:p>
        </w:tc>
        <w:tc>
          <w:tcPr>
            <w:tcW w:w="1690" w:type="dxa"/>
            <w:noWrap w:val="0"/>
            <w:vAlign w:val="center"/>
          </w:tcPr>
          <w:p w14:paraId="50A642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数字测温计</w:t>
            </w:r>
          </w:p>
        </w:tc>
        <w:tc>
          <w:tcPr>
            <w:tcW w:w="5928" w:type="dxa"/>
            <w:noWrap w:val="0"/>
            <w:vAlign w:val="center"/>
          </w:tcPr>
          <w:p w14:paraId="7D0C1C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量程-50 ℃～150 ℃，分辨力 0.1 ℃。不接电脑， 可独立运行，自带显示屏</w:t>
            </w:r>
          </w:p>
        </w:tc>
        <w:tc>
          <w:tcPr>
            <w:tcW w:w="736" w:type="dxa"/>
            <w:noWrap w:val="0"/>
            <w:vAlign w:val="bottom"/>
          </w:tcPr>
          <w:p w14:paraId="5624D53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283B0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02FA626">
            <w:pPr>
              <w:jc w:val="center"/>
              <w:rPr>
                <w:highlight w:val="none"/>
              </w:rPr>
            </w:pPr>
          </w:p>
        </w:tc>
        <w:tc>
          <w:tcPr>
            <w:tcW w:w="710" w:type="dxa"/>
            <w:gridSpan w:val="2"/>
            <w:noWrap w:val="0"/>
            <w:vAlign w:val="center"/>
          </w:tcPr>
          <w:p w14:paraId="7A04ACC0">
            <w:pPr>
              <w:jc w:val="both"/>
              <w:rPr>
                <w:highlight w:val="none"/>
                <w:vertAlign w:val="baseline"/>
              </w:rPr>
            </w:pPr>
          </w:p>
        </w:tc>
      </w:tr>
      <w:tr w14:paraId="45C2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60FA1A">
            <w:pPr>
              <w:jc w:val="center"/>
              <w:rPr>
                <w:rFonts w:hint="default"/>
                <w:highlight w:val="none"/>
                <w:vertAlign w:val="baseline"/>
                <w:lang w:val="en-US" w:eastAsia="zh-CN"/>
              </w:rPr>
            </w:pPr>
            <w:r>
              <w:rPr>
                <w:rFonts w:hint="eastAsia"/>
                <w:highlight w:val="none"/>
                <w:vertAlign w:val="baseline"/>
                <w:lang w:val="en-US" w:eastAsia="zh-CN"/>
              </w:rPr>
              <w:t>45</w:t>
            </w:r>
          </w:p>
        </w:tc>
        <w:tc>
          <w:tcPr>
            <w:tcW w:w="1690" w:type="dxa"/>
            <w:noWrap w:val="0"/>
            <w:vAlign w:val="center"/>
          </w:tcPr>
          <w:p w14:paraId="227907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多用电表（教师用）</w:t>
            </w:r>
          </w:p>
        </w:tc>
        <w:tc>
          <w:tcPr>
            <w:tcW w:w="5928" w:type="dxa"/>
            <w:noWrap w:val="0"/>
            <w:vAlign w:val="center"/>
          </w:tcPr>
          <w:p w14:paraId="673B41C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MF47</w:t>
            </w:r>
          </w:p>
        </w:tc>
        <w:tc>
          <w:tcPr>
            <w:tcW w:w="736" w:type="dxa"/>
            <w:noWrap w:val="0"/>
            <w:vAlign w:val="bottom"/>
          </w:tcPr>
          <w:p w14:paraId="565C6D8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7B95C4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02EE953">
            <w:pPr>
              <w:jc w:val="center"/>
              <w:rPr>
                <w:highlight w:val="none"/>
              </w:rPr>
            </w:pPr>
          </w:p>
        </w:tc>
        <w:tc>
          <w:tcPr>
            <w:tcW w:w="710" w:type="dxa"/>
            <w:gridSpan w:val="2"/>
            <w:noWrap w:val="0"/>
            <w:vAlign w:val="center"/>
          </w:tcPr>
          <w:p w14:paraId="7A50D153">
            <w:pPr>
              <w:jc w:val="both"/>
              <w:rPr>
                <w:highlight w:val="none"/>
                <w:vertAlign w:val="baseline"/>
              </w:rPr>
            </w:pPr>
          </w:p>
        </w:tc>
      </w:tr>
      <w:tr w14:paraId="4FA0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2C16E98">
            <w:pPr>
              <w:jc w:val="center"/>
              <w:rPr>
                <w:rFonts w:hint="default"/>
                <w:highlight w:val="none"/>
                <w:vertAlign w:val="baseline"/>
                <w:lang w:val="en-US" w:eastAsia="zh-CN"/>
              </w:rPr>
            </w:pPr>
            <w:r>
              <w:rPr>
                <w:rFonts w:hint="eastAsia"/>
                <w:highlight w:val="none"/>
                <w:vertAlign w:val="baseline"/>
                <w:lang w:val="en-US" w:eastAsia="zh-CN"/>
              </w:rPr>
              <w:t>46</w:t>
            </w:r>
          </w:p>
        </w:tc>
        <w:tc>
          <w:tcPr>
            <w:tcW w:w="1690" w:type="dxa"/>
            <w:noWrap w:val="0"/>
            <w:vAlign w:val="center"/>
          </w:tcPr>
          <w:p w14:paraId="0BF4BC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酸度计</w:t>
            </w:r>
          </w:p>
        </w:tc>
        <w:tc>
          <w:tcPr>
            <w:tcW w:w="5928" w:type="dxa"/>
            <w:noWrap w:val="0"/>
            <w:vAlign w:val="center"/>
          </w:tcPr>
          <w:p w14:paraId="51FA2F1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笔式，pH 测量范围 0～14</w:t>
            </w:r>
          </w:p>
        </w:tc>
        <w:tc>
          <w:tcPr>
            <w:tcW w:w="736" w:type="dxa"/>
            <w:noWrap w:val="0"/>
            <w:vAlign w:val="bottom"/>
          </w:tcPr>
          <w:p w14:paraId="41D7AA5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5FFDEA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F7D1502">
            <w:pPr>
              <w:jc w:val="center"/>
              <w:rPr>
                <w:highlight w:val="none"/>
              </w:rPr>
            </w:pPr>
          </w:p>
        </w:tc>
        <w:tc>
          <w:tcPr>
            <w:tcW w:w="710" w:type="dxa"/>
            <w:gridSpan w:val="2"/>
            <w:noWrap w:val="0"/>
            <w:vAlign w:val="center"/>
          </w:tcPr>
          <w:p w14:paraId="24486025">
            <w:pPr>
              <w:jc w:val="both"/>
              <w:rPr>
                <w:highlight w:val="none"/>
                <w:vertAlign w:val="baseline"/>
              </w:rPr>
            </w:pPr>
          </w:p>
        </w:tc>
      </w:tr>
      <w:tr w14:paraId="7DF8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1D984F">
            <w:pPr>
              <w:jc w:val="center"/>
              <w:rPr>
                <w:rFonts w:hint="default"/>
                <w:highlight w:val="none"/>
                <w:vertAlign w:val="baseline"/>
                <w:lang w:val="en-US" w:eastAsia="zh-CN"/>
              </w:rPr>
            </w:pPr>
            <w:r>
              <w:rPr>
                <w:rFonts w:hint="eastAsia"/>
                <w:highlight w:val="none"/>
                <w:vertAlign w:val="baseline"/>
                <w:lang w:val="en-US" w:eastAsia="zh-CN"/>
              </w:rPr>
              <w:t>47</w:t>
            </w:r>
          </w:p>
        </w:tc>
        <w:tc>
          <w:tcPr>
            <w:tcW w:w="1690" w:type="dxa"/>
            <w:noWrap w:val="0"/>
            <w:vAlign w:val="center"/>
          </w:tcPr>
          <w:p w14:paraId="5AAD4F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教学支架</w:t>
            </w:r>
          </w:p>
        </w:tc>
        <w:tc>
          <w:tcPr>
            <w:tcW w:w="5928" w:type="dxa"/>
            <w:noWrap w:val="0"/>
            <w:vAlign w:val="center"/>
          </w:tcPr>
          <w:p w14:paraId="31FFB3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bottom"/>
          </w:tcPr>
          <w:p w14:paraId="2F539D9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759D52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6830C88">
            <w:pPr>
              <w:jc w:val="center"/>
              <w:rPr>
                <w:highlight w:val="none"/>
              </w:rPr>
            </w:pPr>
          </w:p>
        </w:tc>
        <w:tc>
          <w:tcPr>
            <w:tcW w:w="710" w:type="dxa"/>
            <w:gridSpan w:val="2"/>
            <w:noWrap w:val="0"/>
            <w:vAlign w:val="center"/>
          </w:tcPr>
          <w:p w14:paraId="544C9930">
            <w:pPr>
              <w:jc w:val="both"/>
              <w:rPr>
                <w:highlight w:val="none"/>
                <w:vertAlign w:val="baseline"/>
              </w:rPr>
            </w:pPr>
          </w:p>
        </w:tc>
      </w:tr>
      <w:tr w14:paraId="25B9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1DE051F">
            <w:pPr>
              <w:jc w:val="center"/>
              <w:rPr>
                <w:rFonts w:hint="default"/>
                <w:highlight w:val="none"/>
                <w:vertAlign w:val="baseline"/>
                <w:lang w:val="en-US" w:eastAsia="zh-CN"/>
              </w:rPr>
            </w:pPr>
            <w:r>
              <w:rPr>
                <w:rFonts w:hint="eastAsia"/>
                <w:highlight w:val="none"/>
                <w:vertAlign w:val="baseline"/>
                <w:lang w:val="en-US" w:eastAsia="zh-CN"/>
              </w:rPr>
              <w:t>48</w:t>
            </w:r>
          </w:p>
        </w:tc>
        <w:tc>
          <w:tcPr>
            <w:tcW w:w="1690" w:type="dxa"/>
            <w:noWrap w:val="0"/>
            <w:vAlign w:val="center"/>
          </w:tcPr>
          <w:p w14:paraId="668E88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三脚架</w:t>
            </w:r>
          </w:p>
        </w:tc>
        <w:tc>
          <w:tcPr>
            <w:tcW w:w="5928" w:type="dxa"/>
            <w:noWrap w:val="0"/>
            <w:vAlign w:val="center"/>
          </w:tcPr>
          <w:p w14:paraId="77FFC2A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铁质，环内径 75 mm，高 150 mm</w:t>
            </w:r>
          </w:p>
        </w:tc>
        <w:tc>
          <w:tcPr>
            <w:tcW w:w="736" w:type="dxa"/>
            <w:noWrap w:val="0"/>
            <w:vAlign w:val="bottom"/>
          </w:tcPr>
          <w:p w14:paraId="3A495B6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79B85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D140F36">
            <w:pPr>
              <w:jc w:val="center"/>
              <w:rPr>
                <w:highlight w:val="none"/>
              </w:rPr>
            </w:pPr>
          </w:p>
        </w:tc>
        <w:tc>
          <w:tcPr>
            <w:tcW w:w="710" w:type="dxa"/>
            <w:gridSpan w:val="2"/>
            <w:noWrap w:val="0"/>
            <w:vAlign w:val="center"/>
          </w:tcPr>
          <w:p w14:paraId="4D12B430">
            <w:pPr>
              <w:jc w:val="both"/>
              <w:rPr>
                <w:highlight w:val="none"/>
                <w:vertAlign w:val="baseline"/>
              </w:rPr>
            </w:pPr>
          </w:p>
        </w:tc>
      </w:tr>
      <w:tr w14:paraId="6D07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51070C">
            <w:pPr>
              <w:jc w:val="center"/>
              <w:rPr>
                <w:rFonts w:hint="default"/>
                <w:highlight w:val="none"/>
                <w:vertAlign w:val="baseline"/>
                <w:lang w:val="en-US" w:eastAsia="zh-CN"/>
              </w:rPr>
            </w:pPr>
            <w:r>
              <w:rPr>
                <w:rFonts w:hint="eastAsia"/>
                <w:highlight w:val="none"/>
                <w:vertAlign w:val="baseline"/>
                <w:lang w:val="en-US" w:eastAsia="zh-CN"/>
              </w:rPr>
              <w:t>49</w:t>
            </w:r>
          </w:p>
        </w:tc>
        <w:tc>
          <w:tcPr>
            <w:tcW w:w="1690" w:type="dxa"/>
            <w:noWrap w:val="0"/>
            <w:vAlign w:val="center"/>
          </w:tcPr>
          <w:p w14:paraId="354D4A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泥三角</w:t>
            </w:r>
          </w:p>
        </w:tc>
        <w:tc>
          <w:tcPr>
            <w:tcW w:w="5928" w:type="dxa"/>
            <w:noWrap w:val="0"/>
            <w:vAlign w:val="center"/>
          </w:tcPr>
          <w:p w14:paraId="297046A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陶瓷</w:t>
            </w:r>
          </w:p>
        </w:tc>
        <w:tc>
          <w:tcPr>
            <w:tcW w:w="736" w:type="dxa"/>
            <w:noWrap w:val="0"/>
            <w:vAlign w:val="bottom"/>
          </w:tcPr>
          <w:p w14:paraId="7957C76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B0CCD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80F7257">
            <w:pPr>
              <w:jc w:val="center"/>
              <w:rPr>
                <w:highlight w:val="none"/>
              </w:rPr>
            </w:pPr>
          </w:p>
        </w:tc>
        <w:tc>
          <w:tcPr>
            <w:tcW w:w="710" w:type="dxa"/>
            <w:gridSpan w:val="2"/>
            <w:noWrap w:val="0"/>
            <w:vAlign w:val="center"/>
          </w:tcPr>
          <w:p w14:paraId="413C620C">
            <w:pPr>
              <w:jc w:val="both"/>
              <w:rPr>
                <w:highlight w:val="none"/>
                <w:vertAlign w:val="baseline"/>
              </w:rPr>
            </w:pPr>
          </w:p>
        </w:tc>
      </w:tr>
      <w:tr w14:paraId="51FF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3FE929">
            <w:pPr>
              <w:jc w:val="center"/>
              <w:rPr>
                <w:rFonts w:hint="default"/>
                <w:highlight w:val="none"/>
                <w:vertAlign w:val="baseline"/>
                <w:lang w:val="en-US" w:eastAsia="zh-CN"/>
              </w:rPr>
            </w:pPr>
            <w:r>
              <w:rPr>
                <w:rFonts w:hint="eastAsia"/>
                <w:highlight w:val="none"/>
                <w:vertAlign w:val="baseline"/>
                <w:lang w:val="en-US" w:eastAsia="zh-CN"/>
              </w:rPr>
              <w:t>50</w:t>
            </w:r>
          </w:p>
        </w:tc>
        <w:tc>
          <w:tcPr>
            <w:tcW w:w="1690" w:type="dxa"/>
            <w:noWrap w:val="0"/>
            <w:vAlign w:val="center"/>
          </w:tcPr>
          <w:p w14:paraId="5DD318C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试管架</w:t>
            </w:r>
          </w:p>
        </w:tc>
        <w:tc>
          <w:tcPr>
            <w:tcW w:w="5928" w:type="dxa"/>
            <w:noWrap w:val="0"/>
            <w:vAlign w:val="center"/>
          </w:tcPr>
          <w:p w14:paraId="586CC34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 孔，孔径 21 mm，立柱黏结牢固</w:t>
            </w:r>
          </w:p>
        </w:tc>
        <w:tc>
          <w:tcPr>
            <w:tcW w:w="736" w:type="dxa"/>
            <w:noWrap w:val="0"/>
            <w:vAlign w:val="bottom"/>
          </w:tcPr>
          <w:p w14:paraId="092FC16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94383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B07DDC1">
            <w:pPr>
              <w:jc w:val="center"/>
              <w:rPr>
                <w:highlight w:val="none"/>
              </w:rPr>
            </w:pPr>
          </w:p>
        </w:tc>
        <w:tc>
          <w:tcPr>
            <w:tcW w:w="710" w:type="dxa"/>
            <w:gridSpan w:val="2"/>
            <w:noWrap w:val="0"/>
            <w:vAlign w:val="center"/>
          </w:tcPr>
          <w:p w14:paraId="4BB3A244">
            <w:pPr>
              <w:jc w:val="both"/>
              <w:rPr>
                <w:highlight w:val="none"/>
                <w:vertAlign w:val="baseline"/>
              </w:rPr>
            </w:pPr>
          </w:p>
        </w:tc>
      </w:tr>
      <w:tr w14:paraId="7C20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8AC43F">
            <w:pPr>
              <w:jc w:val="center"/>
              <w:rPr>
                <w:rFonts w:hint="default"/>
                <w:highlight w:val="none"/>
                <w:vertAlign w:val="baseline"/>
                <w:lang w:val="en-US" w:eastAsia="zh-CN"/>
              </w:rPr>
            </w:pPr>
            <w:r>
              <w:rPr>
                <w:rFonts w:hint="eastAsia"/>
                <w:highlight w:val="none"/>
                <w:vertAlign w:val="baseline"/>
                <w:lang w:val="en-US" w:eastAsia="zh-CN"/>
              </w:rPr>
              <w:t>51</w:t>
            </w:r>
          </w:p>
        </w:tc>
        <w:tc>
          <w:tcPr>
            <w:tcW w:w="1690" w:type="dxa"/>
            <w:noWrap w:val="0"/>
            <w:vAlign w:val="center"/>
          </w:tcPr>
          <w:p w14:paraId="047D98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试管架</w:t>
            </w:r>
          </w:p>
        </w:tc>
        <w:tc>
          <w:tcPr>
            <w:tcW w:w="5928" w:type="dxa"/>
            <w:noWrap w:val="0"/>
            <w:vAlign w:val="center"/>
          </w:tcPr>
          <w:p w14:paraId="18005A8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塑料制，8 孔，孔径 25 mm</w:t>
            </w:r>
          </w:p>
        </w:tc>
        <w:tc>
          <w:tcPr>
            <w:tcW w:w="736" w:type="dxa"/>
            <w:noWrap w:val="0"/>
            <w:vAlign w:val="bottom"/>
          </w:tcPr>
          <w:p w14:paraId="3229B74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F468D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396" w:type="dxa"/>
            <w:gridSpan w:val="2"/>
            <w:noWrap w:val="0"/>
            <w:vAlign w:val="center"/>
          </w:tcPr>
          <w:p w14:paraId="3506EC51">
            <w:pPr>
              <w:jc w:val="center"/>
              <w:rPr>
                <w:highlight w:val="none"/>
              </w:rPr>
            </w:pPr>
          </w:p>
        </w:tc>
        <w:tc>
          <w:tcPr>
            <w:tcW w:w="710" w:type="dxa"/>
            <w:gridSpan w:val="2"/>
            <w:noWrap w:val="0"/>
            <w:vAlign w:val="center"/>
          </w:tcPr>
          <w:p w14:paraId="5450E606">
            <w:pPr>
              <w:jc w:val="both"/>
              <w:rPr>
                <w:highlight w:val="none"/>
                <w:vertAlign w:val="baseline"/>
              </w:rPr>
            </w:pPr>
          </w:p>
        </w:tc>
      </w:tr>
      <w:tr w14:paraId="3E70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1DE8B25">
            <w:pPr>
              <w:jc w:val="center"/>
              <w:rPr>
                <w:rFonts w:hint="default"/>
                <w:highlight w:val="none"/>
                <w:vertAlign w:val="baseline"/>
                <w:lang w:val="en-US" w:eastAsia="zh-CN"/>
              </w:rPr>
            </w:pPr>
            <w:r>
              <w:rPr>
                <w:rFonts w:hint="eastAsia"/>
                <w:highlight w:val="none"/>
                <w:vertAlign w:val="baseline"/>
                <w:lang w:val="en-US" w:eastAsia="zh-CN"/>
              </w:rPr>
              <w:t>52</w:t>
            </w:r>
          </w:p>
        </w:tc>
        <w:tc>
          <w:tcPr>
            <w:tcW w:w="1690" w:type="dxa"/>
            <w:noWrap w:val="0"/>
            <w:vAlign w:val="center"/>
          </w:tcPr>
          <w:p w14:paraId="72B2E8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试管架</w:t>
            </w:r>
          </w:p>
        </w:tc>
        <w:tc>
          <w:tcPr>
            <w:tcW w:w="5928" w:type="dxa"/>
            <w:noWrap w:val="0"/>
            <w:vAlign w:val="center"/>
          </w:tcPr>
          <w:p w14:paraId="7EB1A7C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木制，8 孔，孔径 35 mm</w:t>
            </w:r>
          </w:p>
        </w:tc>
        <w:tc>
          <w:tcPr>
            <w:tcW w:w="736" w:type="dxa"/>
            <w:noWrap w:val="0"/>
            <w:vAlign w:val="bottom"/>
          </w:tcPr>
          <w:p w14:paraId="2F750F94">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03593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396" w:type="dxa"/>
            <w:gridSpan w:val="2"/>
            <w:noWrap w:val="0"/>
            <w:vAlign w:val="center"/>
          </w:tcPr>
          <w:p w14:paraId="1D3459AB">
            <w:pPr>
              <w:jc w:val="center"/>
              <w:rPr>
                <w:highlight w:val="none"/>
              </w:rPr>
            </w:pPr>
          </w:p>
        </w:tc>
        <w:tc>
          <w:tcPr>
            <w:tcW w:w="710" w:type="dxa"/>
            <w:gridSpan w:val="2"/>
            <w:noWrap w:val="0"/>
            <w:vAlign w:val="center"/>
          </w:tcPr>
          <w:p w14:paraId="1603D605">
            <w:pPr>
              <w:jc w:val="both"/>
              <w:rPr>
                <w:highlight w:val="none"/>
                <w:vertAlign w:val="baseline"/>
              </w:rPr>
            </w:pPr>
          </w:p>
        </w:tc>
      </w:tr>
      <w:tr w14:paraId="4DC9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2C70E1">
            <w:pPr>
              <w:jc w:val="center"/>
              <w:rPr>
                <w:rFonts w:hint="default"/>
                <w:highlight w:val="none"/>
                <w:vertAlign w:val="baseline"/>
                <w:lang w:val="en-US" w:eastAsia="zh-CN"/>
              </w:rPr>
            </w:pPr>
            <w:r>
              <w:rPr>
                <w:rFonts w:hint="eastAsia"/>
                <w:highlight w:val="none"/>
                <w:vertAlign w:val="baseline"/>
                <w:lang w:val="en-US" w:eastAsia="zh-CN"/>
              </w:rPr>
              <w:t>53</w:t>
            </w:r>
          </w:p>
        </w:tc>
        <w:tc>
          <w:tcPr>
            <w:tcW w:w="1690" w:type="dxa"/>
            <w:noWrap w:val="0"/>
            <w:vAlign w:val="center"/>
          </w:tcPr>
          <w:p w14:paraId="047695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漏斗架</w:t>
            </w:r>
          </w:p>
        </w:tc>
        <w:tc>
          <w:tcPr>
            <w:tcW w:w="5928" w:type="dxa"/>
            <w:noWrap w:val="0"/>
            <w:vAlign w:val="center"/>
          </w:tcPr>
          <w:p w14:paraId="765E1F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木质</w:t>
            </w:r>
          </w:p>
        </w:tc>
        <w:tc>
          <w:tcPr>
            <w:tcW w:w="736" w:type="dxa"/>
            <w:noWrap w:val="0"/>
            <w:vAlign w:val="bottom"/>
          </w:tcPr>
          <w:p w14:paraId="7EF64E8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97EBB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ECCB70F">
            <w:pPr>
              <w:jc w:val="center"/>
              <w:rPr>
                <w:highlight w:val="none"/>
              </w:rPr>
            </w:pPr>
          </w:p>
        </w:tc>
        <w:tc>
          <w:tcPr>
            <w:tcW w:w="710" w:type="dxa"/>
            <w:gridSpan w:val="2"/>
            <w:noWrap w:val="0"/>
            <w:vAlign w:val="center"/>
          </w:tcPr>
          <w:p w14:paraId="4689210B">
            <w:pPr>
              <w:jc w:val="both"/>
              <w:rPr>
                <w:highlight w:val="none"/>
                <w:vertAlign w:val="baseline"/>
              </w:rPr>
            </w:pPr>
          </w:p>
        </w:tc>
      </w:tr>
      <w:tr w14:paraId="3018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8CFC54">
            <w:pPr>
              <w:jc w:val="center"/>
              <w:rPr>
                <w:rFonts w:hint="default"/>
                <w:highlight w:val="none"/>
                <w:vertAlign w:val="baseline"/>
                <w:lang w:val="en-US" w:eastAsia="zh-CN"/>
              </w:rPr>
            </w:pPr>
            <w:r>
              <w:rPr>
                <w:rFonts w:hint="eastAsia"/>
                <w:highlight w:val="none"/>
                <w:vertAlign w:val="baseline"/>
                <w:lang w:val="en-US" w:eastAsia="zh-CN"/>
              </w:rPr>
              <w:t>54</w:t>
            </w:r>
          </w:p>
        </w:tc>
        <w:tc>
          <w:tcPr>
            <w:tcW w:w="1690" w:type="dxa"/>
            <w:noWrap w:val="0"/>
            <w:vAlign w:val="center"/>
          </w:tcPr>
          <w:p w14:paraId="3F14E70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滴定台</w:t>
            </w:r>
          </w:p>
        </w:tc>
        <w:tc>
          <w:tcPr>
            <w:tcW w:w="5928" w:type="dxa"/>
            <w:noWrap w:val="0"/>
            <w:vAlign w:val="center"/>
          </w:tcPr>
          <w:p w14:paraId="62C30EF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与滴定夹配用</w:t>
            </w:r>
          </w:p>
        </w:tc>
        <w:tc>
          <w:tcPr>
            <w:tcW w:w="736" w:type="dxa"/>
            <w:noWrap w:val="0"/>
            <w:vAlign w:val="bottom"/>
          </w:tcPr>
          <w:p w14:paraId="0A6CE8D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E149A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5BF669A">
            <w:pPr>
              <w:jc w:val="center"/>
              <w:rPr>
                <w:highlight w:val="none"/>
              </w:rPr>
            </w:pPr>
          </w:p>
        </w:tc>
        <w:tc>
          <w:tcPr>
            <w:tcW w:w="710" w:type="dxa"/>
            <w:gridSpan w:val="2"/>
            <w:noWrap w:val="0"/>
            <w:vAlign w:val="center"/>
          </w:tcPr>
          <w:p w14:paraId="577EA5AC">
            <w:pPr>
              <w:jc w:val="both"/>
              <w:rPr>
                <w:highlight w:val="none"/>
                <w:vertAlign w:val="baseline"/>
              </w:rPr>
            </w:pPr>
          </w:p>
        </w:tc>
      </w:tr>
      <w:tr w14:paraId="6D95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ED616C">
            <w:pPr>
              <w:jc w:val="center"/>
              <w:rPr>
                <w:rFonts w:hint="default"/>
                <w:highlight w:val="none"/>
                <w:vertAlign w:val="baseline"/>
                <w:lang w:val="en-US" w:eastAsia="zh-CN"/>
              </w:rPr>
            </w:pPr>
            <w:r>
              <w:rPr>
                <w:rFonts w:hint="eastAsia"/>
                <w:highlight w:val="none"/>
                <w:vertAlign w:val="baseline"/>
                <w:lang w:val="en-US" w:eastAsia="zh-CN"/>
              </w:rPr>
              <w:t>55</w:t>
            </w:r>
          </w:p>
        </w:tc>
        <w:tc>
          <w:tcPr>
            <w:tcW w:w="1690" w:type="dxa"/>
            <w:noWrap w:val="0"/>
            <w:vAlign w:val="center"/>
          </w:tcPr>
          <w:p w14:paraId="79C4C1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滴定夹</w:t>
            </w:r>
          </w:p>
        </w:tc>
        <w:tc>
          <w:tcPr>
            <w:tcW w:w="5928" w:type="dxa"/>
            <w:noWrap w:val="0"/>
            <w:vAlign w:val="center"/>
          </w:tcPr>
          <w:p w14:paraId="085CA96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与滴定管配用</w:t>
            </w:r>
          </w:p>
        </w:tc>
        <w:tc>
          <w:tcPr>
            <w:tcW w:w="736" w:type="dxa"/>
            <w:noWrap w:val="0"/>
            <w:vAlign w:val="bottom"/>
          </w:tcPr>
          <w:p w14:paraId="25EEDA9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3FE17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E733F94">
            <w:pPr>
              <w:jc w:val="center"/>
              <w:rPr>
                <w:highlight w:val="none"/>
              </w:rPr>
            </w:pPr>
          </w:p>
        </w:tc>
        <w:tc>
          <w:tcPr>
            <w:tcW w:w="710" w:type="dxa"/>
            <w:gridSpan w:val="2"/>
            <w:noWrap w:val="0"/>
            <w:vAlign w:val="center"/>
          </w:tcPr>
          <w:p w14:paraId="294E3E47">
            <w:pPr>
              <w:jc w:val="both"/>
              <w:rPr>
                <w:highlight w:val="none"/>
                <w:vertAlign w:val="baseline"/>
              </w:rPr>
            </w:pPr>
          </w:p>
        </w:tc>
      </w:tr>
      <w:tr w14:paraId="4F94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173C32">
            <w:pPr>
              <w:jc w:val="center"/>
              <w:rPr>
                <w:rFonts w:hint="default"/>
                <w:highlight w:val="none"/>
                <w:vertAlign w:val="baseline"/>
                <w:lang w:val="en-US" w:eastAsia="zh-CN"/>
              </w:rPr>
            </w:pPr>
            <w:r>
              <w:rPr>
                <w:rFonts w:hint="eastAsia"/>
                <w:highlight w:val="none"/>
                <w:vertAlign w:val="baseline"/>
                <w:lang w:val="en-US" w:eastAsia="zh-CN"/>
              </w:rPr>
              <w:t>56</w:t>
            </w:r>
          </w:p>
        </w:tc>
        <w:tc>
          <w:tcPr>
            <w:tcW w:w="1690" w:type="dxa"/>
            <w:noWrap w:val="0"/>
            <w:vAlign w:val="center"/>
          </w:tcPr>
          <w:p w14:paraId="20CD32D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多用滴管架</w:t>
            </w:r>
          </w:p>
        </w:tc>
        <w:tc>
          <w:tcPr>
            <w:tcW w:w="5928" w:type="dxa"/>
            <w:noWrap w:val="0"/>
            <w:vAlign w:val="center"/>
          </w:tcPr>
          <w:p w14:paraId="6FBBB2C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w:t>
            </w:r>
          </w:p>
        </w:tc>
        <w:tc>
          <w:tcPr>
            <w:tcW w:w="736" w:type="dxa"/>
            <w:noWrap w:val="0"/>
            <w:vAlign w:val="bottom"/>
          </w:tcPr>
          <w:p w14:paraId="4F435E4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0DF9A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121871C">
            <w:pPr>
              <w:jc w:val="center"/>
              <w:rPr>
                <w:highlight w:val="none"/>
              </w:rPr>
            </w:pPr>
          </w:p>
        </w:tc>
        <w:tc>
          <w:tcPr>
            <w:tcW w:w="710" w:type="dxa"/>
            <w:gridSpan w:val="2"/>
            <w:noWrap w:val="0"/>
            <w:vAlign w:val="center"/>
          </w:tcPr>
          <w:p w14:paraId="137FB2CF">
            <w:pPr>
              <w:jc w:val="both"/>
              <w:rPr>
                <w:highlight w:val="none"/>
                <w:vertAlign w:val="baseline"/>
              </w:rPr>
            </w:pPr>
          </w:p>
        </w:tc>
      </w:tr>
      <w:tr w14:paraId="4366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7C6407">
            <w:pPr>
              <w:jc w:val="center"/>
              <w:rPr>
                <w:rFonts w:hint="default"/>
                <w:highlight w:val="none"/>
                <w:vertAlign w:val="baseline"/>
                <w:lang w:val="en-US" w:eastAsia="zh-CN"/>
              </w:rPr>
            </w:pPr>
            <w:r>
              <w:rPr>
                <w:rFonts w:hint="eastAsia"/>
                <w:highlight w:val="none"/>
                <w:vertAlign w:val="baseline"/>
                <w:lang w:val="en-US" w:eastAsia="zh-CN"/>
              </w:rPr>
              <w:t>57</w:t>
            </w:r>
          </w:p>
        </w:tc>
        <w:tc>
          <w:tcPr>
            <w:tcW w:w="1690" w:type="dxa"/>
            <w:noWrap w:val="0"/>
            <w:vAlign w:val="center"/>
          </w:tcPr>
          <w:p w14:paraId="492790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1CE6DDA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 mL,玻璃制</w:t>
            </w:r>
          </w:p>
        </w:tc>
        <w:tc>
          <w:tcPr>
            <w:tcW w:w="736" w:type="dxa"/>
            <w:noWrap w:val="0"/>
            <w:vAlign w:val="bottom"/>
          </w:tcPr>
          <w:p w14:paraId="20DE77C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DE7E8C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796A3C0">
            <w:pPr>
              <w:jc w:val="center"/>
              <w:rPr>
                <w:highlight w:val="none"/>
              </w:rPr>
            </w:pPr>
          </w:p>
        </w:tc>
        <w:tc>
          <w:tcPr>
            <w:tcW w:w="710" w:type="dxa"/>
            <w:gridSpan w:val="2"/>
            <w:noWrap w:val="0"/>
            <w:vAlign w:val="center"/>
          </w:tcPr>
          <w:p w14:paraId="67898BF6">
            <w:pPr>
              <w:jc w:val="both"/>
              <w:rPr>
                <w:highlight w:val="none"/>
                <w:vertAlign w:val="baseline"/>
              </w:rPr>
            </w:pPr>
          </w:p>
        </w:tc>
      </w:tr>
      <w:tr w14:paraId="513D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B69FE72">
            <w:pPr>
              <w:jc w:val="center"/>
              <w:rPr>
                <w:rFonts w:hint="default"/>
                <w:highlight w:val="none"/>
                <w:vertAlign w:val="baseline"/>
                <w:lang w:val="en-US" w:eastAsia="zh-CN"/>
              </w:rPr>
            </w:pPr>
            <w:r>
              <w:rPr>
                <w:rFonts w:hint="eastAsia"/>
                <w:highlight w:val="none"/>
                <w:vertAlign w:val="baseline"/>
                <w:lang w:val="en-US" w:eastAsia="zh-CN"/>
              </w:rPr>
              <w:t>58</w:t>
            </w:r>
          </w:p>
        </w:tc>
        <w:tc>
          <w:tcPr>
            <w:tcW w:w="1690" w:type="dxa"/>
            <w:noWrap w:val="0"/>
            <w:vAlign w:val="center"/>
          </w:tcPr>
          <w:p w14:paraId="3C1A015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2097BC0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 mL,玻璃制</w:t>
            </w:r>
          </w:p>
        </w:tc>
        <w:tc>
          <w:tcPr>
            <w:tcW w:w="736" w:type="dxa"/>
            <w:noWrap w:val="0"/>
            <w:vAlign w:val="bottom"/>
          </w:tcPr>
          <w:p w14:paraId="38B1D2E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CED6C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3439256">
            <w:pPr>
              <w:jc w:val="center"/>
              <w:rPr>
                <w:highlight w:val="none"/>
              </w:rPr>
            </w:pPr>
          </w:p>
        </w:tc>
        <w:tc>
          <w:tcPr>
            <w:tcW w:w="710" w:type="dxa"/>
            <w:gridSpan w:val="2"/>
            <w:noWrap w:val="0"/>
            <w:vAlign w:val="center"/>
          </w:tcPr>
          <w:p w14:paraId="7AD10C30">
            <w:pPr>
              <w:jc w:val="both"/>
              <w:rPr>
                <w:highlight w:val="none"/>
                <w:vertAlign w:val="baseline"/>
              </w:rPr>
            </w:pPr>
          </w:p>
        </w:tc>
      </w:tr>
      <w:tr w14:paraId="1769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793852">
            <w:pPr>
              <w:jc w:val="center"/>
              <w:rPr>
                <w:rFonts w:hint="default"/>
                <w:highlight w:val="none"/>
                <w:vertAlign w:val="baseline"/>
                <w:lang w:val="en-US" w:eastAsia="zh-CN"/>
              </w:rPr>
            </w:pPr>
            <w:r>
              <w:rPr>
                <w:rFonts w:hint="eastAsia"/>
                <w:highlight w:val="none"/>
                <w:vertAlign w:val="baseline"/>
                <w:lang w:val="en-US" w:eastAsia="zh-CN"/>
              </w:rPr>
              <w:t>59</w:t>
            </w:r>
          </w:p>
        </w:tc>
        <w:tc>
          <w:tcPr>
            <w:tcW w:w="1690" w:type="dxa"/>
            <w:noWrap w:val="0"/>
            <w:vAlign w:val="center"/>
          </w:tcPr>
          <w:p w14:paraId="0065B6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05FD975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 mL 玻璃制</w:t>
            </w:r>
          </w:p>
        </w:tc>
        <w:tc>
          <w:tcPr>
            <w:tcW w:w="736" w:type="dxa"/>
            <w:noWrap w:val="0"/>
            <w:vAlign w:val="bottom"/>
          </w:tcPr>
          <w:p w14:paraId="14CDDBB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2FD747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F227E88">
            <w:pPr>
              <w:jc w:val="center"/>
              <w:rPr>
                <w:highlight w:val="none"/>
              </w:rPr>
            </w:pPr>
          </w:p>
        </w:tc>
        <w:tc>
          <w:tcPr>
            <w:tcW w:w="710" w:type="dxa"/>
            <w:gridSpan w:val="2"/>
            <w:noWrap w:val="0"/>
            <w:vAlign w:val="center"/>
          </w:tcPr>
          <w:p w14:paraId="3B7CF770">
            <w:pPr>
              <w:jc w:val="both"/>
              <w:rPr>
                <w:highlight w:val="none"/>
                <w:vertAlign w:val="baseline"/>
              </w:rPr>
            </w:pPr>
          </w:p>
        </w:tc>
      </w:tr>
      <w:tr w14:paraId="014C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87C9A47">
            <w:pPr>
              <w:jc w:val="center"/>
              <w:rPr>
                <w:rFonts w:hint="default"/>
                <w:highlight w:val="none"/>
                <w:vertAlign w:val="baseline"/>
                <w:lang w:val="en-US" w:eastAsia="zh-CN"/>
              </w:rPr>
            </w:pPr>
            <w:r>
              <w:rPr>
                <w:rFonts w:hint="eastAsia"/>
                <w:highlight w:val="none"/>
                <w:vertAlign w:val="baseline"/>
                <w:lang w:val="en-US" w:eastAsia="zh-CN"/>
              </w:rPr>
              <w:t>60</w:t>
            </w:r>
          </w:p>
        </w:tc>
        <w:tc>
          <w:tcPr>
            <w:tcW w:w="1690" w:type="dxa"/>
            <w:noWrap w:val="0"/>
            <w:vAlign w:val="center"/>
          </w:tcPr>
          <w:p w14:paraId="0C507E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1733EE0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100ml.玻璃制</w:t>
            </w:r>
          </w:p>
        </w:tc>
        <w:tc>
          <w:tcPr>
            <w:tcW w:w="736" w:type="dxa"/>
            <w:noWrap w:val="0"/>
            <w:vAlign w:val="bottom"/>
          </w:tcPr>
          <w:p w14:paraId="61C58BD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2740E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520780D">
            <w:pPr>
              <w:jc w:val="center"/>
              <w:rPr>
                <w:highlight w:val="none"/>
              </w:rPr>
            </w:pPr>
          </w:p>
        </w:tc>
        <w:tc>
          <w:tcPr>
            <w:tcW w:w="710" w:type="dxa"/>
            <w:gridSpan w:val="2"/>
            <w:noWrap w:val="0"/>
            <w:vAlign w:val="center"/>
          </w:tcPr>
          <w:p w14:paraId="70954628">
            <w:pPr>
              <w:jc w:val="both"/>
              <w:rPr>
                <w:highlight w:val="none"/>
                <w:vertAlign w:val="baseline"/>
              </w:rPr>
            </w:pPr>
          </w:p>
        </w:tc>
      </w:tr>
      <w:tr w14:paraId="1394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BC0F6E">
            <w:pPr>
              <w:jc w:val="center"/>
              <w:rPr>
                <w:rFonts w:hint="default"/>
                <w:highlight w:val="none"/>
                <w:vertAlign w:val="baseline"/>
                <w:lang w:val="en-US" w:eastAsia="zh-CN"/>
              </w:rPr>
            </w:pPr>
            <w:r>
              <w:rPr>
                <w:rFonts w:hint="eastAsia"/>
                <w:highlight w:val="none"/>
                <w:vertAlign w:val="baseline"/>
                <w:lang w:val="en-US" w:eastAsia="zh-CN"/>
              </w:rPr>
              <w:t>61</w:t>
            </w:r>
          </w:p>
        </w:tc>
        <w:tc>
          <w:tcPr>
            <w:tcW w:w="1690" w:type="dxa"/>
            <w:noWrap w:val="0"/>
            <w:vAlign w:val="center"/>
          </w:tcPr>
          <w:p w14:paraId="27B770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3906F98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bottom"/>
          </w:tcPr>
          <w:p w14:paraId="4E9A3EE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2B519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D801D02">
            <w:pPr>
              <w:jc w:val="center"/>
              <w:rPr>
                <w:highlight w:val="none"/>
              </w:rPr>
            </w:pPr>
          </w:p>
        </w:tc>
        <w:tc>
          <w:tcPr>
            <w:tcW w:w="710" w:type="dxa"/>
            <w:gridSpan w:val="2"/>
            <w:noWrap w:val="0"/>
            <w:vAlign w:val="center"/>
          </w:tcPr>
          <w:p w14:paraId="3F8D461F">
            <w:pPr>
              <w:jc w:val="both"/>
              <w:rPr>
                <w:highlight w:val="none"/>
                <w:vertAlign w:val="baseline"/>
              </w:rPr>
            </w:pPr>
          </w:p>
        </w:tc>
      </w:tr>
      <w:tr w14:paraId="0AC7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62CF26">
            <w:pPr>
              <w:jc w:val="center"/>
              <w:rPr>
                <w:rFonts w:hint="default"/>
                <w:highlight w:val="none"/>
                <w:vertAlign w:val="baseline"/>
                <w:lang w:val="en-US" w:eastAsia="zh-CN"/>
              </w:rPr>
            </w:pPr>
            <w:r>
              <w:rPr>
                <w:rFonts w:hint="eastAsia"/>
                <w:highlight w:val="none"/>
                <w:vertAlign w:val="baseline"/>
                <w:lang w:val="en-US" w:eastAsia="zh-CN"/>
              </w:rPr>
              <w:t>62</w:t>
            </w:r>
          </w:p>
        </w:tc>
        <w:tc>
          <w:tcPr>
            <w:tcW w:w="1690" w:type="dxa"/>
            <w:noWrap w:val="0"/>
            <w:vAlign w:val="center"/>
          </w:tcPr>
          <w:p w14:paraId="715899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容量瓶</w:t>
            </w:r>
          </w:p>
        </w:tc>
        <w:tc>
          <w:tcPr>
            <w:tcW w:w="5928" w:type="dxa"/>
            <w:noWrap w:val="0"/>
            <w:vAlign w:val="center"/>
          </w:tcPr>
          <w:p w14:paraId="4DD7EBE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bottom"/>
          </w:tcPr>
          <w:p w14:paraId="0F4F354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E38A6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BA3CEC9">
            <w:pPr>
              <w:jc w:val="center"/>
              <w:rPr>
                <w:highlight w:val="none"/>
              </w:rPr>
            </w:pPr>
          </w:p>
        </w:tc>
        <w:tc>
          <w:tcPr>
            <w:tcW w:w="710" w:type="dxa"/>
            <w:gridSpan w:val="2"/>
            <w:noWrap w:val="0"/>
            <w:vAlign w:val="center"/>
          </w:tcPr>
          <w:p w14:paraId="31EB2B42">
            <w:pPr>
              <w:jc w:val="both"/>
              <w:rPr>
                <w:highlight w:val="none"/>
                <w:vertAlign w:val="baseline"/>
              </w:rPr>
            </w:pPr>
          </w:p>
        </w:tc>
      </w:tr>
      <w:tr w14:paraId="2964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858A34B">
            <w:pPr>
              <w:jc w:val="center"/>
              <w:rPr>
                <w:rFonts w:hint="default"/>
                <w:highlight w:val="none"/>
                <w:vertAlign w:val="baseline"/>
                <w:lang w:val="en-US" w:eastAsia="zh-CN"/>
              </w:rPr>
            </w:pPr>
            <w:r>
              <w:rPr>
                <w:rFonts w:hint="eastAsia"/>
                <w:highlight w:val="none"/>
                <w:vertAlign w:val="baseline"/>
                <w:lang w:val="en-US" w:eastAsia="zh-CN"/>
              </w:rPr>
              <w:t>63</w:t>
            </w:r>
          </w:p>
        </w:tc>
        <w:tc>
          <w:tcPr>
            <w:tcW w:w="1690" w:type="dxa"/>
            <w:noWrap w:val="0"/>
            <w:vAlign w:val="center"/>
          </w:tcPr>
          <w:p w14:paraId="7F5DD1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容量瓶</w:t>
            </w:r>
          </w:p>
        </w:tc>
        <w:tc>
          <w:tcPr>
            <w:tcW w:w="5928" w:type="dxa"/>
            <w:noWrap w:val="0"/>
            <w:vAlign w:val="center"/>
          </w:tcPr>
          <w:p w14:paraId="38C0DBF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 玻璃制</w:t>
            </w:r>
          </w:p>
        </w:tc>
        <w:tc>
          <w:tcPr>
            <w:tcW w:w="736" w:type="dxa"/>
            <w:noWrap w:val="0"/>
            <w:vAlign w:val="bottom"/>
          </w:tcPr>
          <w:p w14:paraId="3281FBA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E40DF4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C00E40">
            <w:pPr>
              <w:jc w:val="center"/>
              <w:rPr>
                <w:highlight w:val="none"/>
              </w:rPr>
            </w:pPr>
          </w:p>
        </w:tc>
        <w:tc>
          <w:tcPr>
            <w:tcW w:w="710" w:type="dxa"/>
            <w:gridSpan w:val="2"/>
            <w:noWrap w:val="0"/>
            <w:vAlign w:val="center"/>
          </w:tcPr>
          <w:p w14:paraId="298552CB">
            <w:pPr>
              <w:jc w:val="both"/>
              <w:rPr>
                <w:highlight w:val="none"/>
                <w:vertAlign w:val="baseline"/>
              </w:rPr>
            </w:pPr>
          </w:p>
        </w:tc>
      </w:tr>
      <w:tr w14:paraId="0AD9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68B6FA">
            <w:pPr>
              <w:jc w:val="center"/>
              <w:rPr>
                <w:rFonts w:hint="default"/>
                <w:highlight w:val="none"/>
                <w:vertAlign w:val="baseline"/>
                <w:lang w:val="en-US" w:eastAsia="zh-CN"/>
              </w:rPr>
            </w:pPr>
            <w:r>
              <w:rPr>
                <w:rFonts w:hint="eastAsia"/>
                <w:highlight w:val="none"/>
                <w:vertAlign w:val="baseline"/>
                <w:lang w:val="en-US" w:eastAsia="zh-CN"/>
              </w:rPr>
              <w:t>64</w:t>
            </w:r>
          </w:p>
        </w:tc>
        <w:tc>
          <w:tcPr>
            <w:tcW w:w="1690" w:type="dxa"/>
            <w:noWrap w:val="0"/>
            <w:vAlign w:val="center"/>
          </w:tcPr>
          <w:p w14:paraId="46007A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滴定管</w:t>
            </w:r>
          </w:p>
        </w:tc>
        <w:tc>
          <w:tcPr>
            <w:tcW w:w="5928" w:type="dxa"/>
            <w:noWrap w:val="0"/>
            <w:vAlign w:val="center"/>
          </w:tcPr>
          <w:p w14:paraId="2D0E387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酸式， 25 mL  玻璃制</w:t>
            </w:r>
          </w:p>
        </w:tc>
        <w:tc>
          <w:tcPr>
            <w:tcW w:w="736" w:type="dxa"/>
            <w:noWrap w:val="0"/>
            <w:vAlign w:val="bottom"/>
          </w:tcPr>
          <w:p w14:paraId="43F1FF3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A448F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E9F749E">
            <w:pPr>
              <w:jc w:val="center"/>
              <w:rPr>
                <w:highlight w:val="none"/>
              </w:rPr>
            </w:pPr>
          </w:p>
        </w:tc>
        <w:tc>
          <w:tcPr>
            <w:tcW w:w="710" w:type="dxa"/>
            <w:gridSpan w:val="2"/>
            <w:noWrap w:val="0"/>
            <w:vAlign w:val="center"/>
          </w:tcPr>
          <w:p w14:paraId="3D377140">
            <w:pPr>
              <w:jc w:val="both"/>
              <w:rPr>
                <w:highlight w:val="none"/>
                <w:vertAlign w:val="baseline"/>
              </w:rPr>
            </w:pPr>
          </w:p>
        </w:tc>
      </w:tr>
      <w:tr w14:paraId="0722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CD06CE">
            <w:pPr>
              <w:jc w:val="center"/>
              <w:rPr>
                <w:rFonts w:hint="default"/>
                <w:highlight w:val="none"/>
                <w:vertAlign w:val="baseline"/>
                <w:lang w:val="en-US" w:eastAsia="zh-CN"/>
              </w:rPr>
            </w:pPr>
            <w:r>
              <w:rPr>
                <w:rFonts w:hint="eastAsia"/>
                <w:highlight w:val="none"/>
                <w:vertAlign w:val="baseline"/>
                <w:lang w:val="en-US" w:eastAsia="zh-CN"/>
              </w:rPr>
              <w:t>65</w:t>
            </w:r>
          </w:p>
        </w:tc>
        <w:tc>
          <w:tcPr>
            <w:tcW w:w="1690" w:type="dxa"/>
            <w:noWrap w:val="0"/>
            <w:vAlign w:val="center"/>
          </w:tcPr>
          <w:p w14:paraId="773684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滴定管</w:t>
            </w:r>
          </w:p>
        </w:tc>
        <w:tc>
          <w:tcPr>
            <w:tcW w:w="5928" w:type="dxa"/>
            <w:noWrap w:val="0"/>
            <w:vAlign w:val="center"/>
          </w:tcPr>
          <w:p w14:paraId="57086E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碱式，无 塞，25 mL 玻璃制</w:t>
            </w:r>
          </w:p>
        </w:tc>
        <w:tc>
          <w:tcPr>
            <w:tcW w:w="736" w:type="dxa"/>
            <w:noWrap w:val="0"/>
            <w:vAlign w:val="bottom"/>
          </w:tcPr>
          <w:p w14:paraId="4B589C4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68F3B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479DD4E">
            <w:pPr>
              <w:jc w:val="center"/>
              <w:rPr>
                <w:highlight w:val="none"/>
              </w:rPr>
            </w:pPr>
          </w:p>
        </w:tc>
        <w:tc>
          <w:tcPr>
            <w:tcW w:w="710" w:type="dxa"/>
            <w:gridSpan w:val="2"/>
            <w:noWrap w:val="0"/>
            <w:vAlign w:val="center"/>
          </w:tcPr>
          <w:p w14:paraId="3F6E77F1">
            <w:pPr>
              <w:jc w:val="both"/>
              <w:rPr>
                <w:highlight w:val="none"/>
                <w:vertAlign w:val="baseline"/>
              </w:rPr>
            </w:pPr>
          </w:p>
        </w:tc>
      </w:tr>
      <w:tr w14:paraId="7711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7BB430">
            <w:pPr>
              <w:jc w:val="center"/>
              <w:rPr>
                <w:rFonts w:hint="default"/>
                <w:highlight w:val="none"/>
                <w:vertAlign w:val="baseline"/>
                <w:lang w:val="en-US" w:eastAsia="zh-CN"/>
              </w:rPr>
            </w:pPr>
            <w:r>
              <w:rPr>
                <w:rFonts w:hint="eastAsia"/>
                <w:highlight w:val="none"/>
                <w:vertAlign w:val="baseline"/>
                <w:lang w:val="en-US" w:eastAsia="zh-CN"/>
              </w:rPr>
              <w:t>66</w:t>
            </w:r>
          </w:p>
        </w:tc>
        <w:tc>
          <w:tcPr>
            <w:tcW w:w="1690" w:type="dxa"/>
            <w:noWrap w:val="0"/>
            <w:vAlign w:val="center"/>
          </w:tcPr>
          <w:p w14:paraId="7315F6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滴定管</w:t>
            </w:r>
          </w:p>
        </w:tc>
        <w:tc>
          <w:tcPr>
            <w:tcW w:w="5928" w:type="dxa"/>
            <w:noWrap w:val="0"/>
            <w:vAlign w:val="center"/>
          </w:tcPr>
          <w:p w14:paraId="7228D5F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活塞式,25 mL,玻璃制</w:t>
            </w:r>
          </w:p>
        </w:tc>
        <w:tc>
          <w:tcPr>
            <w:tcW w:w="736" w:type="dxa"/>
            <w:noWrap w:val="0"/>
            <w:vAlign w:val="bottom"/>
          </w:tcPr>
          <w:p w14:paraId="30E69BC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0432AA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C9F443F">
            <w:pPr>
              <w:jc w:val="center"/>
              <w:rPr>
                <w:highlight w:val="none"/>
              </w:rPr>
            </w:pPr>
          </w:p>
        </w:tc>
        <w:tc>
          <w:tcPr>
            <w:tcW w:w="710" w:type="dxa"/>
            <w:gridSpan w:val="2"/>
            <w:noWrap w:val="0"/>
            <w:vAlign w:val="center"/>
          </w:tcPr>
          <w:p w14:paraId="0DB9076F">
            <w:pPr>
              <w:jc w:val="both"/>
              <w:rPr>
                <w:highlight w:val="none"/>
                <w:vertAlign w:val="baseline"/>
              </w:rPr>
            </w:pPr>
          </w:p>
        </w:tc>
      </w:tr>
      <w:tr w14:paraId="428E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8C36A9">
            <w:pPr>
              <w:jc w:val="center"/>
              <w:rPr>
                <w:rFonts w:hint="default"/>
                <w:highlight w:val="none"/>
                <w:vertAlign w:val="baseline"/>
                <w:lang w:val="en-US" w:eastAsia="zh-CN"/>
              </w:rPr>
            </w:pPr>
            <w:r>
              <w:rPr>
                <w:rFonts w:hint="eastAsia"/>
                <w:highlight w:val="none"/>
                <w:vertAlign w:val="baseline"/>
                <w:lang w:val="en-US" w:eastAsia="zh-CN"/>
              </w:rPr>
              <w:t>67</w:t>
            </w:r>
          </w:p>
        </w:tc>
        <w:tc>
          <w:tcPr>
            <w:tcW w:w="1690" w:type="dxa"/>
            <w:noWrap w:val="0"/>
            <w:vAlign w:val="center"/>
          </w:tcPr>
          <w:p w14:paraId="0F6E792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4DE8C86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12 mm × 70 mm 玻璃制</w:t>
            </w:r>
          </w:p>
        </w:tc>
        <w:tc>
          <w:tcPr>
            <w:tcW w:w="736" w:type="dxa"/>
            <w:noWrap w:val="0"/>
            <w:vAlign w:val="bottom"/>
          </w:tcPr>
          <w:p w14:paraId="5286B31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1CE2F9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w:t>
            </w:r>
          </w:p>
        </w:tc>
        <w:tc>
          <w:tcPr>
            <w:tcW w:w="3396" w:type="dxa"/>
            <w:gridSpan w:val="2"/>
            <w:noWrap w:val="0"/>
            <w:vAlign w:val="center"/>
          </w:tcPr>
          <w:p w14:paraId="7D6578E0">
            <w:pPr>
              <w:jc w:val="center"/>
              <w:rPr>
                <w:highlight w:val="none"/>
              </w:rPr>
            </w:pPr>
          </w:p>
        </w:tc>
        <w:tc>
          <w:tcPr>
            <w:tcW w:w="710" w:type="dxa"/>
            <w:gridSpan w:val="2"/>
            <w:noWrap w:val="0"/>
            <w:vAlign w:val="center"/>
          </w:tcPr>
          <w:p w14:paraId="634C1D21">
            <w:pPr>
              <w:jc w:val="both"/>
              <w:rPr>
                <w:highlight w:val="none"/>
                <w:vertAlign w:val="baseline"/>
              </w:rPr>
            </w:pPr>
          </w:p>
        </w:tc>
      </w:tr>
      <w:tr w14:paraId="7628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8A1275">
            <w:pPr>
              <w:jc w:val="center"/>
              <w:rPr>
                <w:rFonts w:hint="default"/>
                <w:highlight w:val="none"/>
                <w:vertAlign w:val="baseline"/>
                <w:lang w:val="en-US" w:eastAsia="zh-CN"/>
              </w:rPr>
            </w:pPr>
            <w:r>
              <w:rPr>
                <w:rFonts w:hint="eastAsia"/>
                <w:highlight w:val="none"/>
                <w:vertAlign w:val="baseline"/>
                <w:lang w:val="en-US" w:eastAsia="zh-CN"/>
              </w:rPr>
              <w:t>68</w:t>
            </w:r>
          </w:p>
        </w:tc>
        <w:tc>
          <w:tcPr>
            <w:tcW w:w="1690" w:type="dxa"/>
            <w:noWrap w:val="0"/>
            <w:vAlign w:val="center"/>
          </w:tcPr>
          <w:p w14:paraId="35E258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222A37E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15 mm × 150 mm玻璃制</w:t>
            </w:r>
          </w:p>
        </w:tc>
        <w:tc>
          <w:tcPr>
            <w:tcW w:w="736" w:type="dxa"/>
            <w:noWrap w:val="0"/>
            <w:vAlign w:val="bottom"/>
          </w:tcPr>
          <w:p w14:paraId="1DC8563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393735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w:t>
            </w:r>
          </w:p>
        </w:tc>
        <w:tc>
          <w:tcPr>
            <w:tcW w:w="3396" w:type="dxa"/>
            <w:gridSpan w:val="2"/>
            <w:noWrap w:val="0"/>
            <w:vAlign w:val="center"/>
          </w:tcPr>
          <w:p w14:paraId="71C97BF5">
            <w:pPr>
              <w:jc w:val="center"/>
              <w:rPr>
                <w:highlight w:val="none"/>
              </w:rPr>
            </w:pPr>
          </w:p>
        </w:tc>
        <w:tc>
          <w:tcPr>
            <w:tcW w:w="710" w:type="dxa"/>
            <w:gridSpan w:val="2"/>
            <w:noWrap w:val="0"/>
            <w:vAlign w:val="center"/>
          </w:tcPr>
          <w:p w14:paraId="0BC1AAC3">
            <w:pPr>
              <w:jc w:val="both"/>
              <w:rPr>
                <w:highlight w:val="none"/>
                <w:vertAlign w:val="baseline"/>
              </w:rPr>
            </w:pPr>
          </w:p>
        </w:tc>
      </w:tr>
      <w:tr w14:paraId="3B70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894D5D">
            <w:pPr>
              <w:jc w:val="center"/>
              <w:rPr>
                <w:rFonts w:hint="default"/>
                <w:highlight w:val="none"/>
                <w:vertAlign w:val="baseline"/>
                <w:lang w:val="en-US" w:eastAsia="zh-CN"/>
              </w:rPr>
            </w:pPr>
            <w:r>
              <w:rPr>
                <w:rFonts w:hint="eastAsia"/>
                <w:highlight w:val="none"/>
                <w:vertAlign w:val="baseline"/>
                <w:lang w:val="en-US" w:eastAsia="zh-CN"/>
              </w:rPr>
              <w:t>69</w:t>
            </w:r>
          </w:p>
        </w:tc>
        <w:tc>
          <w:tcPr>
            <w:tcW w:w="1690" w:type="dxa"/>
            <w:noWrap w:val="0"/>
            <w:vAlign w:val="center"/>
          </w:tcPr>
          <w:p w14:paraId="541DC2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6C07EF7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18 mm × 180 mm玻璃制</w:t>
            </w:r>
          </w:p>
        </w:tc>
        <w:tc>
          <w:tcPr>
            <w:tcW w:w="736" w:type="dxa"/>
            <w:noWrap w:val="0"/>
            <w:vAlign w:val="bottom"/>
          </w:tcPr>
          <w:p w14:paraId="3E00CE8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584872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75</w:t>
            </w:r>
          </w:p>
        </w:tc>
        <w:tc>
          <w:tcPr>
            <w:tcW w:w="3396" w:type="dxa"/>
            <w:gridSpan w:val="2"/>
            <w:noWrap w:val="0"/>
            <w:vAlign w:val="center"/>
          </w:tcPr>
          <w:p w14:paraId="603E9771">
            <w:pPr>
              <w:jc w:val="center"/>
              <w:rPr>
                <w:highlight w:val="none"/>
              </w:rPr>
            </w:pPr>
          </w:p>
        </w:tc>
        <w:tc>
          <w:tcPr>
            <w:tcW w:w="710" w:type="dxa"/>
            <w:gridSpan w:val="2"/>
            <w:noWrap w:val="0"/>
            <w:vAlign w:val="center"/>
          </w:tcPr>
          <w:p w14:paraId="018AE4D1">
            <w:pPr>
              <w:jc w:val="both"/>
              <w:rPr>
                <w:highlight w:val="none"/>
                <w:vertAlign w:val="baseline"/>
              </w:rPr>
            </w:pPr>
          </w:p>
        </w:tc>
      </w:tr>
      <w:tr w14:paraId="6190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4166F9">
            <w:pPr>
              <w:jc w:val="center"/>
              <w:rPr>
                <w:rFonts w:hint="default"/>
                <w:highlight w:val="none"/>
                <w:vertAlign w:val="baseline"/>
                <w:lang w:val="en-US" w:eastAsia="zh-CN"/>
              </w:rPr>
            </w:pPr>
            <w:r>
              <w:rPr>
                <w:rFonts w:hint="eastAsia"/>
                <w:highlight w:val="none"/>
                <w:vertAlign w:val="baseline"/>
                <w:lang w:val="en-US" w:eastAsia="zh-CN"/>
              </w:rPr>
              <w:t>70</w:t>
            </w:r>
          </w:p>
        </w:tc>
        <w:tc>
          <w:tcPr>
            <w:tcW w:w="1690" w:type="dxa"/>
            <w:noWrap w:val="0"/>
            <w:vAlign w:val="center"/>
          </w:tcPr>
          <w:p w14:paraId="69BD80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56191DD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20 mm × 200 mm玻璃制</w:t>
            </w:r>
          </w:p>
        </w:tc>
        <w:tc>
          <w:tcPr>
            <w:tcW w:w="736" w:type="dxa"/>
            <w:noWrap w:val="0"/>
            <w:vAlign w:val="bottom"/>
          </w:tcPr>
          <w:p w14:paraId="11B68C3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993E9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75</w:t>
            </w:r>
          </w:p>
        </w:tc>
        <w:tc>
          <w:tcPr>
            <w:tcW w:w="3396" w:type="dxa"/>
            <w:gridSpan w:val="2"/>
            <w:noWrap w:val="0"/>
            <w:vAlign w:val="center"/>
          </w:tcPr>
          <w:p w14:paraId="755CDCB1">
            <w:pPr>
              <w:jc w:val="center"/>
              <w:rPr>
                <w:highlight w:val="none"/>
              </w:rPr>
            </w:pPr>
          </w:p>
        </w:tc>
        <w:tc>
          <w:tcPr>
            <w:tcW w:w="710" w:type="dxa"/>
            <w:gridSpan w:val="2"/>
            <w:noWrap w:val="0"/>
            <w:vAlign w:val="center"/>
          </w:tcPr>
          <w:p w14:paraId="2549F09C">
            <w:pPr>
              <w:jc w:val="both"/>
              <w:rPr>
                <w:highlight w:val="none"/>
                <w:vertAlign w:val="baseline"/>
              </w:rPr>
            </w:pPr>
          </w:p>
        </w:tc>
      </w:tr>
      <w:tr w14:paraId="08C2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2AACB7">
            <w:pPr>
              <w:jc w:val="center"/>
              <w:rPr>
                <w:rFonts w:hint="default"/>
                <w:highlight w:val="none"/>
                <w:vertAlign w:val="baseline"/>
                <w:lang w:val="en-US" w:eastAsia="zh-CN"/>
              </w:rPr>
            </w:pPr>
            <w:r>
              <w:rPr>
                <w:rFonts w:hint="eastAsia"/>
                <w:highlight w:val="none"/>
                <w:vertAlign w:val="baseline"/>
                <w:lang w:val="en-US" w:eastAsia="zh-CN"/>
              </w:rPr>
              <w:t>71</w:t>
            </w:r>
          </w:p>
        </w:tc>
        <w:tc>
          <w:tcPr>
            <w:tcW w:w="1690" w:type="dxa"/>
            <w:noWrap w:val="0"/>
            <w:vAlign w:val="center"/>
          </w:tcPr>
          <w:p w14:paraId="795BE1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2498B33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32 mm × 200 mm玻璃制</w:t>
            </w:r>
          </w:p>
        </w:tc>
        <w:tc>
          <w:tcPr>
            <w:tcW w:w="736" w:type="dxa"/>
            <w:noWrap w:val="0"/>
            <w:vAlign w:val="bottom"/>
          </w:tcPr>
          <w:p w14:paraId="14DDA3D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395F06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58C98255">
            <w:pPr>
              <w:jc w:val="center"/>
              <w:rPr>
                <w:highlight w:val="none"/>
              </w:rPr>
            </w:pPr>
          </w:p>
        </w:tc>
        <w:tc>
          <w:tcPr>
            <w:tcW w:w="710" w:type="dxa"/>
            <w:gridSpan w:val="2"/>
            <w:noWrap w:val="0"/>
            <w:vAlign w:val="center"/>
          </w:tcPr>
          <w:p w14:paraId="03E9C78C">
            <w:pPr>
              <w:jc w:val="both"/>
              <w:rPr>
                <w:highlight w:val="none"/>
                <w:vertAlign w:val="baseline"/>
              </w:rPr>
            </w:pPr>
          </w:p>
        </w:tc>
      </w:tr>
      <w:tr w14:paraId="1DE1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3231AA">
            <w:pPr>
              <w:jc w:val="center"/>
              <w:rPr>
                <w:rFonts w:hint="default"/>
                <w:highlight w:val="none"/>
                <w:vertAlign w:val="baseline"/>
                <w:lang w:val="en-US" w:eastAsia="zh-CN"/>
              </w:rPr>
            </w:pPr>
            <w:r>
              <w:rPr>
                <w:rFonts w:hint="eastAsia"/>
                <w:highlight w:val="none"/>
                <w:vertAlign w:val="baseline"/>
                <w:lang w:val="en-US" w:eastAsia="zh-CN"/>
              </w:rPr>
              <w:t>72</w:t>
            </w:r>
          </w:p>
        </w:tc>
        <w:tc>
          <w:tcPr>
            <w:tcW w:w="1690" w:type="dxa"/>
            <w:noWrap w:val="0"/>
            <w:vAlign w:val="center"/>
          </w:tcPr>
          <w:p w14:paraId="11D79B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口部具支试管</w:t>
            </w:r>
          </w:p>
        </w:tc>
        <w:tc>
          <w:tcPr>
            <w:tcW w:w="5928" w:type="dxa"/>
            <w:noWrap w:val="0"/>
            <w:vAlign w:val="center"/>
          </w:tcPr>
          <w:p w14:paraId="23DE689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20 mm × 200 mm 玻璃制</w:t>
            </w:r>
          </w:p>
        </w:tc>
        <w:tc>
          <w:tcPr>
            <w:tcW w:w="736" w:type="dxa"/>
            <w:noWrap w:val="0"/>
            <w:vAlign w:val="bottom"/>
          </w:tcPr>
          <w:p w14:paraId="78D4A38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ADD29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5202C88F">
            <w:pPr>
              <w:jc w:val="center"/>
              <w:rPr>
                <w:highlight w:val="none"/>
              </w:rPr>
            </w:pPr>
          </w:p>
        </w:tc>
        <w:tc>
          <w:tcPr>
            <w:tcW w:w="710" w:type="dxa"/>
            <w:gridSpan w:val="2"/>
            <w:noWrap w:val="0"/>
            <w:vAlign w:val="center"/>
          </w:tcPr>
          <w:p w14:paraId="426117BD">
            <w:pPr>
              <w:jc w:val="both"/>
              <w:rPr>
                <w:highlight w:val="none"/>
                <w:vertAlign w:val="baseline"/>
              </w:rPr>
            </w:pPr>
          </w:p>
        </w:tc>
      </w:tr>
      <w:tr w14:paraId="32E1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309FD01">
            <w:pPr>
              <w:jc w:val="center"/>
              <w:rPr>
                <w:rFonts w:hint="default"/>
                <w:highlight w:val="none"/>
                <w:vertAlign w:val="baseline"/>
                <w:lang w:val="en-US" w:eastAsia="zh-CN"/>
              </w:rPr>
            </w:pPr>
            <w:r>
              <w:rPr>
                <w:rFonts w:hint="eastAsia"/>
                <w:highlight w:val="none"/>
                <w:vertAlign w:val="baseline"/>
                <w:lang w:val="en-US" w:eastAsia="zh-CN"/>
              </w:rPr>
              <w:t>73</w:t>
            </w:r>
          </w:p>
        </w:tc>
        <w:tc>
          <w:tcPr>
            <w:tcW w:w="1690" w:type="dxa"/>
            <w:noWrap w:val="0"/>
            <w:vAlign w:val="center"/>
          </w:tcPr>
          <w:p w14:paraId="0FEB44D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硬质玻璃管</w:t>
            </w:r>
          </w:p>
        </w:tc>
        <w:tc>
          <w:tcPr>
            <w:tcW w:w="5928" w:type="dxa"/>
            <w:noWrap w:val="0"/>
            <w:vAlign w:val="center"/>
          </w:tcPr>
          <w:p w14:paraId="4CEF25C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15 mm × 150 mm 玻璃制</w:t>
            </w:r>
          </w:p>
        </w:tc>
        <w:tc>
          <w:tcPr>
            <w:tcW w:w="736" w:type="dxa"/>
            <w:noWrap w:val="0"/>
            <w:vAlign w:val="bottom"/>
          </w:tcPr>
          <w:p w14:paraId="4D35BE7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AC013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02A87773">
            <w:pPr>
              <w:jc w:val="center"/>
              <w:rPr>
                <w:highlight w:val="none"/>
              </w:rPr>
            </w:pPr>
          </w:p>
        </w:tc>
        <w:tc>
          <w:tcPr>
            <w:tcW w:w="710" w:type="dxa"/>
            <w:gridSpan w:val="2"/>
            <w:noWrap w:val="0"/>
            <w:vAlign w:val="center"/>
          </w:tcPr>
          <w:p w14:paraId="70345A70">
            <w:pPr>
              <w:jc w:val="both"/>
              <w:rPr>
                <w:highlight w:val="none"/>
                <w:vertAlign w:val="baseline"/>
              </w:rPr>
            </w:pPr>
          </w:p>
        </w:tc>
      </w:tr>
      <w:tr w14:paraId="70D9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1F1293">
            <w:pPr>
              <w:jc w:val="center"/>
              <w:rPr>
                <w:rFonts w:hint="default"/>
                <w:highlight w:val="none"/>
                <w:vertAlign w:val="baseline"/>
                <w:lang w:val="en-US" w:eastAsia="zh-CN"/>
              </w:rPr>
            </w:pPr>
            <w:r>
              <w:rPr>
                <w:rFonts w:hint="eastAsia"/>
                <w:highlight w:val="none"/>
                <w:vertAlign w:val="baseline"/>
                <w:lang w:val="en-US" w:eastAsia="zh-CN"/>
              </w:rPr>
              <w:t>74</w:t>
            </w:r>
          </w:p>
        </w:tc>
        <w:tc>
          <w:tcPr>
            <w:tcW w:w="1690" w:type="dxa"/>
            <w:noWrap w:val="0"/>
            <w:vAlign w:val="center"/>
          </w:tcPr>
          <w:p w14:paraId="01368C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硬质玻璃管</w:t>
            </w:r>
          </w:p>
        </w:tc>
        <w:tc>
          <w:tcPr>
            <w:tcW w:w="5928" w:type="dxa"/>
            <w:noWrap w:val="0"/>
            <w:vAlign w:val="center"/>
          </w:tcPr>
          <w:p w14:paraId="111EF6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20 mm × 250 mm玻璃制</w:t>
            </w:r>
          </w:p>
        </w:tc>
        <w:tc>
          <w:tcPr>
            <w:tcW w:w="736" w:type="dxa"/>
            <w:noWrap w:val="0"/>
            <w:vAlign w:val="bottom"/>
          </w:tcPr>
          <w:p w14:paraId="1BE397D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2FF78F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07B59B71">
            <w:pPr>
              <w:jc w:val="center"/>
              <w:rPr>
                <w:highlight w:val="none"/>
              </w:rPr>
            </w:pPr>
          </w:p>
        </w:tc>
        <w:tc>
          <w:tcPr>
            <w:tcW w:w="710" w:type="dxa"/>
            <w:gridSpan w:val="2"/>
            <w:noWrap w:val="0"/>
            <w:vAlign w:val="center"/>
          </w:tcPr>
          <w:p w14:paraId="0EBB066F">
            <w:pPr>
              <w:jc w:val="both"/>
              <w:rPr>
                <w:highlight w:val="none"/>
                <w:vertAlign w:val="baseline"/>
              </w:rPr>
            </w:pPr>
          </w:p>
        </w:tc>
      </w:tr>
      <w:tr w14:paraId="3A7C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23EB8B">
            <w:pPr>
              <w:jc w:val="center"/>
              <w:rPr>
                <w:rFonts w:hint="default"/>
                <w:highlight w:val="none"/>
                <w:vertAlign w:val="baseline"/>
                <w:lang w:val="en-US" w:eastAsia="zh-CN"/>
              </w:rPr>
            </w:pPr>
            <w:r>
              <w:rPr>
                <w:rFonts w:hint="eastAsia"/>
                <w:highlight w:val="none"/>
                <w:vertAlign w:val="baseline"/>
                <w:lang w:val="en-US" w:eastAsia="zh-CN"/>
              </w:rPr>
              <w:t>75</w:t>
            </w:r>
          </w:p>
        </w:tc>
        <w:tc>
          <w:tcPr>
            <w:tcW w:w="1690" w:type="dxa"/>
            <w:noWrap w:val="0"/>
            <w:vAlign w:val="center"/>
          </w:tcPr>
          <w:p w14:paraId="7E1E85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4935170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 mL,玻璃制，</w:t>
            </w:r>
          </w:p>
        </w:tc>
        <w:tc>
          <w:tcPr>
            <w:tcW w:w="736" w:type="dxa"/>
            <w:noWrap w:val="0"/>
            <w:vAlign w:val="bottom"/>
          </w:tcPr>
          <w:p w14:paraId="22164F9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A1B05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2A16467A">
            <w:pPr>
              <w:jc w:val="center"/>
              <w:rPr>
                <w:highlight w:val="none"/>
              </w:rPr>
            </w:pPr>
          </w:p>
        </w:tc>
        <w:tc>
          <w:tcPr>
            <w:tcW w:w="710" w:type="dxa"/>
            <w:gridSpan w:val="2"/>
            <w:noWrap w:val="0"/>
            <w:vAlign w:val="center"/>
          </w:tcPr>
          <w:p w14:paraId="4FFF61C2">
            <w:pPr>
              <w:jc w:val="both"/>
              <w:rPr>
                <w:highlight w:val="none"/>
                <w:vertAlign w:val="baseline"/>
              </w:rPr>
            </w:pPr>
          </w:p>
        </w:tc>
      </w:tr>
      <w:tr w14:paraId="38BC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7727661">
            <w:pPr>
              <w:jc w:val="center"/>
              <w:rPr>
                <w:rFonts w:hint="default"/>
                <w:highlight w:val="none"/>
                <w:vertAlign w:val="baseline"/>
                <w:lang w:val="en-US" w:eastAsia="zh-CN"/>
              </w:rPr>
            </w:pPr>
            <w:r>
              <w:rPr>
                <w:rFonts w:hint="eastAsia"/>
                <w:highlight w:val="none"/>
                <w:vertAlign w:val="baseline"/>
                <w:lang w:val="en-US" w:eastAsia="zh-CN"/>
              </w:rPr>
              <w:t>76</w:t>
            </w:r>
          </w:p>
        </w:tc>
        <w:tc>
          <w:tcPr>
            <w:tcW w:w="1690" w:type="dxa"/>
            <w:noWrap w:val="0"/>
            <w:vAlign w:val="center"/>
          </w:tcPr>
          <w:p w14:paraId="6771BC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4C33FDA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 mL,玻璃制</w:t>
            </w:r>
          </w:p>
        </w:tc>
        <w:tc>
          <w:tcPr>
            <w:tcW w:w="736" w:type="dxa"/>
            <w:noWrap w:val="0"/>
            <w:vAlign w:val="bottom"/>
          </w:tcPr>
          <w:p w14:paraId="1820E83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084ED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75</w:t>
            </w:r>
          </w:p>
        </w:tc>
        <w:tc>
          <w:tcPr>
            <w:tcW w:w="3396" w:type="dxa"/>
            <w:gridSpan w:val="2"/>
            <w:noWrap w:val="0"/>
            <w:vAlign w:val="center"/>
          </w:tcPr>
          <w:p w14:paraId="3E0F89BB">
            <w:pPr>
              <w:jc w:val="center"/>
              <w:rPr>
                <w:highlight w:val="none"/>
              </w:rPr>
            </w:pPr>
          </w:p>
        </w:tc>
        <w:tc>
          <w:tcPr>
            <w:tcW w:w="710" w:type="dxa"/>
            <w:gridSpan w:val="2"/>
            <w:noWrap w:val="0"/>
            <w:vAlign w:val="center"/>
          </w:tcPr>
          <w:p w14:paraId="7952A141">
            <w:pPr>
              <w:jc w:val="both"/>
              <w:rPr>
                <w:highlight w:val="none"/>
                <w:vertAlign w:val="baseline"/>
              </w:rPr>
            </w:pPr>
          </w:p>
        </w:tc>
      </w:tr>
      <w:tr w14:paraId="0187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93823A9">
            <w:pPr>
              <w:jc w:val="center"/>
              <w:rPr>
                <w:rFonts w:hint="default"/>
                <w:highlight w:val="none"/>
                <w:vertAlign w:val="baseline"/>
                <w:lang w:val="en-US" w:eastAsia="zh-CN"/>
              </w:rPr>
            </w:pPr>
            <w:r>
              <w:rPr>
                <w:rFonts w:hint="eastAsia"/>
                <w:highlight w:val="none"/>
                <w:vertAlign w:val="baseline"/>
                <w:lang w:val="en-US" w:eastAsia="zh-CN"/>
              </w:rPr>
              <w:t>77</w:t>
            </w:r>
          </w:p>
        </w:tc>
        <w:tc>
          <w:tcPr>
            <w:tcW w:w="1690" w:type="dxa"/>
            <w:noWrap w:val="0"/>
            <w:vAlign w:val="center"/>
          </w:tcPr>
          <w:p w14:paraId="3AE57CA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14E62F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 mL,玻璃制</w:t>
            </w:r>
          </w:p>
        </w:tc>
        <w:tc>
          <w:tcPr>
            <w:tcW w:w="736" w:type="dxa"/>
            <w:noWrap w:val="0"/>
            <w:vAlign w:val="bottom"/>
          </w:tcPr>
          <w:p w14:paraId="6E9A251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937B7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75</w:t>
            </w:r>
          </w:p>
        </w:tc>
        <w:tc>
          <w:tcPr>
            <w:tcW w:w="3396" w:type="dxa"/>
            <w:gridSpan w:val="2"/>
            <w:noWrap w:val="0"/>
            <w:vAlign w:val="center"/>
          </w:tcPr>
          <w:p w14:paraId="411D256B">
            <w:pPr>
              <w:jc w:val="center"/>
              <w:rPr>
                <w:highlight w:val="none"/>
              </w:rPr>
            </w:pPr>
          </w:p>
        </w:tc>
        <w:tc>
          <w:tcPr>
            <w:tcW w:w="710" w:type="dxa"/>
            <w:gridSpan w:val="2"/>
            <w:noWrap w:val="0"/>
            <w:vAlign w:val="center"/>
          </w:tcPr>
          <w:p w14:paraId="2B7AE3FF">
            <w:pPr>
              <w:jc w:val="both"/>
              <w:rPr>
                <w:highlight w:val="none"/>
                <w:vertAlign w:val="baseline"/>
              </w:rPr>
            </w:pPr>
          </w:p>
        </w:tc>
      </w:tr>
      <w:tr w14:paraId="383A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DDC72F">
            <w:pPr>
              <w:jc w:val="center"/>
              <w:rPr>
                <w:rFonts w:hint="default"/>
                <w:highlight w:val="none"/>
                <w:vertAlign w:val="baseline"/>
                <w:lang w:val="en-US" w:eastAsia="zh-CN"/>
              </w:rPr>
            </w:pPr>
            <w:r>
              <w:rPr>
                <w:rFonts w:hint="eastAsia"/>
                <w:highlight w:val="none"/>
                <w:vertAlign w:val="baseline"/>
                <w:lang w:val="en-US" w:eastAsia="zh-CN"/>
              </w:rPr>
              <w:t>78</w:t>
            </w:r>
          </w:p>
        </w:tc>
        <w:tc>
          <w:tcPr>
            <w:tcW w:w="1690" w:type="dxa"/>
            <w:noWrap w:val="0"/>
            <w:vAlign w:val="center"/>
          </w:tcPr>
          <w:p w14:paraId="69602B7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6D1DEF5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mL,玻璃制</w:t>
            </w:r>
          </w:p>
        </w:tc>
        <w:tc>
          <w:tcPr>
            <w:tcW w:w="736" w:type="dxa"/>
            <w:noWrap w:val="0"/>
            <w:vAlign w:val="bottom"/>
          </w:tcPr>
          <w:p w14:paraId="7C89B0A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C9CFA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75</w:t>
            </w:r>
          </w:p>
        </w:tc>
        <w:tc>
          <w:tcPr>
            <w:tcW w:w="3396" w:type="dxa"/>
            <w:gridSpan w:val="2"/>
            <w:noWrap w:val="0"/>
            <w:vAlign w:val="center"/>
          </w:tcPr>
          <w:p w14:paraId="71755687">
            <w:pPr>
              <w:jc w:val="center"/>
              <w:rPr>
                <w:highlight w:val="none"/>
              </w:rPr>
            </w:pPr>
          </w:p>
        </w:tc>
        <w:tc>
          <w:tcPr>
            <w:tcW w:w="710" w:type="dxa"/>
            <w:gridSpan w:val="2"/>
            <w:noWrap w:val="0"/>
            <w:vAlign w:val="center"/>
          </w:tcPr>
          <w:p w14:paraId="59AFF687">
            <w:pPr>
              <w:jc w:val="both"/>
              <w:rPr>
                <w:highlight w:val="none"/>
                <w:vertAlign w:val="baseline"/>
              </w:rPr>
            </w:pPr>
          </w:p>
        </w:tc>
      </w:tr>
      <w:tr w14:paraId="4293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8AF7EB">
            <w:pPr>
              <w:jc w:val="center"/>
              <w:rPr>
                <w:rFonts w:hint="default"/>
                <w:highlight w:val="none"/>
                <w:vertAlign w:val="baseline"/>
                <w:lang w:val="en-US" w:eastAsia="zh-CN"/>
              </w:rPr>
            </w:pPr>
            <w:r>
              <w:rPr>
                <w:rFonts w:hint="eastAsia"/>
                <w:highlight w:val="none"/>
                <w:vertAlign w:val="baseline"/>
                <w:lang w:val="en-US" w:eastAsia="zh-CN"/>
              </w:rPr>
              <w:t>79</w:t>
            </w:r>
          </w:p>
        </w:tc>
        <w:tc>
          <w:tcPr>
            <w:tcW w:w="1690" w:type="dxa"/>
            <w:noWrap w:val="0"/>
            <w:vAlign w:val="center"/>
          </w:tcPr>
          <w:p w14:paraId="60746D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5F36300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 玻璃制</w:t>
            </w:r>
          </w:p>
        </w:tc>
        <w:tc>
          <w:tcPr>
            <w:tcW w:w="736" w:type="dxa"/>
            <w:noWrap w:val="0"/>
            <w:vAlign w:val="bottom"/>
          </w:tcPr>
          <w:p w14:paraId="52F69DC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84449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36FC1D91">
            <w:pPr>
              <w:jc w:val="center"/>
              <w:rPr>
                <w:highlight w:val="none"/>
              </w:rPr>
            </w:pPr>
          </w:p>
        </w:tc>
        <w:tc>
          <w:tcPr>
            <w:tcW w:w="710" w:type="dxa"/>
            <w:gridSpan w:val="2"/>
            <w:noWrap w:val="0"/>
            <w:vAlign w:val="center"/>
          </w:tcPr>
          <w:p w14:paraId="26A9B743">
            <w:pPr>
              <w:jc w:val="both"/>
              <w:rPr>
                <w:highlight w:val="none"/>
                <w:vertAlign w:val="baseline"/>
              </w:rPr>
            </w:pPr>
          </w:p>
        </w:tc>
      </w:tr>
      <w:tr w14:paraId="1B9D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353987">
            <w:pPr>
              <w:jc w:val="center"/>
              <w:rPr>
                <w:rFonts w:hint="default"/>
                <w:highlight w:val="none"/>
                <w:vertAlign w:val="baseline"/>
                <w:lang w:val="en-US" w:eastAsia="zh-CN"/>
              </w:rPr>
            </w:pPr>
            <w:r>
              <w:rPr>
                <w:rFonts w:hint="eastAsia"/>
                <w:highlight w:val="none"/>
                <w:vertAlign w:val="baseline"/>
                <w:lang w:val="en-US" w:eastAsia="zh-CN"/>
              </w:rPr>
              <w:t>80</w:t>
            </w:r>
          </w:p>
        </w:tc>
        <w:tc>
          <w:tcPr>
            <w:tcW w:w="1690" w:type="dxa"/>
            <w:noWrap w:val="0"/>
            <w:vAlign w:val="center"/>
          </w:tcPr>
          <w:p w14:paraId="3351481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13DAF55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bottom"/>
          </w:tcPr>
          <w:p w14:paraId="35C8126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BDFD0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150A0697">
            <w:pPr>
              <w:jc w:val="center"/>
              <w:rPr>
                <w:highlight w:val="none"/>
              </w:rPr>
            </w:pPr>
          </w:p>
        </w:tc>
        <w:tc>
          <w:tcPr>
            <w:tcW w:w="710" w:type="dxa"/>
            <w:gridSpan w:val="2"/>
            <w:noWrap w:val="0"/>
            <w:vAlign w:val="center"/>
          </w:tcPr>
          <w:p w14:paraId="4B42EB58">
            <w:pPr>
              <w:jc w:val="both"/>
              <w:rPr>
                <w:highlight w:val="none"/>
                <w:vertAlign w:val="baseline"/>
              </w:rPr>
            </w:pPr>
          </w:p>
        </w:tc>
      </w:tr>
      <w:tr w14:paraId="65C9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11FDD1E">
            <w:pPr>
              <w:jc w:val="center"/>
              <w:rPr>
                <w:rFonts w:hint="default"/>
                <w:highlight w:val="none"/>
                <w:vertAlign w:val="baseline"/>
                <w:lang w:val="en-US" w:eastAsia="zh-CN"/>
              </w:rPr>
            </w:pPr>
            <w:r>
              <w:rPr>
                <w:rFonts w:hint="eastAsia"/>
                <w:highlight w:val="none"/>
                <w:vertAlign w:val="baseline"/>
                <w:lang w:val="en-US" w:eastAsia="zh-CN"/>
              </w:rPr>
              <w:t>81</w:t>
            </w:r>
          </w:p>
        </w:tc>
        <w:tc>
          <w:tcPr>
            <w:tcW w:w="1690" w:type="dxa"/>
            <w:noWrap w:val="0"/>
            <w:vAlign w:val="center"/>
          </w:tcPr>
          <w:p w14:paraId="067506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244CED2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1000 mL,玻璃制</w:t>
            </w:r>
          </w:p>
        </w:tc>
        <w:tc>
          <w:tcPr>
            <w:tcW w:w="736" w:type="dxa"/>
            <w:noWrap w:val="0"/>
            <w:vAlign w:val="bottom"/>
          </w:tcPr>
          <w:p w14:paraId="4EEE21D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F87BC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64F721A6">
            <w:pPr>
              <w:jc w:val="center"/>
              <w:rPr>
                <w:highlight w:val="none"/>
              </w:rPr>
            </w:pPr>
          </w:p>
        </w:tc>
        <w:tc>
          <w:tcPr>
            <w:tcW w:w="710" w:type="dxa"/>
            <w:gridSpan w:val="2"/>
            <w:noWrap w:val="0"/>
            <w:vAlign w:val="center"/>
          </w:tcPr>
          <w:p w14:paraId="71ED0DBA">
            <w:pPr>
              <w:jc w:val="both"/>
              <w:rPr>
                <w:highlight w:val="none"/>
                <w:vertAlign w:val="baseline"/>
              </w:rPr>
            </w:pPr>
          </w:p>
        </w:tc>
      </w:tr>
      <w:tr w14:paraId="2EE0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1C2CDD">
            <w:pPr>
              <w:jc w:val="center"/>
              <w:rPr>
                <w:rFonts w:hint="default"/>
                <w:highlight w:val="none"/>
                <w:vertAlign w:val="baseline"/>
                <w:lang w:val="en-US" w:eastAsia="zh-CN"/>
              </w:rPr>
            </w:pPr>
            <w:r>
              <w:rPr>
                <w:rFonts w:hint="eastAsia"/>
                <w:highlight w:val="none"/>
                <w:vertAlign w:val="baseline"/>
                <w:lang w:val="en-US" w:eastAsia="zh-CN"/>
              </w:rPr>
              <w:t>82</w:t>
            </w:r>
          </w:p>
        </w:tc>
        <w:tc>
          <w:tcPr>
            <w:tcW w:w="1690" w:type="dxa"/>
            <w:noWrap w:val="0"/>
            <w:vAlign w:val="center"/>
          </w:tcPr>
          <w:p w14:paraId="0CCA80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烧瓶</w:t>
            </w:r>
          </w:p>
        </w:tc>
        <w:tc>
          <w:tcPr>
            <w:tcW w:w="5928" w:type="dxa"/>
            <w:noWrap w:val="0"/>
            <w:vAlign w:val="center"/>
          </w:tcPr>
          <w:p w14:paraId="6F1CABC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 ，圆底,玻璃制</w:t>
            </w:r>
          </w:p>
        </w:tc>
        <w:tc>
          <w:tcPr>
            <w:tcW w:w="736" w:type="dxa"/>
            <w:noWrap w:val="0"/>
            <w:vAlign w:val="bottom"/>
          </w:tcPr>
          <w:p w14:paraId="7997047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84265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06D64935">
            <w:pPr>
              <w:jc w:val="center"/>
              <w:rPr>
                <w:highlight w:val="none"/>
              </w:rPr>
            </w:pPr>
          </w:p>
        </w:tc>
        <w:tc>
          <w:tcPr>
            <w:tcW w:w="710" w:type="dxa"/>
            <w:gridSpan w:val="2"/>
            <w:noWrap w:val="0"/>
            <w:vAlign w:val="center"/>
          </w:tcPr>
          <w:p w14:paraId="3DF506A3">
            <w:pPr>
              <w:jc w:val="both"/>
              <w:rPr>
                <w:highlight w:val="none"/>
                <w:vertAlign w:val="baseline"/>
              </w:rPr>
            </w:pPr>
          </w:p>
        </w:tc>
      </w:tr>
      <w:tr w14:paraId="28CD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61B183">
            <w:pPr>
              <w:jc w:val="center"/>
              <w:rPr>
                <w:rFonts w:hint="default"/>
                <w:highlight w:val="none"/>
                <w:vertAlign w:val="baseline"/>
                <w:lang w:val="en-US" w:eastAsia="zh-CN"/>
              </w:rPr>
            </w:pPr>
            <w:r>
              <w:rPr>
                <w:rFonts w:hint="eastAsia"/>
                <w:highlight w:val="none"/>
                <w:vertAlign w:val="baseline"/>
                <w:lang w:val="en-US" w:eastAsia="zh-CN"/>
              </w:rPr>
              <w:t>83</w:t>
            </w:r>
          </w:p>
        </w:tc>
        <w:tc>
          <w:tcPr>
            <w:tcW w:w="1690" w:type="dxa"/>
            <w:noWrap w:val="0"/>
            <w:vAlign w:val="center"/>
          </w:tcPr>
          <w:p w14:paraId="655F19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烧瓶</w:t>
            </w:r>
          </w:p>
        </w:tc>
        <w:tc>
          <w:tcPr>
            <w:tcW w:w="5928" w:type="dxa"/>
            <w:noWrap w:val="0"/>
            <w:vAlign w:val="center"/>
          </w:tcPr>
          <w:p w14:paraId="250F376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 ，平底,玻璃制</w:t>
            </w:r>
          </w:p>
        </w:tc>
        <w:tc>
          <w:tcPr>
            <w:tcW w:w="736" w:type="dxa"/>
            <w:noWrap w:val="0"/>
            <w:vAlign w:val="bottom"/>
          </w:tcPr>
          <w:p w14:paraId="782815A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AA66F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53747160">
            <w:pPr>
              <w:jc w:val="center"/>
              <w:rPr>
                <w:highlight w:val="none"/>
              </w:rPr>
            </w:pPr>
          </w:p>
        </w:tc>
        <w:tc>
          <w:tcPr>
            <w:tcW w:w="710" w:type="dxa"/>
            <w:gridSpan w:val="2"/>
            <w:noWrap w:val="0"/>
            <w:vAlign w:val="center"/>
          </w:tcPr>
          <w:p w14:paraId="174D0414">
            <w:pPr>
              <w:jc w:val="both"/>
              <w:rPr>
                <w:highlight w:val="none"/>
                <w:vertAlign w:val="baseline"/>
              </w:rPr>
            </w:pPr>
          </w:p>
        </w:tc>
      </w:tr>
      <w:tr w14:paraId="4410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7F8FD8">
            <w:pPr>
              <w:jc w:val="center"/>
              <w:rPr>
                <w:rFonts w:hint="default"/>
                <w:highlight w:val="none"/>
                <w:vertAlign w:val="baseline"/>
                <w:lang w:val="en-US" w:eastAsia="zh-CN"/>
              </w:rPr>
            </w:pPr>
            <w:r>
              <w:rPr>
                <w:rFonts w:hint="eastAsia"/>
                <w:highlight w:val="none"/>
                <w:vertAlign w:val="baseline"/>
                <w:lang w:val="en-US" w:eastAsia="zh-CN"/>
              </w:rPr>
              <w:t>84</w:t>
            </w:r>
          </w:p>
        </w:tc>
        <w:tc>
          <w:tcPr>
            <w:tcW w:w="1690" w:type="dxa"/>
            <w:noWrap w:val="0"/>
            <w:vAlign w:val="center"/>
          </w:tcPr>
          <w:p w14:paraId="41D94F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锥形瓶</w:t>
            </w:r>
          </w:p>
        </w:tc>
        <w:tc>
          <w:tcPr>
            <w:tcW w:w="5928" w:type="dxa"/>
            <w:noWrap w:val="0"/>
            <w:vAlign w:val="center"/>
          </w:tcPr>
          <w:p w14:paraId="2E9FC61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mL,玻璃制</w:t>
            </w:r>
          </w:p>
        </w:tc>
        <w:tc>
          <w:tcPr>
            <w:tcW w:w="736" w:type="dxa"/>
            <w:noWrap w:val="0"/>
            <w:vAlign w:val="bottom"/>
          </w:tcPr>
          <w:p w14:paraId="0B76F7C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1FE55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28AB0B25">
            <w:pPr>
              <w:jc w:val="center"/>
              <w:rPr>
                <w:highlight w:val="none"/>
              </w:rPr>
            </w:pPr>
          </w:p>
        </w:tc>
        <w:tc>
          <w:tcPr>
            <w:tcW w:w="710" w:type="dxa"/>
            <w:gridSpan w:val="2"/>
            <w:noWrap w:val="0"/>
            <w:vAlign w:val="center"/>
          </w:tcPr>
          <w:p w14:paraId="7F6EF035">
            <w:pPr>
              <w:jc w:val="both"/>
              <w:rPr>
                <w:highlight w:val="none"/>
                <w:vertAlign w:val="baseline"/>
              </w:rPr>
            </w:pPr>
          </w:p>
        </w:tc>
      </w:tr>
      <w:tr w14:paraId="0AED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A34960">
            <w:pPr>
              <w:jc w:val="center"/>
              <w:rPr>
                <w:rFonts w:hint="default"/>
                <w:highlight w:val="none"/>
                <w:vertAlign w:val="baseline"/>
                <w:lang w:val="en-US" w:eastAsia="zh-CN"/>
              </w:rPr>
            </w:pPr>
            <w:r>
              <w:rPr>
                <w:rFonts w:hint="eastAsia"/>
                <w:highlight w:val="none"/>
                <w:vertAlign w:val="baseline"/>
                <w:lang w:val="en-US" w:eastAsia="zh-CN"/>
              </w:rPr>
              <w:t>85</w:t>
            </w:r>
          </w:p>
        </w:tc>
        <w:tc>
          <w:tcPr>
            <w:tcW w:w="1690" w:type="dxa"/>
            <w:noWrap w:val="0"/>
            <w:vAlign w:val="center"/>
          </w:tcPr>
          <w:p w14:paraId="20681F4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锥形瓶</w:t>
            </w:r>
          </w:p>
        </w:tc>
        <w:tc>
          <w:tcPr>
            <w:tcW w:w="5928" w:type="dxa"/>
            <w:noWrap w:val="0"/>
            <w:vAlign w:val="center"/>
          </w:tcPr>
          <w:p w14:paraId="3803B9A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bottom"/>
          </w:tcPr>
          <w:p w14:paraId="5E25087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39E03D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5DDD813C">
            <w:pPr>
              <w:jc w:val="center"/>
              <w:rPr>
                <w:highlight w:val="none"/>
              </w:rPr>
            </w:pPr>
          </w:p>
        </w:tc>
        <w:tc>
          <w:tcPr>
            <w:tcW w:w="710" w:type="dxa"/>
            <w:gridSpan w:val="2"/>
            <w:noWrap w:val="0"/>
            <w:vAlign w:val="center"/>
          </w:tcPr>
          <w:p w14:paraId="3E4D4C0A">
            <w:pPr>
              <w:jc w:val="both"/>
              <w:rPr>
                <w:highlight w:val="none"/>
                <w:vertAlign w:val="baseline"/>
              </w:rPr>
            </w:pPr>
          </w:p>
        </w:tc>
      </w:tr>
      <w:tr w14:paraId="3DDE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BAADE1">
            <w:pPr>
              <w:jc w:val="center"/>
              <w:rPr>
                <w:rFonts w:hint="default"/>
                <w:highlight w:val="none"/>
                <w:vertAlign w:val="baseline"/>
                <w:lang w:val="en-US" w:eastAsia="zh-CN"/>
              </w:rPr>
            </w:pPr>
            <w:r>
              <w:rPr>
                <w:rFonts w:hint="eastAsia"/>
                <w:highlight w:val="none"/>
                <w:vertAlign w:val="baseline"/>
                <w:lang w:val="en-US" w:eastAsia="zh-CN"/>
              </w:rPr>
              <w:t>86</w:t>
            </w:r>
          </w:p>
        </w:tc>
        <w:tc>
          <w:tcPr>
            <w:tcW w:w="1690" w:type="dxa"/>
            <w:noWrap w:val="0"/>
            <w:vAlign w:val="center"/>
          </w:tcPr>
          <w:p w14:paraId="076957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蒸馏烧瓶</w:t>
            </w:r>
          </w:p>
        </w:tc>
        <w:tc>
          <w:tcPr>
            <w:tcW w:w="5928" w:type="dxa"/>
            <w:noWrap w:val="0"/>
            <w:vAlign w:val="center"/>
          </w:tcPr>
          <w:p w14:paraId="42EA5C4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bottom"/>
          </w:tcPr>
          <w:p w14:paraId="6AEEA3C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6AD44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328169B">
            <w:pPr>
              <w:jc w:val="center"/>
              <w:rPr>
                <w:highlight w:val="none"/>
              </w:rPr>
            </w:pPr>
          </w:p>
        </w:tc>
        <w:tc>
          <w:tcPr>
            <w:tcW w:w="710" w:type="dxa"/>
            <w:gridSpan w:val="2"/>
            <w:noWrap w:val="0"/>
            <w:vAlign w:val="center"/>
          </w:tcPr>
          <w:p w14:paraId="771857DC">
            <w:pPr>
              <w:jc w:val="both"/>
              <w:rPr>
                <w:highlight w:val="none"/>
                <w:vertAlign w:val="baseline"/>
              </w:rPr>
            </w:pPr>
          </w:p>
        </w:tc>
      </w:tr>
      <w:tr w14:paraId="7205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6EE86A">
            <w:pPr>
              <w:jc w:val="center"/>
              <w:rPr>
                <w:rFonts w:hint="default"/>
                <w:highlight w:val="none"/>
                <w:vertAlign w:val="baseline"/>
                <w:lang w:val="en-US" w:eastAsia="zh-CN"/>
              </w:rPr>
            </w:pPr>
            <w:r>
              <w:rPr>
                <w:rFonts w:hint="eastAsia"/>
                <w:highlight w:val="none"/>
                <w:vertAlign w:val="baseline"/>
                <w:lang w:val="en-US" w:eastAsia="zh-CN"/>
              </w:rPr>
              <w:t>87</w:t>
            </w:r>
          </w:p>
        </w:tc>
        <w:tc>
          <w:tcPr>
            <w:tcW w:w="1690" w:type="dxa"/>
            <w:noWrap w:val="0"/>
            <w:vAlign w:val="center"/>
          </w:tcPr>
          <w:p w14:paraId="4091AD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集气瓶</w:t>
            </w:r>
          </w:p>
        </w:tc>
        <w:tc>
          <w:tcPr>
            <w:tcW w:w="5928" w:type="dxa"/>
            <w:noWrap w:val="0"/>
            <w:vAlign w:val="center"/>
          </w:tcPr>
          <w:p w14:paraId="0196068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 mL,玻璃制</w:t>
            </w:r>
          </w:p>
        </w:tc>
        <w:tc>
          <w:tcPr>
            <w:tcW w:w="736" w:type="dxa"/>
            <w:noWrap w:val="0"/>
            <w:vAlign w:val="bottom"/>
          </w:tcPr>
          <w:p w14:paraId="0DF4F7E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BD09B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w:t>
            </w:r>
          </w:p>
        </w:tc>
        <w:tc>
          <w:tcPr>
            <w:tcW w:w="3396" w:type="dxa"/>
            <w:gridSpan w:val="2"/>
            <w:noWrap w:val="0"/>
            <w:vAlign w:val="center"/>
          </w:tcPr>
          <w:p w14:paraId="5BAD3700">
            <w:pPr>
              <w:jc w:val="center"/>
              <w:rPr>
                <w:highlight w:val="none"/>
              </w:rPr>
            </w:pPr>
          </w:p>
        </w:tc>
        <w:tc>
          <w:tcPr>
            <w:tcW w:w="710" w:type="dxa"/>
            <w:gridSpan w:val="2"/>
            <w:noWrap w:val="0"/>
            <w:vAlign w:val="center"/>
          </w:tcPr>
          <w:p w14:paraId="65658327">
            <w:pPr>
              <w:jc w:val="both"/>
              <w:rPr>
                <w:highlight w:val="none"/>
                <w:vertAlign w:val="baseline"/>
              </w:rPr>
            </w:pPr>
          </w:p>
        </w:tc>
      </w:tr>
      <w:tr w14:paraId="7ADE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D07E68">
            <w:pPr>
              <w:jc w:val="center"/>
              <w:rPr>
                <w:rFonts w:hint="default"/>
                <w:highlight w:val="none"/>
                <w:vertAlign w:val="baseline"/>
                <w:lang w:val="en-US" w:eastAsia="zh-CN"/>
              </w:rPr>
            </w:pPr>
            <w:r>
              <w:rPr>
                <w:rFonts w:hint="eastAsia"/>
                <w:highlight w:val="none"/>
                <w:vertAlign w:val="baseline"/>
                <w:lang w:val="en-US" w:eastAsia="zh-CN"/>
              </w:rPr>
              <w:t>88</w:t>
            </w:r>
          </w:p>
        </w:tc>
        <w:tc>
          <w:tcPr>
            <w:tcW w:w="1690" w:type="dxa"/>
            <w:noWrap w:val="0"/>
            <w:vAlign w:val="center"/>
          </w:tcPr>
          <w:p w14:paraId="53120A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集气瓶</w:t>
            </w:r>
          </w:p>
        </w:tc>
        <w:tc>
          <w:tcPr>
            <w:tcW w:w="5928" w:type="dxa"/>
            <w:noWrap w:val="0"/>
            <w:vAlign w:val="center"/>
          </w:tcPr>
          <w:p w14:paraId="18CD8E5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bottom"/>
          </w:tcPr>
          <w:p w14:paraId="5C7654F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D2F88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47606C7B">
            <w:pPr>
              <w:jc w:val="center"/>
              <w:rPr>
                <w:highlight w:val="none"/>
              </w:rPr>
            </w:pPr>
          </w:p>
        </w:tc>
        <w:tc>
          <w:tcPr>
            <w:tcW w:w="710" w:type="dxa"/>
            <w:gridSpan w:val="2"/>
            <w:noWrap w:val="0"/>
            <w:vAlign w:val="center"/>
          </w:tcPr>
          <w:p w14:paraId="49A374B3">
            <w:pPr>
              <w:jc w:val="both"/>
              <w:rPr>
                <w:highlight w:val="none"/>
                <w:vertAlign w:val="baseline"/>
              </w:rPr>
            </w:pPr>
          </w:p>
        </w:tc>
      </w:tr>
      <w:tr w14:paraId="0734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3AA4A2E6">
            <w:pPr>
              <w:jc w:val="center"/>
              <w:rPr>
                <w:rFonts w:hint="default"/>
                <w:highlight w:val="none"/>
                <w:vertAlign w:val="baseline"/>
                <w:lang w:val="en-US" w:eastAsia="zh-CN"/>
              </w:rPr>
            </w:pPr>
            <w:r>
              <w:rPr>
                <w:rFonts w:hint="eastAsia"/>
                <w:highlight w:val="none"/>
                <w:vertAlign w:val="baseline"/>
                <w:lang w:val="en-US" w:eastAsia="zh-CN"/>
              </w:rPr>
              <w:t>89</w:t>
            </w:r>
          </w:p>
        </w:tc>
        <w:tc>
          <w:tcPr>
            <w:tcW w:w="1690" w:type="dxa"/>
            <w:noWrap w:val="0"/>
            <w:vAlign w:val="center"/>
          </w:tcPr>
          <w:p w14:paraId="254DBB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液封除毒气集气瓶</w:t>
            </w:r>
          </w:p>
        </w:tc>
        <w:tc>
          <w:tcPr>
            <w:tcW w:w="5928" w:type="dxa"/>
            <w:noWrap w:val="0"/>
            <w:vAlign w:val="center"/>
          </w:tcPr>
          <w:p w14:paraId="655C211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 ,玻璃制</w:t>
            </w:r>
          </w:p>
        </w:tc>
        <w:tc>
          <w:tcPr>
            <w:tcW w:w="736" w:type="dxa"/>
            <w:noWrap w:val="0"/>
            <w:vAlign w:val="bottom"/>
          </w:tcPr>
          <w:p w14:paraId="6A3800C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4E1CA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080F5DA">
            <w:pPr>
              <w:jc w:val="center"/>
              <w:rPr>
                <w:highlight w:val="none"/>
              </w:rPr>
            </w:pPr>
          </w:p>
        </w:tc>
        <w:tc>
          <w:tcPr>
            <w:tcW w:w="710" w:type="dxa"/>
            <w:gridSpan w:val="2"/>
            <w:noWrap w:val="0"/>
            <w:vAlign w:val="center"/>
          </w:tcPr>
          <w:p w14:paraId="6EF076CB">
            <w:pPr>
              <w:jc w:val="both"/>
              <w:rPr>
                <w:highlight w:val="none"/>
                <w:vertAlign w:val="baseline"/>
              </w:rPr>
            </w:pPr>
          </w:p>
        </w:tc>
      </w:tr>
      <w:tr w14:paraId="256B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486542">
            <w:pPr>
              <w:jc w:val="center"/>
              <w:rPr>
                <w:rFonts w:hint="default"/>
                <w:highlight w:val="none"/>
                <w:vertAlign w:val="baseline"/>
                <w:lang w:val="en-US" w:eastAsia="zh-CN"/>
              </w:rPr>
            </w:pPr>
            <w:r>
              <w:rPr>
                <w:rFonts w:hint="eastAsia"/>
                <w:highlight w:val="none"/>
                <w:vertAlign w:val="baseline"/>
                <w:lang w:val="en-US" w:eastAsia="zh-CN"/>
              </w:rPr>
              <w:t>90</w:t>
            </w:r>
          </w:p>
        </w:tc>
        <w:tc>
          <w:tcPr>
            <w:tcW w:w="1690" w:type="dxa"/>
            <w:noWrap w:val="0"/>
            <w:vAlign w:val="center"/>
          </w:tcPr>
          <w:p w14:paraId="1FE74E2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3131801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mL,玻璃制</w:t>
            </w:r>
          </w:p>
        </w:tc>
        <w:tc>
          <w:tcPr>
            <w:tcW w:w="736" w:type="dxa"/>
            <w:noWrap w:val="0"/>
            <w:vAlign w:val="bottom"/>
          </w:tcPr>
          <w:p w14:paraId="14C07FB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73B44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170</w:t>
            </w:r>
          </w:p>
        </w:tc>
        <w:tc>
          <w:tcPr>
            <w:tcW w:w="3396" w:type="dxa"/>
            <w:gridSpan w:val="2"/>
            <w:noWrap w:val="0"/>
            <w:vAlign w:val="center"/>
          </w:tcPr>
          <w:p w14:paraId="64575999">
            <w:pPr>
              <w:jc w:val="center"/>
              <w:rPr>
                <w:highlight w:val="none"/>
              </w:rPr>
            </w:pPr>
          </w:p>
        </w:tc>
        <w:tc>
          <w:tcPr>
            <w:tcW w:w="710" w:type="dxa"/>
            <w:gridSpan w:val="2"/>
            <w:noWrap w:val="0"/>
            <w:vAlign w:val="center"/>
          </w:tcPr>
          <w:p w14:paraId="11D8E740">
            <w:pPr>
              <w:jc w:val="both"/>
              <w:rPr>
                <w:highlight w:val="none"/>
                <w:vertAlign w:val="baseline"/>
              </w:rPr>
            </w:pPr>
          </w:p>
        </w:tc>
      </w:tr>
      <w:tr w14:paraId="4544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22E9608">
            <w:pPr>
              <w:jc w:val="center"/>
              <w:rPr>
                <w:rFonts w:hint="default"/>
                <w:highlight w:val="none"/>
                <w:vertAlign w:val="baseline"/>
                <w:lang w:val="en-US" w:eastAsia="zh-CN"/>
              </w:rPr>
            </w:pPr>
            <w:r>
              <w:rPr>
                <w:rFonts w:hint="eastAsia"/>
                <w:highlight w:val="none"/>
                <w:vertAlign w:val="baseline"/>
                <w:lang w:val="en-US" w:eastAsia="zh-CN"/>
              </w:rPr>
              <w:t>91</w:t>
            </w:r>
          </w:p>
        </w:tc>
        <w:tc>
          <w:tcPr>
            <w:tcW w:w="1690" w:type="dxa"/>
            <w:noWrap w:val="0"/>
            <w:vAlign w:val="center"/>
          </w:tcPr>
          <w:p w14:paraId="323E83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6D88503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 mL,玻璃制</w:t>
            </w:r>
          </w:p>
        </w:tc>
        <w:tc>
          <w:tcPr>
            <w:tcW w:w="736" w:type="dxa"/>
            <w:noWrap w:val="0"/>
            <w:vAlign w:val="bottom"/>
          </w:tcPr>
          <w:p w14:paraId="689865E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92340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3BD043F">
            <w:pPr>
              <w:jc w:val="center"/>
              <w:rPr>
                <w:highlight w:val="none"/>
              </w:rPr>
            </w:pPr>
          </w:p>
        </w:tc>
        <w:tc>
          <w:tcPr>
            <w:tcW w:w="710" w:type="dxa"/>
            <w:gridSpan w:val="2"/>
            <w:noWrap w:val="0"/>
            <w:vAlign w:val="center"/>
          </w:tcPr>
          <w:p w14:paraId="647C3AC2">
            <w:pPr>
              <w:jc w:val="both"/>
              <w:rPr>
                <w:highlight w:val="none"/>
                <w:vertAlign w:val="baseline"/>
              </w:rPr>
            </w:pPr>
          </w:p>
        </w:tc>
      </w:tr>
      <w:tr w14:paraId="3E77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6E2752">
            <w:pPr>
              <w:jc w:val="center"/>
              <w:rPr>
                <w:rFonts w:hint="default"/>
                <w:highlight w:val="none"/>
                <w:vertAlign w:val="baseline"/>
                <w:lang w:val="en-US" w:eastAsia="zh-CN"/>
              </w:rPr>
            </w:pPr>
            <w:r>
              <w:rPr>
                <w:rFonts w:hint="eastAsia"/>
                <w:highlight w:val="none"/>
                <w:vertAlign w:val="baseline"/>
                <w:lang w:val="en-US" w:eastAsia="zh-CN"/>
              </w:rPr>
              <w:t>92</w:t>
            </w:r>
          </w:p>
        </w:tc>
        <w:tc>
          <w:tcPr>
            <w:tcW w:w="1690" w:type="dxa"/>
            <w:noWrap w:val="0"/>
            <w:vAlign w:val="center"/>
          </w:tcPr>
          <w:p w14:paraId="090D16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614257C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bottom"/>
          </w:tcPr>
          <w:p w14:paraId="09F5959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E3483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B7BDB0D">
            <w:pPr>
              <w:jc w:val="center"/>
              <w:rPr>
                <w:highlight w:val="none"/>
              </w:rPr>
            </w:pPr>
          </w:p>
        </w:tc>
        <w:tc>
          <w:tcPr>
            <w:tcW w:w="710" w:type="dxa"/>
            <w:gridSpan w:val="2"/>
            <w:noWrap w:val="0"/>
            <w:vAlign w:val="center"/>
          </w:tcPr>
          <w:p w14:paraId="2E487D7F">
            <w:pPr>
              <w:jc w:val="both"/>
              <w:rPr>
                <w:highlight w:val="none"/>
                <w:vertAlign w:val="baseline"/>
              </w:rPr>
            </w:pPr>
          </w:p>
        </w:tc>
      </w:tr>
      <w:tr w14:paraId="507B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84D4B0">
            <w:pPr>
              <w:jc w:val="center"/>
              <w:rPr>
                <w:rFonts w:hint="default"/>
                <w:highlight w:val="none"/>
                <w:vertAlign w:val="baseline"/>
                <w:lang w:val="en-US" w:eastAsia="zh-CN"/>
              </w:rPr>
            </w:pPr>
            <w:r>
              <w:rPr>
                <w:rFonts w:hint="eastAsia"/>
                <w:highlight w:val="none"/>
                <w:vertAlign w:val="baseline"/>
                <w:lang w:val="en-US" w:eastAsia="zh-CN"/>
              </w:rPr>
              <w:t>93</w:t>
            </w:r>
          </w:p>
        </w:tc>
        <w:tc>
          <w:tcPr>
            <w:tcW w:w="1690" w:type="dxa"/>
            <w:noWrap w:val="0"/>
            <w:vAlign w:val="center"/>
          </w:tcPr>
          <w:p w14:paraId="1B78C4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4D0510B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bottom"/>
          </w:tcPr>
          <w:p w14:paraId="11B9B29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697A6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E54188D">
            <w:pPr>
              <w:jc w:val="center"/>
              <w:rPr>
                <w:highlight w:val="none"/>
              </w:rPr>
            </w:pPr>
          </w:p>
        </w:tc>
        <w:tc>
          <w:tcPr>
            <w:tcW w:w="710" w:type="dxa"/>
            <w:gridSpan w:val="2"/>
            <w:noWrap w:val="0"/>
            <w:vAlign w:val="center"/>
          </w:tcPr>
          <w:p w14:paraId="550FE5E5">
            <w:pPr>
              <w:jc w:val="both"/>
              <w:rPr>
                <w:highlight w:val="none"/>
                <w:vertAlign w:val="baseline"/>
              </w:rPr>
            </w:pPr>
          </w:p>
        </w:tc>
      </w:tr>
      <w:tr w14:paraId="44D7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40DABFA">
            <w:pPr>
              <w:jc w:val="center"/>
              <w:rPr>
                <w:rFonts w:hint="default"/>
                <w:highlight w:val="none"/>
                <w:vertAlign w:val="baseline"/>
                <w:lang w:val="en-US" w:eastAsia="zh-CN"/>
              </w:rPr>
            </w:pPr>
            <w:r>
              <w:rPr>
                <w:rFonts w:hint="eastAsia"/>
                <w:highlight w:val="none"/>
                <w:vertAlign w:val="baseline"/>
                <w:lang w:val="en-US" w:eastAsia="zh-CN"/>
              </w:rPr>
              <w:t>94</w:t>
            </w:r>
          </w:p>
        </w:tc>
        <w:tc>
          <w:tcPr>
            <w:tcW w:w="1690" w:type="dxa"/>
            <w:noWrap w:val="0"/>
            <w:vAlign w:val="center"/>
          </w:tcPr>
          <w:p w14:paraId="565C1C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71E4A6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mL,茶色玻璃制</w:t>
            </w:r>
          </w:p>
        </w:tc>
        <w:tc>
          <w:tcPr>
            <w:tcW w:w="736" w:type="dxa"/>
            <w:noWrap w:val="0"/>
            <w:vAlign w:val="bottom"/>
          </w:tcPr>
          <w:p w14:paraId="503A509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44955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47D908B2">
            <w:pPr>
              <w:jc w:val="center"/>
              <w:rPr>
                <w:highlight w:val="none"/>
              </w:rPr>
            </w:pPr>
          </w:p>
        </w:tc>
        <w:tc>
          <w:tcPr>
            <w:tcW w:w="710" w:type="dxa"/>
            <w:gridSpan w:val="2"/>
            <w:noWrap w:val="0"/>
            <w:vAlign w:val="center"/>
          </w:tcPr>
          <w:p w14:paraId="035E8A31">
            <w:pPr>
              <w:jc w:val="both"/>
              <w:rPr>
                <w:highlight w:val="none"/>
                <w:vertAlign w:val="baseline"/>
              </w:rPr>
            </w:pPr>
          </w:p>
        </w:tc>
      </w:tr>
      <w:tr w14:paraId="5E4C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DB00FB">
            <w:pPr>
              <w:jc w:val="center"/>
              <w:rPr>
                <w:rFonts w:hint="default"/>
                <w:highlight w:val="none"/>
                <w:vertAlign w:val="baseline"/>
                <w:lang w:val="en-US" w:eastAsia="zh-CN"/>
              </w:rPr>
            </w:pPr>
            <w:r>
              <w:rPr>
                <w:rFonts w:hint="eastAsia"/>
                <w:highlight w:val="none"/>
                <w:vertAlign w:val="baseline"/>
                <w:lang w:val="en-US" w:eastAsia="zh-CN"/>
              </w:rPr>
              <w:t>95</w:t>
            </w:r>
          </w:p>
        </w:tc>
        <w:tc>
          <w:tcPr>
            <w:tcW w:w="1690" w:type="dxa"/>
            <w:noWrap w:val="0"/>
            <w:vAlign w:val="center"/>
          </w:tcPr>
          <w:p w14:paraId="5D48D8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2A01A25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 mL,茶色玻璃制</w:t>
            </w:r>
          </w:p>
        </w:tc>
        <w:tc>
          <w:tcPr>
            <w:tcW w:w="736" w:type="dxa"/>
            <w:noWrap w:val="0"/>
            <w:vAlign w:val="bottom"/>
          </w:tcPr>
          <w:p w14:paraId="3193F52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AA4BB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1D899DF9">
            <w:pPr>
              <w:jc w:val="center"/>
              <w:rPr>
                <w:highlight w:val="none"/>
              </w:rPr>
            </w:pPr>
          </w:p>
        </w:tc>
        <w:tc>
          <w:tcPr>
            <w:tcW w:w="710" w:type="dxa"/>
            <w:gridSpan w:val="2"/>
            <w:noWrap w:val="0"/>
            <w:vAlign w:val="center"/>
          </w:tcPr>
          <w:p w14:paraId="259012D2">
            <w:pPr>
              <w:jc w:val="both"/>
              <w:rPr>
                <w:highlight w:val="none"/>
                <w:vertAlign w:val="baseline"/>
              </w:rPr>
            </w:pPr>
          </w:p>
        </w:tc>
      </w:tr>
      <w:tr w14:paraId="5A60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C0C933">
            <w:pPr>
              <w:jc w:val="center"/>
              <w:rPr>
                <w:rFonts w:hint="default"/>
                <w:highlight w:val="none"/>
                <w:vertAlign w:val="baseline"/>
                <w:lang w:val="en-US" w:eastAsia="zh-CN"/>
              </w:rPr>
            </w:pPr>
            <w:r>
              <w:rPr>
                <w:rFonts w:hint="eastAsia"/>
                <w:highlight w:val="none"/>
                <w:vertAlign w:val="baseline"/>
                <w:lang w:val="en-US" w:eastAsia="zh-CN"/>
              </w:rPr>
              <w:t>96</w:t>
            </w:r>
          </w:p>
        </w:tc>
        <w:tc>
          <w:tcPr>
            <w:tcW w:w="1690" w:type="dxa"/>
            <w:noWrap w:val="0"/>
            <w:vAlign w:val="center"/>
          </w:tcPr>
          <w:p w14:paraId="519B1C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0AB2E29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mL,茶色玻璃制</w:t>
            </w:r>
          </w:p>
        </w:tc>
        <w:tc>
          <w:tcPr>
            <w:tcW w:w="736" w:type="dxa"/>
            <w:noWrap w:val="0"/>
            <w:vAlign w:val="bottom"/>
          </w:tcPr>
          <w:p w14:paraId="0312F71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10524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A1DFE0C">
            <w:pPr>
              <w:jc w:val="center"/>
              <w:rPr>
                <w:highlight w:val="none"/>
              </w:rPr>
            </w:pPr>
          </w:p>
        </w:tc>
        <w:tc>
          <w:tcPr>
            <w:tcW w:w="710" w:type="dxa"/>
            <w:gridSpan w:val="2"/>
            <w:noWrap w:val="0"/>
            <w:vAlign w:val="center"/>
          </w:tcPr>
          <w:p w14:paraId="13811E50">
            <w:pPr>
              <w:jc w:val="both"/>
              <w:rPr>
                <w:highlight w:val="none"/>
                <w:vertAlign w:val="baseline"/>
              </w:rPr>
            </w:pPr>
          </w:p>
        </w:tc>
      </w:tr>
      <w:tr w14:paraId="3D11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B2B6E8D">
            <w:pPr>
              <w:jc w:val="center"/>
              <w:rPr>
                <w:rFonts w:hint="default"/>
                <w:highlight w:val="none"/>
                <w:vertAlign w:val="baseline"/>
                <w:lang w:val="en-US" w:eastAsia="zh-CN"/>
              </w:rPr>
            </w:pPr>
            <w:r>
              <w:rPr>
                <w:rFonts w:hint="eastAsia"/>
                <w:highlight w:val="none"/>
                <w:vertAlign w:val="baseline"/>
                <w:lang w:val="en-US" w:eastAsia="zh-CN"/>
              </w:rPr>
              <w:t>97</w:t>
            </w:r>
          </w:p>
        </w:tc>
        <w:tc>
          <w:tcPr>
            <w:tcW w:w="1690" w:type="dxa"/>
            <w:noWrap w:val="0"/>
            <w:vAlign w:val="center"/>
          </w:tcPr>
          <w:p w14:paraId="307AF1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74E9A73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mL,玻璃制</w:t>
            </w:r>
          </w:p>
        </w:tc>
        <w:tc>
          <w:tcPr>
            <w:tcW w:w="736" w:type="dxa"/>
            <w:noWrap w:val="0"/>
            <w:vAlign w:val="bottom"/>
          </w:tcPr>
          <w:p w14:paraId="608DC7D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BBD43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2B39C396">
            <w:pPr>
              <w:jc w:val="center"/>
              <w:rPr>
                <w:highlight w:val="none"/>
              </w:rPr>
            </w:pPr>
          </w:p>
        </w:tc>
        <w:tc>
          <w:tcPr>
            <w:tcW w:w="710" w:type="dxa"/>
            <w:gridSpan w:val="2"/>
            <w:noWrap w:val="0"/>
            <w:vAlign w:val="center"/>
          </w:tcPr>
          <w:p w14:paraId="2BDBE379">
            <w:pPr>
              <w:jc w:val="both"/>
              <w:rPr>
                <w:highlight w:val="none"/>
                <w:vertAlign w:val="baseline"/>
              </w:rPr>
            </w:pPr>
          </w:p>
        </w:tc>
      </w:tr>
      <w:tr w14:paraId="09B5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B97DC9">
            <w:pPr>
              <w:jc w:val="center"/>
              <w:rPr>
                <w:rFonts w:hint="default"/>
                <w:highlight w:val="none"/>
                <w:vertAlign w:val="baseline"/>
                <w:lang w:val="en-US" w:eastAsia="zh-CN"/>
              </w:rPr>
            </w:pPr>
            <w:r>
              <w:rPr>
                <w:rFonts w:hint="eastAsia"/>
                <w:highlight w:val="none"/>
                <w:vertAlign w:val="baseline"/>
                <w:lang w:val="en-US" w:eastAsia="zh-CN"/>
              </w:rPr>
              <w:t>98</w:t>
            </w:r>
          </w:p>
        </w:tc>
        <w:tc>
          <w:tcPr>
            <w:tcW w:w="1690" w:type="dxa"/>
            <w:noWrap w:val="0"/>
            <w:vAlign w:val="center"/>
          </w:tcPr>
          <w:p w14:paraId="407303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187B44B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 mL,玻璃制</w:t>
            </w:r>
          </w:p>
        </w:tc>
        <w:tc>
          <w:tcPr>
            <w:tcW w:w="736" w:type="dxa"/>
            <w:noWrap w:val="0"/>
            <w:vAlign w:val="bottom"/>
          </w:tcPr>
          <w:p w14:paraId="63502934">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06739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200</w:t>
            </w:r>
          </w:p>
        </w:tc>
        <w:tc>
          <w:tcPr>
            <w:tcW w:w="3396" w:type="dxa"/>
            <w:gridSpan w:val="2"/>
            <w:noWrap w:val="0"/>
            <w:vAlign w:val="center"/>
          </w:tcPr>
          <w:p w14:paraId="0C4FD5DA">
            <w:pPr>
              <w:jc w:val="center"/>
              <w:rPr>
                <w:highlight w:val="none"/>
              </w:rPr>
            </w:pPr>
          </w:p>
        </w:tc>
        <w:tc>
          <w:tcPr>
            <w:tcW w:w="710" w:type="dxa"/>
            <w:gridSpan w:val="2"/>
            <w:noWrap w:val="0"/>
            <w:vAlign w:val="center"/>
          </w:tcPr>
          <w:p w14:paraId="48A7B4A0">
            <w:pPr>
              <w:jc w:val="both"/>
              <w:rPr>
                <w:highlight w:val="none"/>
                <w:vertAlign w:val="baseline"/>
              </w:rPr>
            </w:pPr>
          </w:p>
        </w:tc>
      </w:tr>
      <w:tr w14:paraId="1545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7B97A7">
            <w:pPr>
              <w:jc w:val="center"/>
              <w:rPr>
                <w:rFonts w:hint="default"/>
                <w:highlight w:val="none"/>
                <w:vertAlign w:val="baseline"/>
                <w:lang w:val="en-US" w:eastAsia="zh-CN"/>
              </w:rPr>
            </w:pPr>
            <w:r>
              <w:rPr>
                <w:rFonts w:hint="eastAsia"/>
                <w:highlight w:val="none"/>
                <w:vertAlign w:val="baseline"/>
                <w:lang w:val="en-US" w:eastAsia="zh-CN"/>
              </w:rPr>
              <w:t>99</w:t>
            </w:r>
          </w:p>
        </w:tc>
        <w:tc>
          <w:tcPr>
            <w:tcW w:w="1690" w:type="dxa"/>
            <w:noWrap w:val="0"/>
            <w:vAlign w:val="center"/>
          </w:tcPr>
          <w:p w14:paraId="707EB0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410B8F7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bottom"/>
          </w:tcPr>
          <w:p w14:paraId="3A8761B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6543A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2CA109A0">
            <w:pPr>
              <w:jc w:val="center"/>
              <w:rPr>
                <w:highlight w:val="none"/>
              </w:rPr>
            </w:pPr>
          </w:p>
        </w:tc>
        <w:tc>
          <w:tcPr>
            <w:tcW w:w="710" w:type="dxa"/>
            <w:gridSpan w:val="2"/>
            <w:noWrap w:val="0"/>
            <w:vAlign w:val="center"/>
          </w:tcPr>
          <w:p w14:paraId="2B73AB0A">
            <w:pPr>
              <w:jc w:val="both"/>
              <w:rPr>
                <w:highlight w:val="none"/>
                <w:vertAlign w:val="baseline"/>
              </w:rPr>
            </w:pPr>
          </w:p>
        </w:tc>
      </w:tr>
      <w:tr w14:paraId="5A03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8195CE">
            <w:pPr>
              <w:jc w:val="center"/>
              <w:rPr>
                <w:rFonts w:hint="default"/>
                <w:highlight w:val="none"/>
                <w:vertAlign w:val="baseline"/>
                <w:lang w:val="en-US" w:eastAsia="zh-CN"/>
              </w:rPr>
            </w:pPr>
            <w:r>
              <w:rPr>
                <w:rFonts w:hint="eastAsia"/>
                <w:highlight w:val="none"/>
                <w:vertAlign w:val="baseline"/>
                <w:lang w:val="en-US" w:eastAsia="zh-CN"/>
              </w:rPr>
              <w:t>100</w:t>
            </w:r>
          </w:p>
        </w:tc>
        <w:tc>
          <w:tcPr>
            <w:tcW w:w="1690" w:type="dxa"/>
            <w:noWrap w:val="0"/>
            <w:vAlign w:val="center"/>
          </w:tcPr>
          <w:p w14:paraId="295449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4532E47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bottom"/>
          </w:tcPr>
          <w:p w14:paraId="7D9744A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857F9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212A800">
            <w:pPr>
              <w:jc w:val="center"/>
              <w:rPr>
                <w:highlight w:val="none"/>
              </w:rPr>
            </w:pPr>
          </w:p>
        </w:tc>
        <w:tc>
          <w:tcPr>
            <w:tcW w:w="710" w:type="dxa"/>
            <w:gridSpan w:val="2"/>
            <w:noWrap w:val="0"/>
            <w:vAlign w:val="center"/>
          </w:tcPr>
          <w:p w14:paraId="653D5C6A">
            <w:pPr>
              <w:jc w:val="both"/>
              <w:rPr>
                <w:highlight w:val="none"/>
                <w:vertAlign w:val="baseline"/>
              </w:rPr>
            </w:pPr>
          </w:p>
        </w:tc>
      </w:tr>
      <w:tr w14:paraId="425D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3C3572">
            <w:pPr>
              <w:jc w:val="center"/>
              <w:rPr>
                <w:rFonts w:hint="default"/>
                <w:highlight w:val="none"/>
                <w:vertAlign w:val="baseline"/>
                <w:lang w:val="en-US" w:eastAsia="zh-CN"/>
              </w:rPr>
            </w:pPr>
            <w:r>
              <w:rPr>
                <w:rFonts w:hint="eastAsia"/>
                <w:highlight w:val="none"/>
                <w:vertAlign w:val="baseline"/>
                <w:lang w:val="en-US" w:eastAsia="zh-CN"/>
              </w:rPr>
              <w:t>101</w:t>
            </w:r>
          </w:p>
        </w:tc>
        <w:tc>
          <w:tcPr>
            <w:tcW w:w="1690" w:type="dxa"/>
            <w:noWrap w:val="0"/>
            <w:vAlign w:val="center"/>
          </w:tcPr>
          <w:p w14:paraId="307689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6AF2C77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1000 mL,玻璃制</w:t>
            </w:r>
          </w:p>
        </w:tc>
        <w:tc>
          <w:tcPr>
            <w:tcW w:w="736" w:type="dxa"/>
            <w:noWrap w:val="0"/>
            <w:vAlign w:val="bottom"/>
          </w:tcPr>
          <w:p w14:paraId="3BA86DE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683E8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F41FD27">
            <w:pPr>
              <w:jc w:val="center"/>
              <w:rPr>
                <w:highlight w:val="none"/>
              </w:rPr>
            </w:pPr>
          </w:p>
        </w:tc>
        <w:tc>
          <w:tcPr>
            <w:tcW w:w="710" w:type="dxa"/>
            <w:gridSpan w:val="2"/>
            <w:noWrap w:val="0"/>
            <w:vAlign w:val="center"/>
          </w:tcPr>
          <w:p w14:paraId="25C788C2">
            <w:pPr>
              <w:jc w:val="both"/>
              <w:rPr>
                <w:highlight w:val="none"/>
                <w:vertAlign w:val="baseline"/>
              </w:rPr>
            </w:pPr>
          </w:p>
        </w:tc>
      </w:tr>
      <w:tr w14:paraId="1773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C1CFDA">
            <w:pPr>
              <w:jc w:val="center"/>
              <w:rPr>
                <w:rFonts w:hint="default"/>
                <w:highlight w:val="none"/>
                <w:vertAlign w:val="baseline"/>
                <w:lang w:val="en-US" w:eastAsia="zh-CN"/>
              </w:rPr>
            </w:pPr>
            <w:r>
              <w:rPr>
                <w:rFonts w:hint="eastAsia"/>
                <w:highlight w:val="none"/>
                <w:vertAlign w:val="baseline"/>
                <w:lang w:val="en-US" w:eastAsia="zh-CN"/>
              </w:rPr>
              <w:t>102</w:t>
            </w:r>
          </w:p>
        </w:tc>
        <w:tc>
          <w:tcPr>
            <w:tcW w:w="1690" w:type="dxa"/>
            <w:noWrap w:val="0"/>
            <w:vAlign w:val="center"/>
          </w:tcPr>
          <w:p w14:paraId="099EC9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6832A7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3000 mL,玻璃制</w:t>
            </w:r>
          </w:p>
        </w:tc>
        <w:tc>
          <w:tcPr>
            <w:tcW w:w="736" w:type="dxa"/>
            <w:noWrap w:val="0"/>
            <w:vAlign w:val="bottom"/>
          </w:tcPr>
          <w:p w14:paraId="394E9E8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54C59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AFC1037">
            <w:pPr>
              <w:jc w:val="center"/>
              <w:rPr>
                <w:highlight w:val="none"/>
              </w:rPr>
            </w:pPr>
          </w:p>
        </w:tc>
        <w:tc>
          <w:tcPr>
            <w:tcW w:w="710" w:type="dxa"/>
            <w:gridSpan w:val="2"/>
            <w:noWrap w:val="0"/>
            <w:vAlign w:val="center"/>
          </w:tcPr>
          <w:p w14:paraId="32D9413D">
            <w:pPr>
              <w:jc w:val="both"/>
              <w:rPr>
                <w:highlight w:val="none"/>
                <w:vertAlign w:val="baseline"/>
              </w:rPr>
            </w:pPr>
          </w:p>
        </w:tc>
      </w:tr>
      <w:tr w14:paraId="7D40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2AB2B2">
            <w:pPr>
              <w:jc w:val="center"/>
              <w:rPr>
                <w:rFonts w:hint="default"/>
                <w:highlight w:val="none"/>
                <w:vertAlign w:val="baseline"/>
                <w:lang w:val="en-US" w:eastAsia="zh-CN"/>
              </w:rPr>
            </w:pPr>
            <w:r>
              <w:rPr>
                <w:rFonts w:hint="eastAsia"/>
                <w:highlight w:val="none"/>
                <w:vertAlign w:val="baseline"/>
                <w:lang w:val="en-US" w:eastAsia="zh-CN"/>
              </w:rPr>
              <w:t>103</w:t>
            </w:r>
          </w:p>
        </w:tc>
        <w:tc>
          <w:tcPr>
            <w:tcW w:w="1690" w:type="dxa"/>
            <w:noWrap w:val="0"/>
            <w:vAlign w:val="center"/>
          </w:tcPr>
          <w:p w14:paraId="4C5861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4206F6C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mL,茶色玻璃制</w:t>
            </w:r>
          </w:p>
        </w:tc>
        <w:tc>
          <w:tcPr>
            <w:tcW w:w="736" w:type="dxa"/>
            <w:noWrap w:val="0"/>
            <w:vAlign w:val="bottom"/>
          </w:tcPr>
          <w:p w14:paraId="04C1B98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439EF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CBD9D43">
            <w:pPr>
              <w:jc w:val="center"/>
              <w:rPr>
                <w:highlight w:val="none"/>
              </w:rPr>
            </w:pPr>
          </w:p>
        </w:tc>
        <w:tc>
          <w:tcPr>
            <w:tcW w:w="710" w:type="dxa"/>
            <w:gridSpan w:val="2"/>
            <w:noWrap w:val="0"/>
            <w:vAlign w:val="center"/>
          </w:tcPr>
          <w:p w14:paraId="4133F3E9">
            <w:pPr>
              <w:jc w:val="both"/>
              <w:rPr>
                <w:highlight w:val="none"/>
                <w:vertAlign w:val="baseline"/>
              </w:rPr>
            </w:pPr>
          </w:p>
        </w:tc>
      </w:tr>
      <w:tr w14:paraId="4E5A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2E1D0F">
            <w:pPr>
              <w:jc w:val="center"/>
              <w:rPr>
                <w:rFonts w:hint="default"/>
                <w:highlight w:val="none"/>
                <w:vertAlign w:val="baseline"/>
                <w:lang w:val="en-US" w:eastAsia="zh-CN"/>
              </w:rPr>
            </w:pPr>
            <w:r>
              <w:rPr>
                <w:rFonts w:hint="eastAsia"/>
                <w:highlight w:val="none"/>
                <w:vertAlign w:val="baseline"/>
                <w:lang w:val="en-US" w:eastAsia="zh-CN"/>
              </w:rPr>
              <w:t>104</w:t>
            </w:r>
          </w:p>
        </w:tc>
        <w:tc>
          <w:tcPr>
            <w:tcW w:w="1690" w:type="dxa"/>
            <w:noWrap w:val="0"/>
            <w:vAlign w:val="center"/>
          </w:tcPr>
          <w:p w14:paraId="0AE3C9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413D68F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 mL ,茶色玻璃制</w:t>
            </w:r>
          </w:p>
        </w:tc>
        <w:tc>
          <w:tcPr>
            <w:tcW w:w="736" w:type="dxa"/>
            <w:noWrap w:val="0"/>
            <w:vAlign w:val="bottom"/>
          </w:tcPr>
          <w:p w14:paraId="46FFE22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D9EF2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F74B894">
            <w:pPr>
              <w:jc w:val="center"/>
              <w:rPr>
                <w:highlight w:val="none"/>
              </w:rPr>
            </w:pPr>
          </w:p>
        </w:tc>
        <w:tc>
          <w:tcPr>
            <w:tcW w:w="710" w:type="dxa"/>
            <w:gridSpan w:val="2"/>
            <w:noWrap w:val="0"/>
            <w:vAlign w:val="center"/>
          </w:tcPr>
          <w:p w14:paraId="7E606DF1">
            <w:pPr>
              <w:jc w:val="both"/>
              <w:rPr>
                <w:highlight w:val="none"/>
                <w:vertAlign w:val="baseline"/>
              </w:rPr>
            </w:pPr>
          </w:p>
        </w:tc>
      </w:tr>
      <w:tr w14:paraId="2DEC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D30871B">
            <w:pPr>
              <w:jc w:val="center"/>
              <w:rPr>
                <w:rFonts w:hint="default"/>
                <w:highlight w:val="none"/>
                <w:vertAlign w:val="baseline"/>
                <w:lang w:val="en-US" w:eastAsia="zh-CN"/>
              </w:rPr>
            </w:pPr>
            <w:r>
              <w:rPr>
                <w:rFonts w:hint="eastAsia"/>
                <w:highlight w:val="none"/>
                <w:vertAlign w:val="baseline"/>
                <w:lang w:val="en-US" w:eastAsia="zh-CN"/>
              </w:rPr>
              <w:t>105</w:t>
            </w:r>
          </w:p>
        </w:tc>
        <w:tc>
          <w:tcPr>
            <w:tcW w:w="1690" w:type="dxa"/>
            <w:noWrap w:val="0"/>
            <w:vAlign w:val="center"/>
          </w:tcPr>
          <w:p w14:paraId="413C88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5ADD59C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mL,茶色玻璃制</w:t>
            </w:r>
          </w:p>
        </w:tc>
        <w:tc>
          <w:tcPr>
            <w:tcW w:w="736" w:type="dxa"/>
            <w:noWrap w:val="0"/>
            <w:vAlign w:val="bottom"/>
          </w:tcPr>
          <w:p w14:paraId="31C4021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A94D1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3AA067C">
            <w:pPr>
              <w:jc w:val="center"/>
              <w:rPr>
                <w:highlight w:val="none"/>
              </w:rPr>
            </w:pPr>
          </w:p>
        </w:tc>
        <w:tc>
          <w:tcPr>
            <w:tcW w:w="710" w:type="dxa"/>
            <w:gridSpan w:val="2"/>
            <w:noWrap w:val="0"/>
            <w:vAlign w:val="center"/>
          </w:tcPr>
          <w:p w14:paraId="58594393">
            <w:pPr>
              <w:jc w:val="both"/>
              <w:rPr>
                <w:highlight w:val="none"/>
                <w:vertAlign w:val="baseline"/>
              </w:rPr>
            </w:pPr>
          </w:p>
        </w:tc>
      </w:tr>
      <w:tr w14:paraId="6B7A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E37BD4">
            <w:pPr>
              <w:jc w:val="center"/>
              <w:rPr>
                <w:rFonts w:hint="default"/>
                <w:highlight w:val="none"/>
                <w:vertAlign w:val="baseline"/>
                <w:lang w:val="en-US" w:eastAsia="zh-CN"/>
              </w:rPr>
            </w:pPr>
            <w:r>
              <w:rPr>
                <w:rFonts w:hint="eastAsia"/>
                <w:highlight w:val="none"/>
                <w:vertAlign w:val="baseline"/>
                <w:lang w:val="en-US" w:eastAsia="zh-CN"/>
              </w:rPr>
              <w:t>106</w:t>
            </w:r>
          </w:p>
        </w:tc>
        <w:tc>
          <w:tcPr>
            <w:tcW w:w="1690" w:type="dxa"/>
            <w:noWrap w:val="0"/>
            <w:vAlign w:val="center"/>
          </w:tcPr>
          <w:p w14:paraId="10A0E3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333FCDD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mL,茶色玻璃制</w:t>
            </w:r>
          </w:p>
        </w:tc>
        <w:tc>
          <w:tcPr>
            <w:tcW w:w="736" w:type="dxa"/>
            <w:noWrap w:val="0"/>
            <w:vAlign w:val="bottom"/>
          </w:tcPr>
          <w:p w14:paraId="5DFF56C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FA0C0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5A1EB0E">
            <w:pPr>
              <w:jc w:val="center"/>
              <w:rPr>
                <w:highlight w:val="none"/>
              </w:rPr>
            </w:pPr>
          </w:p>
        </w:tc>
        <w:tc>
          <w:tcPr>
            <w:tcW w:w="710" w:type="dxa"/>
            <w:gridSpan w:val="2"/>
            <w:noWrap w:val="0"/>
            <w:vAlign w:val="center"/>
          </w:tcPr>
          <w:p w14:paraId="056A63FF">
            <w:pPr>
              <w:jc w:val="both"/>
              <w:rPr>
                <w:highlight w:val="none"/>
                <w:vertAlign w:val="baseline"/>
              </w:rPr>
            </w:pPr>
          </w:p>
        </w:tc>
      </w:tr>
      <w:tr w14:paraId="4B1C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A20A820">
            <w:pPr>
              <w:jc w:val="center"/>
              <w:rPr>
                <w:rFonts w:hint="default"/>
                <w:highlight w:val="none"/>
                <w:vertAlign w:val="baseline"/>
                <w:lang w:val="en-US" w:eastAsia="zh-CN"/>
              </w:rPr>
            </w:pPr>
            <w:r>
              <w:rPr>
                <w:rFonts w:hint="eastAsia"/>
                <w:highlight w:val="none"/>
                <w:vertAlign w:val="baseline"/>
                <w:lang w:val="en-US" w:eastAsia="zh-CN"/>
              </w:rPr>
              <w:t>107</w:t>
            </w:r>
          </w:p>
        </w:tc>
        <w:tc>
          <w:tcPr>
            <w:tcW w:w="1690" w:type="dxa"/>
            <w:noWrap w:val="0"/>
            <w:vAlign w:val="center"/>
          </w:tcPr>
          <w:p w14:paraId="64D610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3FF1C28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1000 mL,茶色玻璃制</w:t>
            </w:r>
          </w:p>
        </w:tc>
        <w:tc>
          <w:tcPr>
            <w:tcW w:w="736" w:type="dxa"/>
            <w:noWrap w:val="0"/>
            <w:vAlign w:val="bottom"/>
          </w:tcPr>
          <w:p w14:paraId="565335E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09864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AFCD7E0">
            <w:pPr>
              <w:jc w:val="center"/>
              <w:rPr>
                <w:highlight w:val="none"/>
              </w:rPr>
            </w:pPr>
          </w:p>
        </w:tc>
        <w:tc>
          <w:tcPr>
            <w:tcW w:w="710" w:type="dxa"/>
            <w:gridSpan w:val="2"/>
            <w:noWrap w:val="0"/>
            <w:vAlign w:val="center"/>
          </w:tcPr>
          <w:p w14:paraId="074511FA">
            <w:pPr>
              <w:jc w:val="both"/>
              <w:rPr>
                <w:highlight w:val="none"/>
                <w:vertAlign w:val="baseline"/>
              </w:rPr>
            </w:pPr>
          </w:p>
        </w:tc>
      </w:tr>
      <w:tr w14:paraId="519F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5379401">
            <w:pPr>
              <w:jc w:val="center"/>
              <w:rPr>
                <w:rFonts w:hint="default"/>
                <w:highlight w:val="none"/>
                <w:vertAlign w:val="baseline"/>
                <w:lang w:val="en-US" w:eastAsia="zh-CN"/>
              </w:rPr>
            </w:pPr>
            <w:r>
              <w:rPr>
                <w:rFonts w:hint="eastAsia"/>
                <w:highlight w:val="none"/>
                <w:vertAlign w:val="baseline"/>
                <w:lang w:val="en-US" w:eastAsia="zh-CN"/>
              </w:rPr>
              <w:t>108</w:t>
            </w:r>
          </w:p>
        </w:tc>
        <w:tc>
          <w:tcPr>
            <w:tcW w:w="1690" w:type="dxa"/>
            <w:noWrap w:val="0"/>
            <w:vAlign w:val="center"/>
          </w:tcPr>
          <w:p w14:paraId="0509BAD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7D8FC92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 mL,玻璃制</w:t>
            </w:r>
          </w:p>
        </w:tc>
        <w:tc>
          <w:tcPr>
            <w:tcW w:w="736" w:type="dxa"/>
            <w:noWrap w:val="0"/>
            <w:vAlign w:val="bottom"/>
          </w:tcPr>
          <w:p w14:paraId="05F61C4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78F12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18BB11F4">
            <w:pPr>
              <w:jc w:val="center"/>
              <w:rPr>
                <w:highlight w:val="none"/>
              </w:rPr>
            </w:pPr>
          </w:p>
        </w:tc>
        <w:tc>
          <w:tcPr>
            <w:tcW w:w="710" w:type="dxa"/>
            <w:gridSpan w:val="2"/>
            <w:noWrap w:val="0"/>
            <w:vAlign w:val="center"/>
          </w:tcPr>
          <w:p w14:paraId="069C62FE">
            <w:pPr>
              <w:jc w:val="both"/>
              <w:rPr>
                <w:highlight w:val="none"/>
                <w:vertAlign w:val="baseline"/>
              </w:rPr>
            </w:pPr>
          </w:p>
        </w:tc>
      </w:tr>
      <w:tr w14:paraId="0290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15206B">
            <w:pPr>
              <w:jc w:val="center"/>
              <w:rPr>
                <w:rFonts w:hint="default"/>
                <w:highlight w:val="none"/>
                <w:vertAlign w:val="baseline"/>
                <w:lang w:val="en-US" w:eastAsia="zh-CN"/>
              </w:rPr>
            </w:pPr>
            <w:r>
              <w:rPr>
                <w:rFonts w:hint="eastAsia"/>
                <w:highlight w:val="none"/>
                <w:vertAlign w:val="baseline"/>
                <w:lang w:val="en-US" w:eastAsia="zh-CN"/>
              </w:rPr>
              <w:t>109</w:t>
            </w:r>
          </w:p>
        </w:tc>
        <w:tc>
          <w:tcPr>
            <w:tcW w:w="1690" w:type="dxa"/>
            <w:noWrap w:val="0"/>
            <w:vAlign w:val="center"/>
          </w:tcPr>
          <w:p w14:paraId="058B2A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3F353F5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mL,玻璃制</w:t>
            </w:r>
          </w:p>
        </w:tc>
        <w:tc>
          <w:tcPr>
            <w:tcW w:w="736" w:type="dxa"/>
            <w:noWrap w:val="0"/>
            <w:vAlign w:val="bottom"/>
          </w:tcPr>
          <w:p w14:paraId="5BAD8CA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7CCA9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75</w:t>
            </w:r>
          </w:p>
        </w:tc>
        <w:tc>
          <w:tcPr>
            <w:tcW w:w="3396" w:type="dxa"/>
            <w:gridSpan w:val="2"/>
            <w:noWrap w:val="0"/>
            <w:vAlign w:val="center"/>
          </w:tcPr>
          <w:p w14:paraId="3BEF5A53">
            <w:pPr>
              <w:jc w:val="center"/>
              <w:rPr>
                <w:highlight w:val="none"/>
              </w:rPr>
            </w:pPr>
          </w:p>
        </w:tc>
        <w:tc>
          <w:tcPr>
            <w:tcW w:w="710" w:type="dxa"/>
            <w:gridSpan w:val="2"/>
            <w:noWrap w:val="0"/>
            <w:vAlign w:val="center"/>
          </w:tcPr>
          <w:p w14:paraId="773126C5">
            <w:pPr>
              <w:jc w:val="both"/>
              <w:rPr>
                <w:highlight w:val="none"/>
                <w:vertAlign w:val="baseline"/>
              </w:rPr>
            </w:pPr>
          </w:p>
        </w:tc>
      </w:tr>
      <w:tr w14:paraId="5318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F07F67">
            <w:pPr>
              <w:jc w:val="center"/>
              <w:rPr>
                <w:rFonts w:hint="default"/>
                <w:highlight w:val="none"/>
                <w:vertAlign w:val="baseline"/>
                <w:lang w:val="en-US" w:eastAsia="zh-CN"/>
              </w:rPr>
            </w:pPr>
            <w:r>
              <w:rPr>
                <w:rFonts w:hint="eastAsia"/>
                <w:highlight w:val="none"/>
                <w:vertAlign w:val="baseline"/>
                <w:lang w:val="en-US" w:eastAsia="zh-CN"/>
              </w:rPr>
              <w:t>110</w:t>
            </w:r>
          </w:p>
        </w:tc>
        <w:tc>
          <w:tcPr>
            <w:tcW w:w="1690" w:type="dxa"/>
            <w:noWrap w:val="0"/>
            <w:vAlign w:val="center"/>
          </w:tcPr>
          <w:p w14:paraId="4D0D56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7D8099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 mL,茶色玻璃制</w:t>
            </w:r>
          </w:p>
        </w:tc>
        <w:tc>
          <w:tcPr>
            <w:tcW w:w="736" w:type="dxa"/>
            <w:noWrap w:val="0"/>
            <w:vAlign w:val="bottom"/>
          </w:tcPr>
          <w:p w14:paraId="1CBB502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1C4CA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27ECAF8">
            <w:pPr>
              <w:jc w:val="center"/>
              <w:rPr>
                <w:highlight w:val="none"/>
              </w:rPr>
            </w:pPr>
          </w:p>
        </w:tc>
        <w:tc>
          <w:tcPr>
            <w:tcW w:w="710" w:type="dxa"/>
            <w:gridSpan w:val="2"/>
            <w:noWrap w:val="0"/>
            <w:vAlign w:val="center"/>
          </w:tcPr>
          <w:p w14:paraId="2AC01DA3">
            <w:pPr>
              <w:jc w:val="both"/>
              <w:rPr>
                <w:highlight w:val="none"/>
                <w:vertAlign w:val="baseline"/>
              </w:rPr>
            </w:pPr>
          </w:p>
        </w:tc>
      </w:tr>
      <w:tr w14:paraId="0708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6E0DF5">
            <w:pPr>
              <w:jc w:val="center"/>
              <w:rPr>
                <w:rFonts w:hint="default"/>
                <w:highlight w:val="none"/>
                <w:vertAlign w:val="baseline"/>
                <w:lang w:val="en-US" w:eastAsia="zh-CN"/>
              </w:rPr>
            </w:pPr>
            <w:r>
              <w:rPr>
                <w:rFonts w:hint="eastAsia"/>
                <w:highlight w:val="none"/>
                <w:vertAlign w:val="baseline"/>
                <w:lang w:val="en-US" w:eastAsia="zh-CN"/>
              </w:rPr>
              <w:t>111</w:t>
            </w:r>
          </w:p>
        </w:tc>
        <w:tc>
          <w:tcPr>
            <w:tcW w:w="1690" w:type="dxa"/>
            <w:noWrap w:val="0"/>
            <w:vAlign w:val="center"/>
          </w:tcPr>
          <w:p w14:paraId="5C5876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701CB1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mL,茶色玻璃制</w:t>
            </w:r>
          </w:p>
        </w:tc>
        <w:tc>
          <w:tcPr>
            <w:tcW w:w="736" w:type="dxa"/>
            <w:noWrap w:val="0"/>
            <w:vAlign w:val="bottom"/>
          </w:tcPr>
          <w:p w14:paraId="4A2C3D9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6701B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E41E6AC">
            <w:pPr>
              <w:jc w:val="center"/>
              <w:rPr>
                <w:highlight w:val="none"/>
              </w:rPr>
            </w:pPr>
          </w:p>
        </w:tc>
        <w:tc>
          <w:tcPr>
            <w:tcW w:w="710" w:type="dxa"/>
            <w:gridSpan w:val="2"/>
            <w:noWrap w:val="0"/>
            <w:vAlign w:val="center"/>
          </w:tcPr>
          <w:p w14:paraId="3F25B620">
            <w:pPr>
              <w:jc w:val="both"/>
              <w:rPr>
                <w:highlight w:val="none"/>
                <w:vertAlign w:val="baseline"/>
              </w:rPr>
            </w:pPr>
          </w:p>
        </w:tc>
      </w:tr>
      <w:tr w14:paraId="6D0C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4308EA">
            <w:pPr>
              <w:jc w:val="center"/>
              <w:rPr>
                <w:rFonts w:hint="default"/>
                <w:highlight w:val="none"/>
                <w:vertAlign w:val="baseline"/>
                <w:lang w:val="en-US" w:eastAsia="zh-CN"/>
              </w:rPr>
            </w:pPr>
            <w:r>
              <w:rPr>
                <w:rFonts w:hint="eastAsia"/>
                <w:highlight w:val="none"/>
                <w:vertAlign w:val="baseline"/>
                <w:lang w:val="en-US" w:eastAsia="zh-CN"/>
              </w:rPr>
              <w:t>112</w:t>
            </w:r>
          </w:p>
        </w:tc>
        <w:tc>
          <w:tcPr>
            <w:tcW w:w="1690" w:type="dxa"/>
            <w:noWrap w:val="0"/>
            <w:vAlign w:val="center"/>
          </w:tcPr>
          <w:p w14:paraId="7CD1D0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酒精灯</w:t>
            </w:r>
          </w:p>
        </w:tc>
        <w:tc>
          <w:tcPr>
            <w:tcW w:w="5928" w:type="dxa"/>
            <w:noWrap w:val="0"/>
            <w:vAlign w:val="center"/>
          </w:tcPr>
          <w:p w14:paraId="2FB06EE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 mL,玻璃制,配灯芯</w:t>
            </w:r>
          </w:p>
        </w:tc>
        <w:tc>
          <w:tcPr>
            <w:tcW w:w="736" w:type="dxa"/>
            <w:noWrap w:val="0"/>
            <w:vAlign w:val="bottom"/>
          </w:tcPr>
          <w:p w14:paraId="539E370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7FE15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4E777F0">
            <w:pPr>
              <w:jc w:val="center"/>
              <w:rPr>
                <w:highlight w:val="none"/>
              </w:rPr>
            </w:pPr>
          </w:p>
        </w:tc>
        <w:tc>
          <w:tcPr>
            <w:tcW w:w="710" w:type="dxa"/>
            <w:gridSpan w:val="2"/>
            <w:noWrap w:val="0"/>
            <w:vAlign w:val="center"/>
          </w:tcPr>
          <w:p w14:paraId="2498743C">
            <w:pPr>
              <w:jc w:val="both"/>
              <w:rPr>
                <w:highlight w:val="none"/>
                <w:vertAlign w:val="baseline"/>
              </w:rPr>
            </w:pPr>
          </w:p>
        </w:tc>
      </w:tr>
      <w:tr w14:paraId="5C6A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B4B7FA">
            <w:pPr>
              <w:jc w:val="center"/>
              <w:rPr>
                <w:rFonts w:hint="default"/>
                <w:highlight w:val="none"/>
                <w:vertAlign w:val="baseline"/>
                <w:lang w:val="en-US" w:eastAsia="zh-CN"/>
              </w:rPr>
            </w:pPr>
            <w:r>
              <w:rPr>
                <w:rFonts w:hint="eastAsia"/>
                <w:highlight w:val="none"/>
                <w:vertAlign w:val="baseline"/>
                <w:lang w:val="en-US" w:eastAsia="zh-CN"/>
              </w:rPr>
              <w:t>113</w:t>
            </w:r>
          </w:p>
        </w:tc>
        <w:tc>
          <w:tcPr>
            <w:tcW w:w="1690" w:type="dxa"/>
            <w:noWrap w:val="0"/>
            <w:vAlign w:val="center"/>
          </w:tcPr>
          <w:p w14:paraId="75074D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干燥器</w:t>
            </w:r>
          </w:p>
        </w:tc>
        <w:tc>
          <w:tcPr>
            <w:tcW w:w="5928" w:type="dxa"/>
            <w:noWrap w:val="0"/>
            <w:vAlign w:val="center"/>
          </w:tcPr>
          <w:p w14:paraId="4F491D7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 mm,不少于 5 个圆孔</w:t>
            </w:r>
          </w:p>
        </w:tc>
        <w:tc>
          <w:tcPr>
            <w:tcW w:w="736" w:type="dxa"/>
            <w:noWrap w:val="0"/>
            <w:vAlign w:val="bottom"/>
          </w:tcPr>
          <w:p w14:paraId="53B63FB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84929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64EEB4F">
            <w:pPr>
              <w:jc w:val="center"/>
              <w:rPr>
                <w:highlight w:val="none"/>
              </w:rPr>
            </w:pPr>
          </w:p>
        </w:tc>
        <w:tc>
          <w:tcPr>
            <w:tcW w:w="710" w:type="dxa"/>
            <w:gridSpan w:val="2"/>
            <w:noWrap w:val="0"/>
            <w:vAlign w:val="center"/>
          </w:tcPr>
          <w:p w14:paraId="16A2D63D">
            <w:pPr>
              <w:jc w:val="both"/>
              <w:rPr>
                <w:highlight w:val="none"/>
                <w:vertAlign w:val="baseline"/>
              </w:rPr>
            </w:pPr>
          </w:p>
        </w:tc>
      </w:tr>
      <w:tr w14:paraId="5A5D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F99D23">
            <w:pPr>
              <w:jc w:val="center"/>
              <w:rPr>
                <w:rFonts w:hint="default"/>
                <w:highlight w:val="none"/>
                <w:vertAlign w:val="baseline"/>
                <w:lang w:val="en-US" w:eastAsia="zh-CN"/>
              </w:rPr>
            </w:pPr>
            <w:r>
              <w:rPr>
                <w:rFonts w:hint="eastAsia"/>
                <w:highlight w:val="none"/>
                <w:vertAlign w:val="baseline"/>
                <w:lang w:val="en-US" w:eastAsia="zh-CN"/>
              </w:rPr>
              <w:t>114</w:t>
            </w:r>
          </w:p>
        </w:tc>
        <w:tc>
          <w:tcPr>
            <w:tcW w:w="1690" w:type="dxa"/>
            <w:noWrap w:val="0"/>
            <w:vAlign w:val="center"/>
          </w:tcPr>
          <w:p w14:paraId="1177FD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气体发生器</w:t>
            </w:r>
          </w:p>
        </w:tc>
        <w:tc>
          <w:tcPr>
            <w:tcW w:w="5928" w:type="dxa"/>
            <w:noWrap w:val="0"/>
            <w:vAlign w:val="center"/>
          </w:tcPr>
          <w:p w14:paraId="6B5C5E2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250ml</w:t>
            </w:r>
          </w:p>
        </w:tc>
        <w:tc>
          <w:tcPr>
            <w:tcW w:w="736" w:type="dxa"/>
            <w:noWrap w:val="0"/>
            <w:vAlign w:val="bottom"/>
          </w:tcPr>
          <w:p w14:paraId="6846C854">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8857C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D50BCCC">
            <w:pPr>
              <w:jc w:val="center"/>
              <w:rPr>
                <w:highlight w:val="none"/>
              </w:rPr>
            </w:pPr>
          </w:p>
        </w:tc>
        <w:tc>
          <w:tcPr>
            <w:tcW w:w="710" w:type="dxa"/>
            <w:gridSpan w:val="2"/>
            <w:noWrap w:val="0"/>
            <w:vAlign w:val="center"/>
          </w:tcPr>
          <w:p w14:paraId="3F95BA15">
            <w:pPr>
              <w:jc w:val="both"/>
              <w:rPr>
                <w:highlight w:val="none"/>
                <w:vertAlign w:val="baseline"/>
              </w:rPr>
            </w:pPr>
          </w:p>
        </w:tc>
      </w:tr>
      <w:tr w14:paraId="1FE4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8AAB9A">
            <w:pPr>
              <w:jc w:val="center"/>
              <w:rPr>
                <w:rFonts w:hint="default"/>
                <w:highlight w:val="none"/>
                <w:vertAlign w:val="baseline"/>
                <w:lang w:val="en-US" w:eastAsia="zh-CN"/>
              </w:rPr>
            </w:pPr>
            <w:r>
              <w:rPr>
                <w:rFonts w:hint="eastAsia"/>
                <w:highlight w:val="none"/>
                <w:vertAlign w:val="baseline"/>
                <w:lang w:val="en-US" w:eastAsia="zh-CN"/>
              </w:rPr>
              <w:t>115</w:t>
            </w:r>
          </w:p>
        </w:tc>
        <w:tc>
          <w:tcPr>
            <w:tcW w:w="1690" w:type="dxa"/>
            <w:noWrap w:val="0"/>
            <w:vAlign w:val="center"/>
          </w:tcPr>
          <w:p w14:paraId="70A418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冷凝器</w:t>
            </w:r>
          </w:p>
        </w:tc>
        <w:tc>
          <w:tcPr>
            <w:tcW w:w="5928" w:type="dxa"/>
            <w:noWrap w:val="0"/>
            <w:vAlign w:val="center"/>
          </w:tcPr>
          <w:p w14:paraId="39B2F15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300 mm ± 10 mm 直形</w:t>
            </w:r>
          </w:p>
        </w:tc>
        <w:tc>
          <w:tcPr>
            <w:tcW w:w="736" w:type="dxa"/>
            <w:noWrap w:val="0"/>
            <w:vAlign w:val="bottom"/>
          </w:tcPr>
          <w:p w14:paraId="02CDABE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3718C1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947C8A1">
            <w:pPr>
              <w:jc w:val="center"/>
              <w:rPr>
                <w:highlight w:val="none"/>
              </w:rPr>
            </w:pPr>
          </w:p>
        </w:tc>
        <w:tc>
          <w:tcPr>
            <w:tcW w:w="710" w:type="dxa"/>
            <w:gridSpan w:val="2"/>
            <w:noWrap w:val="0"/>
            <w:vAlign w:val="center"/>
          </w:tcPr>
          <w:p w14:paraId="217B7873">
            <w:pPr>
              <w:jc w:val="both"/>
              <w:rPr>
                <w:highlight w:val="none"/>
                <w:vertAlign w:val="baseline"/>
              </w:rPr>
            </w:pPr>
          </w:p>
        </w:tc>
      </w:tr>
      <w:tr w14:paraId="0D22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B216FC">
            <w:pPr>
              <w:jc w:val="center"/>
              <w:rPr>
                <w:rFonts w:hint="default"/>
                <w:highlight w:val="none"/>
                <w:vertAlign w:val="baseline"/>
                <w:lang w:val="en-US" w:eastAsia="zh-CN"/>
              </w:rPr>
            </w:pPr>
            <w:r>
              <w:rPr>
                <w:rFonts w:hint="eastAsia"/>
                <w:highlight w:val="none"/>
                <w:vertAlign w:val="baseline"/>
                <w:lang w:val="en-US" w:eastAsia="zh-CN"/>
              </w:rPr>
              <w:t>116</w:t>
            </w:r>
          </w:p>
        </w:tc>
        <w:tc>
          <w:tcPr>
            <w:tcW w:w="1690" w:type="dxa"/>
            <w:noWrap w:val="0"/>
            <w:vAlign w:val="center"/>
          </w:tcPr>
          <w:p w14:paraId="2A876F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牛角管</w:t>
            </w:r>
          </w:p>
        </w:tc>
        <w:tc>
          <w:tcPr>
            <w:tcW w:w="5928" w:type="dxa"/>
            <w:noWrap w:val="0"/>
            <w:vAlign w:val="center"/>
          </w:tcPr>
          <w:p w14:paraId="74F1864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18 mm × 150 mm 弯形</w:t>
            </w:r>
          </w:p>
        </w:tc>
        <w:tc>
          <w:tcPr>
            <w:tcW w:w="736" w:type="dxa"/>
            <w:noWrap w:val="0"/>
            <w:vAlign w:val="bottom"/>
          </w:tcPr>
          <w:p w14:paraId="18EDD84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19A8A5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FA65865">
            <w:pPr>
              <w:jc w:val="center"/>
              <w:rPr>
                <w:highlight w:val="none"/>
              </w:rPr>
            </w:pPr>
          </w:p>
        </w:tc>
        <w:tc>
          <w:tcPr>
            <w:tcW w:w="710" w:type="dxa"/>
            <w:gridSpan w:val="2"/>
            <w:noWrap w:val="0"/>
            <w:vAlign w:val="center"/>
          </w:tcPr>
          <w:p w14:paraId="1F8F22B2">
            <w:pPr>
              <w:jc w:val="both"/>
              <w:rPr>
                <w:highlight w:val="none"/>
                <w:vertAlign w:val="baseline"/>
              </w:rPr>
            </w:pPr>
          </w:p>
        </w:tc>
      </w:tr>
      <w:tr w14:paraId="0C8C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E0C04B">
            <w:pPr>
              <w:jc w:val="center"/>
              <w:rPr>
                <w:rFonts w:hint="default"/>
                <w:highlight w:val="none"/>
                <w:vertAlign w:val="baseline"/>
                <w:lang w:val="en-US" w:eastAsia="zh-CN"/>
              </w:rPr>
            </w:pPr>
            <w:r>
              <w:rPr>
                <w:rFonts w:hint="eastAsia"/>
                <w:highlight w:val="none"/>
                <w:vertAlign w:val="baseline"/>
                <w:lang w:val="en-US" w:eastAsia="zh-CN"/>
              </w:rPr>
              <w:t>117</w:t>
            </w:r>
          </w:p>
        </w:tc>
        <w:tc>
          <w:tcPr>
            <w:tcW w:w="1690" w:type="dxa"/>
            <w:noWrap w:val="0"/>
            <w:vAlign w:val="center"/>
          </w:tcPr>
          <w:p w14:paraId="151C5E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漏斗</w:t>
            </w:r>
          </w:p>
        </w:tc>
        <w:tc>
          <w:tcPr>
            <w:tcW w:w="5928" w:type="dxa"/>
            <w:noWrap w:val="0"/>
            <w:vAlign w:val="center"/>
          </w:tcPr>
          <w:p w14:paraId="633F626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mm,玻璃制</w:t>
            </w:r>
          </w:p>
        </w:tc>
        <w:tc>
          <w:tcPr>
            <w:tcW w:w="736" w:type="dxa"/>
            <w:noWrap w:val="0"/>
            <w:vAlign w:val="bottom"/>
          </w:tcPr>
          <w:p w14:paraId="3E1107D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2A76E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55E3D50">
            <w:pPr>
              <w:jc w:val="center"/>
              <w:rPr>
                <w:highlight w:val="none"/>
              </w:rPr>
            </w:pPr>
          </w:p>
        </w:tc>
        <w:tc>
          <w:tcPr>
            <w:tcW w:w="710" w:type="dxa"/>
            <w:gridSpan w:val="2"/>
            <w:noWrap w:val="0"/>
            <w:vAlign w:val="center"/>
          </w:tcPr>
          <w:p w14:paraId="181A8EF5">
            <w:pPr>
              <w:jc w:val="both"/>
              <w:rPr>
                <w:highlight w:val="none"/>
                <w:vertAlign w:val="baseline"/>
              </w:rPr>
            </w:pPr>
          </w:p>
        </w:tc>
      </w:tr>
      <w:tr w14:paraId="67B9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0B0EDD8">
            <w:pPr>
              <w:jc w:val="center"/>
              <w:rPr>
                <w:rFonts w:hint="default"/>
                <w:highlight w:val="none"/>
                <w:vertAlign w:val="baseline"/>
                <w:lang w:val="en-US" w:eastAsia="zh-CN"/>
              </w:rPr>
            </w:pPr>
            <w:r>
              <w:rPr>
                <w:rFonts w:hint="eastAsia"/>
                <w:highlight w:val="none"/>
                <w:vertAlign w:val="baseline"/>
                <w:lang w:val="en-US" w:eastAsia="zh-CN"/>
              </w:rPr>
              <w:t>118</w:t>
            </w:r>
          </w:p>
        </w:tc>
        <w:tc>
          <w:tcPr>
            <w:tcW w:w="1690" w:type="dxa"/>
            <w:noWrap w:val="0"/>
            <w:vAlign w:val="center"/>
          </w:tcPr>
          <w:p w14:paraId="40541B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漏斗</w:t>
            </w:r>
          </w:p>
        </w:tc>
        <w:tc>
          <w:tcPr>
            <w:tcW w:w="5928" w:type="dxa"/>
            <w:noWrap w:val="0"/>
            <w:vAlign w:val="center"/>
          </w:tcPr>
          <w:p w14:paraId="49B5EA4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90 mm,玻璃制</w:t>
            </w:r>
          </w:p>
        </w:tc>
        <w:tc>
          <w:tcPr>
            <w:tcW w:w="736" w:type="dxa"/>
            <w:noWrap w:val="0"/>
            <w:vAlign w:val="bottom"/>
          </w:tcPr>
          <w:p w14:paraId="06B77A1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549A3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04D07492">
            <w:pPr>
              <w:jc w:val="center"/>
              <w:rPr>
                <w:highlight w:val="none"/>
              </w:rPr>
            </w:pPr>
          </w:p>
        </w:tc>
        <w:tc>
          <w:tcPr>
            <w:tcW w:w="710" w:type="dxa"/>
            <w:gridSpan w:val="2"/>
            <w:noWrap w:val="0"/>
            <w:vAlign w:val="center"/>
          </w:tcPr>
          <w:p w14:paraId="2CC06FFB">
            <w:pPr>
              <w:jc w:val="both"/>
              <w:rPr>
                <w:highlight w:val="none"/>
                <w:vertAlign w:val="baseline"/>
              </w:rPr>
            </w:pPr>
          </w:p>
        </w:tc>
      </w:tr>
      <w:tr w14:paraId="6ED9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A7D4D4">
            <w:pPr>
              <w:jc w:val="center"/>
              <w:rPr>
                <w:rFonts w:hint="default"/>
                <w:highlight w:val="none"/>
                <w:vertAlign w:val="baseline"/>
                <w:lang w:val="en-US" w:eastAsia="zh-CN"/>
              </w:rPr>
            </w:pPr>
            <w:r>
              <w:rPr>
                <w:rFonts w:hint="eastAsia"/>
                <w:highlight w:val="none"/>
                <w:vertAlign w:val="baseline"/>
                <w:lang w:val="en-US" w:eastAsia="zh-CN"/>
              </w:rPr>
              <w:t>119</w:t>
            </w:r>
          </w:p>
        </w:tc>
        <w:tc>
          <w:tcPr>
            <w:tcW w:w="1690" w:type="dxa"/>
            <w:noWrap w:val="0"/>
            <w:vAlign w:val="center"/>
          </w:tcPr>
          <w:p w14:paraId="548DD4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安全漏斗</w:t>
            </w:r>
          </w:p>
        </w:tc>
        <w:tc>
          <w:tcPr>
            <w:tcW w:w="5928" w:type="dxa"/>
            <w:noWrap w:val="0"/>
            <w:vAlign w:val="center"/>
          </w:tcPr>
          <w:p w14:paraId="0535E8E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直形，径长 300 mm 上口直径 40 mm±3 mm，玻璃制</w:t>
            </w:r>
          </w:p>
        </w:tc>
        <w:tc>
          <w:tcPr>
            <w:tcW w:w="736" w:type="dxa"/>
            <w:noWrap w:val="0"/>
            <w:vAlign w:val="bottom"/>
          </w:tcPr>
          <w:p w14:paraId="744AC72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015AA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5085B6B">
            <w:pPr>
              <w:jc w:val="center"/>
              <w:rPr>
                <w:highlight w:val="none"/>
              </w:rPr>
            </w:pPr>
          </w:p>
        </w:tc>
        <w:tc>
          <w:tcPr>
            <w:tcW w:w="710" w:type="dxa"/>
            <w:gridSpan w:val="2"/>
            <w:noWrap w:val="0"/>
            <w:vAlign w:val="center"/>
          </w:tcPr>
          <w:p w14:paraId="2FFA8DFE">
            <w:pPr>
              <w:jc w:val="both"/>
              <w:rPr>
                <w:highlight w:val="none"/>
                <w:vertAlign w:val="baseline"/>
              </w:rPr>
            </w:pPr>
          </w:p>
        </w:tc>
      </w:tr>
      <w:tr w14:paraId="0700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F40DC8">
            <w:pPr>
              <w:jc w:val="center"/>
              <w:rPr>
                <w:rFonts w:hint="default"/>
                <w:highlight w:val="none"/>
                <w:vertAlign w:val="baseline"/>
                <w:lang w:val="en-US" w:eastAsia="zh-CN"/>
              </w:rPr>
            </w:pPr>
            <w:r>
              <w:rPr>
                <w:rFonts w:hint="eastAsia"/>
                <w:highlight w:val="none"/>
                <w:vertAlign w:val="baseline"/>
                <w:lang w:val="en-US" w:eastAsia="zh-CN"/>
              </w:rPr>
              <w:t>120</w:t>
            </w:r>
          </w:p>
        </w:tc>
        <w:tc>
          <w:tcPr>
            <w:tcW w:w="1690" w:type="dxa"/>
            <w:noWrap w:val="0"/>
            <w:vAlign w:val="center"/>
          </w:tcPr>
          <w:p w14:paraId="2EE0A4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安全漏斗</w:t>
            </w:r>
          </w:p>
        </w:tc>
        <w:tc>
          <w:tcPr>
            <w:tcW w:w="5928" w:type="dxa"/>
            <w:noWrap w:val="0"/>
            <w:vAlign w:val="center"/>
          </w:tcPr>
          <w:p w14:paraId="4D38576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双球</w:t>
            </w:r>
          </w:p>
        </w:tc>
        <w:tc>
          <w:tcPr>
            <w:tcW w:w="736" w:type="dxa"/>
            <w:noWrap w:val="0"/>
            <w:vAlign w:val="bottom"/>
          </w:tcPr>
          <w:p w14:paraId="64F1255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E7772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DFF0B15">
            <w:pPr>
              <w:jc w:val="center"/>
              <w:rPr>
                <w:highlight w:val="none"/>
              </w:rPr>
            </w:pPr>
          </w:p>
        </w:tc>
        <w:tc>
          <w:tcPr>
            <w:tcW w:w="710" w:type="dxa"/>
            <w:gridSpan w:val="2"/>
            <w:noWrap w:val="0"/>
            <w:vAlign w:val="center"/>
          </w:tcPr>
          <w:p w14:paraId="64C5F3D2">
            <w:pPr>
              <w:jc w:val="both"/>
              <w:rPr>
                <w:highlight w:val="none"/>
                <w:vertAlign w:val="baseline"/>
              </w:rPr>
            </w:pPr>
          </w:p>
        </w:tc>
      </w:tr>
      <w:tr w14:paraId="5F69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C64D3C">
            <w:pPr>
              <w:jc w:val="center"/>
              <w:rPr>
                <w:rFonts w:hint="default"/>
                <w:highlight w:val="none"/>
                <w:vertAlign w:val="baseline"/>
                <w:lang w:val="en-US" w:eastAsia="zh-CN"/>
              </w:rPr>
            </w:pPr>
            <w:r>
              <w:rPr>
                <w:rFonts w:hint="eastAsia"/>
                <w:highlight w:val="none"/>
                <w:vertAlign w:val="baseline"/>
                <w:lang w:val="en-US" w:eastAsia="zh-CN"/>
              </w:rPr>
              <w:t>121</w:t>
            </w:r>
          </w:p>
        </w:tc>
        <w:tc>
          <w:tcPr>
            <w:tcW w:w="1690" w:type="dxa"/>
            <w:noWrap w:val="0"/>
            <w:vAlign w:val="center"/>
          </w:tcPr>
          <w:p w14:paraId="13D9D7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分液漏斗</w:t>
            </w:r>
          </w:p>
        </w:tc>
        <w:tc>
          <w:tcPr>
            <w:tcW w:w="5928" w:type="dxa"/>
            <w:noWrap w:val="0"/>
            <w:vAlign w:val="center"/>
          </w:tcPr>
          <w:p w14:paraId="1917467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 mL ， 锥型</w:t>
            </w:r>
          </w:p>
        </w:tc>
        <w:tc>
          <w:tcPr>
            <w:tcW w:w="736" w:type="dxa"/>
            <w:noWrap w:val="0"/>
            <w:vAlign w:val="bottom"/>
          </w:tcPr>
          <w:p w14:paraId="7211C74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8799D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04C8643">
            <w:pPr>
              <w:jc w:val="center"/>
              <w:rPr>
                <w:highlight w:val="none"/>
              </w:rPr>
            </w:pPr>
          </w:p>
        </w:tc>
        <w:tc>
          <w:tcPr>
            <w:tcW w:w="710" w:type="dxa"/>
            <w:gridSpan w:val="2"/>
            <w:noWrap w:val="0"/>
            <w:vAlign w:val="center"/>
          </w:tcPr>
          <w:p w14:paraId="7BEDAC28">
            <w:pPr>
              <w:jc w:val="both"/>
              <w:rPr>
                <w:highlight w:val="none"/>
                <w:vertAlign w:val="baseline"/>
              </w:rPr>
            </w:pPr>
          </w:p>
        </w:tc>
      </w:tr>
      <w:tr w14:paraId="314A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88829FB">
            <w:pPr>
              <w:jc w:val="center"/>
              <w:rPr>
                <w:rFonts w:hint="default"/>
                <w:highlight w:val="none"/>
                <w:vertAlign w:val="baseline"/>
                <w:lang w:val="en-US" w:eastAsia="zh-CN"/>
              </w:rPr>
            </w:pPr>
            <w:r>
              <w:rPr>
                <w:rFonts w:hint="eastAsia"/>
                <w:highlight w:val="none"/>
                <w:vertAlign w:val="baseline"/>
                <w:lang w:val="en-US" w:eastAsia="zh-CN"/>
              </w:rPr>
              <w:t>122</w:t>
            </w:r>
          </w:p>
        </w:tc>
        <w:tc>
          <w:tcPr>
            <w:tcW w:w="1690" w:type="dxa"/>
            <w:noWrap w:val="0"/>
            <w:vAlign w:val="center"/>
          </w:tcPr>
          <w:p w14:paraId="42341E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分液漏斗</w:t>
            </w:r>
          </w:p>
        </w:tc>
        <w:tc>
          <w:tcPr>
            <w:tcW w:w="5928" w:type="dxa"/>
            <w:noWrap w:val="0"/>
            <w:vAlign w:val="center"/>
          </w:tcPr>
          <w:p w14:paraId="43E388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 mL ， 球型</w:t>
            </w:r>
          </w:p>
        </w:tc>
        <w:tc>
          <w:tcPr>
            <w:tcW w:w="736" w:type="dxa"/>
            <w:noWrap w:val="0"/>
            <w:vAlign w:val="bottom"/>
          </w:tcPr>
          <w:p w14:paraId="5B0BCDF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25067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23D63E2">
            <w:pPr>
              <w:jc w:val="center"/>
              <w:rPr>
                <w:highlight w:val="none"/>
              </w:rPr>
            </w:pPr>
          </w:p>
        </w:tc>
        <w:tc>
          <w:tcPr>
            <w:tcW w:w="710" w:type="dxa"/>
            <w:gridSpan w:val="2"/>
            <w:noWrap w:val="0"/>
            <w:vAlign w:val="center"/>
          </w:tcPr>
          <w:p w14:paraId="13E7B67C">
            <w:pPr>
              <w:jc w:val="both"/>
              <w:rPr>
                <w:highlight w:val="none"/>
                <w:vertAlign w:val="baseline"/>
              </w:rPr>
            </w:pPr>
          </w:p>
        </w:tc>
      </w:tr>
      <w:tr w14:paraId="0DE9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07AA9A">
            <w:pPr>
              <w:jc w:val="center"/>
              <w:rPr>
                <w:rFonts w:hint="default"/>
                <w:highlight w:val="none"/>
                <w:vertAlign w:val="baseline"/>
                <w:lang w:val="en-US" w:eastAsia="zh-CN"/>
              </w:rPr>
            </w:pPr>
            <w:r>
              <w:rPr>
                <w:rFonts w:hint="eastAsia"/>
                <w:highlight w:val="none"/>
                <w:vertAlign w:val="baseline"/>
                <w:lang w:val="en-US" w:eastAsia="zh-CN"/>
              </w:rPr>
              <w:t>123</w:t>
            </w:r>
          </w:p>
        </w:tc>
        <w:tc>
          <w:tcPr>
            <w:tcW w:w="1690" w:type="dxa"/>
            <w:noWrap w:val="0"/>
            <w:vAlign w:val="center"/>
          </w:tcPr>
          <w:p w14:paraId="4FFC62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三通连接管</w:t>
            </w:r>
          </w:p>
        </w:tc>
        <w:tc>
          <w:tcPr>
            <w:tcW w:w="5928" w:type="dxa"/>
            <w:noWrap w:val="0"/>
            <w:vAlign w:val="center"/>
          </w:tcPr>
          <w:p w14:paraId="27FABD4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T 型玻璃</w:t>
            </w:r>
          </w:p>
        </w:tc>
        <w:tc>
          <w:tcPr>
            <w:tcW w:w="736" w:type="dxa"/>
            <w:noWrap w:val="0"/>
            <w:vAlign w:val="bottom"/>
          </w:tcPr>
          <w:p w14:paraId="1A9820F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384A0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6EC5BC8">
            <w:pPr>
              <w:jc w:val="center"/>
              <w:rPr>
                <w:highlight w:val="none"/>
              </w:rPr>
            </w:pPr>
          </w:p>
        </w:tc>
        <w:tc>
          <w:tcPr>
            <w:tcW w:w="710" w:type="dxa"/>
            <w:gridSpan w:val="2"/>
            <w:noWrap w:val="0"/>
            <w:vAlign w:val="center"/>
          </w:tcPr>
          <w:p w14:paraId="62A65E9C">
            <w:pPr>
              <w:jc w:val="both"/>
              <w:rPr>
                <w:highlight w:val="none"/>
                <w:vertAlign w:val="baseline"/>
              </w:rPr>
            </w:pPr>
          </w:p>
        </w:tc>
      </w:tr>
      <w:tr w14:paraId="1521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43C9E6">
            <w:pPr>
              <w:jc w:val="center"/>
              <w:rPr>
                <w:rFonts w:hint="default"/>
                <w:highlight w:val="none"/>
                <w:vertAlign w:val="baseline"/>
                <w:lang w:val="en-US" w:eastAsia="zh-CN"/>
              </w:rPr>
            </w:pPr>
            <w:r>
              <w:rPr>
                <w:rFonts w:hint="eastAsia"/>
                <w:highlight w:val="none"/>
                <w:vertAlign w:val="baseline"/>
                <w:lang w:val="en-US" w:eastAsia="zh-CN"/>
              </w:rPr>
              <w:t>124</w:t>
            </w:r>
          </w:p>
        </w:tc>
        <w:tc>
          <w:tcPr>
            <w:tcW w:w="1690" w:type="dxa"/>
            <w:noWrap w:val="0"/>
            <w:vAlign w:val="center"/>
          </w:tcPr>
          <w:p w14:paraId="067539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三通连接管</w:t>
            </w:r>
          </w:p>
        </w:tc>
        <w:tc>
          <w:tcPr>
            <w:tcW w:w="5928" w:type="dxa"/>
            <w:noWrap w:val="0"/>
            <w:vAlign w:val="center"/>
          </w:tcPr>
          <w:p w14:paraId="73BB0BF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Y 形</w:t>
            </w:r>
          </w:p>
        </w:tc>
        <w:tc>
          <w:tcPr>
            <w:tcW w:w="736" w:type="dxa"/>
            <w:noWrap w:val="0"/>
            <w:vAlign w:val="bottom"/>
          </w:tcPr>
          <w:p w14:paraId="3A6AA08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959C8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1005F0D">
            <w:pPr>
              <w:jc w:val="center"/>
              <w:rPr>
                <w:highlight w:val="none"/>
              </w:rPr>
            </w:pPr>
          </w:p>
        </w:tc>
        <w:tc>
          <w:tcPr>
            <w:tcW w:w="710" w:type="dxa"/>
            <w:gridSpan w:val="2"/>
            <w:noWrap w:val="0"/>
            <w:vAlign w:val="center"/>
          </w:tcPr>
          <w:p w14:paraId="3383FA4F">
            <w:pPr>
              <w:jc w:val="both"/>
              <w:rPr>
                <w:highlight w:val="none"/>
                <w:vertAlign w:val="baseline"/>
              </w:rPr>
            </w:pPr>
          </w:p>
        </w:tc>
      </w:tr>
      <w:tr w14:paraId="5BB8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9B6335">
            <w:pPr>
              <w:jc w:val="center"/>
              <w:rPr>
                <w:rFonts w:hint="default"/>
                <w:highlight w:val="none"/>
                <w:vertAlign w:val="baseline"/>
                <w:lang w:val="en-US" w:eastAsia="zh-CN"/>
              </w:rPr>
            </w:pPr>
            <w:r>
              <w:rPr>
                <w:rFonts w:hint="eastAsia"/>
                <w:highlight w:val="none"/>
                <w:vertAlign w:val="baseline"/>
                <w:lang w:val="en-US" w:eastAsia="zh-CN"/>
              </w:rPr>
              <w:t>125</w:t>
            </w:r>
          </w:p>
        </w:tc>
        <w:tc>
          <w:tcPr>
            <w:tcW w:w="1690" w:type="dxa"/>
            <w:noWrap w:val="0"/>
            <w:vAlign w:val="center"/>
          </w:tcPr>
          <w:p w14:paraId="66FBAB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滴管</w:t>
            </w:r>
          </w:p>
        </w:tc>
        <w:tc>
          <w:tcPr>
            <w:tcW w:w="5928" w:type="dxa"/>
            <w:noWrap w:val="0"/>
            <w:vAlign w:val="center"/>
          </w:tcPr>
          <w:p w14:paraId="031EC75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mm 直形,玻璃胶头</w:t>
            </w:r>
          </w:p>
        </w:tc>
        <w:tc>
          <w:tcPr>
            <w:tcW w:w="736" w:type="dxa"/>
            <w:noWrap w:val="0"/>
            <w:vAlign w:val="bottom"/>
          </w:tcPr>
          <w:p w14:paraId="1BCA27C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D55B9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4081D671">
            <w:pPr>
              <w:jc w:val="center"/>
              <w:rPr>
                <w:highlight w:val="none"/>
              </w:rPr>
            </w:pPr>
          </w:p>
        </w:tc>
        <w:tc>
          <w:tcPr>
            <w:tcW w:w="710" w:type="dxa"/>
            <w:gridSpan w:val="2"/>
            <w:noWrap w:val="0"/>
            <w:vAlign w:val="center"/>
          </w:tcPr>
          <w:p w14:paraId="2BA4E2AB">
            <w:pPr>
              <w:jc w:val="both"/>
              <w:rPr>
                <w:highlight w:val="none"/>
                <w:vertAlign w:val="baseline"/>
              </w:rPr>
            </w:pPr>
          </w:p>
        </w:tc>
      </w:tr>
      <w:tr w14:paraId="6097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90C285E">
            <w:pPr>
              <w:jc w:val="center"/>
              <w:rPr>
                <w:rFonts w:hint="default"/>
                <w:highlight w:val="none"/>
                <w:vertAlign w:val="baseline"/>
                <w:lang w:val="en-US" w:eastAsia="zh-CN"/>
              </w:rPr>
            </w:pPr>
            <w:r>
              <w:rPr>
                <w:rFonts w:hint="eastAsia"/>
                <w:highlight w:val="none"/>
                <w:vertAlign w:val="baseline"/>
                <w:lang w:val="en-US" w:eastAsia="zh-CN"/>
              </w:rPr>
              <w:t>126</w:t>
            </w:r>
          </w:p>
        </w:tc>
        <w:tc>
          <w:tcPr>
            <w:tcW w:w="1690" w:type="dxa"/>
            <w:noWrap w:val="0"/>
            <w:vAlign w:val="center"/>
          </w:tcPr>
          <w:p w14:paraId="53C742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滴管</w:t>
            </w:r>
          </w:p>
        </w:tc>
        <w:tc>
          <w:tcPr>
            <w:tcW w:w="5928" w:type="dxa"/>
            <w:noWrap w:val="0"/>
            <w:vAlign w:val="center"/>
          </w:tcPr>
          <w:p w14:paraId="0C331EE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 mm 直形 ,玻璃胶头</w:t>
            </w:r>
          </w:p>
        </w:tc>
        <w:tc>
          <w:tcPr>
            <w:tcW w:w="736" w:type="dxa"/>
            <w:noWrap w:val="0"/>
            <w:vAlign w:val="bottom"/>
          </w:tcPr>
          <w:p w14:paraId="290783D4">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CB2BA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17436080">
            <w:pPr>
              <w:jc w:val="center"/>
              <w:rPr>
                <w:highlight w:val="none"/>
              </w:rPr>
            </w:pPr>
          </w:p>
        </w:tc>
        <w:tc>
          <w:tcPr>
            <w:tcW w:w="710" w:type="dxa"/>
            <w:gridSpan w:val="2"/>
            <w:noWrap w:val="0"/>
            <w:vAlign w:val="center"/>
          </w:tcPr>
          <w:p w14:paraId="69989CEE">
            <w:pPr>
              <w:jc w:val="both"/>
              <w:rPr>
                <w:highlight w:val="none"/>
                <w:vertAlign w:val="baseline"/>
              </w:rPr>
            </w:pPr>
          </w:p>
        </w:tc>
      </w:tr>
      <w:tr w14:paraId="1B8A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5324A9">
            <w:pPr>
              <w:jc w:val="center"/>
              <w:rPr>
                <w:rFonts w:hint="default"/>
                <w:highlight w:val="none"/>
                <w:vertAlign w:val="baseline"/>
                <w:lang w:val="en-US" w:eastAsia="zh-CN"/>
              </w:rPr>
            </w:pPr>
            <w:r>
              <w:rPr>
                <w:rFonts w:hint="eastAsia"/>
                <w:highlight w:val="none"/>
                <w:vertAlign w:val="baseline"/>
                <w:lang w:val="en-US" w:eastAsia="zh-CN"/>
              </w:rPr>
              <w:t>127</w:t>
            </w:r>
          </w:p>
        </w:tc>
        <w:tc>
          <w:tcPr>
            <w:tcW w:w="1690" w:type="dxa"/>
            <w:noWrap w:val="0"/>
            <w:vAlign w:val="center"/>
          </w:tcPr>
          <w:p w14:paraId="2CAB7A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干燥管</w:t>
            </w:r>
          </w:p>
        </w:tc>
        <w:tc>
          <w:tcPr>
            <w:tcW w:w="5928" w:type="dxa"/>
            <w:noWrap w:val="0"/>
            <w:vAlign w:val="center"/>
          </w:tcPr>
          <w:p w14:paraId="49FDE4C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 mm， 单球 玻璃制</w:t>
            </w:r>
          </w:p>
        </w:tc>
        <w:tc>
          <w:tcPr>
            <w:tcW w:w="736" w:type="dxa"/>
            <w:noWrap w:val="0"/>
            <w:vAlign w:val="bottom"/>
          </w:tcPr>
          <w:p w14:paraId="7664180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1FC627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396" w:type="dxa"/>
            <w:gridSpan w:val="2"/>
            <w:noWrap w:val="0"/>
            <w:vAlign w:val="center"/>
          </w:tcPr>
          <w:p w14:paraId="3BFE416B">
            <w:pPr>
              <w:jc w:val="center"/>
              <w:rPr>
                <w:highlight w:val="none"/>
              </w:rPr>
            </w:pPr>
          </w:p>
        </w:tc>
        <w:tc>
          <w:tcPr>
            <w:tcW w:w="710" w:type="dxa"/>
            <w:gridSpan w:val="2"/>
            <w:noWrap w:val="0"/>
            <w:vAlign w:val="center"/>
          </w:tcPr>
          <w:p w14:paraId="027B3AC7">
            <w:pPr>
              <w:jc w:val="both"/>
              <w:rPr>
                <w:highlight w:val="none"/>
                <w:vertAlign w:val="baseline"/>
              </w:rPr>
            </w:pPr>
          </w:p>
        </w:tc>
      </w:tr>
      <w:tr w14:paraId="20CF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F5D7C7">
            <w:pPr>
              <w:jc w:val="center"/>
              <w:rPr>
                <w:rFonts w:hint="default"/>
                <w:highlight w:val="none"/>
                <w:vertAlign w:val="baseline"/>
                <w:lang w:val="en-US" w:eastAsia="zh-CN"/>
              </w:rPr>
            </w:pPr>
            <w:r>
              <w:rPr>
                <w:rFonts w:hint="eastAsia"/>
                <w:highlight w:val="none"/>
                <w:vertAlign w:val="baseline"/>
                <w:lang w:val="en-US" w:eastAsia="zh-CN"/>
              </w:rPr>
              <w:t>128</w:t>
            </w:r>
          </w:p>
        </w:tc>
        <w:tc>
          <w:tcPr>
            <w:tcW w:w="1690" w:type="dxa"/>
            <w:noWrap w:val="0"/>
            <w:vAlign w:val="center"/>
          </w:tcPr>
          <w:p w14:paraId="209602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干燥管</w:t>
            </w:r>
          </w:p>
        </w:tc>
        <w:tc>
          <w:tcPr>
            <w:tcW w:w="5928" w:type="dxa"/>
            <w:noWrap w:val="0"/>
            <w:vAlign w:val="center"/>
          </w:tcPr>
          <w:p w14:paraId="4475DF4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15 mm × 150 mm，U 型,玻璃制</w:t>
            </w:r>
          </w:p>
        </w:tc>
        <w:tc>
          <w:tcPr>
            <w:tcW w:w="736" w:type="dxa"/>
            <w:noWrap w:val="0"/>
            <w:vAlign w:val="bottom"/>
          </w:tcPr>
          <w:p w14:paraId="6262109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684F71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9B463A8">
            <w:pPr>
              <w:jc w:val="center"/>
              <w:rPr>
                <w:highlight w:val="none"/>
              </w:rPr>
            </w:pPr>
          </w:p>
        </w:tc>
        <w:tc>
          <w:tcPr>
            <w:tcW w:w="710" w:type="dxa"/>
            <w:gridSpan w:val="2"/>
            <w:noWrap w:val="0"/>
            <w:vAlign w:val="center"/>
          </w:tcPr>
          <w:p w14:paraId="5E4C7BA4">
            <w:pPr>
              <w:jc w:val="both"/>
              <w:rPr>
                <w:highlight w:val="none"/>
                <w:vertAlign w:val="baseline"/>
              </w:rPr>
            </w:pPr>
          </w:p>
        </w:tc>
      </w:tr>
      <w:tr w14:paraId="019B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C64A48E">
            <w:pPr>
              <w:jc w:val="center"/>
              <w:rPr>
                <w:rFonts w:hint="default"/>
                <w:highlight w:val="none"/>
                <w:vertAlign w:val="baseline"/>
                <w:lang w:val="en-US" w:eastAsia="zh-CN"/>
              </w:rPr>
            </w:pPr>
            <w:r>
              <w:rPr>
                <w:rFonts w:hint="eastAsia"/>
                <w:highlight w:val="none"/>
                <w:vertAlign w:val="baseline"/>
                <w:lang w:val="en-US" w:eastAsia="zh-CN"/>
              </w:rPr>
              <w:t>129</w:t>
            </w:r>
          </w:p>
        </w:tc>
        <w:tc>
          <w:tcPr>
            <w:tcW w:w="1690" w:type="dxa"/>
            <w:noWrap w:val="0"/>
            <w:vAlign w:val="center"/>
          </w:tcPr>
          <w:p w14:paraId="1ABA99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玻璃活塞</w:t>
            </w:r>
          </w:p>
        </w:tc>
        <w:tc>
          <w:tcPr>
            <w:tcW w:w="5928" w:type="dxa"/>
            <w:noWrap w:val="0"/>
            <w:vAlign w:val="center"/>
          </w:tcPr>
          <w:p w14:paraId="0B096A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直形</w:t>
            </w:r>
          </w:p>
        </w:tc>
        <w:tc>
          <w:tcPr>
            <w:tcW w:w="736" w:type="dxa"/>
            <w:noWrap w:val="0"/>
            <w:vAlign w:val="bottom"/>
          </w:tcPr>
          <w:p w14:paraId="1A1A3F4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54EFBB8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14FB59C">
            <w:pPr>
              <w:jc w:val="center"/>
              <w:rPr>
                <w:highlight w:val="none"/>
              </w:rPr>
            </w:pPr>
          </w:p>
        </w:tc>
        <w:tc>
          <w:tcPr>
            <w:tcW w:w="710" w:type="dxa"/>
            <w:gridSpan w:val="2"/>
            <w:noWrap w:val="0"/>
            <w:vAlign w:val="center"/>
          </w:tcPr>
          <w:p w14:paraId="63D97A3E">
            <w:pPr>
              <w:jc w:val="both"/>
              <w:rPr>
                <w:highlight w:val="none"/>
                <w:vertAlign w:val="baseline"/>
              </w:rPr>
            </w:pPr>
          </w:p>
        </w:tc>
      </w:tr>
      <w:tr w14:paraId="61CC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C228F7">
            <w:pPr>
              <w:jc w:val="center"/>
              <w:rPr>
                <w:rFonts w:hint="default"/>
                <w:highlight w:val="none"/>
                <w:vertAlign w:val="baseline"/>
                <w:lang w:val="en-US" w:eastAsia="zh-CN"/>
              </w:rPr>
            </w:pPr>
            <w:r>
              <w:rPr>
                <w:rFonts w:hint="eastAsia"/>
                <w:highlight w:val="none"/>
                <w:vertAlign w:val="baseline"/>
                <w:lang w:val="en-US" w:eastAsia="zh-CN"/>
              </w:rPr>
              <w:t>130</w:t>
            </w:r>
          </w:p>
        </w:tc>
        <w:tc>
          <w:tcPr>
            <w:tcW w:w="1690" w:type="dxa"/>
            <w:noWrap w:val="0"/>
            <w:vAlign w:val="center"/>
          </w:tcPr>
          <w:p w14:paraId="3671AE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圆水槽</w:t>
            </w:r>
          </w:p>
        </w:tc>
        <w:tc>
          <w:tcPr>
            <w:tcW w:w="5928" w:type="dxa"/>
            <w:noWrap w:val="0"/>
            <w:vAlign w:val="center"/>
          </w:tcPr>
          <w:p w14:paraId="361DD7B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Φ210 mm × 110 mm ,玻璃制</w:t>
            </w:r>
          </w:p>
        </w:tc>
        <w:tc>
          <w:tcPr>
            <w:tcW w:w="736" w:type="dxa"/>
            <w:noWrap w:val="0"/>
            <w:vAlign w:val="bottom"/>
          </w:tcPr>
          <w:p w14:paraId="1406DFB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9B852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E714655">
            <w:pPr>
              <w:jc w:val="center"/>
              <w:rPr>
                <w:highlight w:val="none"/>
              </w:rPr>
            </w:pPr>
          </w:p>
        </w:tc>
        <w:tc>
          <w:tcPr>
            <w:tcW w:w="710" w:type="dxa"/>
            <w:gridSpan w:val="2"/>
            <w:noWrap w:val="0"/>
            <w:vAlign w:val="center"/>
          </w:tcPr>
          <w:p w14:paraId="24595E3C">
            <w:pPr>
              <w:jc w:val="both"/>
              <w:rPr>
                <w:highlight w:val="none"/>
                <w:vertAlign w:val="baseline"/>
              </w:rPr>
            </w:pPr>
          </w:p>
        </w:tc>
      </w:tr>
      <w:tr w14:paraId="12AE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B6C34B">
            <w:pPr>
              <w:jc w:val="center"/>
              <w:rPr>
                <w:rFonts w:hint="default"/>
                <w:highlight w:val="none"/>
                <w:vertAlign w:val="baseline"/>
                <w:lang w:val="en-US" w:eastAsia="zh-CN"/>
              </w:rPr>
            </w:pPr>
            <w:r>
              <w:rPr>
                <w:rFonts w:hint="eastAsia"/>
                <w:highlight w:val="none"/>
                <w:vertAlign w:val="baseline"/>
                <w:lang w:val="en-US" w:eastAsia="zh-CN"/>
              </w:rPr>
              <w:t>131</w:t>
            </w:r>
          </w:p>
        </w:tc>
        <w:tc>
          <w:tcPr>
            <w:tcW w:w="1690" w:type="dxa"/>
            <w:noWrap w:val="0"/>
            <w:vAlign w:val="center"/>
          </w:tcPr>
          <w:p w14:paraId="11983A8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圆水槽</w:t>
            </w:r>
          </w:p>
        </w:tc>
        <w:tc>
          <w:tcPr>
            <w:tcW w:w="5928" w:type="dxa"/>
            <w:noWrap w:val="0"/>
            <w:vAlign w:val="center"/>
          </w:tcPr>
          <w:p w14:paraId="0011F82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Φ270 mm × 140 mm,玻璃制</w:t>
            </w:r>
          </w:p>
        </w:tc>
        <w:tc>
          <w:tcPr>
            <w:tcW w:w="736" w:type="dxa"/>
            <w:noWrap w:val="0"/>
            <w:vAlign w:val="bottom"/>
          </w:tcPr>
          <w:p w14:paraId="39EE3F3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33399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966F7D5">
            <w:pPr>
              <w:jc w:val="center"/>
              <w:rPr>
                <w:highlight w:val="none"/>
              </w:rPr>
            </w:pPr>
          </w:p>
        </w:tc>
        <w:tc>
          <w:tcPr>
            <w:tcW w:w="710" w:type="dxa"/>
            <w:gridSpan w:val="2"/>
            <w:noWrap w:val="0"/>
            <w:vAlign w:val="center"/>
          </w:tcPr>
          <w:p w14:paraId="7A66D763">
            <w:pPr>
              <w:jc w:val="both"/>
              <w:rPr>
                <w:highlight w:val="none"/>
                <w:vertAlign w:val="baseline"/>
              </w:rPr>
            </w:pPr>
          </w:p>
        </w:tc>
      </w:tr>
      <w:tr w14:paraId="7C44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AFB159">
            <w:pPr>
              <w:jc w:val="center"/>
              <w:rPr>
                <w:rFonts w:hint="default"/>
                <w:highlight w:val="none"/>
                <w:vertAlign w:val="baseline"/>
                <w:lang w:val="en-US" w:eastAsia="zh-CN"/>
              </w:rPr>
            </w:pPr>
            <w:r>
              <w:rPr>
                <w:rFonts w:hint="eastAsia"/>
                <w:highlight w:val="none"/>
                <w:vertAlign w:val="baseline"/>
                <w:lang w:val="en-US" w:eastAsia="zh-CN"/>
              </w:rPr>
              <w:t>132</w:t>
            </w:r>
          </w:p>
        </w:tc>
        <w:tc>
          <w:tcPr>
            <w:tcW w:w="1690" w:type="dxa"/>
            <w:noWrap w:val="0"/>
            <w:vAlign w:val="center"/>
          </w:tcPr>
          <w:p w14:paraId="046FAA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坩埚</w:t>
            </w:r>
          </w:p>
        </w:tc>
        <w:tc>
          <w:tcPr>
            <w:tcW w:w="5928" w:type="dxa"/>
            <w:noWrap w:val="0"/>
            <w:vAlign w:val="center"/>
          </w:tcPr>
          <w:p w14:paraId="7BA524C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瓷制，30 mL,配有坩埚盖</w:t>
            </w:r>
          </w:p>
        </w:tc>
        <w:tc>
          <w:tcPr>
            <w:tcW w:w="736" w:type="dxa"/>
            <w:noWrap w:val="0"/>
            <w:vAlign w:val="bottom"/>
          </w:tcPr>
          <w:p w14:paraId="7E14B7C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D7CD3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713C460D">
            <w:pPr>
              <w:jc w:val="center"/>
              <w:rPr>
                <w:highlight w:val="none"/>
              </w:rPr>
            </w:pPr>
          </w:p>
        </w:tc>
        <w:tc>
          <w:tcPr>
            <w:tcW w:w="710" w:type="dxa"/>
            <w:gridSpan w:val="2"/>
            <w:noWrap w:val="0"/>
            <w:vAlign w:val="center"/>
          </w:tcPr>
          <w:p w14:paraId="4518CD7D">
            <w:pPr>
              <w:jc w:val="both"/>
              <w:rPr>
                <w:highlight w:val="none"/>
                <w:vertAlign w:val="baseline"/>
              </w:rPr>
            </w:pPr>
          </w:p>
        </w:tc>
      </w:tr>
      <w:tr w14:paraId="1ADE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CF3B8C">
            <w:pPr>
              <w:jc w:val="center"/>
              <w:rPr>
                <w:rFonts w:hint="default"/>
                <w:highlight w:val="none"/>
                <w:vertAlign w:val="baseline"/>
                <w:lang w:val="en-US" w:eastAsia="zh-CN"/>
              </w:rPr>
            </w:pPr>
            <w:r>
              <w:rPr>
                <w:rFonts w:hint="eastAsia"/>
                <w:highlight w:val="none"/>
                <w:vertAlign w:val="baseline"/>
                <w:lang w:val="en-US" w:eastAsia="zh-CN"/>
              </w:rPr>
              <w:t>133</w:t>
            </w:r>
          </w:p>
        </w:tc>
        <w:tc>
          <w:tcPr>
            <w:tcW w:w="1690" w:type="dxa"/>
            <w:noWrap w:val="0"/>
            <w:vAlign w:val="center"/>
          </w:tcPr>
          <w:p w14:paraId="5D7FE3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坩埚钳</w:t>
            </w:r>
          </w:p>
        </w:tc>
        <w:tc>
          <w:tcPr>
            <w:tcW w:w="5928" w:type="dxa"/>
            <w:noWrap w:val="0"/>
            <w:vAlign w:val="center"/>
          </w:tcPr>
          <w:p w14:paraId="31034F7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200 mm，金属制</w:t>
            </w:r>
          </w:p>
        </w:tc>
        <w:tc>
          <w:tcPr>
            <w:tcW w:w="736" w:type="dxa"/>
            <w:noWrap w:val="0"/>
            <w:vAlign w:val="bottom"/>
          </w:tcPr>
          <w:p w14:paraId="2FD26ED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1C434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373AA16">
            <w:pPr>
              <w:jc w:val="center"/>
              <w:rPr>
                <w:highlight w:val="none"/>
              </w:rPr>
            </w:pPr>
          </w:p>
        </w:tc>
        <w:tc>
          <w:tcPr>
            <w:tcW w:w="710" w:type="dxa"/>
            <w:gridSpan w:val="2"/>
            <w:noWrap w:val="0"/>
            <w:vAlign w:val="center"/>
          </w:tcPr>
          <w:p w14:paraId="3109682C">
            <w:pPr>
              <w:jc w:val="both"/>
              <w:rPr>
                <w:highlight w:val="none"/>
                <w:vertAlign w:val="baseline"/>
              </w:rPr>
            </w:pPr>
          </w:p>
        </w:tc>
      </w:tr>
      <w:tr w14:paraId="0AE1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95" w:type="dxa"/>
            <w:noWrap w:val="0"/>
            <w:vAlign w:val="center"/>
          </w:tcPr>
          <w:p w14:paraId="0F1C05FB">
            <w:pPr>
              <w:jc w:val="center"/>
              <w:rPr>
                <w:rFonts w:hint="default"/>
                <w:highlight w:val="none"/>
                <w:vertAlign w:val="baseline"/>
                <w:lang w:val="en-US" w:eastAsia="zh-CN"/>
              </w:rPr>
            </w:pPr>
            <w:r>
              <w:rPr>
                <w:rFonts w:hint="eastAsia"/>
                <w:highlight w:val="none"/>
                <w:vertAlign w:val="baseline"/>
                <w:lang w:val="en-US" w:eastAsia="zh-CN"/>
              </w:rPr>
              <w:t>134</w:t>
            </w:r>
          </w:p>
        </w:tc>
        <w:tc>
          <w:tcPr>
            <w:tcW w:w="1690" w:type="dxa"/>
            <w:noWrap w:val="0"/>
            <w:vAlign w:val="center"/>
          </w:tcPr>
          <w:p w14:paraId="40B5F5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烧杯夹</w:t>
            </w:r>
          </w:p>
        </w:tc>
        <w:tc>
          <w:tcPr>
            <w:tcW w:w="5928" w:type="dxa"/>
            <w:noWrap w:val="0"/>
            <w:vAlign w:val="center"/>
          </w:tcPr>
          <w:p w14:paraId="052FF26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bottom"/>
          </w:tcPr>
          <w:p w14:paraId="79F1D987">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03697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11030C3">
            <w:pPr>
              <w:jc w:val="center"/>
              <w:rPr>
                <w:highlight w:val="none"/>
              </w:rPr>
            </w:pPr>
          </w:p>
        </w:tc>
        <w:tc>
          <w:tcPr>
            <w:tcW w:w="710" w:type="dxa"/>
            <w:gridSpan w:val="2"/>
            <w:noWrap w:val="0"/>
            <w:vAlign w:val="center"/>
          </w:tcPr>
          <w:p w14:paraId="36249328">
            <w:pPr>
              <w:jc w:val="both"/>
              <w:rPr>
                <w:highlight w:val="none"/>
                <w:vertAlign w:val="baseline"/>
              </w:rPr>
            </w:pPr>
          </w:p>
        </w:tc>
      </w:tr>
      <w:tr w14:paraId="4811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8037A2E">
            <w:pPr>
              <w:jc w:val="center"/>
              <w:rPr>
                <w:rFonts w:hint="default"/>
                <w:highlight w:val="none"/>
                <w:vertAlign w:val="baseline"/>
                <w:lang w:val="en-US" w:eastAsia="zh-CN"/>
              </w:rPr>
            </w:pPr>
            <w:r>
              <w:rPr>
                <w:rFonts w:hint="eastAsia"/>
                <w:highlight w:val="none"/>
                <w:vertAlign w:val="baseline"/>
                <w:lang w:val="en-US" w:eastAsia="zh-CN"/>
              </w:rPr>
              <w:t>135</w:t>
            </w:r>
          </w:p>
        </w:tc>
        <w:tc>
          <w:tcPr>
            <w:tcW w:w="1690" w:type="dxa"/>
            <w:noWrap w:val="0"/>
            <w:vAlign w:val="center"/>
          </w:tcPr>
          <w:p w14:paraId="1EE67F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镊子</w:t>
            </w:r>
          </w:p>
        </w:tc>
        <w:tc>
          <w:tcPr>
            <w:tcW w:w="5928" w:type="dxa"/>
            <w:noWrap w:val="0"/>
            <w:vAlign w:val="center"/>
          </w:tcPr>
          <w:p w14:paraId="03E562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金属制，平头，长 125 mm</w:t>
            </w:r>
          </w:p>
        </w:tc>
        <w:tc>
          <w:tcPr>
            <w:tcW w:w="736" w:type="dxa"/>
            <w:noWrap w:val="0"/>
            <w:vAlign w:val="bottom"/>
          </w:tcPr>
          <w:p w14:paraId="38FE73A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1E5BA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D65ED4C">
            <w:pPr>
              <w:jc w:val="center"/>
              <w:rPr>
                <w:highlight w:val="none"/>
              </w:rPr>
            </w:pPr>
          </w:p>
        </w:tc>
        <w:tc>
          <w:tcPr>
            <w:tcW w:w="710" w:type="dxa"/>
            <w:gridSpan w:val="2"/>
            <w:noWrap w:val="0"/>
            <w:vAlign w:val="center"/>
          </w:tcPr>
          <w:p w14:paraId="204783ED">
            <w:pPr>
              <w:jc w:val="both"/>
              <w:rPr>
                <w:highlight w:val="none"/>
                <w:vertAlign w:val="baseline"/>
              </w:rPr>
            </w:pPr>
          </w:p>
        </w:tc>
      </w:tr>
      <w:tr w14:paraId="63C1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32CCFC">
            <w:pPr>
              <w:jc w:val="center"/>
              <w:rPr>
                <w:rFonts w:hint="default"/>
                <w:highlight w:val="none"/>
                <w:vertAlign w:val="baseline"/>
                <w:lang w:val="en-US" w:eastAsia="zh-CN"/>
              </w:rPr>
            </w:pPr>
            <w:r>
              <w:rPr>
                <w:rFonts w:hint="eastAsia"/>
                <w:highlight w:val="none"/>
                <w:vertAlign w:val="baseline"/>
                <w:lang w:val="en-US" w:eastAsia="zh-CN"/>
              </w:rPr>
              <w:t>136</w:t>
            </w:r>
          </w:p>
        </w:tc>
        <w:tc>
          <w:tcPr>
            <w:tcW w:w="1690" w:type="dxa"/>
            <w:noWrap w:val="0"/>
            <w:vAlign w:val="center"/>
          </w:tcPr>
          <w:p w14:paraId="0AC9028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试管夹</w:t>
            </w:r>
          </w:p>
        </w:tc>
        <w:tc>
          <w:tcPr>
            <w:tcW w:w="5928" w:type="dxa"/>
            <w:noWrap w:val="0"/>
            <w:vAlign w:val="center"/>
          </w:tcPr>
          <w:p w14:paraId="0D8E488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木制</w:t>
            </w:r>
          </w:p>
        </w:tc>
        <w:tc>
          <w:tcPr>
            <w:tcW w:w="736" w:type="dxa"/>
            <w:noWrap w:val="0"/>
            <w:vAlign w:val="bottom"/>
          </w:tcPr>
          <w:p w14:paraId="0B26813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4A5D4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64A888D">
            <w:pPr>
              <w:jc w:val="center"/>
              <w:rPr>
                <w:highlight w:val="none"/>
              </w:rPr>
            </w:pPr>
          </w:p>
        </w:tc>
        <w:tc>
          <w:tcPr>
            <w:tcW w:w="710" w:type="dxa"/>
            <w:gridSpan w:val="2"/>
            <w:noWrap w:val="0"/>
            <w:vAlign w:val="center"/>
          </w:tcPr>
          <w:p w14:paraId="7AAB6E32">
            <w:pPr>
              <w:jc w:val="both"/>
              <w:rPr>
                <w:highlight w:val="none"/>
                <w:vertAlign w:val="baseline"/>
              </w:rPr>
            </w:pPr>
          </w:p>
        </w:tc>
      </w:tr>
      <w:tr w14:paraId="2246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8DA4CE">
            <w:pPr>
              <w:jc w:val="center"/>
              <w:rPr>
                <w:rFonts w:hint="default"/>
                <w:highlight w:val="none"/>
                <w:vertAlign w:val="baseline"/>
                <w:lang w:val="en-US" w:eastAsia="zh-CN"/>
              </w:rPr>
            </w:pPr>
            <w:r>
              <w:rPr>
                <w:rFonts w:hint="eastAsia"/>
                <w:highlight w:val="none"/>
                <w:vertAlign w:val="baseline"/>
                <w:lang w:val="en-US" w:eastAsia="zh-CN"/>
              </w:rPr>
              <w:t>137</w:t>
            </w:r>
          </w:p>
        </w:tc>
        <w:tc>
          <w:tcPr>
            <w:tcW w:w="1690" w:type="dxa"/>
            <w:noWrap w:val="0"/>
            <w:vAlign w:val="center"/>
          </w:tcPr>
          <w:p w14:paraId="20E1B3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止水皮管夹</w:t>
            </w:r>
          </w:p>
        </w:tc>
        <w:tc>
          <w:tcPr>
            <w:tcW w:w="5928" w:type="dxa"/>
            <w:noWrap w:val="0"/>
            <w:vAlign w:val="center"/>
          </w:tcPr>
          <w:p w14:paraId="7ACA801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金属制,夹持角度 ≥60º</w:t>
            </w:r>
          </w:p>
        </w:tc>
        <w:tc>
          <w:tcPr>
            <w:tcW w:w="736" w:type="dxa"/>
            <w:noWrap w:val="0"/>
            <w:vAlign w:val="bottom"/>
          </w:tcPr>
          <w:p w14:paraId="3E63DCE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9E038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1950A2C">
            <w:pPr>
              <w:jc w:val="center"/>
              <w:rPr>
                <w:highlight w:val="none"/>
              </w:rPr>
            </w:pPr>
          </w:p>
        </w:tc>
        <w:tc>
          <w:tcPr>
            <w:tcW w:w="710" w:type="dxa"/>
            <w:gridSpan w:val="2"/>
            <w:noWrap w:val="0"/>
            <w:vAlign w:val="center"/>
          </w:tcPr>
          <w:p w14:paraId="2256DAE3">
            <w:pPr>
              <w:jc w:val="both"/>
              <w:rPr>
                <w:highlight w:val="none"/>
                <w:vertAlign w:val="baseline"/>
              </w:rPr>
            </w:pPr>
          </w:p>
        </w:tc>
      </w:tr>
      <w:tr w14:paraId="75A8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2FB6F33">
            <w:pPr>
              <w:jc w:val="center"/>
              <w:rPr>
                <w:rFonts w:hint="default"/>
                <w:highlight w:val="none"/>
                <w:vertAlign w:val="baseline"/>
                <w:lang w:val="en-US" w:eastAsia="zh-CN"/>
              </w:rPr>
            </w:pPr>
            <w:r>
              <w:rPr>
                <w:rFonts w:hint="eastAsia"/>
                <w:highlight w:val="none"/>
                <w:vertAlign w:val="baseline"/>
                <w:lang w:val="en-US" w:eastAsia="zh-CN"/>
              </w:rPr>
              <w:t>138</w:t>
            </w:r>
          </w:p>
        </w:tc>
        <w:tc>
          <w:tcPr>
            <w:tcW w:w="1690" w:type="dxa"/>
            <w:noWrap w:val="0"/>
            <w:vAlign w:val="center"/>
          </w:tcPr>
          <w:p w14:paraId="2D07B1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螺旋皮管夹</w:t>
            </w:r>
          </w:p>
        </w:tc>
        <w:tc>
          <w:tcPr>
            <w:tcW w:w="5928" w:type="dxa"/>
            <w:noWrap w:val="0"/>
            <w:vAlign w:val="center"/>
          </w:tcPr>
          <w:p w14:paraId="2BE0CAE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bottom"/>
          </w:tcPr>
          <w:p w14:paraId="66C880A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2CE1B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800778E">
            <w:pPr>
              <w:jc w:val="center"/>
              <w:rPr>
                <w:highlight w:val="none"/>
              </w:rPr>
            </w:pPr>
          </w:p>
        </w:tc>
        <w:tc>
          <w:tcPr>
            <w:tcW w:w="710" w:type="dxa"/>
            <w:gridSpan w:val="2"/>
            <w:noWrap w:val="0"/>
            <w:vAlign w:val="center"/>
          </w:tcPr>
          <w:p w14:paraId="441BFEFA">
            <w:pPr>
              <w:jc w:val="both"/>
              <w:rPr>
                <w:highlight w:val="none"/>
                <w:vertAlign w:val="baseline"/>
              </w:rPr>
            </w:pPr>
          </w:p>
        </w:tc>
      </w:tr>
      <w:tr w14:paraId="5973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23BAB9">
            <w:pPr>
              <w:jc w:val="center"/>
              <w:rPr>
                <w:rFonts w:hint="default"/>
                <w:highlight w:val="none"/>
                <w:vertAlign w:val="baseline"/>
                <w:lang w:val="en-US" w:eastAsia="zh-CN"/>
              </w:rPr>
            </w:pPr>
            <w:r>
              <w:rPr>
                <w:rFonts w:hint="eastAsia"/>
                <w:highlight w:val="none"/>
                <w:vertAlign w:val="baseline"/>
                <w:lang w:val="en-US" w:eastAsia="zh-CN"/>
              </w:rPr>
              <w:t>139</w:t>
            </w:r>
          </w:p>
        </w:tc>
        <w:tc>
          <w:tcPr>
            <w:tcW w:w="1690" w:type="dxa"/>
            <w:noWrap w:val="0"/>
            <w:vAlign w:val="center"/>
          </w:tcPr>
          <w:p w14:paraId="461FDB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石棉网</w:t>
            </w:r>
          </w:p>
        </w:tc>
        <w:tc>
          <w:tcPr>
            <w:tcW w:w="5928" w:type="dxa"/>
            <w:noWrap w:val="0"/>
            <w:vAlign w:val="center"/>
          </w:tcPr>
          <w:p w14:paraId="118AD9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125*125mm</w:t>
            </w:r>
          </w:p>
        </w:tc>
        <w:tc>
          <w:tcPr>
            <w:tcW w:w="736" w:type="dxa"/>
            <w:noWrap w:val="0"/>
            <w:vAlign w:val="bottom"/>
          </w:tcPr>
          <w:p w14:paraId="3BF0550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C5832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D374243">
            <w:pPr>
              <w:jc w:val="center"/>
              <w:rPr>
                <w:highlight w:val="none"/>
              </w:rPr>
            </w:pPr>
          </w:p>
        </w:tc>
        <w:tc>
          <w:tcPr>
            <w:tcW w:w="710" w:type="dxa"/>
            <w:gridSpan w:val="2"/>
            <w:noWrap w:val="0"/>
            <w:vAlign w:val="center"/>
          </w:tcPr>
          <w:p w14:paraId="2299572D">
            <w:pPr>
              <w:jc w:val="both"/>
              <w:rPr>
                <w:highlight w:val="none"/>
                <w:vertAlign w:val="baseline"/>
              </w:rPr>
            </w:pPr>
          </w:p>
        </w:tc>
      </w:tr>
      <w:tr w14:paraId="60BC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32DD53">
            <w:pPr>
              <w:jc w:val="center"/>
              <w:rPr>
                <w:rFonts w:hint="default"/>
                <w:highlight w:val="none"/>
                <w:vertAlign w:val="baseline"/>
                <w:lang w:val="en-US" w:eastAsia="zh-CN"/>
              </w:rPr>
            </w:pPr>
            <w:r>
              <w:rPr>
                <w:rFonts w:hint="eastAsia"/>
                <w:highlight w:val="none"/>
                <w:vertAlign w:val="baseline"/>
                <w:lang w:val="en-US" w:eastAsia="zh-CN"/>
              </w:rPr>
              <w:t>140</w:t>
            </w:r>
          </w:p>
        </w:tc>
        <w:tc>
          <w:tcPr>
            <w:tcW w:w="1690" w:type="dxa"/>
            <w:noWrap w:val="0"/>
            <w:vAlign w:val="center"/>
          </w:tcPr>
          <w:p w14:paraId="23DF6F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陶土网</w:t>
            </w:r>
          </w:p>
        </w:tc>
        <w:tc>
          <w:tcPr>
            <w:tcW w:w="5928" w:type="dxa"/>
            <w:noWrap w:val="0"/>
            <w:vAlign w:val="center"/>
          </w:tcPr>
          <w:p w14:paraId="4F4D63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功能等同于石棉网，尺寸≥125 mm×125 mm，耐火材料为陶土</w:t>
            </w:r>
          </w:p>
        </w:tc>
        <w:tc>
          <w:tcPr>
            <w:tcW w:w="736" w:type="dxa"/>
            <w:noWrap w:val="0"/>
            <w:vAlign w:val="bottom"/>
          </w:tcPr>
          <w:p w14:paraId="08E2090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D9539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656628F">
            <w:pPr>
              <w:jc w:val="center"/>
              <w:rPr>
                <w:highlight w:val="none"/>
              </w:rPr>
            </w:pPr>
          </w:p>
        </w:tc>
        <w:tc>
          <w:tcPr>
            <w:tcW w:w="710" w:type="dxa"/>
            <w:gridSpan w:val="2"/>
            <w:noWrap w:val="0"/>
            <w:vAlign w:val="center"/>
          </w:tcPr>
          <w:p w14:paraId="7CFA0883">
            <w:pPr>
              <w:jc w:val="both"/>
              <w:rPr>
                <w:highlight w:val="none"/>
                <w:vertAlign w:val="baseline"/>
              </w:rPr>
            </w:pPr>
          </w:p>
        </w:tc>
      </w:tr>
      <w:tr w14:paraId="400E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727D2ED">
            <w:pPr>
              <w:jc w:val="center"/>
              <w:rPr>
                <w:rFonts w:hint="default"/>
                <w:highlight w:val="none"/>
                <w:vertAlign w:val="baseline"/>
                <w:lang w:val="en-US" w:eastAsia="zh-CN"/>
              </w:rPr>
            </w:pPr>
            <w:r>
              <w:rPr>
                <w:rFonts w:hint="eastAsia"/>
                <w:highlight w:val="none"/>
                <w:vertAlign w:val="baseline"/>
                <w:lang w:val="en-US" w:eastAsia="zh-CN"/>
              </w:rPr>
              <w:t>141</w:t>
            </w:r>
          </w:p>
        </w:tc>
        <w:tc>
          <w:tcPr>
            <w:tcW w:w="1690" w:type="dxa"/>
            <w:noWrap w:val="0"/>
            <w:vAlign w:val="center"/>
          </w:tcPr>
          <w:p w14:paraId="7A6025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燃烧匙</w:t>
            </w:r>
          </w:p>
        </w:tc>
        <w:tc>
          <w:tcPr>
            <w:tcW w:w="5928" w:type="dxa"/>
            <w:noWrap w:val="0"/>
            <w:vAlign w:val="center"/>
          </w:tcPr>
          <w:p w14:paraId="3896CD4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铜勺</w:t>
            </w:r>
          </w:p>
        </w:tc>
        <w:tc>
          <w:tcPr>
            <w:tcW w:w="736" w:type="dxa"/>
            <w:noWrap w:val="0"/>
            <w:vAlign w:val="bottom"/>
          </w:tcPr>
          <w:p w14:paraId="783BFA7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36141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D5BB5A7">
            <w:pPr>
              <w:jc w:val="center"/>
              <w:rPr>
                <w:highlight w:val="none"/>
              </w:rPr>
            </w:pPr>
          </w:p>
        </w:tc>
        <w:tc>
          <w:tcPr>
            <w:tcW w:w="710" w:type="dxa"/>
            <w:gridSpan w:val="2"/>
            <w:noWrap w:val="0"/>
            <w:vAlign w:val="center"/>
          </w:tcPr>
          <w:p w14:paraId="3E815583">
            <w:pPr>
              <w:jc w:val="both"/>
              <w:rPr>
                <w:highlight w:val="none"/>
                <w:vertAlign w:val="baseline"/>
              </w:rPr>
            </w:pPr>
          </w:p>
        </w:tc>
      </w:tr>
      <w:tr w14:paraId="4492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661F97">
            <w:pPr>
              <w:jc w:val="center"/>
              <w:rPr>
                <w:rFonts w:hint="default"/>
                <w:highlight w:val="none"/>
                <w:vertAlign w:val="baseline"/>
                <w:lang w:val="en-US" w:eastAsia="zh-CN"/>
              </w:rPr>
            </w:pPr>
            <w:r>
              <w:rPr>
                <w:rFonts w:hint="eastAsia"/>
                <w:highlight w:val="none"/>
                <w:vertAlign w:val="baseline"/>
                <w:lang w:val="en-US" w:eastAsia="zh-CN"/>
              </w:rPr>
              <w:t>142</w:t>
            </w:r>
          </w:p>
        </w:tc>
        <w:tc>
          <w:tcPr>
            <w:tcW w:w="1690" w:type="dxa"/>
            <w:noWrap w:val="0"/>
            <w:vAlign w:val="center"/>
          </w:tcPr>
          <w:p w14:paraId="704E3A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药匙</w:t>
            </w:r>
          </w:p>
        </w:tc>
        <w:tc>
          <w:tcPr>
            <w:tcW w:w="5928" w:type="dxa"/>
            <w:noWrap w:val="0"/>
            <w:vAlign w:val="center"/>
          </w:tcPr>
          <w:p w14:paraId="41AE48A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bottom"/>
          </w:tcPr>
          <w:p w14:paraId="707A7DC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C811A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2DF807B">
            <w:pPr>
              <w:jc w:val="center"/>
              <w:rPr>
                <w:highlight w:val="none"/>
              </w:rPr>
            </w:pPr>
          </w:p>
        </w:tc>
        <w:tc>
          <w:tcPr>
            <w:tcW w:w="710" w:type="dxa"/>
            <w:gridSpan w:val="2"/>
            <w:noWrap w:val="0"/>
            <w:vAlign w:val="center"/>
          </w:tcPr>
          <w:p w14:paraId="0E324AEF">
            <w:pPr>
              <w:jc w:val="both"/>
              <w:rPr>
                <w:highlight w:val="none"/>
                <w:vertAlign w:val="baseline"/>
              </w:rPr>
            </w:pPr>
          </w:p>
        </w:tc>
      </w:tr>
      <w:tr w14:paraId="0A6C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E70B37">
            <w:pPr>
              <w:jc w:val="center"/>
              <w:rPr>
                <w:rFonts w:hint="default"/>
                <w:highlight w:val="none"/>
                <w:vertAlign w:val="baseline"/>
                <w:lang w:val="en-US" w:eastAsia="zh-CN"/>
              </w:rPr>
            </w:pPr>
            <w:r>
              <w:rPr>
                <w:rFonts w:hint="eastAsia"/>
                <w:highlight w:val="none"/>
                <w:vertAlign w:val="baseline"/>
                <w:lang w:val="en-US" w:eastAsia="zh-CN"/>
              </w:rPr>
              <w:t>143</w:t>
            </w:r>
          </w:p>
        </w:tc>
        <w:tc>
          <w:tcPr>
            <w:tcW w:w="1690" w:type="dxa"/>
            <w:noWrap w:val="0"/>
            <w:vAlign w:val="center"/>
          </w:tcPr>
          <w:p w14:paraId="732A03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玻璃管</w:t>
            </w:r>
          </w:p>
        </w:tc>
        <w:tc>
          <w:tcPr>
            <w:tcW w:w="5928" w:type="dxa"/>
            <w:noWrap w:val="0"/>
            <w:vAlign w:val="center"/>
          </w:tcPr>
          <w:p w14:paraId="2677B9A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5 mm ～ 6 mm</w:t>
            </w:r>
          </w:p>
        </w:tc>
        <w:tc>
          <w:tcPr>
            <w:tcW w:w="736" w:type="dxa"/>
            <w:noWrap w:val="0"/>
            <w:vAlign w:val="center"/>
          </w:tcPr>
          <w:p w14:paraId="5FD00E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775F71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C9D17D6">
            <w:pPr>
              <w:jc w:val="center"/>
              <w:rPr>
                <w:highlight w:val="none"/>
              </w:rPr>
            </w:pPr>
          </w:p>
        </w:tc>
        <w:tc>
          <w:tcPr>
            <w:tcW w:w="710" w:type="dxa"/>
            <w:gridSpan w:val="2"/>
            <w:noWrap w:val="0"/>
            <w:vAlign w:val="center"/>
          </w:tcPr>
          <w:p w14:paraId="572D9A42">
            <w:pPr>
              <w:jc w:val="both"/>
              <w:rPr>
                <w:highlight w:val="none"/>
                <w:vertAlign w:val="baseline"/>
              </w:rPr>
            </w:pPr>
          </w:p>
        </w:tc>
      </w:tr>
      <w:tr w14:paraId="6397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290612D">
            <w:pPr>
              <w:jc w:val="center"/>
              <w:rPr>
                <w:rFonts w:hint="default"/>
                <w:highlight w:val="none"/>
                <w:vertAlign w:val="baseline"/>
                <w:lang w:val="en-US" w:eastAsia="zh-CN"/>
              </w:rPr>
            </w:pPr>
            <w:r>
              <w:rPr>
                <w:rFonts w:hint="eastAsia"/>
                <w:highlight w:val="none"/>
                <w:vertAlign w:val="baseline"/>
                <w:lang w:val="en-US" w:eastAsia="zh-CN"/>
              </w:rPr>
              <w:t>144</w:t>
            </w:r>
          </w:p>
        </w:tc>
        <w:tc>
          <w:tcPr>
            <w:tcW w:w="1690" w:type="dxa"/>
            <w:noWrap w:val="0"/>
            <w:vAlign w:val="center"/>
          </w:tcPr>
          <w:p w14:paraId="326AB3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玻璃管</w:t>
            </w:r>
          </w:p>
        </w:tc>
        <w:tc>
          <w:tcPr>
            <w:tcW w:w="5928" w:type="dxa"/>
            <w:noWrap w:val="0"/>
            <w:vAlign w:val="center"/>
          </w:tcPr>
          <w:p w14:paraId="7AB5332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7 mm ～ 8 mm</w:t>
            </w:r>
          </w:p>
        </w:tc>
        <w:tc>
          <w:tcPr>
            <w:tcW w:w="736" w:type="dxa"/>
            <w:noWrap w:val="0"/>
            <w:vAlign w:val="center"/>
          </w:tcPr>
          <w:p w14:paraId="089EBF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10B7DD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396" w:type="dxa"/>
            <w:gridSpan w:val="2"/>
            <w:noWrap w:val="0"/>
            <w:vAlign w:val="center"/>
          </w:tcPr>
          <w:p w14:paraId="37A8BE5F">
            <w:pPr>
              <w:jc w:val="center"/>
              <w:rPr>
                <w:highlight w:val="none"/>
              </w:rPr>
            </w:pPr>
          </w:p>
        </w:tc>
        <w:tc>
          <w:tcPr>
            <w:tcW w:w="710" w:type="dxa"/>
            <w:gridSpan w:val="2"/>
            <w:noWrap w:val="0"/>
            <w:vAlign w:val="center"/>
          </w:tcPr>
          <w:p w14:paraId="127F7D45">
            <w:pPr>
              <w:jc w:val="both"/>
              <w:rPr>
                <w:highlight w:val="none"/>
                <w:vertAlign w:val="baseline"/>
              </w:rPr>
            </w:pPr>
          </w:p>
        </w:tc>
      </w:tr>
      <w:tr w14:paraId="47F1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B92ED9">
            <w:pPr>
              <w:jc w:val="center"/>
              <w:rPr>
                <w:rFonts w:hint="default"/>
                <w:highlight w:val="none"/>
                <w:vertAlign w:val="baseline"/>
                <w:lang w:val="en-US" w:eastAsia="zh-CN"/>
              </w:rPr>
            </w:pPr>
            <w:r>
              <w:rPr>
                <w:rFonts w:hint="eastAsia"/>
                <w:highlight w:val="none"/>
                <w:vertAlign w:val="baseline"/>
                <w:lang w:val="en-US" w:eastAsia="zh-CN"/>
              </w:rPr>
              <w:t>145</w:t>
            </w:r>
          </w:p>
        </w:tc>
        <w:tc>
          <w:tcPr>
            <w:tcW w:w="1690" w:type="dxa"/>
            <w:noWrap w:val="0"/>
            <w:vAlign w:val="center"/>
          </w:tcPr>
          <w:p w14:paraId="1421F6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玻璃弯管</w:t>
            </w:r>
          </w:p>
        </w:tc>
        <w:tc>
          <w:tcPr>
            <w:tcW w:w="5928" w:type="dxa"/>
            <w:noWrap w:val="0"/>
            <w:vAlign w:val="center"/>
          </w:tcPr>
          <w:p w14:paraId="3F2BC50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7 mm ～ 8 mm 一端长度为 6 cm～7 cm，另一端长 度约 20 cm</w:t>
            </w:r>
          </w:p>
        </w:tc>
        <w:tc>
          <w:tcPr>
            <w:tcW w:w="736" w:type="dxa"/>
            <w:noWrap w:val="0"/>
            <w:vAlign w:val="center"/>
          </w:tcPr>
          <w:p w14:paraId="418E33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2E14CE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F0FEAC6">
            <w:pPr>
              <w:jc w:val="center"/>
              <w:rPr>
                <w:highlight w:val="none"/>
              </w:rPr>
            </w:pPr>
          </w:p>
        </w:tc>
        <w:tc>
          <w:tcPr>
            <w:tcW w:w="710" w:type="dxa"/>
            <w:gridSpan w:val="2"/>
            <w:noWrap w:val="0"/>
            <w:vAlign w:val="center"/>
          </w:tcPr>
          <w:p w14:paraId="66AA0B82">
            <w:pPr>
              <w:jc w:val="both"/>
              <w:rPr>
                <w:highlight w:val="none"/>
                <w:vertAlign w:val="baseline"/>
              </w:rPr>
            </w:pPr>
          </w:p>
        </w:tc>
      </w:tr>
      <w:tr w14:paraId="3560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4DD8A6">
            <w:pPr>
              <w:jc w:val="center"/>
              <w:rPr>
                <w:rFonts w:hint="default"/>
                <w:highlight w:val="none"/>
                <w:vertAlign w:val="baseline"/>
                <w:lang w:val="en-US" w:eastAsia="zh-CN"/>
              </w:rPr>
            </w:pPr>
            <w:r>
              <w:rPr>
                <w:rFonts w:hint="eastAsia"/>
                <w:highlight w:val="none"/>
                <w:vertAlign w:val="baseline"/>
                <w:lang w:val="en-US" w:eastAsia="zh-CN"/>
              </w:rPr>
              <w:t>146</w:t>
            </w:r>
          </w:p>
        </w:tc>
        <w:tc>
          <w:tcPr>
            <w:tcW w:w="1690" w:type="dxa"/>
            <w:noWrap w:val="0"/>
            <w:vAlign w:val="center"/>
          </w:tcPr>
          <w:p w14:paraId="14C5032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玻璃棒</w:t>
            </w:r>
          </w:p>
        </w:tc>
        <w:tc>
          <w:tcPr>
            <w:tcW w:w="5928" w:type="dxa"/>
            <w:noWrap w:val="0"/>
            <w:vAlign w:val="center"/>
          </w:tcPr>
          <w:p w14:paraId="1CEF2A9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5 mm ～ 6 mm</w:t>
            </w:r>
          </w:p>
        </w:tc>
        <w:tc>
          <w:tcPr>
            <w:tcW w:w="736" w:type="dxa"/>
            <w:noWrap w:val="0"/>
            <w:vAlign w:val="center"/>
          </w:tcPr>
          <w:p w14:paraId="064AE1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77F48E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4AD063CD">
            <w:pPr>
              <w:jc w:val="center"/>
              <w:rPr>
                <w:highlight w:val="none"/>
              </w:rPr>
            </w:pPr>
          </w:p>
        </w:tc>
        <w:tc>
          <w:tcPr>
            <w:tcW w:w="710" w:type="dxa"/>
            <w:gridSpan w:val="2"/>
            <w:noWrap w:val="0"/>
            <w:vAlign w:val="center"/>
          </w:tcPr>
          <w:p w14:paraId="66024F46">
            <w:pPr>
              <w:jc w:val="both"/>
              <w:rPr>
                <w:highlight w:val="none"/>
                <w:vertAlign w:val="baseline"/>
              </w:rPr>
            </w:pPr>
          </w:p>
        </w:tc>
      </w:tr>
      <w:tr w14:paraId="326B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2FBFADF">
            <w:pPr>
              <w:jc w:val="center"/>
              <w:rPr>
                <w:rFonts w:hint="default"/>
                <w:highlight w:val="none"/>
                <w:vertAlign w:val="baseline"/>
                <w:lang w:val="en-US" w:eastAsia="zh-CN"/>
              </w:rPr>
            </w:pPr>
            <w:r>
              <w:rPr>
                <w:rFonts w:hint="eastAsia"/>
                <w:highlight w:val="none"/>
                <w:vertAlign w:val="baseline"/>
                <w:lang w:val="en-US" w:eastAsia="zh-CN"/>
              </w:rPr>
              <w:t>147</w:t>
            </w:r>
          </w:p>
        </w:tc>
        <w:tc>
          <w:tcPr>
            <w:tcW w:w="1690" w:type="dxa"/>
            <w:noWrap w:val="0"/>
            <w:vAlign w:val="center"/>
          </w:tcPr>
          <w:p w14:paraId="378ED1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玻璃棒</w:t>
            </w:r>
          </w:p>
        </w:tc>
        <w:tc>
          <w:tcPr>
            <w:tcW w:w="5928" w:type="dxa"/>
            <w:noWrap w:val="0"/>
            <w:vAlign w:val="center"/>
          </w:tcPr>
          <w:p w14:paraId="137130B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3 mm ～ 4 mm</w:t>
            </w:r>
          </w:p>
        </w:tc>
        <w:tc>
          <w:tcPr>
            <w:tcW w:w="736" w:type="dxa"/>
            <w:noWrap w:val="0"/>
            <w:vAlign w:val="center"/>
          </w:tcPr>
          <w:p w14:paraId="699B4D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3286C1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03D7E289">
            <w:pPr>
              <w:jc w:val="center"/>
              <w:rPr>
                <w:highlight w:val="none"/>
              </w:rPr>
            </w:pPr>
          </w:p>
        </w:tc>
        <w:tc>
          <w:tcPr>
            <w:tcW w:w="710" w:type="dxa"/>
            <w:gridSpan w:val="2"/>
            <w:noWrap w:val="0"/>
            <w:vAlign w:val="center"/>
          </w:tcPr>
          <w:p w14:paraId="45A43412">
            <w:pPr>
              <w:jc w:val="both"/>
              <w:rPr>
                <w:highlight w:val="none"/>
                <w:vertAlign w:val="baseline"/>
              </w:rPr>
            </w:pPr>
          </w:p>
        </w:tc>
      </w:tr>
      <w:tr w14:paraId="24EF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0A1486">
            <w:pPr>
              <w:jc w:val="center"/>
              <w:rPr>
                <w:rFonts w:hint="default"/>
                <w:highlight w:val="none"/>
                <w:vertAlign w:val="baseline"/>
                <w:lang w:val="en-US" w:eastAsia="zh-CN"/>
              </w:rPr>
            </w:pPr>
            <w:r>
              <w:rPr>
                <w:rFonts w:hint="eastAsia"/>
                <w:highlight w:val="none"/>
                <w:vertAlign w:val="baseline"/>
                <w:lang w:val="en-US" w:eastAsia="zh-CN"/>
              </w:rPr>
              <w:t>148</w:t>
            </w:r>
          </w:p>
        </w:tc>
        <w:tc>
          <w:tcPr>
            <w:tcW w:w="1690" w:type="dxa"/>
            <w:noWrap w:val="0"/>
            <w:vAlign w:val="center"/>
          </w:tcPr>
          <w:p w14:paraId="7A8202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橡胶塞</w:t>
            </w:r>
          </w:p>
        </w:tc>
        <w:tc>
          <w:tcPr>
            <w:tcW w:w="5928" w:type="dxa"/>
            <w:noWrap w:val="0"/>
            <w:vAlign w:val="center"/>
          </w:tcPr>
          <w:p w14:paraId="2CC2375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000、00、 0～10 号</w:t>
            </w:r>
          </w:p>
        </w:tc>
        <w:tc>
          <w:tcPr>
            <w:tcW w:w="736" w:type="dxa"/>
            <w:noWrap w:val="0"/>
            <w:vAlign w:val="bottom"/>
          </w:tcPr>
          <w:p w14:paraId="6C2C6AA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kg</w:t>
            </w:r>
          </w:p>
        </w:tc>
        <w:tc>
          <w:tcPr>
            <w:tcW w:w="834" w:type="dxa"/>
            <w:noWrap w:val="0"/>
            <w:vAlign w:val="center"/>
          </w:tcPr>
          <w:p w14:paraId="6DF016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3396" w:type="dxa"/>
            <w:gridSpan w:val="2"/>
            <w:noWrap w:val="0"/>
            <w:vAlign w:val="center"/>
          </w:tcPr>
          <w:p w14:paraId="2A949021">
            <w:pPr>
              <w:jc w:val="center"/>
              <w:rPr>
                <w:highlight w:val="none"/>
              </w:rPr>
            </w:pPr>
          </w:p>
        </w:tc>
        <w:tc>
          <w:tcPr>
            <w:tcW w:w="710" w:type="dxa"/>
            <w:gridSpan w:val="2"/>
            <w:noWrap w:val="0"/>
            <w:vAlign w:val="center"/>
          </w:tcPr>
          <w:p w14:paraId="5ED11B34">
            <w:pPr>
              <w:jc w:val="both"/>
              <w:rPr>
                <w:highlight w:val="none"/>
                <w:vertAlign w:val="baseline"/>
              </w:rPr>
            </w:pPr>
          </w:p>
        </w:tc>
      </w:tr>
      <w:tr w14:paraId="2707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FDCA37">
            <w:pPr>
              <w:jc w:val="center"/>
              <w:rPr>
                <w:rFonts w:hint="default"/>
                <w:highlight w:val="none"/>
                <w:vertAlign w:val="baseline"/>
                <w:lang w:val="en-US" w:eastAsia="zh-CN"/>
              </w:rPr>
            </w:pPr>
            <w:r>
              <w:rPr>
                <w:rFonts w:hint="eastAsia"/>
                <w:highlight w:val="none"/>
                <w:vertAlign w:val="baseline"/>
                <w:lang w:val="en-US" w:eastAsia="zh-CN"/>
              </w:rPr>
              <w:t>149</w:t>
            </w:r>
          </w:p>
        </w:tc>
        <w:tc>
          <w:tcPr>
            <w:tcW w:w="1690" w:type="dxa"/>
            <w:noWrap w:val="0"/>
            <w:vAlign w:val="center"/>
          </w:tcPr>
          <w:p w14:paraId="4EB75B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橡胶管</w:t>
            </w:r>
          </w:p>
        </w:tc>
        <w:tc>
          <w:tcPr>
            <w:tcW w:w="5928" w:type="dxa"/>
            <w:noWrap w:val="0"/>
            <w:vAlign w:val="center"/>
          </w:tcPr>
          <w:p w14:paraId="6162DA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外径 9 mm， 内径 6 mm</w:t>
            </w:r>
          </w:p>
        </w:tc>
        <w:tc>
          <w:tcPr>
            <w:tcW w:w="736" w:type="dxa"/>
            <w:noWrap w:val="0"/>
            <w:vAlign w:val="bottom"/>
          </w:tcPr>
          <w:p w14:paraId="710F036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kg</w:t>
            </w:r>
          </w:p>
        </w:tc>
        <w:tc>
          <w:tcPr>
            <w:tcW w:w="834" w:type="dxa"/>
            <w:noWrap w:val="0"/>
            <w:vAlign w:val="center"/>
          </w:tcPr>
          <w:p w14:paraId="79D846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50D1CA07">
            <w:pPr>
              <w:jc w:val="center"/>
              <w:rPr>
                <w:highlight w:val="none"/>
              </w:rPr>
            </w:pPr>
          </w:p>
        </w:tc>
        <w:tc>
          <w:tcPr>
            <w:tcW w:w="710" w:type="dxa"/>
            <w:gridSpan w:val="2"/>
            <w:noWrap w:val="0"/>
            <w:vAlign w:val="center"/>
          </w:tcPr>
          <w:p w14:paraId="10D7E872">
            <w:pPr>
              <w:jc w:val="both"/>
              <w:rPr>
                <w:highlight w:val="none"/>
                <w:vertAlign w:val="baseline"/>
              </w:rPr>
            </w:pPr>
          </w:p>
        </w:tc>
      </w:tr>
      <w:tr w14:paraId="1CE0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43FA53A">
            <w:pPr>
              <w:jc w:val="center"/>
              <w:rPr>
                <w:rFonts w:hint="default"/>
                <w:highlight w:val="none"/>
                <w:vertAlign w:val="baseline"/>
                <w:lang w:val="en-US" w:eastAsia="zh-CN"/>
              </w:rPr>
            </w:pPr>
            <w:r>
              <w:rPr>
                <w:rFonts w:hint="eastAsia"/>
                <w:highlight w:val="none"/>
                <w:vertAlign w:val="baseline"/>
                <w:lang w:val="en-US" w:eastAsia="zh-CN"/>
              </w:rPr>
              <w:t>150</w:t>
            </w:r>
          </w:p>
        </w:tc>
        <w:tc>
          <w:tcPr>
            <w:tcW w:w="1690" w:type="dxa"/>
            <w:noWrap w:val="0"/>
            <w:vAlign w:val="center"/>
          </w:tcPr>
          <w:p w14:paraId="49DE36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乳胶管</w:t>
            </w:r>
          </w:p>
        </w:tc>
        <w:tc>
          <w:tcPr>
            <w:tcW w:w="5928" w:type="dxa"/>
            <w:noWrap w:val="0"/>
            <w:vAlign w:val="center"/>
          </w:tcPr>
          <w:p w14:paraId="7F6A822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外径 6 mm， 内径 4 mm</w:t>
            </w:r>
          </w:p>
        </w:tc>
        <w:tc>
          <w:tcPr>
            <w:tcW w:w="736" w:type="dxa"/>
            <w:noWrap w:val="0"/>
            <w:vAlign w:val="bottom"/>
          </w:tcPr>
          <w:p w14:paraId="111BF07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w:t>
            </w:r>
          </w:p>
        </w:tc>
        <w:tc>
          <w:tcPr>
            <w:tcW w:w="834" w:type="dxa"/>
            <w:noWrap w:val="0"/>
            <w:vAlign w:val="center"/>
          </w:tcPr>
          <w:p w14:paraId="0CB8BF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50A15B5F">
            <w:pPr>
              <w:jc w:val="center"/>
              <w:rPr>
                <w:highlight w:val="none"/>
              </w:rPr>
            </w:pPr>
          </w:p>
        </w:tc>
        <w:tc>
          <w:tcPr>
            <w:tcW w:w="710" w:type="dxa"/>
            <w:gridSpan w:val="2"/>
            <w:noWrap w:val="0"/>
            <w:vAlign w:val="center"/>
          </w:tcPr>
          <w:p w14:paraId="26CF4AC0">
            <w:pPr>
              <w:jc w:val="both"/>
              <w:rPr>
                <w:highlight w:val="none"/>
                <w:vertAlign w:val="baseline"/>
              </w:rPr>
            </w:pPr>
          </w:p>
        </w:tc>
      </w:tr>
      <w:tr w14:paraId="4349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B783B6">
            <w:pPr>
              <w:jc w:val="center"/>
              <w:rPr>
                <w:rFonts w:hint="default"/>
                <w:highlight w:val="none"/>
                <w:vertAlign w:val="baseline"/>
                <w:lang w:val="en-US" w:eastAsia="zh-CN"/>
              </w:rPr>
            </w:pPr>
            <w:r>
              <w:rPr>
                <w:rFonts w:hint="eastAsia"/>
                <w:highlight w:val="none"/>
                <w:vertAlign w:val="baseline"/>
                <w:lang w:val="en-US" w:eastAsia="zh-CN"/>
              </w:rPr>
              <w:t>151</w:t>
            </w:r>
          </w:p>
        </w:tc>
        <w:tc>
          <w:tcPr>
            <w:tcW w:w="1690" w:type="dxa"/>
            <w:noWrap w:val="0"/>
            <w:vAlign w:val="center"/>
          </w:tcPr>
          <w:p w14:paraId="25198E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乳胶管</w:t>
            </w:r>
          </w:p>
        </w:tc>
        <w:tc>
          <w:tcPr>
            <w:tcW w:w="5928" w:type="dxa"/>
            <w:noWrap w:val="0"/>
            <w:vAlign w:val="center"/>
          </w:tcPr>
          <w:p w14:paraId="192579D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外径 7 mm， 内径 5 mm</w:t>
            </w:r>
          </w:p>
        </w:tc>
        <w:tc>
          <w:tcPr>
            <w:tcW w:w="736" w:type="dxa"/>
            <w:noWrap w:val="0"/>
            <w:vAlign w:val="bottom"/>
          </w:tcPr>
          <w:p w14:paraId="1343046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w:t>
            </w:r>
          </w:p>
        </w:tc>
        <w:tc>
          <w:tcPr>
            <w:tcW w:w="834" w:type="dxa"/>
            <w:noWrap w:val="0"/>
            <w:vAlign w:val="center"/>
          </w:tcPr>
          <w:p w14:paraId="50EC40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3A6B2813">
            <w:pPr>
              <w:jc w:val="center"/>
              <w:rPr>
                <w:highlight w:val="none"/>
              </w:rPr>
            </w:pPr>
          </w:p>
        </w:tc>
        <w:tc>
          <w:tcPr>
            <w:tcW w:w="710" w:type="dxa"/>
            <w:gridSpan w:val="2"/>
            <w:noWrap w:val="0"/>
            <w:vAlign w:val="center"/>
          </w:tcPr>
          <w:p w14:paraId="003E0FBA">
            <w:pPr>
              <w:jc w:val="both"/>
              <w:rPr>
                <w:highlight w:val="none"/>
                <w:vertAlign w:val="baseline"/>
              </w:rPr>
            </w:pPr>
          </w:p>
        </w:tc>
      </w:tr>
      <w:tr w14:paraId="41A8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FEDA658">
            <w:pPr>
              <w:jc w:val="center"/>
              <w:rPr>
                <w:rFonts w:hint="default"/>
                <w:highlight w:val="none"/>
                <w:vertAlign w:val="baseline"/>
                <w:lang w:val="en-US" w:eastAsia="zh-CN"/>
              </w:rPr>
            </w:pPr>
            <w:r>
              <w:rPr>
                <w:rFonts w:hint="eastAsia"/>
                <w:highlight w:val="none"/>
                <w:vertAlign w:val="baseline"/>
                <w:lang w:val="en-US" w:eastAsia="zh-CN"/>
              </w:rPr>
              <w:t>152</w:t>
            </w:r>
          </w:p>
        </w:tc>
        <w:tc>
          <w:tcPr>
            <w:tcW w:w="1690" w:type="dxa"/>
            <w:noWrap w:val="0"/>
            <w:vAlign w:val="center"/>
          </w:tcPr>
          <w:p w14:paraId="626F39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乳胶管</w:t>
            </w:r>
          </w:p>
        </w:tc>
        <w:tc>
          <w:tcPr>
            <w:tcW w:w="5928" w:type="dxa"/>
            <w:noWrap w:val="0"/>
            <w:vAlign w:val="center"/>
          </w:tcPr>
          <w:p w14:paraId="7911A3F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外径 9 mm， 内径 6 mm</w:t>
            </w:r>
          </w:p>
        </w:tc>
        <w:tc>
          <w:tcPr>
            <w:tcW w:w="736" w:type="dxa"/>
            <w:noWrap w:val="0"/>
            <w:vAlign w:val="bottom"/>
          </w:tcPr>
          <w:p w14:paraId="44F0284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w:t>
            </w:r>
          </w:p>
        </w:tc>
        <w:tc>
          <w:tcPr>
            <w:tcW w:w="834" w:type="dxa"/>
            <w:noWrap w:val="0"/>
            <w:vAlign w:val="center"/>
          </w:tcPr>
          <w:p w14:paraId="4AE77C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0582D516">
            <w:pPr>
              <w:jc w:val="center"/>
              <w:rPr>
                <w:highlight w:val="none"/>
              </w:rPr>
            </w:pPr>
          </w:p>
        </w:tc>
        <w:tc>
          <w:tcPr>
            <w:tcW w:w="710" w:type="dxa"/>
            <w:gridSpan w:val="2"/>
            <w:noWrap w:val="0"/>
            <w:vAlign w:val="center"/>
          </w:tcPr>
          <w:p w14:paraId="229B8942">
            <w:pPr>
              <w:jc w:val="both"/>
              <w:rPr>
                <w:highlight w:val="none"/>
                <w:vertAlign w:val="baseline"/>
              </w:rPr>
            </w:pPr>
          </w:p>
        </w:tc>
      </w:tr>
      <w:tr w14:paraId="3C5D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6DAD6D">
            <w:pPr>
              <w:jc w:val="center"/>
              <w:rPr>
                <w:rFonts w:hint="default"/>
                <w:highlight w:val="none"/>
                <w:vertAlign w:val="baseline"/>
                <w:lang w:val="en-US" w:eastAsia="zh-CN"/>
              </w:rPr>
            </w:pPr>
            <w:r>
              <w:rPr>
                <w:rFonts w:hint="eastAsia"/>
                <w:highlight w:val="none"/>
                <w:vertAlign w:val="baseline"/>
                <w:lang w:val="en-US" w:eastAsia="zh-CN"/>
              </w:rPr>
              <w:t>153</w:t>
            </w:r>
          </w:p>
        </w:tc>
        <w:tc>
          <w:tcPr>
            <w:tcW w:w="1690" w:type="dxa"/>
            <w:noWrap w:val="0"/>
            <w:vAlign w:val="center"/>
          </w:tcPr>
          <w:p w14:paraId="2C6DA1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试管刷</w:t>
            </w:r>
          </w:p>
        </w:tc>
        <w:tc>
          <w:tcPr>
            <w:tcW w:w="5928" w:type="dxa"/>
            <w:noWrap w:val="0"/>
            <w:vAlign w:val="center"/>
          </w:tcPr>
          <w:p w14:paraId="00B3DDA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12 mm</w:t>
            </w:r>
          </w:p>
        </w:tc>
        <w:tc>
          <w:tcPr>
            <w:tcW w:w="736" w:type="dxa"/>
            <w:noWrap w:val="0"/>
            <w:vAlign w:val="bottom"/>
          </w:tcPr>
          <w:p w14:paraId="0442815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5B340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6AEDA8C">
            <w:pPr>
              <w:jc w:val="center"/>
              <w:rPr>
                <w:highlight w:val="none"/>
              </w:rPr>
            </w:pPr>
          </w:p>
        </w:tc>
        <w:tc>
          <w:tcPr>
            <w:tcW w:w="710" w:type="dxa"/>
            <w:gridSpan w:val="2"/>
            <w:noWrap w:val="0"/>
            <w:vAlign w:val="center"/>
          </w:tcPr>
          <w:p w14:paraId="15852C32">
            <w:pPr>
              <w:jc w:val="both"/>
              <w:rPr>
                <w:highlight w:val="none"/>
                <w:vertAlign w:val="baseline"/>
              </w:rPr>
            </w:pPr>
          </w:p>
        </w:tc>
      </w:tr>
      <w:tr w14:paraId="3B3E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6047E9">
            <w:pPr>
              <w:jc w:val="center"/>
              <w:rPr>
                <w:rFonts w:hint="default"/>
                <w:highlight w:val="none"/>
                <w:vertAlign w:val="baseline"/>
                <w:lang w:val="en-US" w:eastAsia="zh-CN"/>
              </w:rPr>
            </w:pPr>
            <w:r>
              <w:rPr>
                <w:rFonts w:hint="eastAsia"/>
                <w:highlight w:val="none"/>
                <w:vertAlign w:val="baseline"/>
                <w:lang w:val="en-US" w:eastAsia="zh-CN"/>
              </w:rPr>
              <w:t>154</w:t>
            </w:r>
          </w:p>
        </w:tc>
        <w:tc>
          <w:tcPr>
            <w:tcW w:w="1690" w:type="dxa"/>
            <w:noWrap w:val="0"/>
            <w:vAlign w:val="center"/>
          </w:tcPr>
          <w:p w14:paraId="712FDD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试管刷</w:t>
            </w:r>
          </w:p>
        </w:tc>
        <w:tc>
          <w:tcPr>
            <w:tcW w:w="5928" w:type="dxa"/>
            <w:noWrap w:val="0"/>
            <w:vAlign w:val="center"/>
          </w:tcPr>
          <w:p w14:paraId="1CE388E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18 mm</w:t>
            </w:r>
          </w:p>
        </w:tc>
        <w:tc>
          <w:tcPr>
            <w:tcW w:w="736" w:type="dxa"/>
            <w:noWrap w:val="0"/>
            <w:vAlign w:val="bottom"/>
          </w:tcPr>
          <w:p w14:paraId="08BC7DA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3A4AD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5A72DC3">
            <w:pPr>
              <w:jc w:val="center"/>
              <w:rPr>
                <w:highlight w:val="none"/>
              </w:rPr>
            </w:pPr>
          </w:p>
        </w:tc>
        <w:tc>
          <w:tcPr>
            <w:tcW w:w="710" w:type="dxa"/>
            <w:gridSpan w:val="2"/>
            <w:noWrap w:val="0"/>
            <w:vAlign w:val="center"/>
          </w:tcPr>
          <w:p w14:paraId="3389C314">
            <w:pPr>
              <w:jc w:val="both"/>
              <w:rPr>
                <w:highlight w:val="none"/>
                <w:vertAlign w:val="baseline"/>
              </w:rPr>
            </w:pPr>
          </w:p>
        </w:tc>
      </w:tr>
      <w:tr w14:paraId="5906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C08064E">
            <w:pPr>
              <w:jc w:val="center"/>
              <w:rPr>
                <w:rFonts w:hint="default"/>
                <w:highlight w:val="none"/>
                <w:vertAlign w:val="baseline"/>
                <w:lang w:val="en-US" w:eastAsia="zh-CN"/>
              </w:rPr>
            </w:pPr>
            <w:r>
              <w:rPr>
                <w:rFonts w:hint="eastAsia"/>
                <w:highlight w:val="none"/>
                <w:vertAlign w:val="baseline"/>
                <w:lang w:val="en-US" w:eastAsia="zh-CN"/>
              </w:rPr>
              <w:t>155</w:t>
            </w:r>
          </w:p>
        </w:tc>
        <w:tc>
          <w:tcPr>
            <w:tcW w:w="1690" w:type="dxa"/>
            <w:noWrap w:val="0"/>
            <w:vAlign w:val="center"/>
          </w:tcPr>
          <w:p w14:paraId="29D5DA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试管刷</w:t>
            </w:r>
          </w:p>
        </w:tc>
        <w:tc>
          <w:tcPr>
            <w:tcW w:w="5928" w:type="dxa"/>
            <w:noWrap w:val="0"/>
            <w:vAlign w:val="center"/>
          </w:tcPr>
          <w:p w14:paraId="3DE25D5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32 mm</w:t>
            </w:r>
          </w:p>
        </w:tc>
        <w:tc>
          <w:tcPr>
            <w:tcW w:w="736" w:type="dxa"/>
            <w:noWrap w:val="0"/>
            <w:vAlign w:val="bottom"/>
          </w:tcPr>
          <w:p w14:paraId="68C1FF3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B5B12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31E5BCA">
            <w:pPr>
              <w:jc w:val="center"/>
              <w:rPr>
                <w:highlight w:val="none"/>
              </w:rPr>
            </w:pPr>
          </w:p>
        </w:tc>
        <w:tc>
          <w:tcPr>
            <w:tcW w:w="710" w:type="dxa"/>
            <w:gridSpan w:val="2"/>
            <w:noWrap w:val="0"/>
            <w:vAlign w:val="center"/>
          </w:tcPr>
          <w:p w14:paraId="15D5A191">
            <w:pPr>
              <w:jc w:val="both"/>
              <w:rPr>
                <w:highlight w:val="none"/>
                <w:vertAlign w:val="baseline"/>
              </w:rPr>
            </w:pPr>
          </w:p>
        </w:tc>
      </w:tr>
      <w:tr w14:paraId="767D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5BB982">
            <w:pPr>
              <w:jc w:val="center"/>
              <w:rPr>
                <w:rFonts w:hint="default"/>
                <w:highlight w:val="none"/>
                <w:vertAlign w:val="baseline"/>
                <w:lang w:val="en-US" w:eastAsia="zh-CN"/>
              </w:rPr>
            </w:pPr>
            <w:r>
              <w:rPr>
                <w:rFonts w:hint="eastAsia"/>
                <w:highlight w:val="none"/>
                <w:vertAlign w:val="baseline"/>
                <w:lang w:val="en-US" w:eastAsia="zh-CN"/>
              </w:rPr>
              <w:t>156</w:t>
            </w:r>
          </w:p>
        </w:tc>
        <w:tc>
          <w:tcPr>
            <w:tcW w:w="1690" w:type="dxa"/>
            <w:noWrap w:val="0"/>
            <w:vAlign w:val="center"/>
          </w:tcPr>
          <w:p w14:paraId="0BAA28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烧瓶刷</w:t>
            </w:r>
          </w:p>
        </w:tc>
        <w:tc>
          <w:tcPr>
            <w:tcW w:w="5928" w:type="dxa"/>
            <w:noWrap w:val="0"/>
            <w:vAlign w:val="center"/>
          </w:tcPr>
          <w:p w14:paraId="4D798FB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w:t>
            </w:r>
          </w:p>
        </w:tc>
        <w:tc>
          <w:tcPr>
            <w:tcW w:w="736" w:type="dxa"/>
            <w:noWrap w:val="0"/>
            <w:vAlign w:val="bottom"/>
          </w:tcPr>
          <w:p w14:paraId="0431F4C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F544C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B5039EF">
            <w:pPr>
              <w:jc w:val="center"/>
              <w:rPr>
                <w:highlight w:val="none"/>
              </w:rPr>
            </w:pPr>
          </w:p>
        </w:tc>
        <w:tc>
          <w:tcPr>
            <w:tcW w:w="710" w:type="dxa"/>
            <w:gridSpan w:val="2"/>
            <w:noWrap w:val="0"/>
            <w:vAlign w:val="center"/>
          </w:tcPr>
          <w:p w14:paraId="255DB674">
            <w:pPr>
              <w:jc w:val="both"/>
              <w:rPr>
                <w:highlight w:val="none"/>
                <w:vertAlign w:val="baseline"/>
              </w:rPr>
            </w:pPr>
          </w:p>
        </w:tc>
      </w:tr>
      <w:tr w14:paraId="4D7D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D7E9E4">
            <w:pPr>
              <w:jc w:val="center"/>
              <w:rPr>
                <w:rFonts w:hint="default"/>
                <w:highlight w:val="none"/>
                <w:vertAlign w:val="baseline"/>
                <w:lang w:val="en-US" w:eastAsia="zh-CN"/>
              </w:rPr>
            </w:pPr>
            <w:r>
              <w:rPr>
                <w:rFonts w:hint="eastAsia"/>
                <w:highlight w:val="none"/>
                <w:vertAlign w:val="baseline"/>
                <w:lang w:val="en-US" w:eastAsia="zh-CN"/>
              </w:rPr>
              <w:t>157</w:t>
            </w:r>
          </w:p>
        </w:tc>
        <w:tc>
          <w:tcPr>
            <w:tcW w:w="1690" w:type="dxa"/>
            <w:noWrap w:val="0"/>
            <w:vAlign w:val="center"/>
          </w:tcPr>
          <w:p w14:paraId="5BB42C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烧瓶刷</w:t>
            </w:r>
          </w:p>
        </w:tc>
        <w:tc>
          <w:tcPr>
            <w:tcW w:w="5928" w:type="dxa"/>
            <w:noWrap w:val="0"/>
            <w:vAlign w:val="center"/>
          </w:tcPr>
          <w:p w14:paraId="37F81DF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w:t>
            </w:r>
          </w:p>
        </w:tc>
        <w:tc>
          <w:tcPr>
            <w:tcW w:w="736" w:type="dxa"/>
            <w:noWrap w:val="0"/>
            <w:vAlign w:val="bottom"/>
          </w:tcPr>
          <w:p w14:paraId="25F3AEA4">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DA97B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AD638F2">
            <w:pPr>
              <w:jc w:val="center"/>
              <w:rPr>
                <w:highlight w:val="none"/>
              </w:rPr>
            </w:pPr>
          </w:p>
        </w:tc>
        <w:tc>
          <w:tcPr>
            <w:tcW w:w="710" w:type="dxa"/>
            <w:gridSpan w:val="2"/>
            <w:noWrap w:val="0"/>
            <w:vAlign w:val="center"/>
          </w:tcPr>
          <w:p w14:paraId="068E0C8C">
            <w:pPr>
              <w:jc w:val="both"/>
              <w:rPr>
                <w:highlight w:val="none"/>
                <w:vertAlign w:val="baseline"/>
              </w:rPr>
            </w:pPr>
          </w:p>
        </w:tc>
      </w:tr>
      <w:tr w14:paraId="1A5A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FA768F">
            <w:pPr>
              <w:jc w:val="center"/>
              <w:rPr>
                <w:rFonts w:hint="default"/>
                <w:highlight w:val="none"/>
                <w:vertAlign w:val="baseline"/>
                <w:lang w:val="en-US" w:eastAsia="zh-CN"/>
              </w:rPr>
            </w:pPr>
            <w:r>
              <w:rPr>
                <w:rFonts w:hint="eastAsia"/>
                <w:highlight w:val="none"/>
                <w:vertAlign w:val="baseline"/>
                <w:lang w:val="en-US" w:eastAsia="zh-CN"/>
              </w:rPr>
              <w:t>158</w:t>
            </w:r>
          </w:p>
        </w:tc>
        <w:tc>
          <w:tcPr>
            <w:tcW w:w="1690" w:type="dxa"/>
            <w:noWrap w:val="0"/>
            <w:vAlign w:val="center"/>
          </w:tcPr>
          <w:p w14:paraId="53D89F2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结晶皿</w:t>
            </w:r>
          </w:p>
        </w:tc>
        <w:tc>
          <w:tcPr>
            <w:tcW w:w="5928" w:type="dxa"/>
            <w:noWrap w:val="0"/>
            <w:vAlign w:val="center"/>
          </w:tcPr>
          <w:p w14:paraId="6984B03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80 mm ，平底,玻璃制</w:t>
            </w:r>
          </w:p>
        </w:tc>
        <w:tc>
          <w:tcPr>
            <w:tcW w:w="736" w:type="dxa"/>
            <w:noWrap w:val="0"/>
            <w:vAlign w:val="bottom"/>
          </w:tcPr>
          <w:p w14:paraId="475CBEE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BE8D2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C801A10">
            <w:pPr>
              <w:jc w:val="center"/>
              <w:rPr>
                <w:highlight w:val="none"/>
              </w:rPr>
            </w:pPr>
          </w:p>
        </w:tc>
        <w:tc>
          <w:tcPr>
            <w:tcW w:w="710" w:type="dxa"/>
            <w:gridSpan w:val="2"/>
            <w:noWrap w:val="0"/>
            <w:vAlign w:val="center"/>
          </w:tcPr>
          <w:p w14:paraId="393FDE8D">
            <w:pPr>
              <w:jc w:val="both"/>
              <w:rPr>
                <w:highlight w:val="none"/>
                <w:vertAlign w:val="baseline"/>
              </w:rPr>
            </w:pPr>
          </w:p>
        </w:tc>
      </w:tr>
      <w:tr w14:paraId="63FE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1BE34C">
            <w:pPr>
              <w:jc w:val="center"/>
              <w:rPr>
                <w:rFonts w:hint="default"/>
                <w:highlight w:val="none"/>
                <w:vertAlign w:val="baseline"/>
                <w:lang w:val="en-US" w:eastAsia="zh-CN"/>
              </w:rPr>
            </w:pPr>
            <w:r>
              <w:rPr>
                <w:rFonts w:hint="eastAsia"/>
                <w:highlight w:val="none"/>
                <w:vertAlign w:val="baseline"/>
                <w:lang w:val="en-US" w:eastAsia="zh-CN"/>
              </w:rPr>
              <w:t>159</w:t>
            </w:r>
          </w:p>
        </w:tc>
        <w:tc>
          <w:tcPr>
            <w:tcW w:w="1690" w:type="dxa"/>
            <w:noWrap w:val="0"/>
            <w:vAlign w:val="center"/>
          </w:tcPr>
          <w:p w14:paraId="7021F4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表面皿</w:t>
            </w:r>
          </w:p>
        </w:tc>
        <w:tc>
          <w:tcPr>
            <w:tcW w:w="5928" w:type="dxa"/>
            <w:noWrap w:val="0"/>
            <w:vAlign w:val="center"/>
          </w:tcPr>
          <w:p w14:paraId="1578763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mm,玻璃制</w:t>
            </w:r>
          </w:p>
        </w:tc>
        <w:tc>
          <w:tcPr>
            <w:tcW w:w="736" w:type="dxa"/>
            <w:noWrap w:val="0"/>
            <w:vAlign w:val="bottom"/>
          </w:tcPr>
          <w:p w14:paraId="5E3980F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31B85D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B4D70C4">
            <w:pPr>
              <w:jc w:val="center"/>
              <w:rPr>
                <w:highlight w:val="none"/>
              </w:rPr>
            </w:pPr>
          </w:p>
        </w:tc>
        <w:tc>
          <w:tcPr>
            <w:tcW w:w="710" w:type="dxa"/>
            <w:gridSpan w:val="2"/>
            <w:noWrap w:val="0"/>
            <w:vAlign w:val="center"/>
          </w:tcPr>
          <w:p w14:paraId="161B09F4">
            <w:pPr>
              <w:jc w:val="both"/>
              <w:rPr>
                <w:highlight w:val="none"/>
                <w:vertAlign w:val="baseline"/>
              </w:rPr>
            </w:pPr>
          </w:p>
        </w:tc>
      </w:tr>
      <w:tr w14:paraId="1293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617DAF">
            <w:pPr>
              <w:jc w:val="center"/>
              <w:rPr>
                <w:rFonts w:hint="default"/>
                <w:highlight w:val="none"/>
                <w:vertAlign w:val="baseline"/>
                <w:lang w:val="en-US" w:eastAsia="zh-CN"/>
              </w:rPr>
            </w:pPr>
            <w:r>
              <w:rPr>
                <w:rFonts w:hint="eastAsia"/>
                <w:highlight w:val="none"/>
                <w:vertAlign w:val="baseline"/>
                <w:lang w:val="en-US" w:eastAsia="zh-CN"/>
              </w:rPr>
              <w:t>160</w:t>
            </w:r>
          </w:p>
        </w:tc>
        <w:tc>
          <w:tcPr>
            <w:tcW w:w="1690" w:type="dxa"/>
            <w:noWrap w:val="0"/>
            <w:vAlign w:val="center"/>
          </w:tcPr>
          <w:p w14:paraId="5BA4BB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表面皿</w:t>
            </w:r>
          </w:p>
        </w:tc>
        <w:tc>
          <w:tcPr>
            <w:tcW w:w="5928" w:type="dxa"/>
            <w:noWrap w:val="0"/>
            <w:vAlign w:val="center"/>
          </w:tcPr>
          <w:p w14:paraId="24873EF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mm,玻璃制</w:t>
            </w:r>
          </w:p>
        </w:tc>
        <w:tc>
          <w:tcPr>
            <w:tcW w:w="736" w:type="dxa"/>
            <w:noWrap w:val="0"/>
            <w:vAlign w:val="bottom"/>
          </w:tcPr>
          <w:p w14:paraId="2275234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775D6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20EFCC0">
            <w:pPr>
              <w:jc w:val="center"/>
              <w:rPr>
                <w:highlight w:val="none"/>
              </w:rPr>
            </w:pPr>
          </w:p>
        </w:tc>
        <w:tc>
          <w:tcPr>
            <w:tcW w:w="710" w:type="dxa"/>
            <w:gridSpan w:val="2"/>
            <w:noWrap w:val="0"/>
            <w:vAlign w:val="center"/>
          </w:tcPr>
          <w:p w14:paraId="1927EB43">
            <w:pPr>
              <w:jc w:val="both"/>
              <w:rPr>
                <w:highlight w:val="none"/>
                <w:vertAlign w:val="baseline"/>
              </w:rPr>
            </w:pPr>
          </w:p>
        </w:tc>
      </w:tr>
      <w:tr w14:paraId="4876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8DBCF2">
            <w:pPr>
              <w:jc w:val="center"/>
              <w:rPr>
                <w:rFonts w:hint="default"/>
                <w:highlight w:val="none"/>
                <w:vertAlign w:val="baseline"/>
                <w:lang w:val="en-US" w:eastAsia="zh-CN"/>
              </w:rPr>
            </w:pPr>
            <w:r>
              <w:rPr>
                <w:rFonts w:hint="eastAsia"/>
                <w:highlight w:val="none"/>
                <w:vertAlign w:val="baseline"/>
                <w:lang w:val="en-US" w:eastAsia="zh-CN"/>
              </w:rPr>
              <w:t>161</w:t>
            </w:r>
          </w:p>
        </w:tc>
        <w:tc>
          <w:tcPr>
            <w:tcW w:w="1690" w:type="dxa"/>
            <w:noWrap w:val="0"/>
            <w:vAlign w:val="center"/>
          </w:tcPr>
          <w:p w14:paraId="70A5C99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研钵</w:t>
            </w:r>
          </w:p>
        </w:tc>
        <w:tc>
          <w:tcPr>
            <w:tcW w:w="5928" w:type="dxa"/>
            <w:noWrap w:val="0"/>
            <w:vAlign w:val="center"/>
          </w:tcPr>
          <w:p w14:paraId="14AACE5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mm 瓷制，配有研杵</w:t>
            </w:r>
          </w:p>
        </w:tc>
        <w:tc>
          <w:tcPr>
            <w:tcW w:w="736" w:type="dxa"/>
            <w:noWrap w:val="0"/>
            <w:vAlign w:val="bottom"/>
          </w:tcPr>
          <w:p w14:paraId="325682C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B1FA0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D4A69E2">
            <w:pPr>
              <w:jc w:val="center"/>
              <w:rPr>
                <w:highlight w:val="none"/>
              </w:rPr>
            </w:pPr>
          </w:p>
        </w:tc>
        <w:tc>
          <w:tcPr>
            <w:tcW w:w="710" w:type="dxa"/>
            <w:gridSpan w:val="2"/>
            <w:noWrap w:val="0"/>
            <w:vAlign w:val="center"/>
          </w:tcPr>
          <w:p w14:paraId="6E3C3B39">
            <w:pPr>
              <w:jc w:val="both"/>
              <w:rPr>
                <w:highlight w:val="none"/>
                <w:vertAlign w:val="baseline"/>
              </w:rPr>
            </w:pPr>
          </w:p>
        </w:tc>
      </w:tr>
      <w:tr w14:paraId="2AFF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762646">
            <w:pPr>
              <w:jc w:val="center"/>
              <w:rPr>
                <w:rFonts w:hint="default"/>
                <w:highlight w:val="none"/>
                <w:vertAlign w:val="baseline"/>
                <w:lang w:val="en-US" w:eastAsia="zh-CN"/>
              </w:rPr>
            </w:pPr>
            <w:r>
              <w:rPr>
                <w:rFonts w:hint="eastAsia"/>
                <w:highlight w:val="none"/>
                <w:vertAlign w:val="baseline"/>
                <w:lang w:val="en-US" w:eastAsia="zh-CN"/>
              </w:rPr>
              <w:t>162</w:t>
            </w:r>
          </w:p>
        </w:tc>
        <w:tc>
          <w:tcPr>
            <w:tcW w:w="1690" w:type="dxa"/>
            <w:noWrap w:val="0"/>
            <w:vAlign w:val="center"/>
          </w:tcPr>
          <w:p w14:paraId="734EBD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研钵</w:t>
            </w:r>
          </w:p>
        </w:tc>
        <w:tc>
          <w:tcPr>
            <w:tcW w:w="5928" w:type="dxa"/>
            <w:noWrap w:val="0"/>
            <w:vAlign w:val="center"/>
          </w:tcPr>
          <w:p w14:paraId="08F33F3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mm 瓷制，配有研杵</w:t>
            </w:r>
          </w:p>
        </w:tc>
        <w:tc>
          <w:tcPr>
            <w:tcW w:w="736" w:type="dxa"/>
            <w:noWrap w:val="0"/>
            <w:vAlign w:val="bottom"/>
          </w:tcPr>
          <w:p w14:paraId="43B081E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24591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B050887">
            <w:pPr>
              <w:jc w:val="center"/>
              <w:rPr>
                <w:highlight w:val="none"/>
              </w:rPr>
            </w:pPr>
          </w:p>
        </w:tc>
        <w:tc>
          <w:tcPr>
            <w:tcW w:w="710" w:type="dxa"/>
            <w:gridSpan w:val="2"/>
            <w:noWrap w:val="0"/>
            <w:vAlign w:val="center"/>
          </w:tcPr>
          <w:p w14:paraId="799F9CF9">
            <w:pPr>
              <w:jc w:val="both"/>
              <w:rPr>
                <w:highlight w:val="none"/>
                <w:vertAlign w:val="baseline"/>
              </w:rPr>
            </w:pPr>
          </w:p>
        </w:tc>
      </w:tr>
      <w:tr w14:paraId="1A97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13F8D8D7">
            <w:pPr>
              <w:jc w:val="center"/>
              <w:rPr>
                <w:rFonts w:hint="default"/>
                <w:highlight w:val="none"/>
                <w:vertAlign w:val="baseline"/>
                <w:lang w:val="en-US" w:eastAsia="zh-CN"/>
              </w:rPr>
            </w:pPr>
            <w:r>
              <w:rPr>
                <w:rFonts w:hint="eastAsia"/>
                <w:highlight w:val="none"/>
                <w:vertAlign w:val="baseline"/>
                <w:lang w:val="en-US" w:eastAsia="zh-CN"/>
              </w:rPr>
              <w:t>163</w:t>
            </w:r>
          </w:p>
        </w:tc>
        <w:tc>
          <w:tcPr>
            <w:tcW w:w="1690" w:type="dxa"/>
            <w:noWrap w:val="0"/>
            <w:vAlign w:val="center"/>
          </w:tcPr>
          <w:p w14:paraId="52BA36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蒸发皿</w:t>
            </w:r>
          </w:p>
        </w:tc>
        <w:tc>
          <w:tcPr>
            <w:tcW w:w="5928" w:type="dxa"/>
            <w:noWrap w:val="0"/>
            <w:vAlign w:val="center"/>
          </w:tcPr>
          <w:p w14:paraId="0CB2798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mm 瓷制</w:t>
            </w:r>
          </w:p>
        </w:tc>
        <w:tc>
          <w:tcPr>
            <w:tcW w:w="736" w:type="dxa"/>
            <w:noWrap w:val="0"/>
            <w:vAlign w:val="bottom"/>
          </w:tcPr>
          <w:p w14:paraId="1E255F3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C6AAB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A877108">
            <w:pPr>
              <w:jc w:val="center"/>
              <w:rPr>
                <w:highlight w:val="none"/>
              </w:rPr>
            </w:pPr>
          </w:p>
        </w:tc>
        <w:tc>
          <w:tcPr>
            <w:tcW w:w="710" w:type="dxa"/>
            <w:gridSpan w:val="2"/>
            <w:noWrap w:val="0"/>
            <w:vAlign w:val="center"/>
          </w:tcPr>
          <w:p w14:paraId="0332E869">
            <w:pPr>
              <w:jc w:val="both"/>
              <w:rPr>
                <w:highlight w:val="none"/>
                <w:vertAlign w:val="baseline"/>
              </w:rPr>
            </w:pPr>
          </w:p>
        </w:tc>
      </w:tr>
      <w:tr w14:paraId="4CEB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8670DC">
            <w:pPr>
              <w:jc w:val="center"/>
              <w:rPr>
                <w:rFonts w:hint="default"/>
                <w:highlight w:val="none"/>
                <w:vertAlign w:val="baseline"/>
                <w:lang w:val="en-US" w:eastAsia="zh-CN"/>
              </w:rPr>
            </w:pPr>
            <w:r>
              <w:rPr>
                <w:rFonts w:hint="eastAsia"/>
                <w:highlight w:val="none"/>
                <w:vertAlign w:val="baseline"/>
                <w:lang w:val="en-US" w:eastAsia="zh-CN"/>
              </w:rPr>
              <w:t>164</w:t>
            </w:r>
          </w:p>
        </w:tc>
        <w:tc>
          <w:tcPr>
            <w:tcW w:w="1690" w:type="dxa"/>
            <w:noWrap w:val="0"/>
            <w:vAlign w:val="center"/>
          </w:tcPr>
          <w:p w14:paraId="70CE52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蒸发皿</w:t>
            </w:r>
          </w:p>
        </w:tc>
        <w:tc>
          <w:tcPr>
            <w:tcW w:w="5928" w:type="dxa"/>
            <w:noWrap w:val="0"/>
            <w:vAlign w:val="center"/>
          </w:tcPr>
          <w:p w14:paraId="2297868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120 mm 瓷制</w:t>
            </w:r>
          </w:p>
        </w:tc>
        <w:tc>
          <w:tcPr>
            <w:tcW w:w="736" w:type="dxa"/>
            <w:noWrap w:val="0"/>
            <w:vAlign w:val="bottom"/>
          </w:tcPr>
          <w:p w14:paraId="7762020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77C54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3B0F84A4">
            <w:pPr>
              <w:jc w:val="center"/>
              <w:rPr>
                <w:highlight w:val="none"/>
              </w:rPr>
            </w:pPr>
          </w:p>
        </w:tc>
        <w:tc>
          <w:tcPr>
            <w:tcW w:w="710" w:type="dxa"/>
            <w:gridSpan w:val="2"/>
            <w:noWrap w:val="0"/>
            <w:vAlign w:val="center"/>
          </w:tcPr>
          <w:p w14:paraId="6DEAA1D9">
            <w:pPr>
              <w:jc w:val="both"/>
              <w:rPr>
                <w:highlight w:val="none"/>
                <w:vertAlign w:val="baseline"/>
              </w:rPr>
            </w:pPr>
          </w:p>
        </w:tc>
      </w:tr>
      <w:tr w14:paraId="18C4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25AE7B">
            <w:pPr>
              <w:jc w:val="center"/>
              <w:rPr>
                <w:rFonts w:hint="default"/>
                <w:highlight w:val="none"/>
                <w:vertAlign w:val="baseline"/>
                <w:lang w:val="en-US" w:eastAsia="zh-CN"/>
              </w:rPr>
            </w:pPr>
            <w:r>
              <w:rPr>
                <w:rFonts w:hint="eastAsia"/>
                <w:highlight w:val="none"/>
                <w:vertAlign w:val="baseline"/>
                <w:lang w:val="en-US" w:eastAsia="zh-CN"/>
              </w:rPr>
              <w:t>165</w:t>
            </w:r>
          </w:p>
        </w:tc>
        <w:tc>
          <w:tcPr>
            <w:tcW w:w="1690" w:type="dxa"/>
            <w:noWrap w:val="0"/>
            <w:vAlign w:val="center"/>
          </w:tcPr>
          <w:p w14:paraId="1A0A52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反应板</w:t>
            </w:r>
          </w:p>
        </w:tc>
        <w:tc>
          <w:tcPr>
            <w:tcW w:w="5928" w:type="dxa"/>
            <w:noWrap w:val="0"/>
            <w:vAlign w:val="center"/>
          </w:tcPr>
          <w:p w14:paraId="6CE14D1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白色陶瓷， 6 孔</w:t>
            </w:r>
          </w:p>
        </w:tc>
        <w:tc>
          <w:tcPr>
            <w:tcW w:w="736" w:type="dxa"/>
            <w:noWrap w:val="0"/>
            <w:vAlign w:val="bottom"/>
          </w:tcPr>
          <w:p w14:paraId="2063E0E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B42FCC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4BF57DC">
            <w:pPr>
              <w:jc w:val="center"/>
              <w:rPr>
                <w:highlight w:val="none"/>
              </w:rPr>
            </w:pPr>
          </w:p>
        </w:tc>
        <w:tc>
          <w:tcPr>
            <w:tcW w:w="710" w:type="dxa"/>
            <w:gridSpan w:val="2"/>
            <w:noWrap w:val="0"/>
            <w:vAlign w:val="center"/>
          </w:tcPr>
          <w:p w14:paraId="507E33E7">
            <w:pPr>
              <w:jc w:val="both"/>
              <w:rPr>
                <w:highlight w:val="none"/>
                <w:vertAlign w:val="baseline"/>
              </w:rPr>
            </w:pPr>
          </w:p>
        </w:tc>
      </w:tr>
      <w:tr w14:paraId="7D62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E913F73">
            <w:pPr>
              <w:jc w:val="center"/>
              <w:rPr>
                <w:rFonts w:hint="default"/>
                <w:highlight w:val="none"/>
                <w:vertAlign w:val="baseline"/>
                <w:lang w:val="en-US" w:eastAsia="zh-CN"/>
              </w:rPr>
            </w:pPr>
            <w:r>
              <w:rPr>
                <w:rFonts w:hint="eastAsia"/>
                <w:highlight w:val="none"/>
                <w:vertAlign w:val="baseline"/>
                <w:lang w:val="en-US" w:eastAsia="zh-CN"/>
              </w:rPr>
              <w:t>166</w:t>
            </w:r>
          </w:p>
        </w:tc>
        <w:tc>
          <w:tcPr>
            <w:tcW w:w="1690" w:type="dxa"/>
            <w:noWrap w:val="0"/>
            <w:vAlign w:val="center"/>
          </w:tcPr>
          <w:p w14:paraId="7081AC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井穴板</w:t>
            </w:r>
          </w:p>
        </w:tc>
        <w:tc>
          <w:tcPr>
            <w:tcW w:w="5928" w:type="dxa"/>
            <w:noWrap w:val="0"/>
            <w:vAlign w:val="center"/>
          </w:tcPr>
          <w:p w14:paraId="4AE9E07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透明塑料， 9 孔</w:t>
            </w:r>
          </w:p>
        </w:tc>
        <w:tc>
          <w:tcPr>
            <w:tcW w:w="736" w:type="dxa"/>
            <w:noWrap w:val="0"/>
            <w:vAlign w:val="bottom"/>
          </w:tcPr>
          <w:p w14:paraId="7D78763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26EE5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E1C0FF4">
            <w:pPr>
              <w:jc w:val="center"/>
              <w:rPr>
                <w:highlight w:val="none"/>
              </w:rPr>
            </w:pPr>
          </w:p>
        </w:tc>
        <w:tc>
          <w:tcPr>
            <w:tcW w:w="710" w:type="dxa"/>
            <w:gridSpan w:val="2"/>
            <w:noWrap w:val="0"/>
            <w:vAlign w:val="center"/>
          </w:tcPr>
          <w:p w14:paraId="4E2C0778">
            <w:pPr>
              <w:jc w:val="both"/>
              <w:rPr>
                <w:highlight w:val="none"/>
                <w:vertAlign w:val="baseline"/>
              </w:rPr>
            </w:pPr>
          </w:p>
        </w:tc>
      </w:tr>
      <w:tr w14:paraId="618C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22CC1E">
            <w:pPr>
              <w:jc w:val="center"/>
              <w:rPr>
                <w:rFonts w:hint="default"/>
                <w:highlight w:val="none"/>
                <w:vertAlign w:val="baseline"/>
                <w:lang w:val="en-US" w:eastAsia="zh-CN"/>
              </w:rPr>
            </w:pPr>
            <w:r>
              <w:rPr>
                <w:rFonts w:hint="eastAsia"/>
                <w:highlight w:val="none"/>
                <w:vertAlign w:val="baseline"/>
                <w:lang w:val="en-US" w:eastAsia="zh-CN"/>
              </w:rPr>
              <w:t>167</w:t>
            </w:r>
          </w:p>
        </w:tc>
        <w:tc>
          <w:tcPr>
            <w:tcW w:w="1690" w:type="dxa"/>
            <w:noWrap w:val="0"/>
            <w:vAlign w:val="center"/>
          </w:tcPr>
          <w:p w14:paraId="5D0089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井穴板</w:t>
            </w:r>
          </w:p>
        </w:tc>
        <w:tc>
          <w:tcPr>
            <w:tcW w:w="5928" w:type="dxa"/>
            <w:noWrap w:val="0"/>
            <w:vAlign w:val="center"/>
          </w:tcPr>
          <w:p w14:paraId="62C1476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透明塑料， 6 孔,配6个井穴塞</w:t>
            </w:r>
          </w:p>
        </w:tc>
        <w:tc>
          <w:tcPr>
            <w:tcW w:w="736" w:type="dxa"/>
            <w:noWrap w:val="0"/>
            <w:vAlign w:val="bottom"/>
          </w:tcPr>
          <w:p w14:paraId="619FD30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F5C2C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7F03463">
            <w:pPr>
              <w:jc w:val="center"/>
              <w:rPr>
                <w:highlight w:val="none"/>
              </w:rPr>
            </w:pPr>
          </w:p>
        </w:tc>
        <w:tc>
          <w:tcPr>
            <w:tcW w:w="710" w:type="dxa"/>
            <w:gridSpan w:val="2"/>
            <w:noWrap w:val="0"/>
            <w:vAlign w:val="center"/>
          </w:tcPr>
          <w:p w14:paraId="57C567C9">
            <w:pPr>
              <w:jc w:val="both"/>
              <w:rPr>
                <w:highlight w:val="none"/>
                <w:vertAlign w:val="baseline"/>
              </w:rPr>
            </w:pPr>
          </w:p>
        </w:tc>
      </w:tr>
      <w:tr w14:paraId="144B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F5749D6">
            <w:pPr>
              <w:jc w:val="center"/>
              <w:rPr>
                <w:rFonts w:hint="default"/>
                <w:highlight w:val="none"/>
                <w:vertAlign w:val="baseline"/>
                <w:lang w:val="en-US" w:eastAsia="zh-CN"/>
              </w:rPr>
            </w:pPr>
            <w:r>
              <w:rPr>
                <w:rFonts w:hint="eastAsia"/>
                <w:highlight w:val="none"/>
                <w:vertAlign w:val="baseline"/>
                <w:lang w:val="en-US" w:eastAsia="zh-CN"/>
              </w:rPr>
              <w:t>168</w:t>
            </w:r>
          </w:p>
        </w:tc>
        <w:tc>
          <w:tcPr>
            <w:tcW w:w="1690" w:type="dxa"/>
            <w:noWrap w:val="0"/>
            <w:vAlign w:val="center"/>
          </w:tcPr>
          <w:p w14:paraId="0D7802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塑料多用滴管</w:t>
            </w:r>
          </w:p>
        </w:tc>
        <w:tc>
          <w:tcPr>
            <w:tcW w:w="5928" w:type="dxa"/>
            <w:noWrap w:val="0"/>
            <w:vAlign w:val="center"/>
          </w:tcPr>
          <w:p w14:paraId="591FA75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环保材料制</w:t>
            </w:r>
          </w:p>
        </w:tc>
        <w:tc>
          <w:tcPr>
            <w:tcW w:w="736" w:type="dxa"/>
            <w:noWrap w:val="0"/>
            <w:vAlign w:val="bottom"/>
          </w:tcPr>
          <w:p w14:paraId="6B75397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029124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w:t>
            </w:r>
          </w:p>
        </w:tc>
        <w:tc>
          <w:tcPr>
            <w:tcW w:w="3396" w:type="dxa"/>
            <w:gridSpan w:val="2"/>
            <w:noWrap w:val="0"/>
            <w:vAlign w:val="center"/>
          </w:tcPr>
          <w:p w14:paraId="0C72282E">
            <w:pPr>
              <w:jc w:val="center"/>
              <w:rPr>
                <w:highlight w:val="none"/>
              </w:rPr>
            </w:pPr>
          </w:p>
        </w:tc>
        <w:tc>
          <w:tcPr>
            <w:tcW w:w="710" w:type="dxa"/>
            <w:gridSpan w:val="2"/>
            <w:noWrap w:val="0"/>
            <w:vAlign w:val="center"/>
          </w:tcPr>
          <w:p w14:paraId="6D9D35FF">
            <w:pPr>
              <w:jc w:val="both"/>
              <w:rPr>
                <w:highlight w:val="none"/>
                <w:vertAlign w:val="baseline"/>
              </w:rPr>
            </w:pPr>
          </w:p>
        </w:tc>
      </w:tr>
      <w:tr w14:paraId="2137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A767DBB">
            <w:pPr>
              <w:jc w:val="center"/>
              <w:rPr>
                <w:rFonts w:hint="default"/>
                <w:highlight w:val="none"/>
                <w:vertAlign w:val="baseline"/>
                <w:lang w:val="en-US" w:eastAsia="zh-CN"/>
              </w:rPr>
            </w:pPr>
            <w:r>
              <w:rPr>
                <w:rFonts w:hint="eastAsia"/>
                <w:highlight w:val="none"/>
                <w:vertAlign w:val="baseline"/>
                <w:lang w:val="en-US" w:eastAsia="zh-CN"/>
              </w:rPr>
              <w:t>169</w:t>
            </w:r>
          </w:p>
        </w:tc>
        <w:tc>
          <w:tcPr>
            <w:tcW w:w="1690" w:type="dxa"/>
            <w:noWrap w:val="0"/>
            <w:vAlign w:val="center"/>
          </w:tcPr>
          <w:p w14:paraId="138E7F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塑料洗瓶</w:t>
            </w:r>
          </w:p>
        </w:tc>
        <w:tc>
          <w:tcPr>
            <w:tcW w:w="5928" w:type="dxa"/>
            <w:noWrap w:val="0"/>
            <w:vAlign w:val="center"/>
          </w:tcPr>
          <w:p w14:paraId="6A344F4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250ml</w:t>
            </w:r>
          </w:p>
        </w:tc>
        <w:tc>
          <w:tcPr>
            <w:tcW w:w="736" w:type="dxa"/>
            <w:noWrap w:val="0"/>
            <w:vAlign w:val="bottom"/>
          </w:tcPr>
          <w:p w14:paraId="2A0871D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8F511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A7C86AA">
            <w:pPr>
              <w:jc w:val="center"/>
              <w:rPr>
                <w:highlight w:val="none"/>
              </w:rPr>
            </w:pPr>
          </w:p>
        </w:tc>
        <w:tc>
          <w:tcPr>
            <w:tcW w:w="710" w:type="dxa"/>
            <w:gridSpan w:val="2"/>
            <w:noWrap w:val="0"/>
            <w:vAlign w:val="center"/>
          </w:tcPr>
          <w:p w14:paraId="0426D172">
            <w:pPr>
              <w:jc w:val="both"/>
              <w:rPr>
                <w:highlight w:val="none"/>
                <w:vertAlign w:val="baseline"/>
              </w:rPr>
            </w:pPr>
          </w:p>
        </w:tc>
      </w:tr>
      <w:tr w14:paraId="2B00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31118F">
            <w:pPr>
              <w:jc w:val="center"/>
              <w:rPr>
                <w:rFonts w:hint="default"/>
                <w:highlight w:val="none"/>
                <w:vertAlign w:val="baseline"/>
                <w:lang w:val="en-US" w:eastAsia="zh-CN"/>
              </w:rPr>
            </w:pPr>
            <w:r>
              <w:rPr>
                <w:rFonts w:hint="eastAsia"/>
                <w:highlight w:val="none"/>
                <w:vertAlign w:val="baseline"/>
                <w:lang w:val="en-US" w:eastAsia="zh-CN"/>
              </w:rPr>
              <w:t>170</w:t>
            </w:r>
          </w:p>
        </w:tc>
        <w:tc>
          <w:tcPr>
            <w:tcW w:w="1690" w:type="dxa"/>
            <w:noWrap w:val="0"/>
            <w:vAlign w:val="center"/>
          </w:tcPr>
          <w:p w14:paraId="762F70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塑料水槽</w:t>
            </w:r>
          </w:p>
        </w:tc>
        <w:tc>
          <w:tcPr>
            <w:tcW w:w="5928" w:type="dxa"/>
            <w:noWrap w:val="0"/>
            <w:vAlign w:val="center"/>
          </w:tcPr>
          <w:p w14:paraId="3AEA896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方形长285mm，宽215mm，高100mm</w:t>
            </w:r>
          </w:p>
        </w:tc>
        <w:tc>
          <w:tcPr>
            <w:tcW w:w="736" w:type="dxa"/>
            <w:noWrap w:val="0"/>
            <w:vAlign w:val="bottom"/>
          </w:tcPr>
          <w:p w14:paraId="5C1C5BA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FFACA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2853A15">
            <w:pPr>
              <w:jc w:val="center"/>
              <w:rPr>
                <w:highlight w:val="none"/>
              </w:rPr>
            </w:pPr>
          </w:p>
        </w:tc>
        <w:tc>
          <w:tcPr>
            <w:tcW w:w="710" w:type="dxa"/>
            <w:gridSpan w:val="2"/>
            <w:noWrap w:val="0"/>
            <w:vAlign w:val="center"/>
          </w:tcPr>
          <w:p w14:paraId="6BE36620">
            <w:pPr>
              <w:jc w:val="both"/>
              <w:rPr>
                <w:highlight w:val="none"/>
                <w:vertAlign w:val="baseline"/>
              </w:rPr>
            </w:pPr>
          </w:p>
        </w:tc>
      </w:tr>
      <w:tr w14:paraId="0D57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60FDD0">
            <w:pPr>
              <w:jc w:val="center"/>
              <w:rPr>
                <w:rFonts w:hint="default"/>
                <w:highlight w:val="none"/>
                <w:vertAlign w:val="baseline"/>
                <w:lang w:val="en-US" w:eastAsia="zh-CN"/>
              </w:rPr>
            </w:pPr>
            <w:r>
              <w:rPr>
                <w:rFonts w:hint="eastAsia"/>
                <w:highlight w:val="none"/>
                <w:vertAlign w:val="baseline"/>
                <w:lang w:val="en-US" w:eastAsia="zh-CN"/>
              </w:rPr>
              <w:t>171</w:t>
            </w:r>
          </w:p>
        </w:tc>
        <w:tc>
          <w:tcPr>
            <w:tcW w:w="1690" w:type="dxa"/>
            <w:noWrap w:val="0"/>
            <w:vAlign w:val="center"/>
          </w:tcPr>
          <w:p w14:paraId="1B607F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集气瓶挂扣器</w:t>
            </w:r>
          </w:p>
        </w:tc>
        <w:tc>
          <w:tcPr>
            <w:tcW w:w="5928" w:type="dxa"/>
            <w:noWrap w:val="0"/>
            <w:vAlign w:val="center"/>
          </w:tcPr>
          <w:p w14:paraId="71D1C70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 mL，塑料制</w:t>
            </w:r>
          </w:p>
        </w:tc>
        <w:tc>
          <w:tcPr>
            <w:tcW w:w="736" w:type="dxa"/>
            <w:noWrap w:val="0"/>
            <w:vAlign w:val="bottom"/>
          </w:tcPr>
          <w:p w14:paraId="5D2B12B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25F80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7A13EDD">
            <w:pPr>
              <w:jc w:val="center"/>
              <w:rPr>
                <w:highlight w:val="none"/>
              </w:rPr>
            </w:pPr>
          </w:p>
        </w:tc>
        <w:tc>
          <w:tcPr>
            <w:tcW w:w="710" w:type="dxa"/>
            <w:gridSpan w:val="2"/>
            <w:noWrap w:val="0"/>
            <w:vAlign w:val="center"/>
          </w:tcPr>
          <w:p w14:paraId="2F6EA149">
            <w:pPr>
              <w:jc w:val="both"/>
              <w:rPr>
                <w:highlight w:val="none"/>
                <w:vertAlign w:val="baseline"/>
              </w:rPr>
            </w:pPr>
          </w:p>
        </w:tc>
      </w:tr>
      <w:tr w14:paraId="65A9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F95BF0">
            <w:pPr>
              <w:jc w:val="center"/>
              <w:rPr>
                <w:rFonts w:hint="default"/>
                <w:highlight w:val="none"/>
                <w:vertAlign w:val="baseline"/>
                <w:lang w:val="en-US" w:eastAsia="zh-CN"/>
              </w:rPr>
            </w:pPr>
            <w:r>
              <w:rPr>
                <w:rFonts w:hint="eastAsia"/>
                <w:highlight w:val="none"/>
                <w:vertAlign w:val="baseline"/>
                <w:lang w:val="en-US" w:eastAsia="zh-CN"/>
              </w:rPr>
              <w:t>172</w:t>
            </w:r>
          </w:p>
        </w:tc>
        <w:tc>
          <w:tcPr>
            <w:tcW w:w="1690" w:type="dxa"/>
            <w:noWrap w:val="0"/>
            <w:vAlign w:val="center"/>
          </w:tcPr>
          <w:p w14:paraId="69694E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集气瓶挂扣器</w:t>
            </w:r>
          </w:p>
        </w:tc>
        <w:tc>
          <w:tcPr>
            <w:tcW w:w="5928" w:type="dxa"/>
            <w:noWrap w:val="0"/>
            <w:vAlign w:val="center"/>
          </w:tcPr>
          <w:p w14:paraId="78A1E01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mL，塑料制</w:t>
            </w:r>
          </w:p>
        </w:tc>
        <w:tc>
          <w:tcPr>
            <w:tcW w:w="736" w:type="dxa"/>
            <w:noWrap w:val="0"/>
            <w:vAlign w:val="bottom"/>
          </w:tcPr>
          <w:p w14:paraId="1C7F721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BDD52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B67118E">
            <w:pPr>
              <w:jc w:val="center"/>
              <w:rPr>
                <w:highlight w:val="none"/>
              </w:rPr>
            </w:pPr>
          </w:p>
        </w:tc>
        <w:tc>
          <w:tcPr>
            <w:tcW w:w="710" w:type="dxa"/>
            <w:gridSpan w:val="2"/>
            <w:noWrap w:val="0"/>
            <w:vAlign w:val="center"/>
          </w:tcPr>
          <w:p w14:paraId="36465127">
            <w:pPr>
              <w:jc w:val="both"/>
              <w:rPr>
                <w:highlight w:val="none"/>
                <w:vertAlign w:val="baseline"/>
              </w:rPr>
            </w:pPr>
          </w:p>
        </w:tc>
      </w:tr>
      <w:tr w14:paraId="1DBC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7D4832">
            <w:pPr>
              <w:jc w:val="center"/>
              <w:rPr>
                <w:rFonts w:hint="default"/>
                <w:highlight w:val="none"/>
                <w:vertAlign w:val="baseline"/>
                <w:lang w:val="en-US" w:eastAsia="zh-CN"/>
              </w:rPr>
            </w:pPr>
            <w:r>
              <w:rPr>
                <w:rFonts w:hint="eastAsia"/>
                <w:highlight w:val="none"/>
                <w:vertAlign w:val="baseline"/>
                <w:lang w:val="en-US" w:eastAsia="zh-CN"/>
              </w:rPr>
              <w:t>173</w:t>
            </w:r>
          </w:p>
        </w:tc>
        <w:tc>
          <w:tcPr>
            <w:tcW w:w="1690" w:type="dxa"/>
            <w:noWrap w:val="0"/>
            <w:vAlign w:val="center"/>
          </w:tcPr>
          <w:p w14:paraId="5826EC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升降台</w:t>
            </w:r>
          </w:p>
        </w:tc>
        <w:tc>
          <w:tcPr>
            <w:tcW w:w="5928" w:type="dxa"/>
            <w:noWrap w:val="0"/>
            <w:vAlign w:val="center"/>
          </w:tcPr>
          <w:p w14:paraId="5902E90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升降范围大于150</w:t>
            </w:r>
          </w:p>
        </w:tc>
        <w:tc>
          <w:tcPr>
            <w:tcW w:w="736" w:type="dxa"/>
            <w:noWrap w:val="0"/>
            <w:vAlign w:val="bottom"/>
          </w:tcPr>
          <w:p w14:paraId="7FD52D93">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153C3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4B49682">
            <w:pPr>
              <w:jc w:val="center"/>
              <w:rPr>
                <w:highlight w:val="none"/>
              </w:rPr>
            </w:pPr>
          </w:p>
        </w:tc>
        <w:tc>
          <w:tcPr>
            <w:tcW w:w="710" w:type="dxa"/>
            <w:gridSpan w:val="2"/>
            <w:noWrap w:val="0"/>
            <w:vAlign w:val="center"/>
          </w:tcPr>
          <w:p w14:paraId="0682AFDA">
            <w:pPr>
              <w:jc w:val="both"/>
              <w:rPr>
                <w:highlight w:val="none"/>
                <w:vertAlign w:val="baseline"/>
              </w:rPr>
            </w:pPr>
          </w:p>
        </w:tc>
      </w:tr>
      <w:tr w14:paraId="2358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EE5922">
            <w:pPr>
              <w:jc w:val="center"/>
              <w:rPr>
                <w:rFonts w:hint="default"/>
                <w:highlight w:val="none"/>
                <w:vertAlign w:val="baseline"/>
                <w:lang w:val="en-US" w:eastAsia="zh-CN"/>
              </w:rPr>
            </w:pPr>
            <w:r>
              <w:rPr>
                <w:rFonts w:hint="eastAsia"/>
                <w:highlight w:val="none"/>
                <w:vertAlign w:val="baseline"/>
                <w:lang w:val="en-US" w:eastAsia="zh-CN"/>
              </w:rPr>
              <w:t>174</w:t>
            </w:r>
          </w:p>
        </w:tc>
        <w:tc>
          <w:tcPr>
            <w:tcW w:w="1690" w:type="dxa"/>
            <w:noWrap w:val="0"/>
            <w:vAlign w:val="center"/>
          </w:tcPr>
          <w:p w14:paraId="60847D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注射器</w:t>
            </w:r>
          </w:p>
        </w:tc>
        <w:tc>
          <w:tcPr>
            <w:tcW w:w="5928" w:type="dxa"/>
            <w:noWrap w:val="0"/>
            <w:vAlign w:val="center"/>
          </w:tcPr>
          <w:p w14:paraId="0B7AC07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 mL，塑料制</w:t>
            </w:r>
          </w:p>
        </w:tc>
        <w:tc>
          <w:tcPr>
            <w:tcW w:w="736" w:type="dxa"/>
            <w:noWrap w:val="0"/>
            <w:vAlign w:val="bottom"/>
          </w:tcPr>
          <w:p w14:paraId="7C62455A">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4E498D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376ED01">
            <w:pPr>
              <w:jc w:val="center"/>
              <w:rPr>
                <w:highlight w:val="none"/>
              </w:rPr>
            </w:pPr>
          </w:p>
        </w:tc>
        <w:tc>
          <w:tcPr>
            <w:tcW w:w="710" w:type="dxa"/>
            <w:gridSpan w:val="2"/>
            <w:noWrap w:val="0"/>
            <w:vAlign w:val="center"/>
          </w:tcPr>
          <w:p w14:paraId="63CDE9E1">
            <w:pPr>
              <w:jc w:val="both"/>
              <w:rPr>
                <w:highlight w:val="none"/>
                <w:vertAlign w:val="baseline"/>
              </w:rPr>
            </w:pPr>
          </w:p>
        </w:tc>
      </w:tr>
      <w:tr w14:paraId="1C4E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E65FE3">
            <w:pPr>
              <w:jc w:val="center"/>
              <w:rPr>
                <w:rFonts w:hint="default"/>
                <w:highlight w:val="none"/>
                <w:vertAlign w:val="baseline"/>
                <w:lang w:val="en-US" w:eastAsia="zh-CN"/>
              </w:rPr>
            </w:pPr>
            <w:r>
              <w:rPr>
                <w:rFonts w:hint="eastAsia"/>
                <w:highlight w:val="none"/>
                <w:vertAlign w:val="baseline"/>
                <w:lang w:val="en-US" w:eastAsia="zh-CN"/>
              </w:rPr>
              <w:t>175</w:t>
            </w:r>
          </w:p>
        </w:tc>
        <w:tc>
          <w:tcPr>
            <w:tcW w:w="1690" w:type="dxa"/>
            <w:noWrap w:val="0"/>
            <w:vAlign w:val="center"/>
          </w:tcPr>
          <w:p w14:paraId="7705E5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酒精喷灯</w:t>
            </w:r>
          </w:p>
        </w:tc>
        <w:tc>
          <w:tcPr>
            <w:tcW w:w="5928" w:type="dxa"/>
            <w:noWrap w:val="0"/>
            <w:vAlign w:val="center"/>
          </w:tcPr>
          <w:p w14:paraId="2966F86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坐式，铜制，壶体容积≥300 mL</w:t>
            </w:r>
          </w:p>
        </w:tc>
        <w:tc>
          <w:tcPr>
            <w:tcW w:w="736" w:type="dxa"/>
            <w:noWrap w:val="0"/>
            <w:vAlign w:val="bottom"/>
          </w:tcPr>
          <w:p w14:paraId="45491628">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86CF3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48FBAA5">
            <w:pPr>
              <w:jc w:val="center"/>
              <w:rPr>
                <w:highlight w:val="none"/>
              </w:rPr>
            </w:pPr>
          </w:p>
        </w:tc>
        <w:tc>
          <w:tcPr>
            <w:tcW w:w="710" w:type="dxa"/>
            <w:gridSpan w:val="2"/>
            <w:noWrap w:val="0"/>
            <w:vAlign w:val="center"/>
          </w:tcPr>
          <w:p w14:paraId="49331196">
            <w:pPr>
              <w:jc w:val="both"/>
              <w:rPr>
                <w:highlight w:val="none"/>
                <w:vertAlign w:val="baseline"/>
              </w:rPr>
            </w:pPr>
          </w:p>
        </w:tc>
      </w:tr>
      <w:tr w14:paraId="1748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2F732C">
            <w:pPr>
              <w:jc w:val="center"/>
              <w:rPr>
                <w:rFonts w:hint="default"/>
                <w:highlight w:val="none"/>
                <w:vertAlign w:val="baseline"/>
                <w:lang w:val="en-US" w:eastAsia="zh-CN"/>
              </w:rPr>
            </w:pPr>
            <w:r>
              <w:rPr>
                <w:rFonts w:hint="eastAsia"/>
                <w:highlight w:val="none"/>
                <w:vertAlign w:val="baseline"/>
                <w:lang w:val="en-US" w:eastAsia="zh-CN"/>
              </w:rPr>
              <w:t>176</w:t>
            </w:r>
          </w:p>
        </w:tc>
        <w:tc>
          <w:tcPr>
            <w:tcW w:w="1690" w:type="dxa"/>
            <w:noWrap w:val="0"/>
            <w:vAlign w:val="center"/>
          </w:tcPr>
          <w:p w14:paraId="3F6072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储气式本生灯</w:t>
            </w:r>
          </w:p>
        </w:tc>
        <w:tc>
          <w:tcPr>
            <w:tcW w:w="5928" w:type="dxa"/>
            <w:noWrap w:val="0"/>
            <w:vAlign w:val="center"/>
          </w:tcPr>
          <w:p w14:paraId="2C2C5DF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台式，不锈钢制,带控制阀</w:t>
            </w:r>
          </w:p>
        </w:tc>
        <w:tc>
          <w:tcPr>
            <w:tcW w:w="736" w:type="dxa"/>
            <w:noWrap w:val="0"/>
            <w:vAlign w:val="bottom"/>
          </w:tcPr>
          <w:p w14:paraId="62148B5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3A591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E25C015">
            <w:pPr>
              <w:jc w:val="center"/>
              <w:rPr>
                <w:highlight w:val="none"/>
              </w:rPr>
            </w:pPr>
          </w:p>
        </w:tc>
        <w:tc>
          <w:tcPr>
            <w:tcW w:w="710" w:type="dxa"/>
            <w:gridSpan w:val="2"/>
            <w:noWrap w:val="0"/>
            <w:vAlign w:val="center"/>
          </w:tcPr>
          <w:p w14:paraId="1FB42BA9">
            <w:pPr>
              <w:jc w:val="both"/>
              <w:rPr>
                <w:highlight w:val="none"/>
                <w:vertAlign w:val="baseline"/>
              </w:rPr>
            </w:pPr>
          </w:p>
        </w:tc>
      </w:tr>
      <w:tr w14:paraId="5B73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323F93">
            <w:pPr>
              <w:jc w:val="center"/>
              <w:rPr>
                <w:rFonts w:hint="default"/>
                <w:highlight w:val="none"/>
                <w:vertAlign w:val="baseline"/>
                <w:lang w:val="en-US" w:eastAsia="zh-CN"/>
              </w:rPr>
            </w:pPr>
            <w:r>
              <w:rPr>
                <w:rFonts w:hint="eastAsia"/>
                <w:highlight w:val="none"/>
                <w:vertAlign w:val="baseline"/>
                <w:lang w:val="en-US" w:eastAsia="zh-CN"/>
              </w:rPr>
              <w:t>177</w:t>
            </w:r>
          </w:p>
        </w:tc>
        <w:tc>
          <w:tcPr>
            <w:tcW w:w="1690" w:type="dxa"/>
            <w:noWrap w:val="0"/>
            <w:vAlign w:val="center"/>
          </w:tcPr>
          <w:p w14:paraId="3118C2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储气装置</w:t>
            </w:r>
          </w:p>
        </w:tc>
        <w:tc>
          <w:tcPr>
            <w:tcW w:w="5928" w:type="dxa"/>
            <w:noWrap w:val="0"/>
            <w:vAlign w:val="center"/>
          </w:tcPr>
          <w:p w14:paraId="4F3099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容积≥2 L</w:t>
            </w:r>
          </w:p>
        </w:tc>
        <w:tc>
          <w:tcPr>
            <w:tcW w:w="736" w:type="dxa"/>
            <w:noWrap w:val="0"/>
            <w:vAlign w:val="bottom"/>
          </w:tcPr>
          <w:p w14:paraId="6690A4CB">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5BB13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5C33DB2">
            <w:pPr>
              <w:jc w:val="center"/>
              <w:rPr>
                <w:highlight w:val="none"/>
              </w:rPr>
            </w:pPr>
          </w:p>
        </w:tc>
        <w:tc>
          <w:tcPr>
            <w:tcW w:w="710" w:type="dxa"/>
            <w:gridSpan w:val="2"/>
            <w:noWrap w:val="0"/>
            <w:vAlign w:val="center"/>
          </w:tcPr>
          <w:p w14:paraId="1674A70C">
            <w:pPr>
              <w:jc w:val="both"/>
              <w:rPr>
                <w:highlight w:val="none"/>
                <w:vertAlign w:val="baseline"/>
              </w:rPr>
            </w:pPr>
          </w:p>
        </w:tc>
      </w:tr>
      <w:tr w14:paraId="71B9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E9D428">
            <w:pPr>
              <w:jc w:val="center"/>
              <w:rPr>
                <w:rFonts w:hint="default"/>
                <w:highlight w:val="none"/>
                <w:vertAlign w:val="baseline"/>
                <w:lang w:val="en-US" w:eastAsia="zh-CN"/>
              </w:rPr>
            </w:pPr>
            <w:r>
              <w:rPr>
                <w:rFonts w:hint="eastAsia"/>
                <w:highlight w:val="none"/>
                <w:vertAlign w:val="baseline"/>
                <w:lang w:val="en-US" w:eastAsia="zh-CN"/>
              </w:rPr>
              <w:t>178</w:t>
            </w:r>
          </w:p>
        </w:tc>
        <w:tc>
          <w:tcPr>
            <w:tcW w:w="1690" w:type="dxa"/>
            <w:noWrap w:val="0"/>
            <w:vAlign w:val="center"/>
          </w:tcPr>
          <w:p w14:paraId="6C409B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储气袋</w:t>
            </w:r>
          </w:p>
        </w:tc>
        <w:tc>
          <w:tcPr>
            <w:tcW w:w="5928" w:type="dxa"/>
            <w:noWrap w:val="0"/>
            <w:vAlign w:val="center"/>
          </w:tcPr>
          <w:p w14:paraId="5A28085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容积≥30 L</w:t>
            </w:r>
          </w:p>
        </w:tc>
        <w:tc>
          <w:tcPr>
            <w:tcW w:w="736" w:type="dxa"/>
            <w:noWrap w:val="0"/>
            <w:vAlign w:val="bottom"/>
          </w:tcPr>
          <w:p w14:paraId="3644C89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4645A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155101A">
            <w:pPr>
              <w:jc w:val="center"/>
              <w:rPr>
                <w:highlight w:val="none"/>
              </w:rPr>
            </w:pPr>
          </w:p>
        </w:tc>
        <w:tc>
          <w:tcPr>
            <w:tcW w:w="710" w:type="dxa"/>
            <w:gridSpan w:val="2"/>
            <w:noWrap w:val="0"/>
            <w:vAlign w:val="center"/>
          </w:tcPr>
          <w:p w14:paraId="52DDEB66">
            <w:pPr>
              <w:jc w:val="both"/>
              <w:rPr>
                <w:highlight w:val="none"/>
                <w:vertAlign w:val="baseline"/>
              </w:rPr>
            </w:pPr>
          </w:p>
        </w:tc>
      </w:tr>
      <w:tr w14:paraId="60A4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6AFB91">
            <w:pPr>
              <w:jc w:val="center"/>
              <w:rPr>
                <w:rFonts w:hint="default"/>
                <w:highlight w:val="none"/>
                <w:vertAlign w:val="baseline"/>
                <w:lang w:val="en-US" w:eastAsia="zh-CN"/>
              </w:rPr>
            </w:pPr>
            <w:r>
              <w:rPr>
                <w:rFonts w:hint="eastAsia"/>
                <w:highlight w:val="none"/>
                <w:vertAlign w:val="baseline"/>
                <w:lang w:val="en-US" w:eastAsia="zh-CN"/>
              </w:rPr>
              <w:t>179</w:t>
            </w:r>
          </w:p>
        </w:tc>
        <w:tc>
          <w:tcPr>
            <w:tcW w:w="1690" w:type="dxa"/>
            <w:noWrap w:val="0"/>
            <w:vAlign w:val="center"/>
          </w:tcPr>
          <w:p w14:paraId="2AE7F6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磁力加热搅拌器</w:t>
            </w:r>
          </w:p>
        </w:tc>
        <w:tc>
          <w:tcPr>
            <w:tcW w:w="5928" w:type="dxa"/>
            <w:noWrap w:val="0"/>
            <w:vAlign w:val="center"/>
          </w:tcPr>
          <w:p w14:paraId="00B265E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容量：20mL～3000mL，转速：0r/min～1200r/min，无级调速</w:t>
            </w:r>
          </w:p>
        </w:tc>
        <w:tc>
          <w:tcPr>
            <w:tcW w:w="736" w:type="dxa"/>
            <w:noWrap w:val="0"/>
            <w:vAlign w:val="bottom"/>
          </w:tcPr>
          <w:p w14:paraId="4FA4C51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67FAB2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9935F73">
            <w:pPr>
              <w:jc w:val="center"/>
              <w:rPr>
                <w:highlight w:val="none"/>
              </w:rPr>
            </w:pPr>
          </w:p>
        </w:tc>
        <w:tc>
          <w:tcPr>
            <w:tcW w:w="710" w:type="dxa"/>
            <w:gridSpan w:val="2"/>
            <w:noWrap w:val="0"/>
            <w:vAlign w:val="center"/>
          </w:tcPr>
          <w:p w14:paraId="58D472C3">
            <w:pPr>
              <w:jc w:val="both"/>
              <w:rPr>
                <w:highlight w:val="none"/>
                <w:vertAlign w:val="baseline"/>
              </w:rPr>
            </w:pPr>
          </w:p>
        </w:tc>
      </w:tr>
      <w:tr w14:paraId="0F7D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AB8C57">
            <w:pPr>
              <w:jc w:val="center"/>
              <w:rPr>
                <w:rFonts w:hint="default"/>
                <w:highlight w:val="none"/>
                <w:vertAlign w:val="baseline"/>
                <w:lang w:val="en-US" w:eastAsia="zh-CN"/>
              </w:rPr>
            </w:pPr>
            <w:r>
              <w:rPr>
                <w:rFonts w:hint="eastAsia"/>
                <w:highlight w:val="none"/>
                <w:vertAlign w:val="baseline"/>
                <w:lang w:val="en-US" w:eastAsia="zh-CN"/>
              </w:rPr>
              <w:t>180</w:t>
            </w:r>
          </w:p>
        </w:tc>
        <w:tc>
          <w:tcPr>
            <w:tcW w:w="1690" w:type="dxa"/>
            <w:noWrap w:val="0"/>
            <w:vAlign w:val="center"/>
          </w:tcPr>
          <w:p w14:paraId="2806C6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初中化学分组材料</w:t>
            </w:r>
          </w:p>
        </w:tc>
        <w:tc>
          <w:tcPr>
            <w:tcW w:w="5928" w:type="dxa"/>
            <w:noWrap w:val="0"/>
            <w:vAlign w:val="center"/>
          </w:tcPr>
          <w:p w14:paraId="00AA4A6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黄铜片、硬铝片、火柴、蜡烛、木板、电池、电 珠、砂纸、面粉、凡士林等</w:t>
            </w:r>
          </w:p>
        </w:tc>
        <w:tc>
          <w:tcPr>
            <w:tcW w:w="736" w:type="dxa"/>
            <w:noWrap w:val="0"/>
            <w:vAlign w:val="bottom"/>
          </w:tcPr>
          <w:p w14:paraId="4CE863E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份</w:t>
            </w:r>
          </w:p>
        </w:tc>
        <w:tc>
          <w:tcPr>
            <w:tcW w:w="834" w:type="dxa"/>
            <w:noWrap w:val="0"/>
            <w:vAlign w:val="center"/>
          </w:tcPr>
          <w:p w14:paraId="6ED3DA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FEA5751">
            <w:pPr>
              <w:jc w:val="center"/>
              <w:rPr>
                <w:highlight w:val="none"/>
              </w:rPr>
            </w:pPr>
          </w:p>
        </w:tc>
        <w:tc>
          <w:tcPr>
            <w:tcW w:w="710" w:type="dxa"/>
            <w:gridSpan w:val="2"/>
            <w:noWrap w:val="0"/>
            <w:vAlign w:val="center"/>
          </w:tcPr>
          <w:p w14:paraId="516BCDBC">
            <w:pPr>
              <w:jc w:val="both"/>
              <w:rPr>
                <w:highlight w:val="none"/>
                <w:vertAlign w:val="baseline"/>
              </w:rPr>
            </w:pPr>
          </w:p>
        </w:tc>
      </w:tr>
      <w:tr w14:paraId="11E1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C9A53B">
            <w:pPr>
              <w:jc w:val="center"/>
              <w:rPr>
                <w:rFonts w:hint="default"/>
                <w:highlight w:val="none"/>
                <w:vertAlign w:val="baseline"/>
                <w:lang w:val="en-US" w:eastAsia="zh-CN"/>
              </w:rPr>
            </w:pPr>
            <w:r>
              <w:rPr>
                <w:rFonts w:hint="eastAsia"/>
                <w:highlight w:val="none"/>
                <w:vertAlign w:val="baseline"/>
                <w:lang w:val="en-US" w:eastAsia="zh-CN"/>
              </w:rPr>
              <w:t>181</w:t>
            </w:r>
          </w:p>
        </w:tc>
        <w:tc>
          <w:tcPr>
            <w:tcW w:w="1690" w:type="dxa"/>
            <w:noWrap w:val="0"/>
            <w:vAlign w:val="center"/>
          </w:tcPr>
          <w:p w14:paraId="65F72E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金属矿物、金属 及合金标本</w:t>
            </w:r>
          </w:p>
        </w:tc>
        <w:tc>
          <w:tcPr>
            <w:tcW w:w="5928" w:type="dxa"/>
            <w:noWrap w:val="0"/>
            <w:vAlign w:val="center"/>
          </w:tcPr>
          <w:p w14:paraId="7953071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不少 于 5 种材料</w:t>
            </w:r>
          </w:p>
        </w:tc>
        <w:tc>
          <w:tcPr>
            <w:tcW w:w="736" w:type="dxa"/>
            <w:noWrap w:val="0"/>
            <w:vAlign w:val="bottom"/>
          </w:tcPr>
          <w:p w14:paraId="27E1F76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61AE4D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EAA9760">
            <w:pPr>
              <w:jc w:val="center"/>
              <w:rPr>
                <w:highlight w:val="none"/>
              </w:rPr>
            </w:pPr>
          </w:p>
        </w:tc>
        <w:tc>
          <w:tcPr>
            <w:tcW w:w="710" w:type="dxa"/>
            <w:gridSpan w:val="2"/>
            <w:noWrap w:val="0"/>
            <w:vAlign w:val="center"/>
          </w:tcPr>
          <w:p w14:paraId="46E9FF25">
            <w:pPr>
              <w:jc w:val="both"/>
              <w:rPr>
                <w:highlight w:val="none"/>
                <w:vertAlign w:val="baseline"/>
              </w:rPr>
            </w:pPr>
          </w:p>
        </w:tc>
      </w:tr>
      <w:tr w14:paraId="43BA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BDF878">
            <w:pPr>
              <w:jc w:val="center"/>
              <w:rPr>
                <w:rFonts w:hint="default"/>
                <w:highlight w:val="none"/>
                <w:vertAlign w:val="baseline"/>
                <w:lang w:val="en-US" w:eastAsia="zh-CN"/>
              </w:rPr>
            </w:pPr>
            <w:r>
              <w:rPr>
                <w:rFonts w:hint="eastAsia"/>
                <w:highlight w:val="none"/>
                <w:vertAlign w:val="baseline"/>
                <w:lang w:val="en-US" w:eastAsia="zh-CN"/>
              </w:rPr>
              <w:t>182</w:t>
            </w:r>
          </w:p>
        </w:tc>
        <w:tc>
          <w:tcPr>
            <w:tcW w:w="1690" w:type="dxa"/>
            <w:noWrap w:val="0"/>
            <w:vAlign w:val="center"/>
          </w:tcPr>
          <w:p w14:paraId="700F22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电解质溶液导电演示器</w:t>
            </w:r>
          </w:p>
        </w:tc>
        <w:tc>
          <w:tcPr>
            <w:tcW w:w="5928" w:type="dxa"/>
            <w:noWrap w:val="0"/>
            <w:vAlign w:val="center"/>
          </w:tcPr>
          <w:p w14:paraId="6BE4EA4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带电表，</w:t>
            </w:r>
          </w:p>
        </w:tc>
        <w:tc>
          <w:tcPr>
            <w:tcW w:w="736" w:type="dxa"/>
            <w:noWrap w:val="0"/>
            <w:vAlign w:val="bottom"/>
          </w:tcPr>
          <w:p w14:paraId="43A6D1B9">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C3C84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A1F2D85">
            <w:pPr>
              <w:jc w:val="center"/>
              <w:rPr>
                <w:highlight w:val="none"/>
              </w:rPr>
            </w:pPr>
          </w:p>
        </w:tc>
        <w:tc>
          <w:tcPr>
            <w:tcW w:w="710" w:type="dxa"/>
            <w:gridSpan w:val="2"/>
            <w:noWrap w:val="0"/>
            <w:vAlign w:val="center"/>
          </w:tcPr>
          <w:p w14:paraId="43B49689">
            <w:pPr>
              <w:jc w:val="both"/>
              <w:rPr>
                <w:highlight w:val="none"/>
                <w:vertAlign w:val="baseline"/>
              </w:rPr>
            </w:pPr>
          </w:p>
        </w:tc>
      </w:tr>
      <w:tr w14:paraId="7AF3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95" w:type="dxa"/>
            <w:noWrap w:val="0"/>
            <w:vAlign w:val="center"/>
          </w:tcPr>
          <w:p w14:paraId="4F16C0E3">
            <w:pPr>
              <w:jc w:val="center"/>
              <w:rPr>
                <w:rFonts w:hint="default"/>
                <w:highlight w:val="none"/>
                <w:vertAlign w:val="baseline"/>
                <w:lang w:val="en-US" w:eastAsia="zh-CN"/>
              </w:rPr>
            </w:pPr>
            <w:r>
              <w:rPr>
                <w:rFonts w:hint="eastAsia"/>
                <w:highlight w:val="none"/>
                <w:vertAlign w:val="baseline"/>
                <w:lang w:val="en-US" w:eastAsia="zh-CN"/>
              </w:rPr>
              <w:t>183</w:t>
            </w:r>
          </w:p>
        </w:tc>
        <w:tc>
          <w:tcPr>
            <w:tcW w:w="1690" w:type="dxa"/>
            <w:noWrap w:val="0"/>
            <w:vAlign w:val="center"/>
          </w:tcPr>
          <w:p w14:paraId="06B075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微型溶液导电实验器</w:t>
            </w:r>
          </w:p>
        </w:tc>
        <w:tc>
          <w:tcPr>
            <w:tcW w:w="5928" w:type="dxa"/>
            <w:noWrap w:val="0"/>
            <w:vAlign w:val="center"/>
          </w:tcPr>
          <w:p w14:paraId="0AA2F0A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所需每种溶液 ≤3 mL</w:t>
            </w:r>
          </w:p>
        </w:tc>
        <w:tc>
          <w:tcPr>
            <w:tcW w:w="736" w:type="dxa"/>
            <w:noWrap w:val="0"/>
            <w:vAlign w:val="bottom"/>
          </w:tcPr>
          <w:p w14:paraId="6433FC7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6F9D3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8DA2DD8">
            <w:pPr>
              <w:jc w:val="center"/>
              <w:rPr>
                <w:highlight w:val="none"/>
              </w:rPr>
            </w:pPr>
          </w:p>
        </w:tc>
        <w:tc>
          <w:tcPr>
            <w:tcW w:w="710" w:type="dxa"/>
            <w:gridSpan w:val="2"/>
            <w:noWrap w:val="0"/>
            <w:vAlign w:val="center"/>
          </w:tcPr>
          <w:p w14:paraId="682EBE20">
            <w:pPr>
              <w:jc w:val="both"/>
              <w:rPr>
                <w:highlight w:val="none"/>
                <w:vertAlign w:val="baseline"/>
              </w:rPr>
            </w:pPr>
          </w:p>
        </w:tc>
      </w:tr>
      <w:tr w14:paraId="7E4E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B9D1B5">
            <w:pPr>
              <w:jc w:val="center"/>
              <w:rPr>
                <w:rFonts w:hint="default"/>
                <w:highlight w:val="none"/>
                <w:vertAlign w:val="baseline"/>
                <w:lang w:val="en-US" w:eastAsia="zh-CN"/>
              </w:rPr>
            </w:pPr>
            <w:r>
              <w:rPr>
                <w:rFonts w:hint="eastAsia"/>
                <w:highlight w:val="none"/>
                <w:vertAlign w:val="baseline"/>
                <w:lang w:val="en-US" w:eastAsia="zh-CN"/>
              </w:rPr>
              <w:t>184</w:t>
            </w:r>
          </w:p>
        </w:tc>
        <w:tc>
          <w:tcPr>
            <w:tcW w:w="1690" w:type="dxa"/>
            <w:noWrap w:val="0"/>
            <w:vAlign w:val="center"/>
          </w:tcPr>
          <w:p w14:paraId="524357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气体实验微型装置</w:t>
            </w:r>
          </w:p>
        </w:tc>
        <w:tc>
          <w:tcPr>
            <w:tcW w:w="5928" w:type="dxa"/>
            <w:noWrap w:val="0"/>
            <w:vAlign w:val="center"/>
          </w:tcPr>
          <w:p w14:paraId="7A14C2A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能完成与氧气、二氧化碳、氢气、一氧化碳等气 体有关的实验，包括燃烧的条件实验</w:t>
            </w:r>
          </w:p>
        </w:tc>
        <w:tc>
          <w:tcPr>
            <w:tcW w:w="736" w:type="dxa"/>
            <w:noWrap w:val="0"/>
            <w:vAlign w:val="center"/>
          </w:tcPr>
          <w:p w14:paraId="680AFC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6E9EAB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6610995">
            <w:pPr>
              <w:jc w:val="center"/>
              <w:rPr>
                <w:highlight w:val="none"/>
              </w:rPr>
            </w:pPr>
          </w:p>
        </w:tc>
        <w:tc>
          <w:tcPr>
            <w:tcW w:w="710" w:type="dxa"/>
            <w:gridSpan w:val="2"/>
            <w:noWrap w:val="0"/>
            <w:vAlign w:val="center"/>
          </w:tcPr>
          <w:p w14:paraId="2E219E7D">
            <w:pPr>
              <w:jc w:val="both"/>
              <w:rPr>
                <w:highlight w:val="none"/>
                <w:vertAlign w:val="baseline"/>
              </w:rPr>
            </w:pPr>
          </w:p>
        </w:tc>
      </w:tr>
      <w:tr w14:paraId="3B83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B6BC33">
            <w:pPr>
              <w:jc w:val="center"/>
              <w:rPr>
                <w:rFonts w:hint="default"/>
                <w:highlight w:val="none"/>
                <w:vertAlign w:val="baseline"/>
                <w:lang w:val="en-US" w:eastAsia="zh-CN"/>
              </w:rPr>
            </w:pPr>
            <w:r>
              <w:rPr>
                <w:rFonts w:hint="eastAsia"/>
                <w:highlight w:val="none"/>
                <w:vertAlign w:val="baseline"/>
                <w:lang w:val="en-US" w:eastAsia="zh-CN"/>
              </w:rPr>
              <w:t>185</w:t>
            </w:r>
          </w:p>
        </w:tc>
        <w:tc>
          <w:tcPr>
            <w:tcW w:w="1690" w:type="dxa"/>
            <w:noWrap w:val="0"/>
            <w:vAlign w:val="center"/>
          </w:tcPr>
          <w:p w14:paraId="3DFF2A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水电解器</w:t>
            </w:r>
          </w:p>
        </w:tc>
        <w:tc>
          <w:tcPr>
            <w:tcW w:w="5928" w:type="dxa"/>
            <w:noWrap w:val="0"/>
            <w:vAlign w:val="center"/>
          </w:tcPr>
          <w:p w14:paraId="1165891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铂金电极</w:t>
            </w:r>
          </w:p>
        </w:tc>
        <w:tc>
          <w:tcPr>
            <w:tcW w:w="736" w:type="dxa"/>
            <w:noWrap w:val="0"/>
            <w:vAlign w:val="bottom"/>
          </w:tcPr>
          <w:p w14:paraId="73CBD285">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507F9F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E3F1158">
            <w:pPr>
              <w:jc w:val="center"/>
              <w:rPr>
                <w:highlight w:val="none"/>
              </w:rPr>
            </w:pPr>
          </w:p>
        </w:tc>
        <w:tc>
          <w:tcPr>
            <w:tcW w:w="710" w:type="dxa"/>
            <w:gridSpan w:val="2"/>
            <w:noWrap w:val="0"/>
            <w:vAlign w:val="center"/>
          </w:tcPr>
          <w:p w14:paraId="11A1AE0D">
            <w:pPr>
              <w:jc w:val="both"/>
              <w:rPr>
                <w:highlight w:val="none"/>
                <w:vertAlign w:val="baseline"/>
              </w:rPr>
            </w:pPr>
          </w:p>
        </w:tc>
      </w:tr>
      <w:tr w14:paraId="71D9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17C24A">
            <w:pPr>
              <w:jc w:val="center"/>
              <w:rPr>
                <w:rFonts w:hint="default"/>
                <w:highlight w:val="none"/>
                <w:vertAlign w:val="baseline"/>
                <w:lang w:val="en-US" w:eastAsia="zh-CN"/>
              </w:rPr>
            </w:pPr>
            <w:r>
              <w:rPr>
                <w:rFonts w:hint="eastAsia"/>
                <w:highlight w:val="none"/>
                <w:vertAlign w:val="baseline"/>
                <w:lang w:val="en-US" w:eastAsia="zh-CN"/>
              </w:rPr>
              <w:t>186</w:t>
            </w:r>
          </w:p>
        </w:tc>
        <w:tc>
          <w:tcPr>
            <w:tcW w:w="1690" w:type="dxa"/>
            <w:noWrap w:val="0"/>
            <w:vAlign w:val="center"/>
          </w:tcPr>
          <w:p w14:paraId="3B2129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水电解实验器</w:t>
            </w:r>
          </w:p>
        </w:tc>
        <w:tc>
          <w:tcPr>
            <w:tcW w:w="5928" w:type="dxa"/>
            <w:noWrap w:val="0"/>
            <w:vAlign w:val="center"/>
          </w:tcPr>
          <w:p w14:paraId="6782182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塑料一体式</w:t>
            </w:r>
          </w:p>
        </w:tc>
        <w:tc>
          <w:tcPr>
            <w:tcW w:w="736" w:type="dxa"/>
            <w:noWrap w:val="0"/>
            <w:vAlign w:val="bottom"/>
          </w:tcPr>
          <w:p w14:paraId="5701E3BC">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2F0B2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F67E2AC">
            <w:pPr>
              <w:jc w:val="center"/>
              <w:rPr>
                <w:highlight w:val="none"/>
              </w:rPr>
            </w:pPr>
          </w:p>
        </w:tc>
        <w:tc>
          <w:tcPr>
            <w:tcW w:w="710" w:type="dxa"/>
            <w:gridSpan w:val="2"/>
            <w:noWrap w:val="0"/>
            <w:vAlign w:val="center"/>
          </w:tcPr>
          <w:p w14:paraId="16A26C98">
            <w:pPr>
              <w:jc w:val="both"/>
              <w:rPr>
                <w:highlight w:val="none"/>
                <w:vertAlign w:val="baseline"/>
              </w:rPr>
            </w:pPr>
          </w:p>
        </w:tc>
      </w:tr>
      <w:tr w14:paraId="0B1C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FEBC649">
            <w:pPr>
              <w:jc w:val="center"/>
              <w:rPr>
                <w:rFonts w:hint="default"/>
                <w:highlight w:val="none"/>
                <w:vertAlign w:val="baseline"/>
                <w:lang w:val="en-US" w:eastAsia="zh-CN"/>
              </w:rPr>
            </w:pPr>
            <w:r>
              <w:rPr>
                <w:rFonts w:hint="eastAsia"/>
                <w:highlight w:val="none"/>
                <w:vertAlign w:val="baseline"/>
                <w:lang w:val="en-US" w:eastAsia="zh-CN"/>
              </w:rPr>
              <w:t>187</w:t>
            </w:r>
          </w:p>
        </w:tc>
        <w:tc>
          <w:tcPr>
            <w:tcW w:w="1690" w:type="dxa"/>
            <w:noWrap w:val="0"/>
            <w:vAlign w:val="center"/>
          </w:tcPr>
          <w:p w14:paraId="2AC91A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金刚石结构模型</w:t>
            </w:r>
          </w:p>
        </w:tc>
        <w:tc>
          <w:tcPr>
            <w:tcW w:w="5928" w:type="dxa"/>
            <w:noWrap w:val="0"/>
            <w:vAlign w:val="center"/>
          </w:tcPr>
          <w:p w14:paraId="3E7AD54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Φ30mm,大球</w:t>
            </w:r>
          </w:p>
        </w:tc>
        <w:tc>
          <w:tcPr>
            <w:tcW w:w="736" w:type="dxa"/>
            <w:noWrap w:val="0"/>
            <w:vAlign w:val="bottom"/>
          </w:tcPr>
          <w:p w14:paraId="4DF6D9BF">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75295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202E42F">
            <w:pPr>
              <w:jc w:val="center"/>
              <w:rPr>
                <w:highlight w:val="none"/>
              </w:rPr>
            </w:pPr>
          </w:p>
        </w:tc>
        <w:tc>
          <w:tcPr>
            <w:tcW w:w="710" w:type="dxa"/>
            <w:gridSpan w:val="2"/>
            <w:noWrap w:val="0"/>
            <w:vAlign w:val="center"/>
          </w:tcPr>
          <w:p w14:paraId="798B695E">
            <w:pPr>
              <w:jc w:val="both"/>
              <w:rPr>
                <w:highlight w:val="none"/>
                <w:vertAlign w:val="baseline"/>
              </w:rPr>
            </w:pPr>
          </w:p>
        </w:tc>
      </w:tr>
      <w:tr w14:paraId="2EEE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471DF4">
            <w:pPr>
              <w:jc w:val="center"/>
              <w:rPr>
                <w:rFonts w:hint="default"/>
                <w:highlight w:val="none"/>
                <w:vertAlign w:val="baseline"/>
                <w:lang w:val="en-US" w:eastAsia="zh-CN"/>
              </w:rPr>
            </w:pPr>
            <w:r>
              <w:rPr>
                <w:rFonts w:hint="eastAsia"/>
                <w:highlight w:val="none"/>
                <w:vertAlign w:val="baseline"/>
                <w:lang w:val="en-US" w:eastAsia="zh-CN"/>
              </w:rPr>
              <w:t>188</w:t>
            </w:r>
          </w:p>
        </w:tc>
        <w:tc>
          <w:tcPr>
            <w:tcW w:w="1690" w:type="dxa"/>
            <w:noWrap w:val="0"/>
            <w:vAlign w:val="center"/>
          </w:tcPr>
          <w:p w14:paraId="30C3492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石墨结构模型</w:t>
            </w:r>
          </w:p>
        </w:tc>
        <w:tc>
          <w:tcPr>
            <w:tcW w:w="5928" w:type="dxa"/>
            <w:noWrap w:val="0"/>
            <w:vAlign w:val="center"/>
          </w:tcPr>
          <w:p w14:paraId="6708293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30mm   球棍式</w:t>
            </w:r>
          </w:p>
        </w:tc>
        <w:tc>
          <w:tcPr>
            <w:tcW w:w="736" w:type="dxa"/>
            <w:noWrap w:val="0"/>
            <w:vAlign w:val="bottom"/>
          </w:tcPr>
          <w:p w14:paraId="39B97E1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C78C0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39B1922">
            <w:pPr>
              <w:jc w:val="center"/>
              <w:rPr>
                <w:highlight w:val="none"/>
              </w:rPr>
            </w:pPr>
          </w:p>
        </w:tc>
        <w:tc>
          <w:tcPr>
            <w:tcW w:w="710" w:type="dxa"/>
            <w:gridSpan w:val="2"/>
            <w:noWrap w:val="0"/>
            <w:vAlign w:val="center"/>
          </w:tcPr>
          <w:p w14:paraId="21BFB5E4">
            <w:pPr>
              <w:jc w:val="both"/>
              <w:rPr>
                <w:highlight w:val="none"/>
                <w:vertAlign w:val="baseline"/>
              </w:rPr>
            </w:pPr>
          </w:p>
        </w:tc>
      </w:tr>
      <w:tr w14:paraId="689D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121207">
            <w:pPr>
              <w:jc w:val="center"/>
              <w:rPr>
                <w:rFonts w:hint="default"/>
                <w:highlight w:val="none"/>
                <w:vertAlign w:val="baseline"/>
                <w:lang w:val="en-US" w:eastAsia="zh-CN"/>
              </w:rPr>
            </w:pPr>
            <w:r>
              <w:rPr>
                <w:rFonts w:hint="eastAsia"/>
                <w:highlight w:val="none"/>
                <w:vertAlign w:val="baseline"/>
                <w:lang w:val="en-US" w:eastAsia="zh-CN"/>
              </w:rPr>
              <w:t>189</w:t>
            </w:r>
          </w:p>
        </w:tc>
        <w:tc>
          <w:tcPr>
            <w:tcW w:w="1690" w:type="dxa"/>
            <w:noWrap w:val="0"/>
            <w:vAlign w:val="center"/>
          </w:tcPr>
          <w:p w14:paraId="1E7437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碳-60结构模型</w:t>
            </w:r>
          </w:p>
        </w:tc>
        <w:tc>
          <w:tcPr>
            <w:tcW w:w="5928" w:type="dxa"/>
            <w:noWrap w:val="0"/>
            <w:vAlign w:val="center"/>
          </w:tcPr>
          <w:p w14:paraId="048C833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Φ30mm,大球</w:t>
            </w:r>
          </w:p>
        </w:tc>
        <w:tc>
          <w:tcPr>
            <w:tcW w:w="736" w:type="dxa"/>
            <w:noWrap w:val="0"/>
            <w:vAlign w:val="bottom"/>
          </w:tcPr>
          <w:p w14:paraId="32CE20C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48328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269B030">
            <w:pPr>
              <w:jc w:val="center"/>
              <w:rPr>
                <w:highlight w:val="none"/>
              </w:rPr>
            </w:pPr>
          </w:p>
        </w:tc>
        <w:tc>
          <w:tcPr>
            <w:tcW w:w="710" w:type="dxa"/>
            <w:gridSpan w:val="2"/>
            <w:noWrap w:val="0"/>
            <w:vAlign w:val="center"/>
          </w:tcPr>
          <w:p w14:paraId="4DEF1971">
            <w:pPr>
              <w:jc w:val="both"/>
              <w:rPr>
                <w:highlight w:val="none"/>
                <w:vertAlign w:val="baseline"/>
              </w:rPr>
            </w:pPr>
          </w:p>
        </w:tc>
      </w:tr>
      <w:tr w14:paraId="2FEB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176140">
            <w:pPr>
              <w:jc w:val="center"/>
              <w:rPr>
                <w:rFonts w:hint="default"/>
                <w:highlight w:val="none"/>
                <w:vertAlign w:val="baseline"/>
                <w:lang w:val="en-US" w:eastAsia="zh-CN"/>
              </w:rPr>
            </w:pPr>
            <w:r>
              <w:rPr>
                <w:rFonts w:hint="eastAsia"/>
                <w:highlight w:val="none"/>
                <w:vertAlign w:val="baseline"/>
                <w:lang w:val="en-US" w:eastAsia="zh-CN"/>
              </w:rPr>
              <w:t>190</w:t>
            </w:r>
          </w:p>
        </w:tc>
        <w:tc>
          <w:tcPr>
            <w:tcW w:w="1690" w:type="dxa"/>
            <w:noWrap w:val="0"/>
            <w:vAlign w:val="center"/>
          </w:tcPr>
          <w:p w14:paraId="289A4F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石墨烯结构模型</w:t>
            </w:r>
          </w:p>
        </w:tc>
        <w:tc>
          <w:tcPr>
            <w:tcW w:w="5928" w:type="dxa"/>
            <w:noWrap w:val="0"/>
            <w:vAlign w:val="center"/>
          </w:tcPr>
          <w:p w14:paraId="27CB928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碳原子： Φ ≥8 mm 塑料球</w:t>
            </w:r>
          </w:p>
        </w:tc>
        <w:tc>
          <w:tcPr>
            <w:tcW w:w="736" w:type="dxa"/>
            <w:noWrap w:val="0"/>
            <w:vAlign w:val="bottom"/>
          </w:tcPr>
          <w:p w14:paraId="7691C254">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6D00F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DF3E25A">
            <w:pPr>
              <w:jc w:val="center"/>
              <w:rPr>
                <w:highlight w:val="none"/>
              </w:rPr>
            </w:pPr>
          </w:p>
        </w:tc>
        <w:tc>
          <w:tcPr>
            <w:tcW w:w="710" w:type="dxa"/>
            <w:gridSpan w:val="2"/>
            <w:noWrap w:val="0"/>
            <w:vAlign w:val="center"/>
          </w:tcPr>
          <w:p w14:paraId="35A1FEAF">
            <w:pPr>
              <w:jc w:val="both"/>
              <w:rPr>
                <w:highlight w:val="none"/>
                <w:vertAlign w:val="baseline"/>
              </w:rPr>
            </w:pPr>
          </w:p>
        </w:tc>
      </w:tr>
      <w:tr w14:paraId="287A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9DD356">
            <w:pPr>
              <w:jc w:val="center"/>
              <w:rPr>
                <w:rFonts w:hint="default"/>
                <w:highlight w:val="none"/>
                <w:vertAlign w:val="baseline"/>
                <w:lang w:val="en-US" w:eastAsia="zh-CN"/>
              </w:rPr>
            </w:pPr>
            <w:r>
              <w:rPr>
                <w:rFonts w:hint="eastAsia"/>
                <w:highlight w:val="none"/>
                <w:vertAlign w:val="baseline"/>
                <w:lang w:val="en-US" w:eastAsia="zh-CN"/>
              </w:rPr>
              <w:t>191</w:t>
            </w:r>
          </w:p>
        </w:tc>
        <w:tc>
          <w:tcPr>
            <w:tcW w:w="1690" w:type="dxa"/>
            <w:noWrap w:val="0"/>
            <w:vAlign w:val="center"/>
          </w:tcPr>
          <w:p w14:paraId="50EFD0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碳纳米管结构模型</w:t>
            </w:r>
          </w:p>
        </w:tc>
        <w:tc>
          <w:tcPr>
            <w:tcW w:w="5928" w:type="dxa"/>
            <w:noWrap w:val="0"/>
            <w:vAlign w:val="center"/>
          </w:tcPr>
          <w:p w14:paraId="4C2CD0F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碳原子： Φ ≥8 mm 塑料球</w:t>
            </w:r>
          </w:p>
        </w:tc>
        <w:tc>
          <w:tcPr>
            <w:tcW w:w="736" w:type="dxa"/>
            <w:noWrap w:val="0"/>
            <w:vAlign w:val="bottom"/>
          </w:tcPr>
          <w:p w14:paraId="59143D7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2D440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B994B8C">
            <w:pPr>
              <w:jc w:val="center"/>
              <w:rPr>
                <w:highlight w:val="none"/>
              </w:rPr>
            </w:pPr>
          </w:p>
        </w:tc>
        <w:tc>
          <w:tcPr>
            <w:tcW w:w="710" w:type="dxa"/>
            <w:gridSpan w:val="2"/>
            <w:noWrap w:val="0"/>
            <w:vAlign w:val="center"/>
          </w:tcPr>
          <w:p w14:paraId="24030F1F">
            <w:pPr>
              <w:jc w:val="both"/>
              <w:rPr>
                <w:highlight w:val="none"/>
                <w:vertAlign w:val="baseline"/>
              </w:rPr>
            </w:pPr>
          </w:p>
        </w:tc>
      </w:tr>
      <w:tr w14:paraId="787B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BA6063">
            <w:pPr>
              <w:jc w:val="center"/>
              <w:rPr>
                <w:rFonts w:hint="default"/>
                <w:highlight w:val="none"/>
                <w:vertAlign w:val="baseline"/>
                <w:lang w:val="en-US" w:eastAsia="zh-CN"/>
              </w:rPr>
            </w:pPr>
            <w:r>
              <w:rPr>
                <w:rFonts w:hint="eastAsia"/>
                <w:highlight w:val="none"/>
                <w:vertAlign w:val="baseline"/>
                <w:lang w:val="en-US" w:eastAsia="zh-CN"/>
              </w:rPr>
              <w:t>192</w:t>
            </w:r>
          </w:p>
        </w:tc>
        <w:tc>
          <w:tcPr>
            <w:tcW w:w="1690" w:type="dxa"/>
            <w:noWrap w:val="0"/>
            <w:vAlign w:val="center"/>
          </w:tcPr>
          <w:p w14:paraId="09C4FC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碘升华凝华管</w:t>
            </w:r>
          </w:p>
        </w:tc>
        <w:tc>
          <w:tcPr>
            <w:tcW w:w="5928" w:type="dxa"/>
            <w:noWrap w:val="0"/>
            <w:vAlign w:val="center"/>
          </w:tcPr>
          <w:p w14:paraId="221B5FB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Φ 34 mm×28 mm,玻璃制</w:t>
            </w:r>
          </w:p>
        </w:tc>
        <w:tc>
          <w:tcPr>
            <w:tcW w:w="736" w:type="dxa"/>
            <w:noWrap w:val="0"/>
            <w:vAlign w:val="bottom"/>
          </w:tcPr>
          <w:p w14:paraId="5F0BEFF2">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6F9BC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05DC601">
            <w:pPr>
              <w:jc w:val="center"/>
              <w:rPr>
                <w:highlight w:val="none"/>
              </w:rPr>
            </w:pPr>
          </w:p>
        </w:tc>
        <w:tc>
          <w:tcPr>
            <w:tcW w:w="710" w:type="dxa"/>
            <w:gridSpan w:val="2"/>
            <w:noWrap w:val="0"/>
            <w:vAlign w:val="center"/>
          </w:tcPr>
          <w:p w14:paraId="5D1BA4AD">
            <w:pPr>
              <w:jc w:val="both"/>
              <w:rPr>
                <w:highlight w:val="none"/>
                <w:vertAlign w:val="baseline"/>
              </w:rPr>
            </w:pPr>
          </w:p>
        </w:tc>
      </w:tr>
      <w:tr w14:paraId="32E8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102F1F">
            <w:pPr>
              <w:jc w:val="center"/>
              <w:rPr>
                <w:rFonts w:hint="default"/>
                <w:highlight w:val="none"/>
                <w:vertAlign w:val="baseline"/>
                <w:lang w:val="en-US" w:eastAsia="zh-CN"/>
              </w:rPr>
            </w:pPr>
            <w:r>
              <w:rPr>
                <w:rFonts w:hint="eastAsia"/>
                <w:highlight w:val="none"/>
                <w:vertAlign w:val="baseline"/>
                <w:lang w:val="en-US" w:eastAsia="zh-CN"/>
              </w:rPr>
              <w:t>193</w:t>
            </w:r>
          </w:p>
        </w:tc>
        <w:tc>
          <w:tcPr>
            <w:tcW w:w="1690" w:type="dxa"/>
            <w:noWrap w:val="0"/>
            <w:vAlign w:val="center"/>
          </w:tcPr>
          <w:p w14:paraId="1AFD5E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分子间隔演示器</w:t>
            </w:r>
          </w:p>
        </w:tc>
        <w:tc>
          <w:tcPr>
            <w:tcW w:w="5928" w:type="dxa"/>
            <w:noWrap w:val="0"/>
            <w:vAlign w:val="center"/>
          </w:tcPr>
          <w:p w14:paraId="7DBB869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可观察酒精与水混合后的体积变化</w:t>
            </w:r>
          </w:p>
        </w:tc>
        <w:tc>
          <w:tcPr>
            <w:tcW w:w="736" w:type="dxa"/>
            <w:noWrap w:val="0"/>
            <w:vAlign w:val="bottom"/>
          </w:tcPr>
          <w:p w14:paraId="0A925EC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5CAC19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F892BAC">
            <w:pPr>
              <w:jc w:val="center"/>
              <w:rPr>
                <w:highlight w:val="none"/>
              </w:rPr>
            </w:pPr>
          </w:p>
        </w:tc>
        <w:tc>
          <w:tcPr>
            <w:tcW w:w="710" w:type="dxa"/>
            <w:gridSpan w:val="2"/>
            <w:noWrap w:val="0"/>
            <w:vAlign w:val="center"/>
          </w:tcPr>
          <w:p w14:paraId="32F1F4A0">
            <w:pPr>
              <w:jc w:val="both"/>
              <w:rPr>
                <w:highlight w:val="none"/>
                <w:vertAlign w:val="baseline"/>
              </w:rPr>
            </w:pPr>
          </w:p>
        </w:tc>
      </w:tr>
      <w:tr w14:paraId="6722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AB50642">
            <w:pPr>
              <w:jc w:val="center"/>
              <w:rPr>
                <w:rFonts w:hint="default"/>
                <w:highlight w:val="none"/>
                <w:vertAlign w:val="baseline"/>
                <w:lang w:val="en-US" w:eastAsia="zh-CN"/>
              </w:rPr>
            </w:pPr>
            <w:r>
              <w:rPr>
                <w:rFonts w:hint="eastAsia"/>
                <w:highlight w:val="none"/>
                <w:vertAlign w:val="baseline"/>
                <w:lang w:val="en-US" w:eastAsia="zh-CN"/>
              </w:rPr>
              <w:t>194</w:t>
            </w:r>
          </w:p>
        </w:tc>
        <w:tc>
          <w:tcPr>
            <w:tcW w:w="1690" w:type="dxa"/>
            <w:noWrap w:val="0"/>
            <w:vAlign w:val="center"/>
          </w:tcPr>
          <w:p w14:paraId="374F85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分子结构模型</w:t>
            </w:r>
          </w:p>
        </w:tc>
        <w:tc>
          <w:tcPr>
            <w:tcW w:w="5928" w:type="dxa"/>
            <w:noWrap w:val="0"/>
            <w:vAlign w:val="center"/>
          </w:tcPr>
          <w:p w14:paraId="598FDF2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40mm,球棍式</w:t>
            </w:r>
          </w:p>
        </w:tc>
        <w:tc>
          <w:tcPr>
            <w:tcW w:w="736" w:type="dxa"/>
            <w:noWrap w:val="0"/>
            <w:vAlign w:val="bottom"/>
          </w:tcPr>
          <w:p w14:paraId="242D6210">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8717F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A1043C7">
            <w:pPr>
              <w:jc w:val="center"/>
              <w:rPr>
                <w:highlight w:val="none"/>
              </w:rPr>
            </w:pPr>
          </w:p>
        </w:tc>
        <w:tc>
          <w:tcPr>
            <w:tcW w:w="710" w:type="dxa"/>
            <w:gridSpan w:val="2"/>
            <w:noWrap w:val="0"/>
            <w:vAlign w:val="center"/>
          </w:tcPr>
          <w:p w14:paraId="118F5F4D">
            <w:pPr>
              <w:jc w:val="both"/>
              <w:rPr>
                <w:highlight w:val="none"/>
                <w:vertAlign w:val="baseline"/>
              </w:rPr>
            </w:pPr>
          </w:p>
        </w:tc>
      </w:tr>
      <w:tr w14:paraId="3781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ECA4DA">
            <w:pPr>
              <w:jc w:val="center"/>
              <w:rPr>
                <w:rFonts w:hint="default"/>
                <w:highlight w:val="none"/>
                <w:vertAlign w:val="baseline"/>
                <w:lang w:val="en-US" w:eastAsia="zh-CN"/>
              </w:rPr>
            </w:pPr>
            <w:r>
              <w:rPr>
                <w:rFonts w:hint="eastAsia"/>
                <w:highlight w:val="none"/>
                <w:vertAlign w:val="baseline"/>
                <w:lang w:val="en-US" w:eastAsia="zh-CN"/>
              </w:rPr>
              <w:t>195</w:t>
            </w:r>
          </w:p>
        </w:tc>
        <w:tc>
          <w:tcPr>
            <w:tcW w:w="1690" w:type="dxa"/>
            <w:noWrap w:val="0"/>
            <w:vAlign w:val="center"/>
          </w:tcPr>
          <w:p w14:paraId="7E0805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分子结构模型</w:t>
            </w:r>
          </w:p>
        </w:tc>
        <w:tc>
          <w:tcPr>
            <w:tcW w:w="5928" w:type="dxa"/>
            <w:noWrap w:val="0"/>
            <w:vAlign w:val="center"/>
          </w:tcPr>
          <w:p w14:paraId="74DCFF1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球棍式,小球</w:t>
            </w:r>
          </w:p>
        </w:tc>
        <w:tc>
          <w:tcPr>
            <w:tcW w:w="736" w:type="dxa"/>
            <w:noWrap w:val="0"/>
            <w:vAlign w:val="bottom"/>
          </w:tcPr>
          <w:p w14:paraId="63987076">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FBC9C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382CC8B2">
            <w:pPr>
              <w:jc w:val="center"/>
              <w:rPr>
                <w:highlight w:val="none"/>
              </w:rPr>
            </w:pPr>
          </w:p>
        </w:tc>
        <w:tc>
          <w:tcPr>
            <w:tcW w:w="710" w:type="dxa"/>
            <w:gridSpan w:val="2"/>
            <w:noWrap w:val="0"/>
            <w:vAlign w:val="center"/>
          </w:tcPr>
          <w:p w14:paraId="442EFB90">
            <w:pPr>
              <w:jc w:val="both"/>
              <w:rPr>
                <w:highlight w:val="none"/>
                <w:vertAlign w:val="baseline"/>
              </w:rPr>
            </w:pPr>
          </w:p>
        </w:tc>
      </w:tr>
      <w:tr w14:paraId="5F31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4BE6FA">
            <w:pPr>
              <w:jc w:val="center"/>
              <w:rPr>
                <w:rFonts w:hint="default"/>
                <w:highlight w:val="none"/>
                <w:vertAlign w:val="baseline"/>
                <w:lang w:val="en-US" w:eastAsia="zh-CN"/>
              </w:rPr>
            </w:pPr>
            <w:r>
              <w:rPr>
                <w:rFonts w:hint="eastAsia"/>
                <w:highlight w:val="none"/>
                <w:vertAlign w:val="baseline"/>
                <w:lang w:val="en-US" w:eastAsia="zh-CN"/>
              </w:rPr>
              <w:t>196</w:t>
            </w:r>
          </w:p>
        </w:tc>
        <w:tc>
          <w:tcPr>
            <w:tcW w:w="1690" w:type="dxa"/>
            <w:noWrap w:val="0"/>
            <w:vAlign w:val="center"/>
          </w:tcPr>
          <w:p w14:paraId="4C3047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氯化钠晶体结构模型</w:t>
            </w:r>
          </w:p>
        </w:tc>
        <w:tc>
          <w:tcPr>
            <w:tcW w:w="5928" w:type="dxa"/>
            <w:noWrap w:val="0"/>
            <w:vAlign w:val="center"/>
          </w:tcPr>
          <w:p w14:paraId="0189136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球棍式</w:t>
            </w:r>
          </w:p>
        </w:tc>
        <w:tc>
          <w:tcPr>
            <w:tcW w:w="736" w:type="dxa"/>
            <w:noWrap w:val="0"/>
            <w:vAlign w:val="bottom"/>
          </w:tcPr>
          <w:p w14:paraId="2CC0D45D">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8BFD6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89A779B">
            <w:pPr>
              <w:jc w:val="center"/>
              <w:rPr>
                <w:highlight w:val="none"/>
              </w:rPr>
            </w:pPr>
          </w:p>
        </w:tc>
        <w:tc>
          <w:tcPr>
            <w:tcW w:w="710" w:type="dxa"/>
            <w:gridSpan w:val="2"/>
            <w:noWrap w:val="0"/>
            <w:vAlign w:val="center"/>
          </w:tcPr>
          <w:p w14:paraId="622FDECF">
            <w:pPr>
              <w:jc w:val="both"/>
              <w:rPr>
                <w:highlight w:val="none"/>
                <w:vertAlign w:val="baseline"/>
              </w:rPr>
            </w:pPr>
          </w:p>
        </w:tc>
      </w:tr>
      <w:tr w14:paraId="09F4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94DE26">
            <w:pPr>
              <w:jc w:val="center"/>
              <w:rPr>
                <w:rFonts w:hint="default"/>
                <w:highlight w:val="none"/>
                <w:vertAlign w:val="baseline"/>
                <w:lang w:val="en-US" w:eastAsia="zh-CN"/>
              </w:rPr>
            </w:pPr>
            <w:r>
              <w:rPr>
                <w:rFonts w:hint="eastAsia"/>
                <w:highlight w:val="none"/>
                <w:vertAlign w:val="baseline"/>
                <w:lang w:val="en-US" w:eastAsia="zh-CN"/>
              </w:rPr>
              <w:t>197</w:t>
            </w:r>
          </w:p>
        </w:tc>
        <w:tc>
          <w:tcPr>
            <w:tcW w:w="1690" w:type="dxa"/>
            <w:noWrap w:val="0"/>
            <w:vAlign w:val="center"/>
          </w:tcPr>
          <w:p w14:paraId="2FDFD6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元素周期表</w:t>
            </w:r>
          </w:p>
        </w:tc>
        <w:tc>
          <w:tcPr>
            <w:tcW w:w="5928" w:type="dxa"/>
            <w:noWrap w:val="0"/>
            <w:vAlign w:val="center"/>
          </w:tcPr>
          <w:p w14:paraId="45D40E7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带轴</w:t>
            </w:r>
          </w:p>
        </w:tc>
        <w:tc>
          <w:tcPr>
            <w:tcW w:w="736" w:type="dxa"/>
            <w:noWrap w:val="0"/>
            <w:vAlign w:val="bottom"/>
          </w:tcPr>
          <w:p w14:paraId="1FD8FBD1">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47BBC7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26083C9">
            <w:pPr>
              <w:jc w:val="center"/>
              <w:rPr>
                <w:highlight w:val="none"/>
              </w:rPr>
            </w:pPr>
          </w:p>
        </w:tc>
        <w:tc>
          <w:tcPr>
            <w:tcW w:w="710" w:type="dxa"/>
            <w:gridSpan w:val="2"/>
            <w:noWrap w:val="0"/>
            <w:vAlign w:val="center"/>
          </w:tcPr>
          <w:p w14:paraId="14193D5D">
            <w:pPr>
              <w:jc w:val="both"/>
              <w:rPr>
                <w:highlight w:val="none"/>
                <w:vertAlign w:val="baseline"/>
              </w:rPr>
            </w:pPr>
          </w:p>
        </w:tc>
      </w:tr>
      <w:tr w14:paraId="5300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01DEA51">
            <w:pPr>
              <w:jc w:val="center"/>
              <w:rPr>
                <w:rFonts w:hint="default"/>
                <w:highlight w:val="none"/>
                <w:vertAlign w:val="baseline"/>
                <w:lang w:val="en-US" w:eastAsia="zh-CN"/>
              </w:rPr>
            </w:pPr>
            <w:r>
              <w:rPr>
                <w:rFonts w:hint="eastAsia"/>
                <w:highlight w:val="none"/>
                <w:vertAlign w:val="baseline"/>
                <w:lang w:val="en-US" w:eastAsia="zh-CN"/>
              </w:rPr>
              <w:t>198</w:t>
            </w:r>
          </w:p>
        </w:tc>
        <w:tc>
          <w:tcPr>
            <w:tcW w:w="1690" w:type="dxa"/>
            <w:noWrap w:val="0"/>
            <w:vAlign w:val="center"/>
          </w:tcPr>
          <w:p w14:paraId="670DEE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元素学习卡</w:t>
            </w:r>
          </w:p>
        </w:tc>
        <w:tc>
          <w:tcPr>
            <w:tcW w:w="5928" w:type="dxa"/>
            <w:noWrap w:val="0"/>
            <w:vAlign w:val="center"/>
          </w:tcPr>
          <w:p w14:paraId="48C023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卡片式</w:t>
            </w:r>
          </w:p>
        </w:tc>
        <w:tc>
          <w:tcPr>
            <w:tcW w:w="736" w:type="dxa"/>
            <w:noWrap w:val="0"/>
            <w:vAlign w:val="bottom"/>
          </w:tcPr>
          <w:p w14:paraId="1EEF819E">
            <w:pPr>
              <w:keepNext w:val="0"/>
              <w:keepLines w:val="0"/>
              <w:widowControl/>
              <w:suppressLineNumbers w:val="0"/>
              <w:jc w:val="center"/>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1F51D0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306F9C8">
            <w:pPr>
              <w:jc w:val="center"/>
              <w:rPr>
                <w:highlight w:val="none"/>
              </w:rPr>
            </w:pPr>
          </w:p>
        </w:tc>
        <w:tc>
          <w:tcPr>
            <w:tcW w:w="710" w:type="dxa"/>
            <w:gridSpan w:val="2"/>
            <w:noWrap w:val="0"/>
            <w:vAlign w:val="center"/>
          </w:tcPr>
          <w:p w14:paraId="210F7048">
            <w:pPr>
              <w:jc w:val="both"/>
              <w:rPr>
                <w:highlight w:val="none"/>
                <w:vertAlign w:val="baseline"/>
              </w:rPr>
            </w:pPr>
          </w:p>
        </w:tc>
      </w:tr>
      <w:tr w14:paraId="34F0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7D4A89E0">
            <w:pPr>
              <w:jc w:val="center"/>
              <w:rPr>
                <w:rFonts w:hint="default"/>
                <w:highlight w:val="none"/>
                <w:vertAlign w:val="baseline"/>
                <w:lang w:val="en-US" w:eastAsia="zh-CN"/>
              </w:rPr>
            </w:pPr>
            <w:r>
              <w:rPr>
                <w:rFonts w:hint="eastAsia"/>
                <w:highlight w:val="none"/>
                <w:vertAlign w:val="baseline"/>
                <w:lang w:val="en-US" w:eastAsia="zh-CN"/>
              </w:rPr>
              <w:t>199</w:t>
            </w:r>
          </w:p>
        </w:tc>
        <w:tc>
          <w:tcPr>
            <w:tcW w:w="1690" w:type="dxa"/>
            <w:noWrap w:val="0"/>
            <w:vAlign w:val="center"/>
          </w:tcPr>
          <w:p w14:paraId="452B09C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原油常见馏分标本</w:t>
            </w:r>
          </w:p>
        </w:tc>
        <w:tc>
          <w:tcPr>
            <w:tcW w:w="5928" w:type="dxa"/>
            <w:noWrap w:val="0"/>
            <w:vAlign w:val="center"/>
          </w:tcPr>
          <w:p w14:paraId="412D313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不少于 8 种</w:t>
            </w:r>
          </w:p>
        </w:tc>
        <w:tc>
          <w:tcPr>
            <w:tcW w:w="736" w:type="dxa"/>
            <w:noWrap w:val="0"/>
            <w:vAlign w:val="center"/>
          </w:tcPr>
          <w:p w14:paraId="06BFBFC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17CD1BF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6824174">
            <w:pPr>
              <w:jc w:val="center"/>
              <w:rPr>
                <w:highlight w:val="none"/>
              </w:rPr>
            </w:pPr>
          </w:p>
        </w:tc>
        <w:tc>
          <w:tcPr>
            <w:tcW w:w="710" w:type="dxa"/>
            <w:gridSpan w:val="2"/>
            <w:noWrap w:val="0"/>
            <w:vAlign w:val="center"/>
          </w:tcPr>
          <w:p w14:paraId="7E9599EA">
            <w:pPr>
              <w:jc w:val="both"/>
              <w:rPr>
                <w:highlight w:val="none"/>
                <w:vertAlign w:val="baseline"/>
              </w:rPr>
            </w:pPr>
          </w:p>
        </w:tc>
      </w:tr>
      <w:tr w14:paraId="3EF1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E46714">
            <w:pPr>
              <w:jc w:val="center"/>
              <w:rPr>
                <w:rFonts w:hint="default"/>
                <w:highlight w:val="none"/>
                <w:vertAlign w:val="baseline"/>
                <w:lang w:val="en-US" w:eastAsia="zh-CN"/>
              </w:rPr>
            </w:pPr>
            <w:r>
              <w:rPr>
                <w:rFonts w:hint="eastAsia"/>
                <w:highlight w:val="none"/>
                <w:vertAlign w:val="baseline"/>
                <w:lang w:val="en-US" w:eastAsia="zh-CN"/>
              </w:rPr>
              <w:t>200</w:t>
            </w:r>
          </w:p>
        </w:tc>
        <w:tc>
          <w:tcPr>
            <w:tcW w:w="1690" w:type="dxa"/>
            <w:noWrap w:val="0"/>
            <w:vAlign w:val="center"/>
          </w:tcPr>
          <w:p w14:paraId="672386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炼铁高炉模型</w:t>
            </w:r>
          </w:p>
        </w:tc>
        <w:tc>
          <w:tcPr>
            <w:tcW w:w="5928" w:type="dxa"/>
            <w:noWrap w:val="0"/>
            <w:vAlign w:val="center"/>
          </w:tcPr>
          <w:p w14:paraId="4243C9F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立体式</w:t>
            </w:r>
          </w:p>
        </w:tc>
        <w:tc>
          <w:tcPr>
            <w:tcW w:w="736" w:type="dxa"/>
            <w:noWrap w:val="0"/>
            <w:vAlign w:val="center"/>
          </w:tcPr>
          <w:p w14:paraId="198C09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508C7E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C63DF94">
            <w:pPr>
              <w:jc w:val="center"/>
              <w:rPr>
                <w:highlight w:val="none"/>
              </w:rPr>
            </w:pPr>
          </w:p>
        </w:tc>
        <w:tc>
          <w:tcPr>
            <w:tcW w:w="710" w:type="dxa"/>
            <w:gridSpan w:val="2"/>
            <w:noWrap w:val="0"/>
            <w:vAlign w:val="center"/>
          </w:tcPr>
          <w:p w14:paraId="7C6CBBD9">
            <w:pPr>
              <w:jc w:val="both"/>
              <w:rPr>
                <w:highlight w:val="none"/>
                <w:vertAlign w:val="baseline"/>
              </w:rPr>
            </w:pPr>
          </w:p>
        </w:tc>
      </w:tr>
      <w:tr w14:paraId="472D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388C30">
            <w:pPr>
              <w:jc w:val="center"/>
              <w:rPr>
                <w:rFonts w:hint="default"/>
                <w:highlight w:val="none"/>
                <w:vertAlign w:val="baseline"/>
                <w:lang w:val="en-US" w:eastAsia="zh-CN"/>
              </w:rPr>
            </w:pPr>
            <w:r>
              <w:rPr>
                <w:rFonts w:hint="eastAsia"/>
                <w:highlight w:val="none"/>
                <w:vertAlign w:val="baseline"/>
                <w:lang w:val="en-US" w:eastAsia="zh-CN"/>
              </w:rPr>
              <w:t>201</w:t>
            </w:r>
          </w:p>
        </w:tc>
        <w:tc>
          <w:tcPr>
            <w:tcW w:w="1690" w:type="dxa"/>
            <w:noWrap w:val="0"/>
            <w:vAlign w:val="center"/>
          </w:tcPr>
          <w:p w14:paraId="12EC280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合成有机高分子材料标本</w:t>
            </w:r>
          </w:p>
        </w:tc>
        <w:tc>
          <w:tcPr>
            <w:tcW w:w="5928" w:type="dxa"/>
            <w:noWrap w:val="0"/>
            <w:vAlign w:val="center"/>
          </w:tcPr>
          <w:p w14:paraId="30205DC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不少于 10 种</w:t>
            </w:r>
          </w:p>
        </w:tc>
        <w:tc>
          <w:tcPr>
            <w:tcW w:w="736" w:type="dxa"/>
            <w:noWrap w:val="0"/>
            <w:vAlign w:val="center"/>
          </w:tcPr>
          <w:p w14:paraId="476A9A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3123EE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1870F7F">
            <w:pPr>
              <w:jc w:val="center"/>
              <w:rPr>
                <w:highlight w:val="none"/>
              </w:rPr>
            </w:pPr>
          </w:p>
        </w:tc>
        <w:tc>
          <w:tcPr>
            <w:tcW w:w="710" w:type="dxa"/>
            <w:gridSpan w:val="2"/>
            <w:noWrap w:val="0"/>
            <w:vAlign w:val="center"/>
          </w:tcPr>
          <w:p w14:paraId="3CA90B7D">
            <w:pPr>
              <w:jc w:val="both"/>
              <w:rPr>
                <w:highlight w:val="none"/>
                <w:vertAlign w:val="baseline"/>
              </w:rPr>
            </w:pPr>
          </w:p>
        </w:tc>
      </w:tr>
      <w:tr w14:paraId="3ABA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68C7BA">
            <w:pPr>
              <w:jc w:val="center"/>
              <w:rPr>
                <w:rFonts w:hint="default"/>
                <w:highlight w:val="none"/>
                <w:vertAlign w:val="baseline"/>
                <w:lang w:val="en-US" w:eastAsia="zh-CN"/>
              </w:rPr>
            </w:pPr>
            <w:r>
              <w:rPr>
                <w:rFonts w:hint="eastAsia"/>
                <w:highlight w:val="none"/>
                <w:vertAlign w:val="baseline"/>
                <w:lang w:val="en-US" w:eastAsia="zh-CN"/>
              </w:rPr>
              <w:t>202</w:t>
            </w:r>
          </w:p>
        </w:tc>
        <w:tc>
          <w:tcPr>
            <w:tcW w:w="1690" w:type="dxa"/>
            <w:noWrap w:val="0"/>
            <w:vAlign w:val="center"/>
          </w:tcPr>
          <w:p w14:paraId="74FEE9D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新型无机非金属材料标本</w:t>
            </w:r>
          </w:p>
        </w:tc>
        <w:tc>
          <w:tcPr>
            <w:tcW w:w="5928" w:type="dxa"/>
            <w:noWrap w:val="0"/>
            <w:vAlign w:val="center"/>
          </w:tcPr>
          <w:p w14:paraId="58215D6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包括氧 化铝陶瓷、氮化硅陶瓷、光导纤维等</w:t>
            </w:r>
          </w:p>
        </w:tc>
        <w:tc>
          <w:tcPr>
            <w:tcW w:w="736" w:type="dxa"/>
            <w:noWrap w:val="0"/>
            <w:vAlign w:val="center"/>
          </w:tcPr>
          <w:p w14:paraId="0EB86E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505305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545934">
            <w:pPr>
              <w:jc w:val="center"/>
              <w:rPr>
                <w:highlight w:val="none"/>
              </w:rPr>
            </w:pPr>
          </w:p>
        </w:tc>
        <w:tc>
          <w:tcPr>
            <w:tcW w:w="710" w:type="dxa"/>
            <w:gridSpan w:val="2"/>
            <w:noWrap w:val="0"/>
            <w:vAlign w:val="center"/>
          </w:tcPr>
          <w:p w14:paraId="28AAE8FE">
            <w:pPr>
              <w:jc w:val="both"/>
              <w:rPr>
                <w:highlight w:val="none"/>
                <w:vertAlign w:val="baseline"/>
              </w:rPr>
            </w:pPr>
          </w:p>
        </w:tc>
      </w:tr>
      <w:tr w14:paraId="0173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B961F9">
            <w:pPr>
              <w:jc w:val="center"/>
              <w:rPr>
                <w:rFonts w:hint="default"/>
                <w:highlight w:val="none"/>
                <w:vertAlign w:val="baseline"/>
                <w:lang w:val="en-US" w:eastAsia="zh-CN"/>
              </w:rPr>
            </w:pPr>
            <w:r>
              <w:rPr>
                <w:rFonts w:hint="eastAsia"/>
                <w:highlight w:val="none"/>
                <w:vertAlign w:val="baseline"/>
                <w:lang w:val="en-US" w:eastAsia="zh-CN"/>
              </w:rPr>
              <w:t>203</w:t>
            </w:r>
          </w:p>
        </w:tc>
        <w:tc>
          <w:tcPr>
            <w:tcW w:w="1690" w:type="dxa"/>
            <w:noWrap w:val="0"/>
            <w:vAlign w:val="top"/>
          </w:tcPr>
          <w:p w14:paraId="262489D5">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pH广泛试纸</w:t>
            </w:r>
          </w:p>
        </w:tc>
        <w:tc>
          <w:tcPr>
            <w:tcW w:w="5928" w:type="dxa"/>
            <w:noWrap w:val="0"/>
            <w:vAlign w:val="top"/>
          </w:tcPr>
          <w:p w14:paraId="5560BD85">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1～14</w:t>
            </w:r>
          </w:p>
        </w:tc>
        <w:tc>
          <w:tcPr>
            <w:tcW w:w="736" w:type="dxa"/>
            <w:noWrap w:val="0"/>
            <w:vAlign w:val="top"/>
          </w:tcPr>
          <w:p w14:paraId="434DB581">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本</w:t>
            </w:r>
          </w:p>
        </w:tc>
        <w:tc>
          <w:tcPr>
            <w:tcW w:w="834" w:type="dxa"/>
            <w:noWrap w:val="0"/>
            <w:vAlign w:val="top"/>
          </w:tcPr>
          <w:p w14:paraId="6C13ACDB">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40</w:t>
            </w:r>
          </w:p>
        </w:tc>
        <w:tc>
          <w:tcPr>
            <w:tcW w:w="3396" w:type="dxa"/>
            <w:gridSpan w:val="2"/>
            <w:noWrap w:val="0"/>
            <w:vAlign w:val="center"/>
          </w:tcPr>
          <w:p w14:paraId="118AFB32">
            <w:pPr>
              <w:jc w:val="center"/>
              <w:rPr>
                <w:highlight w:val="none"/>
              </w:rPr>
            </w:pPr>
          </w:p>
        </w:tc>
        <w:tc>
          <w:tcPr>
            <w:tcW w:w="710" w:type="dxa"/>
            <w:gridSpan w:val="2"/>
            <w:noWrap w:val="0"/>
            <w:vAlign w:val="center"/>
          </w:tcPr>
          <w:p w14:paraId="0C666B86">
            <w:pPr>
              <w:jc w:val="both"/>
              <w:rPr>
                <w:highlight w:val="none"/>
                <w:vertAlign w:val="baseline"/>
              </w:rPr>
            </w:pPr>
          </w:p>
        </w:tc>
      </w:tr>
      <w:tr w14:paraId="44F3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B46E8F">
            <w:pPr>
              <w:jc w:val="center"/>
              <w:rPr>
                <w:rFonts w:hint="default"/>
                <w:highlight w:val="none"/>
                <w:vertAlign w:val="baseline"/>
                <w:lang w:val="en-US" w:eastAsia="zh-CN"/>
              </w:rPr>
            </w:pPr>
            <w:r>
              <w:rPr>
                <w:rFonts w:hint="eastAsia"/>
                <w:highlight w:val="none"/>
                <w:vertAlign w:val="baseline"/>
                <w:lang w:val="en-US" w:eastAsia="zh-CN"/>
              </w:rPr>
              <w:t>204</w:t>
            </w:r>
          </w:p>
        </w:tc>
        <w:tc>
          <w:tcPr>
            <w:tcW w:w="1690" w:type="dxa"/>
            <w:noWrap w:val="0"/>
            <w:vAlign w:val="top"/>
          </w:tcPr>
          <w:p w14:paraId="6D57618D">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蓝石蕊试纸</w:t>
            </w:r>
          </w:p>
        </w:tc>
        <w:tc>
          <w:tcPr>
            <w:tcW w:w="5928" w:type="dxa"/>
            <w:noWrap w:val="0"/>
            <w:vAlign w:val="bottom"/>
          </w:tcPr>
          <w:p w14:paraId="12A9D491">
            <w:pPr>
              <w:keepNext w:val="0"/>
              <w:keepLines w:val="0"/>
              <w:widowControl/>
              <w:suppressLineNumbers w:val="0"/>
              <w:jc w:val="left"/>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定性测量</w:t>
            </w:r>
          </w:p>
        </w:tc>
        <w:tc>
          <w:tcPr>
            <w:tcW w:w="736" w:type="dxa"/>
            <w:noWrap w:val="0"/>
            <w:vAlign w:val="top"/>
          </w:tcPr>
          <w:p w14:paraId="0DF2EDE9">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本</w:t>
            </w:r>
          </w:p>
        </w:tc>
        <w:tc>
          <w:tcPr>
            <w:tcW w:w="834" w:type="dxa"/>
            <w:noWrap w:val="0"/>
            <w:vAlign w:val="top"/>
          </w:tcPr>
          <w:p w14:paraId="1BF51385">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79F60A04">
            <w:pPr>
              <w:jc w:val="center"/>
              <w:rPr>
                <w:highlight w:val="none"/>
              </w:rPr>
            </w:pPr>
          </w:p>
        </w:tc>
        <w:tc>
          <w:tcPr>
            <w:tcW w:w="710" w:type="dxa"/>
            <w:gridSpan w:val="2"/>
            <w:noWrap w:val="0"/>
            <w:vAlign w:val="center"/>
          </w:tcPr>
          <w:p w14:paraId="61B69432">
            <w:pPr>
              <w:jc w:val="both"/>
              <w:rPr>
                <w:highlight w:val="none"/>
                <w:vertAlign w:val="baseline"/>
              </w:rPr>
            </w:pPr>
          </w:p>
        </w:tc>
      </w:tr>
      <w:tr w14:paraId="055E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8D80C66">
            <w:pPr>
              <w:jc w:val="center"/>
              <w:rPr>
                <w:rFonts w:hint="default"/>
                <w:highlight w:val="none"/>
                <w:vertAlign w:val="baseline"/>
                <w:lang w:val="en-US" w:eastAsia="zh-CN"/>
              </w:rPr>
            </w:pPr>
            <w:r>
              <w:rPr>
                <w:rFonts w:hint="eastAsia"/>
                <w:highlight w:val="none"/>
                <w:vertAlign w:val="baseline"/>
                <w:lang w:val="en-US" w:eastAsia="zh-CN"/>
              </w:rPr>
              <w:t>205</w:t>
            </w:r>
          </w:p>
        </w:tc>
        <w:tc>
          <w:tcPr>
            <w:tcW w:w="1690" w:type="dxa"/>
            <w:noWrap w:val="0"/>
            <w:vAlign w:val="top"/>
          </w:tcPr>
          <w:p w14:paraId="71F4F7E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红石蕊试纸</w:t>
            </w:r>
          </w:p>
        </w:tc>
        <w:tc>
          <w:tcPr>
            <w:tcW w:w="5928" w:type="dxa"/>
            <w:noWrap w:val="0"/>
            <w:vAlign w:val="bottom"/>
          </w:tcPr>
          <w:p w14:paraId="7E16218C">
            <w:pPr>
              <w:keepNext w:val="0"/>
              <w:keepLines w:val="0"/>
              <w:widowControl/>
              <w:suppressLineNumbers w:val="0"/>
              <w:jc w:val="left"/>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定性测量</w:t>
            </w:r>
          </w:p>
        </w:tc>
        <w:tc>
          <w:tcPr>
            <w:tcW w:w="736" w:type="dxa"/>
            <w:noWrap w:val="0"/>
            <w:vAlign w:val="top"/>
          </w:tcPr>
          <w:p w14:paraId="67B4F8AE">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本</w:t>
            </w:r>
          </w:p>
        </w:tc>
        <w:tc>
          <w:tcPr>
            <w:tcW w:w="834" w:type="dxa"/>
            <w:noWrap w:val="0"/>
            <w:vAlign w:val="top"/>
          </w:tcPr>
          <w:p w14:paraId="3753C839">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2D20018B">
            <w:pPr>
              <w:jc w:val="center"/>
              <w:rPr>
                <w:highlight w:val="none"/>
              </w:rPr>
            </w:pPr>
          </w:p>
        </w:tc>
        <w:tc>
          <w:tcPr>
            <w:tcW w:w="710" w:type="dxa"/>
            <w:gridSpan w:val="2"/>
            <w:noWrap w:val="0"/>
            <w:vAlign w:val="center"/>
          </w:tcPr>
          <w:p w14:paraId="6A71B493">
            <w:pPr>
              <w:jc w:val="both"/>
              <w:rPr>
                <w:highlight w:val="none"/>
                <w:vertAlign w:val="baseline"/>
              </w:rPr>
            </w:pPr>
          </w:p>
        </w:tc>
      </w:tr>
      <w:tr w14:paraId="5F11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829290">
            <w:pPr>
              <w:jc w:val="center"/>
              <w:rPr>
                <w:rFonts w:hint="default"/>
                <w:highlight w:val="none"/>
                <w:vertAlign w:val="baseline"/>
                <w:lang w:val="en-US" w:eastAsia="zh-CN"/>
              </w:rPr>
            </w:pPr>
            <w:r>
              <w:rPr>
                <w:rFonts w:hint="eastAsia"/>
                <w:highlight w:val="none"/>
                <w:vertAlign w:val="baseline"/>
                <w:lang w:val="en-US" w:eastAsia="zh-CN"/>
              </w:rPr>
              <w:t>206</w:t>
            </w:r>
          </w:p>
        </w:tc>
        <w:tc>
          <w:tcPr>
            <w:tcW w:w="1690" w:type="dxa"/>
            <w:noWrap w:val="0"/>
            <w:vAlign w:val="center"/>
          </w:tcPr>
          <w:p w14:paraId="2E64AA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定性滤纸</w:t>
            </w:r>
          </w:p>
        </w:tc>
        <w:tc>
          <w:tcPr>
            <w:tcW w:w="5928" w:type="dxa"/>
            <w:noWrap w:val="0"/>
            <w:vAlign w:val="top"/>
          </w:tcPr>
          <w:p w14:paraId="3CA97797">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快速，9cm，100张</w:t>
            </w:r>
          </w:p>
        </w:tc>
        <w:tc>
          <w:tcPr>
            <w:tcW w:w="736" w:type="dxa"/>
            <w:noWrap w:val="0"/>
            <w:vAlign w:val="top"/>
          </w:tcPr>
          <w:p w14:paraId="18C5D99D">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盒</w:t>
            </w:r>
          </w:p>
        </w:tc>
        <w:tc>
          <w:tcPr>
            <w:tcW w:w="834" w:type="dxa"/>
            <w:noWrap w:val="0"/>
            <w:vAlign w:val="top"/>
          </w:tcPr>
          <w:p w14:paraId="235A1965">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33E692C0">
            <w:pPr>
              <w:jc w:val="center"/>
              <w:rPr>
                <w:highlight w:val="none"/>
              </w:rPr>
            </w:pPr>
          </w:p>
        </w:tc>
        <w:tc>
          <w:tcPr>
            <w:tcW w:w="710" w:type="dxa"/>
            <w:gridSpan w:val="2"/>
            <w:noWrap w:val="0"/>
            <w:vAlign w:val="center"/>
          </w:tcPr>
          <w:p w14:paraId="2FC9F342">
            <w:pPr>
              <w:jc w:val="both"/>
              <w:rPr>
                <w:highlight w:val="none"/>
                <w:vertAlign w:val="baseline"/>
              </w:rPr>
            </w:pPr>
          </w:p>
        </w:tc>
      </w:tr>
      <w:tr w14:paraId="6E8D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395F94">
            <w:pPr>
              <w:jc w:val="center"/>
              <w:rPr>
                <w:rFonts w:hint="default"/>
                <w:highlight w:val="none"/>
                <w:vertAlign w:val="baseline"/>
                <w:lang w:val="en-US" w:eastAsia="zh-CN"/>
              </w:rPr>
            </w:pPr>
            <w:r>
              <w:rPr>
                <w:rFonts w:hint="eastAsia"/>
                <w:highlight w:val="none"/>
                <w:vertAlign w:val="baseline"/>
                <w:lang w:val="en-US" w:eastAsia="zh-CN"/>
              </w:rPr>
              <w:t>207</w:t>
            </w:r>
          </w:p>
        </w:tc>
        <w:tc>
          <w:tcPr>
            <w:tcW w:w="1690" w:type="dxa"/>
            <w:noWrap w:val="0"/>
            <w:vAlign w:val="center"/>
          </w:tcPr>
          <w:p w14:paraId="757CC2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定性滤纸</w:t>
            </w:r>
          </w:p>
        </w:tc>
        <w:tc>
          <w:tcPr>
            <w:tcW w:w="5928" w:type="dxa"/>
            <w:noWrap w:val="0"/>
            <w:vAlign w:val="top"/>
          </w:tcPr>
          <w:p w14:paraId="3EED037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快速，15cm，100张</w:t>
            </w:r>
          </w:p>
        </w:tc>
        <w:tc>
          <w:tcPr>
            <w:tcW w:w="736" w:type="dxa"/>
            <w:noWrap w:val="0"/>
            <w:vAlign w:val="top"/>
          </w:tcPr>
          <w:p w14:paraId="5628C758">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盒</w:t>
            </w:r>
          </w:p>
        </w:tc>
        <w:tc>
          <w:tcPr>
            <w:tcW w:w="834" w:type="dxa"/>
            <w:noWrap w:val="0"/>
            <w:vAlign w:val="top"/>
          </w:tcPr>
          <w:p w14:paraId="75DBB23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1CF7CF54">
            <w:pPr>
              <w:jc w:val="center"/>
              <w:rPr>
                <w:highlight w:val="none"/>
              </w:rPr>
            </w:pPr>
          </w:p>
        </w:tc>
        <w:tc>
          <w:tcPr>
            <w:tcW w:w="710" w:type="dxa"/>
            <w:gridSpan w:val="2"/>
            <w:noWrap w:val="0"/>
            <w:vAlign w:val="center"/>
          </w:tcPr>
          <w:p w14:paraId="2EFA6087">
            <w:pPr>
              <w:jc w:val="both"/>
              <w:rPr>
                <w:highlight w:val="none"/>
                <w:vertAlign w:val="baseline"/>
              </w:rPr>
            </w:pPr>
          </w:p>
        </w:tc>
      </w:tr>
      <w:tr w14:paraId="1DD5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6EC517">
            <w:pPr>
              <w:jc w:val="center"/>
              <w:rPr>
                <w:rFonts w:hint="default"/>
                <w:highlight w:val="none"/>
                <w:vertAlign w:val="baseline"/>
                <w:lang w:val="en-US" w:eastAsia="zh-CN"/>
              </w:rPr>
            </w:pPr>
            <w:r>
              <w:rPr>
                <w:rFonts w:hint="eastAsia"/>
                <w:highlight w:val="none"/>
                <w:vertAlign w:val="baseline"/>
                <w:lang w:val="en-US" w:eastAsia="zh-CN"/>
              </w:rPr>
              <w:t>208</w:t>
            </w:r>
          </w:p>
        </w:tc>
        <w:tc>
          <w:tcPr>
            <w:tcW w:w="1690" w:type="dxa"/>
            <w:noWrap w:val="0"/>
            <w:vAlign w:val="top"/>
          </w:tcPr>
          <w:p w14:paraId="4C96B13C">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铝片</w:t>
            </w:r>
          </w:p>
        </w:tc>
        <w:tc>
          <w:tcPr>
            <w:tcW w:w="5928" w:type="dxa"/>
            <w:noWrap w:val="0"/>
            <w:vAlign w:val="center"/>
          </w:tcPr>
          <w:p w14:paraId="1E3FC70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100g</w:t>
            </w:r>
          </w:p>
        </w:tc>
        <w:tc>
          <w:tcPr>
            <w:tcW w:w="736" w:type="dxa"/>
            <w:noWrap w:val="0"/>
            <w:vAlign w:val="center"/>
          </w:tcPr>
          <w:p w14:paraId="3C21D9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48E14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EA601A3">
            <w:pPr>
              <w:jc w:val="center"/>
              <w:rPr>
                <w:highlight w:val="none"/>
              </w:rPr>
            </w:pPr>
          </w:p>
        </w:tc>
        <w:tc>
          <w:tcPr>
            <w:tcW w:w="710" w:type="dxa"/>
            <w:gridSpan w:val="2"/>
            <w:noWrap w:val="0"/>
            <w:vAlign w:val="center"/>
          </w:tcPr>
          <w:p w14:paraId="57D01079">
            <w:pPr>
              <w:jc w:val="both"/>
              <w:rPr>
                <w:highlight w:val="none"/>
                <w:vertAlign w:val="baseline"/>
              </w:rPr>
            </w:pPr>
          </w:p>
        </w:tc>
      </w:tr>
      <w:tr w14:paraId="26C3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D6F512F">
            <w:pPr>
              <w:jc w:val="center"/>
              <w:rPr>
                <w:rFonts w:hint="default"/>
                <w:highlight w:val="none"/>
                <w:vertAlign w:val="baseline"/>
                <w:lang w:val="en-US" w:eastAsia="zh-CN"/>
              </w:rPr>
            </w:pPr>
            <w:r>
              <w:rPr>
                <w:rFonts w:hint="eastAsia"/>
                <w:highlight w:val="none"/>
                <w:vertAlign w:val="baseline"/>
                <w:lang w:val="en-US" w:eastAsia="zh-CN"/>
              </w:rPr>
              <w:t>209</w:t>
            </w:r>
          </w:p>
        </w:tc>
        <w:tc>
          <w:tcPr>
            <w:tcW w:w="1690" w:type="dxa"/>
            <w:noWrap w:val="0"/>
            <w:vAlign w:val="top"/>
          </w:tcPr>
          <w:p w14:paraId="5090D8B4">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铝丝</w:t>
            </w:r>
          </w:p>
        </w:tc>
        <w:tc>
          <w:tcPr>
            <w:tcW w:w="5928" w:type="dxa"/>
            <w:noWrap w:val="0"/>
            <w:vAlign w:val="center"/>
          </w:tcPr>
          <w:p w14:paraId="7D8FFB0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100g</w:t>
            </w:r>
          </w:p>
        </w:tc>
        <w:tc>
          <w:tcPr>
            <w:tcW w:w="736" w:type="dxa"/>
            <w:noWrap w:val="0"/>
            <w:vAlign w:val="center"/>
          </w:tcPr>
          <w:p w14:paraId="0223B5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CD9D2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609B25">
            <w:pPr>
              <w:jc w:val="center"/>
              <w:rPr>
                <w:highlight w:val="none"/>
              </w:rPr>
            </w:pPr>
          </w:p>
        </w:tc>
        <w:tc>
          <w:tcPr>
            <w:tcW w:w="710" w:type="dxa"/>
            <w:gridSpan w:val="2"/>
            <w:noWrap w:val="0"/>
            <w:vAlign w:val="center"/>
          </w:tcPr>
          <w:p w14:paraId="1E7AFC1A">
            <w:pPr>
              <w:jc w:val="both"/>
              <w:rPr>
                <w:highlight w:val="none"/>
                <w:vertAlign w:val="baseline"/>
              </w:rPr>
            </w:pPr>
          </w:p>
        </w:tc>
      </w:tr>
      <w:tr w14:paraId="469D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88F132">
            <w:pPr>
              <w:jc w:val="center"/>
              <w:rPr>
                <w:rFonts w:hint="default"/>
                <w:highlight w:val="none"/>
                <w:vertAlign w:val="baseline"/>
                <w:lang w:val="en-US" w:eastAsia="zh-CN"/>
              </w:rPr>
            </w:pPr>
            <w:r>
              <w:rPr>
                <w:rFonts w:hint="eastAsia"/>
                <w:highlight w:val="none"/>
                <w:vertAlign w:val="baseline"/>
                <w:lang w:val="en-US" w:eastAsia="zh-CN"/>
              </w:rPr>
              <w:t>210</w:t>
            </w:r>
          </w:p>
        </w:tc>
        <w:tc>
          <w:tcPr>
            <w:tcW w:w="1690" w:type="dxa"/>
            <w:noWrap w:val="0"/>
            <w:vAlign w:val="top"/>
          </w:tcPr>
          <w:p w14:paraId="7D3DDD81">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铝箔</w:t>
            </w:r>
          </w:p>
        </w:tc>
        <w:tc>
          <w:tcPr>
            <w:tcW w:w="5928" w:type="dxa"/>
            <w:noWrap w:val="0"/>
            <w:vAlign w:val="center"/>
          </w:tcPr>
          <w:p w14:paraId="0BA1424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100g</w:t>
            </w:r>
          </w:p>
        </w:tc>
        <w:tc>
          <w:tcPr>
            <w:tcW w:w="736" w:type="dxa"/>
            <w:noWrap w:val="0"/>
            <w:vAlign w:val="center"/>
          </w:tcPr>
          <w:p w14:paraId="397F39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786E34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AB32BE9">
            <w:pPr>
              <w:jc w:val="center"/>
              <w:rPr>
                <w:highlight w:val="none"/>
              </w:rPr>
            </w:pPr>
          </w:p>
        </w:tc>
        <w:tc>
          <w:tcPr>
            <w:tcW w:w="710" w:type="dxa"/>
            <w:gridSpan w:val="2"/>
            <w:noWrap w:val="0"/>
            <w:vAlign w:val="center"/>
          </w:tcPr>
          <w:p w14:paraId="2D0178A0">
            <w:pPr>
              <w:jc w:val="both"/>
              <w:rPr>
                <w:highlight w:val="none"/>
                <w:vertAlign w:val="baseline"/>
              </w:rPr>
            </w:pPr>
          </w:p>
        </w:tc>
      </w:tr>
      <w:tr w14:paraId="6EE3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67296D">
            <w:pPr>
              <w:jc w:val="center"/>
              <w:rPr>
                <w:rFonts w:hint="default"/>
                <w:highlight w:val="none"/>
                <w:vertAlign w:val="baseline"/>
                <w:lang w:val="en-US" w:eastAsia="zh-CN"/>
              </w:rPr>
            </w:pPr>
            <w:r>
              <w:rPr>
                <w:rFonts w:hint="eastAsia"/>
                <w:highlight w:val="none"/>
                <w:vertAlign w:val="baseline"/>
                <w:lang w:val="en-US" w:eastAsia="zh-CN"/>
              </w:rPr>
              <w:t>211</w:t>
            </w:r>
          </w:p>
        </w:tc>
        <w:tc>
          <w:tcPr>
            <w:tcW w:w="1690" w:type="dxa"/>
            <w:noWrap w:val="0"/>
            <w:vAlign w:val="top"/>
          </w:tcPr>
          <w:p w14:paraId="1DD586D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锌片（锌花）</w:t>
            </w:r>
          </w:p>
        </w:tc>
        <w:tc>
          <w:tcPr>
            <w:tcW w:w="5928" w:type="dxa"/>
            <w:noWrap w:val="0"/>
            <w:vAlign w:val="top"/>
          </w:tcPr>
          <w:p w14:paraId="3569D749">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工业100g</w:t>
            </w:r>
          </w:p>
        </w:tc>
        <w:tc>
          <w:tcPr>
            <w:tcW w:w="736" w:type="dxa"/>
            <w:noWrap w:val="0"/>
            <w:vAlign w:val="center"/>
          </w:tcPr>
          <w:p w14:paraId="304D16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44D9F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7FC59A8">
            <w:pPr>
              <w:jc w:val="center"/>
              <w:rPr>
                <w:highlight w:val="none"/>
              </w:rPr>
            </w:pPr>
          </w:p>
        </w:tc>
        <w:tc>
          <w:tcPr>
            <w:tcW w:w="710" w:type="dxa"/>
            <w:gridSpan w:val="2"/>
            <w:noWrap w:val="0"/>
            <w:vAlign w:val="center"/>
          </w:tcPr>
          <w:p w14:paraId="0E79B265">
            <w:pPr>
              <w:jc w:val="both"/>
              <w:rPr>
                <w:highlight w:val="none"/>
                <w:vertAlign w:val="baseline"/>
              </w:rPr>
            </w:pPr>
          </w:p>
        </w:tc>
      </w:tr>
      <w:tr w14:paraId="7B98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259B0E">
            <w:pPr>
              <w:jc w:val="center"/>
              <w:rPr>
                <w:rFonts w:hint="default"/>
                <w:highlight w:val="none"/>
                <w:vertAlign w:val="baseline"/>
                <w:lang w:val="en-US" w:eastAsia="zh-CN"/>
              </w:rPr>
            </w:pPr>
            <w:r>
              <w:rPr>
                <w:rFonts w:hint="eastAsia"/>
                <w:highlight w:val="none"/>
                <w:vertAlign w:val="baseline"/>
                <w:lang w:val="en-US" w:eastAsia="zh-CN"/>
              </w:rPr>
              <w:t>212</w:t>
            </w:r>
          </w:p>
        </w:tc>
        <w:tc>
          <w:tcPr>
            <w:tcW w:w="1690" w:type="dxa"/>
            <w:noWrap w:val="0"/>
            <w:vAlign w:val="top"/>
          </w:tcPr>
          <w:p w14:paraId="221C3909">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锌粒</w:t>
            </w:r>
          </w:p>
        </w:tc>
        <w:tc>
          <w:tcPr>
            <w:tcW w:w="5928" w:type="dxa"/>
            <w:noWrap w:val="0"/>
            <w:vAlign w:val="top"/>
          </w:tcPr>
          <w:p w14:paraId="77D261B4">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68A70B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283BA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5B6E0A">
            <w:pPr>
              <w:jc w:val="center"/>
              <w:rPr>
                <w:highlight w:val="none"/>
              </w:rPr>
            </w:pPr>
          </w:p>
        </w:tc>
        <w:tc>
          <w:tcPr>
            <w:tcW w:w="710" w:type="dxa"/>
            <w:gridSpan w:val="2"/>
            <w:noWrap w:val="0"/>
            <w:vAlign w:val="center"/>
          </w:tcPr>
          <w:p w14:paraId="513A1ED3">
            <w:pPr>
              <w:jc w:val="both"/>
              <w:rPr>
                <w:highlight w:val="none"/>
                <w:vertAlign w:val="baseline"/>
              </w:rPr>
            </w:pPr>
          </w:p>
        </w:tc>
      </w:tr>
      <w:tr w14:paraId="262F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B5CAED">
            <w:pPr>
              <w:jc w:val="center"/>
              <w:rPr>
                <w:rFonts w:hint="default"/>
                <w:highlight w:val="none"/>
                <w:vertAlign w:val="baseline"/>
                <w:lang w:val="en-US" w:eastAsia="zh-CN"/>
              </w:rPr>
            </w:pPr>
            <w:r>
              <w:rPr>
                <w:rFonts w:hint="eastAsia"/>
                <w:highlight w:val="none"/>
                <w:vertAlign w:val="baseline"/>
                <w:lang w:val="en-US" w:eastAsia="zh-CN"/>
              </w:rPr>
              <w:t>213</w:t>
            </w:r>
          </w:p>
        </w:tc>
        <w:tc>
          <w:tcPr>
            <w:tcW w:w="1690" w:type="dxa"/>
            <w:noWrap w:val="0"/>
            <w:vAlign w:val="top"/>
          </w:tcPr>
          <w:p w14:paraId="0A048948">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铁粉</w:t>
            </w:r>
          </w:p>
        </w:tc>
        <w:tc>
          <w:tcPr>
            <w:tcW w:w="5928" w:type="dxa"/>
            <w:noWrap w:val="0"/>
            <w:vAlign w:val="top"/>
          </w:tcPr>
          <w:p w14:paraId="2D9A66B2">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7F16CF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7A938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B34498E">
            <w:pPr>
              <w:jc w:val="center"/>
              <w:rPr>
                <w:highlight w:val="none"/>
              </w:rPr>
            </w:pPr>
          </w:p>
        </w:tc>
        <w:tc>
          <w:tcPr>
            <w:tcW w:w="710" w:type="dxa"/>
            <w:gridSpan w:val="2"/>
            <w:noWrap w:val="0"/>
            <w:vAlign w:val="center"/>
          </w:tcPr>
          <w:p w14:paraId="122E2267">
            <w:pPr>
              <w:jc w:val="both"/>
              <w:rPr>
                <w:highlight w:val="none"/>
                <w:vertAlign w:val="baseline"/>
              </w:rPr>
            </w:pPr>
          </w:p>
        </w:tc>
      </w:tr>
      <w:tr w14:paraId="03AE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FDC098">
            <w:pPr>
              <w:jc w:val="center"/>
              <w:rPr>
                <w:rFonts w:hint="default"/>
                <w:highlight w:val="none"/>
                <w:vertAlign w:val="baseline"/>
                <w:lang w:val="en-US" w:eastAsia="zh-CN"/>
              </w:rPr>
            </w:pPr>
            <w:r>
              <w:rPr>
                <w:rFonts w:hint="eastAsia"/>
                <w:highlight w:val="none"/>
                <w:vertAlign w:val="baseline"/>
                <w:lang w:val="en-US" w:eastAsia="zh-CN"/>
              </w:rPr>
              <w:t>214</w:t>
            </w:r>
          </w:p>
        </w:tc>
        <w:tc>
          <w:tcPr>
            <w:tcW w:w="1690" w:type="dxa"/>
            <w:noWrap w:val="0"/>
            <w:vAlign w:val="top"/>
          </w:tcPr>
          <w:p w14:paraId="54C5D97C">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铁丝</w:t>
            </w:r>
          </w:p>
        </w:tc>
        <w:tc>
          <w:tcPr>
            <w:tcW w:w="5928" w:type="dxa"/>
            <w:noWrap w:val="0"/>
            <w:vAlign w:val="top"/>
          </w:tcPr>
          <w:p w14:paraId="1145C64B">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直径≤2mm 100g</w:t>
            </w:r>
          </w:p>
        </w:tc>
        <w:tc>
          <w:tcPr>
            <w:tcW w:w="736" w:type="dxa"/>
            <w:noWrap w:val="0"/>
            <w:vAlign w:val="center"/>
          </w:tcPr>
          <w:p w14:paraId="570F0E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5C5AF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65B867D2">
            <w:pPr>
              <w:jc w:val="center"/>
              <w:rPr>
                <w:highlight w:val="none"/>
              </w:rPr>
            </w:pPr>
          </w:p>
        </w:tc>
        <w:tc>
          <w:tcPr>
            <w:tcW w:w="710" w:type="dxa"/>
            <w:gridSpan w:val="2"/>
            <w:noWrap w:val="0"/>
            <w:vAlign w:val="center"/>
          </w:tcPr>
          <w:p w14:paraId="36283E30">
            <w:pPr>
              <w:jc w:val="both"/>
              <w:rPr>
                <w:highlight w:val="none"/>
                <w:vertAlign w:val="baseline"/>
              </w:rPr>
            </w:pPr>
          </w:p>
        </w:tc>
      </w:tr>
      <w:tr w14:paraId="0917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74E54D0A">
            <w:pPr>
              <w:jc w:val="center"/>
              <w:rPr>
                <w:rFonts w:hint="default"/>
                <w:highlight w:val="none"/>
                <w:vertAlign w:val="baseline"/>
                <w:lang w:val="en-US" w:eastAsia="zh-CN"/>
              </w:rPr>
            </w:pPr>
            <w:r>
              <w:rPr>
                <w:rFonts w:hint="eastAsia"/>
                <w:highlight w:val="none"/>
                <w:vertAlign w:val="baseline"/>
                <w:lang w:val="en-US" w:eastAsia="zh-CN"/>
              </w:rPr>
              <w:t>215</w:t>
            </w:r>
          </w:p>
        </w:tc>
        <w:tc>
          <w:tcPr>
            <w:tcW w:w="1690" w:type="dxa"/>
            <w:noWrap w:val="0"/>
            <w:vAlign w:val="top"/>
          </w:tcPr>
          <w:p w14:paraId="69BD214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紫铜片</w:t>
            </w:r>
          </w:p>
        </w:tc>
        <w:tc>
          <w:tcPr>
            <w:tcW w:w="5928" w:type="dxa"/>
            <w:noWrap w:val="0"/>
            <w:vAlign w:val="center"/>
          </w:tcPr>
          <w:p w14:paraId="051D724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100g</w:t>
            </w:r>
          </w:p>
        </w:tc>
        <w:tc>
          <w:tcPr>
            <w:tcW w:w="736" w:type="dxa"/>
            <w:noWrap w:val="0"/>
            <w:vAlign w:val="center"/>
          </w:tcPr>
          <w:p w14:paraId="431593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0F1EC7F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0AB1BD5">
            <w:pPr>
              <w:jc w:val="center"/>
              <w:rPr>
                <w:highlight w:val="none"/>
              </w:rPr>
            </w:pPr>
          </w:p>
        </w:tc>
        <w:tc>
          <w:tcPr>
            <w:tcW w:w="710" w:type="dxa"/>
            <w:gridSpan w:val="2"/>
            <w:noWrap w:val="0"/>
            <w:vAlign w:val="center"/>
          </w:tcPr>
          <w:p w14:paraId="43693C2E">
            <w:pPr>
              <w:jc w:val="both"/>
              <w:rPr>
                <w:highlight w:val="none"/>
                <w:vertAlign w:val="baseline"/>
              </w:rPr>
            </w:pPr>
          </w:p>
        </w:tc>
      </w:tr>
      <w:tr w14:paraId="5ACE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B6F0A8">
            <w:pPr>
              <w:jc w:val="center"/>
              <w:rPr>
                <w:rFonts w:hint="default"/>
                <w:highlight w:val="none"/>
                <w:vertAlign w:val="baseline"/>
                <w:lang w:val="en-US" w:eastAsia="zh-CN"/>
              </w:rPr>
            </w:pPr>
            <w:r>
              <w:rPr>
                <w:rFonts w:hint="eastAsia"/>
                <w:highlight w:val="none"/>
                <w:vertAlign w:val="baseline"/>
                <w:lang w:val="en-US" w:eastAsia="zh-CN"/>
              </w:rPr>
              <w:t>216</w:t>
            </w:r>
          </w:p>
        </w:tc>
        <w:tc>
          <w:tcPr>
            <w:tcW w:w="1690" w:type="dxa"/>
            <w:noWrap w:val="0"/>
            <w:vAlign w:val="top"/>
          </w:tcPr>
          <w:p w14:paraId="3AC412C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铜丝</w:t>
            </w:r>
          </w:p>
        </w:tc>
        <w:tc>
          <w:tcPr>
            <w:tcW w:w="5928" w:type="dxa"/>
            <w:noWrap w:val="0"/>
            <w:vAlign w:val="center"/>
          </w:tcPr>
          <w:p w14:paraId="2F9947C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100g</w:t>
            </w:r>
          </w:p>
        </w:tc>
        <w:tc>
          <w:tcPr>
            <w:tcW w:w="736" w:type="dxa"/>
            <w:noWrap w:val="0"/>
            <w:vAlign w:val="center"/>
          </w:tcPr>
          <w:p w14:paraId="1D8F0E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74E98F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5BD8628">
            <w:pPr>
              <w:jc w:val="center"/>
              <w:rPr>
                <w:highlight w:val="none"/>
              </w:rPr>
            </w:pPr>
          </w:p>
        </w:tc>
        <w:tc>
          <w:tcPr>
            <w:tcW w:w="710" w:type="dxa"/>
            <w:gridSpan w:val="2"/>
            <w:noWrap w:val="0"/>
            <w:vAlign w:val="center"/>
          </w:tcPr>
          <w:p w14:paraId="17A81595">
            <w:pPr>
              <w:jc w:val="both"/>
              <w:rPr>
                <w:highlight w:val="none"/>
                <w:vertAlign w:val="baseline"/>
              </w:rPr>
            </w:pPr>
          </w:p>
        </w:tc>
      </w:tr>
      <w:tr w14:paraId="36F0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01A18A">
            <w:pPr>
              <w:jc w:val="center"/>
              <w:rPr>
                <w:rFonts w:hint="default"/>
                <w:highlight w:val="none"/>
                <w:vertAlign w:val="baseline"/>
                <w:lang w:val="en-US" w:eastAsia="zh-CN"/>
              </w:rPr>
            </w:pPr>
            <w:r>
              <w:rPr>
                <w:rFonts w:hint="eastAsia"/>
                <w:highlight w:val="none"/>
                <w:vertAlign w:val="baseline"/>
                <w:lang w:val="en-US" w:eastAsia="zh-CN"/>
              </w:rPr>
              <w:t>217</w:t>
            </w:r>
          </w:p>
        </w:tc>
        <w:tc>
          <w:tcPr>
            <w:tcW w:w="1690" w:type="dxa"/>
            <w:noWrap w:val="0"/>
            <w:vAlign w:val="top"/>
          </w:tcPr>
          <w:p w14:paraId="3988D35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活性炭</w:t>
            </w:r>
          </w:p>
        </w:tc>
        <w:tc>
          <w:tcPr>
            <w:tcW w:w="5928" w:type="dxa"/>
            <w:noWrap w:val="0"/>
            <w:vAlign w:val="center"/>
          </w:tcPr>
          <w:p w14:paraId="673EDE3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500g（粒）</w:t>
            </w:r>
          </w:p>
        </w:tc>
        <w:tc>
          <w:tcPr>
            <w:tcW w:w="736" w:type="dxa"/>
            <w:noWrap w:val="0"/>
            <w:vAlign w:val="center"/>
          </w:tcPr>
          <w:p w14:paraId="1F2242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F8309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1B15C76">
            <w:pPr>
              <w:jc w:val="center"/>
              <w:rPr>
                <w:highlight w:val="none"/>
              </w:rPr>
            </w:pPr>
          </w:p>
        </w:tc>
        <w:tc>
          <w:tcPr>
            <w:tcW w:w="710" w:type="dxa"/>
            <w:gridSpan w:val="2"/>
            <w:noWrap w:val="0"/>
            <w:vAlign w:val="center"/>
          </w:tcPr>
          <w:p w14:paraId="7759C5F7">
            <w:pPr>
              <w:jc w:val="both"/>
              <w:rPr>
                <w:highlight w:val="none"/>
                <w:vertAlign w:val="baseline"/>
              </w:rPr>
            </w:pPr>
          </w:p>
        </w:tc>
      </w:tr>
      <w:tr w14:paraId="478F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FB7D65">
            <w:pPr>
              <w:jc w:val="center"/>
              <w:rPr>
                <w:rFonts w:hint="default"/>
                <w:highlight w:val="none"/>
                <w:vertAlign w:val="baseline"/>
                <w:lang w:val="en-US" w:eastAsia="zh-CN"/>
              </w:rPr>
            </w:pPr>
            <w:r>
              <w:rPr>
                <w:rFonts w:hint="eastAsia"/>
                <w:highlight w:val="none"/>
                <w:vertAlign w:val="baseline"/>
                <w:lang w:val="en-US" w:eastAsia="zh-CN"/>
              </w:rPr>
              <w:t>218</w:t>
            </w:r>
          </w:p>
        </w:tc>
        <w:tc>
          <w:tcPr>
            <w:tcW w:w="1690" w:type="dxa"/>
            <w:noWrap w:val="0"/>
            <w:vAlign w:val="top"/>
          </w:tcPr>
          <w:p w14:paraId="0C7FABA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碘</w:t>
            </w:r>
          </w:p>
        </w:tc>
        <w:tc>
          <w:tcPr>
            <w:tcW w:w="5928" w:type="dxa"/>
            <w:noWrap w:val="0"/>
            <w:vAlign w:val="top"/>
          </w:tcPr>
          <w:p w14:paraId="6FDEB72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试剂250g</w:t>
            </w:r>
          </w:p>
        </w:tc>
        <w:tc>
          <w:tcPr>
            <w:tcW w:w="736" w:type="dxa"/>
            <w:noWrap w:val="0"/>
            <w:vAlign w:val="center"/>
          </w:tcPr>
          <w:p w14:paraId="284924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0D6E6F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B95FEEF">
            <w:pPr>
              <w:jc w:val="center"/>
              <w:rPr>
                <w:highlight w:val="none"/>
              </w:rPr>
            </w:pPr>
          </w:p>
        </w:tc>
        <w:tc>
          <w:tcPr>
            <w:tcW w:w="710" w:type="dxa"/>
            <w:gridSpan w:val="2"/>
            <w:noWrap w:val="0"/>
            <w:vAlign w:val="center"/>
          </w:tcPr>
          <w:p w14:paraId="674881E9">
            <w:pPr>
              <w:jc w:val="both"/>
              <w:rPr>
                <w:highlight w:val="none"/>
                <w:vertAlign w:val="baseline"/>
              </w:rPr>
            </w:pPr>
          </w:p>
        </w:tc>
      </w:tr>
      <w:tr w14:paraId="1118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8145D6">
            <w:pPr>
              <w:jc w:val="center"/>
              <w:rPr>
                <w:rFonts w:hint="default"/>
                <w:highlight w:val="none"/>
                <w:vertAlign w:val="baseline"/>
                <w:lang w:val="en-US" w:eastAsia="zh-CN"/>
              </w:rPr>
            </w:pPr>
            <w:r>
              <w:rPr>
                <w:rFonts w:hint="eastAsia"/>
                <w:highlight w:val="none"/>
                <w:vertAlign w:val="baseline"/>
                <w:lang w:val="en-US" w:eastAsia="zh-CN"/>
              </w:rPr>
              <w:t>219</w:t>
            </w:r>
          </w:p>
        </w:tc>
        <w:tc>
          <w:tcPr>
            <w:tcW w:w="1690" w:type="dxa"/>
            <w:noWrap w:val="0"/>
            <w:vAlign w:val="top"/>
          </w:tcPr>
          <w:p w14:paraId="06C96F25">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二氧化锰</w:t>
            </w:r>
          </w:p>
        </w:tc>
        <w:tc>
          <w:tcPr>
            <w:tcW w:w="5928" w:type="dxa"/>
            <w:noWrap w:val="0"/>
            <w:vAlign w:val="top"/>
          </w:tcPr>
          <w:p w14:paraId="00CDC947">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237153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53442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4AD25DC">
            <w:pPr>
              <w:jc w:val="center"/>
              <w:rPr>
                <w:highlight w:val="none"/>
              </w:rPr>
            </w:pPr>
          </w:p>
        </w:tc>
        <w:tc>
          <w:tcPr>
            <w:tcW w:w="710" w:type="dxa"/>
            <w:gridSpan w:val="2"/>
            <w:noWrap w:val="0"/>
            <w:vAlign w:val="center"/>
          </w:tcPr>
          <w:p w14:paraId="34300F90">
            <w:pPr>
              <w:jc w:val="both"/>
              <w:rPr>
                <w:highlight w:val="none"/>
                <w:vertAlign w:val="baseline"/>
              </w:rPr>
            </w:pPr>
          </w:p>
        </w:tc>
      </w:tr>
      <w:tr w14:paraId="266A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A7075BF">
            <w:pPr>
              <w:jc w:val="center"/>
              <w:rPr>
                <w:rFonts w:hint="default"/>
                <w:highlight w:val="none"/>
                <w:vertAlign w:val="baseline"/>
                <w:lang w:val="en-US" w:eastAsia="zh-CN"/>
              </w:rPr>
            </w:pPr>
            <w:r>
              <w:rPr>
                <w:rFonts w:hint="eastAsia"/>
                <w:highlight w:val="none"/>
                <w:vertAlign w:val="baseline"/>
                <w:lang w:val="en-US" w:eastAsia="zh-CN"/>
              </w:rPr>
              <w:t>220</w:t>
            </w:r>
          </w:p>
        </w:tc>
        <w:tc>
          <w:tcPr>
            <w:tcW w:w="1690" w:type="dxa"/>
            <w:noWrap w:val="0"/>
            <w:vAlign w:val="top"/>
          </w:tcPr>
          <w:p w14:paraId="320323BC">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三氧化二铁</w:t>
            </w:r>
          </w:p>
        </w:tc>
        <w:tc>
          <w:tcPr>
            <w:tcW w:w="5928" w:type="dxa"/>
            <w:noWrap w:val="0"/>
            <w:vAlign w:val="top"/>
          </w:tcPr>
          <w:p w14:paraId="2EB77D79">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155231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07D1E0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F5D47A8">
            <w:pPr>
              <w:jc w:val="center"/>
              <w:rPr>
                <w:highlight w:val="none"/>
              </w:rPr>
            </w:pPr>
          </w:p>
        </w:tc>
        <w:tc>
          <w:tcPr>
            <w:tcW w:w="710" w:type="dxa"/>
            <w:gridSpan w:val="2"/>
            <w:noWrap w:val="0"/>
            <w:vAlign w:val="center"/>
          </w:tcPr>
          <w:p w14:paraId="746272C7">
            <w:pPr>
              <w:jc w:val="both"/>
              <w:rPr>
                <w:highlight w:val="none"/>
                <w:vertAlign w:val="baseline"/>
              </w:rPr>
            </w:pPr>
          </w:p>
        </w:tc>
      </w:tr>
      <w:tr w14:paraId="750A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D115D0">
            <w:pPr>
              <w:jc w:val="center"/>
              <w:rPr>
                <w:rFonts w:hint="default"/>
                <w:highlight w:val="none"/>
                <w:vertAlign w:val="baseline"/>
                <w:lang w:val="en-US" w:eastAsia="zh-CN"/>
              </w:rPr>
            </w:pPr>
            <w:r>
              <w:rPr>
                <w:rFonts w:hint="eastAsia"/>
                <w:highlight w:val="none"/>
                <w:vertAlign w:val="baseline"/>
                <w:lang w:val="en-US" w:eastAsia="zh-CN"/>
              </w:rPr>
              <w:t>221</w:t>
            </w:r>
          </w:p>
        </w:tc>
        <w:tc>
          <w:tcPr>
            <w:tcW w:w="1690" w:type="dxa"/>
            <w:noWrap w:val="0"/>
            <w:vAlign w:val="top"/>
          </w:tcPr>
          <w:p w14:paraId="440CC471">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氧化铜</w:t>
            </w:r>
          </w:p>
        </w:tc>
        <w:tc>
          <w:tcPr>
            <w:tcW w:w="5928" w:type="dxa"/>
            <w:noWrap w:val="0"/>
            <w:vAlign w:val="top"/>
          </w:tcPr>
          <w:p w14:paraId="7CAA1784">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4CC395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A071E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2EBAD9D">
            <w:pPr>
              <w:jc w:val="center"/>
              <w:rPr>
                <w:highlight w:val="none"/>
              </w:rPr>
            </w:pPr>
          </w:p>
        </w:tc>
        <w:tc>
          <w:tcPr>
            <w:tcW w:w="710" w:type="dxa"/>
            <w:gridSpan w:val="2"/>
            <w:noWrap w:val="0"/>
            <w:vAlign w:val="center"/>
          </w:tcPr>
          <w:p w14:paraId="4DF62428">
            <w:pPr>
              <w:jc w:val="both"/>
              <w:rPr>
                <w:highlight w:val="none"/>
                <w:vertAlign w:val="baseline"/>
              </w:rPr>
            </w:pPr>
          </w:p>
        </w:tc>
      </w:tr>
      <w:tr w14:paraId="1161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44D26D">
            <w:pPr>
              <w:jc w:val="center"/>
              <w:rPr>
                <w:rFonts w:hint="default"/>
                <w:highlight w:val="none"/>
                <w:vertAlign w:val="baseline"/>
                <w:lang w:val="en-US" w:eastAsia="zh-CN"/>
              </w:rPr>
            </w:pPr>
            <w:r>
              <w:rPr>
                <w:rFonts w:hint="eastAsia"/>
                <w:highlight w:val="none"/>
                <w:vertAlign w:val="baseline"/>
                <w:lang w:val="en-US" w:eastAsia="zh-CN"/>
              </w:rPr>
              <w:t>222</w:t>
            </w:r>
          </w:p>
        </w:tc>
        <w:tc>
          <w:tcPr>
            <w:tcW w:w="1690" w:type="dxa"/>
            <w:noWrap w:val="0"/>
            <w:vAlign w:val="top"/>
          </w:tcPr>
          <w:p w14:paraId="3FB6A278">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氧化钙</w:t>
            </w:r>
          </w:p>
        </w:tc>
        <w:tc>
          <w:tcPr>
            <w:tcW w:w="5928" w:type="dxa"/>
            <w:noWrap w:val="0"/>
            <w:vAlign w:val="top"/>
          </w:tcPr>
          <w:p w14:paraId="75DAE321">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188EB9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BFE192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01B15D7">
            <w:pPr>
              <w:jc w:val="center"/>
              <w:rPr>
                <w:highlight w:val="none"/>
              </w:rPr>
            </w:pPr>
          </w:p>
        </w:tc>
        <w:tc>
          <w:tcPr>
            <w:tcW w:w="710" w:type="dxa"/>
            <w:gridSpan w:val="2"/>
            <w:noWrap w:val="0"/>
            <w:vAlign w:val="center"/>
          </w:tcPr>
          <w:p w14:paraId="40DD99B9">
            <w:pPr>
              <w:jc w:val="both"/>
              <w:rPr>
                <w:highlight w:val="none"/>
                <w:vertAlign w:val="baseline"/>
              </w:rPr>
            </w:pPr>
          </w:p>
        </w:tc>
      </w:tr>
      <w:tr w14:paraId="0486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C23D8B">
            <w:pPr>
              <w:jc w:val="center"/>
              <w:rPr>
                <w:rFonts w:hint="default"/>
                <w:highlight w:val="none"/>
                <w:vertAlign w:val="baseline"/>
                <w:lang w:val="en-US" w:eastAsia="zh-CN"/>
              </w:rPr>
            </w:pPr>
            <w:r>
              <w:rPr>
                <w:rFonts w:hint="eastAsia"/>
                <w:highlight w:val="none"/>
                <w:vertAlign w:val="baseline"/>
                <w:lang w:val="en-US" w:eastAsia="zh-CN"/>
              </w:rPr>
              <w:t>223</w:t>
            </w:r>
          </w:p>
        </w:tc>
        <w:tc>
          <w:tcPr>
            <w:tcW w:w="1690" w:type="dxa"/>
            <w:noWrap w:val="0"/>
            <w:vAlign w:val="top"/>
          </w:tcPr>
          <w:p w14:paraId="1E196760">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氯化钾</w:t>
            </w:r>
          </w:p>
        </w:tc>
        <w:tc>
          <w:tcPr>
            <w:tcW w:w="5928" w:type="dxa"/>
            <w:noWrap w:val="0"/>
            <w:vAlign w:val="top"/>
          </w:tcPr>
          <w:p w14:paraId="2C2BD5C2">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378378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1E2DEC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9D649AD">
            <w:pPr>
              <w:jc w:val="center"/>
              <w:rPr>
                <w:highlight w:val="none"/>
              </w:rPr>
            </w:pPr>
          </w:p>
        </w:tc>
        <w:tc>
          <w:tcPr>
            <w:tcW w:w="710" w:type="dxa"/>
            <w:gridSpan w:val="2"/>
            <w:noWrap w:val="0"/>
            <w:vAlign w:val="center"/>
          </w:tcPr>
          <w:p w14:paraId="26F309AE">
            <w:pPr>
              <w:jc w:val="both"/>
              <w:rPr>
                <w:highlight w:val="none"/>
                <w:vertAlign w:val="baseline"/>
              </w:rPr>
            </w:pPr>
          </w:p>
        </w:tc>
      </w:tr>
      <w:tr w14:paraId="6EB0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F7820D">
            <w:pPr>
              <w:jc w:val="center"/>
              <w:rPr>
                <w:rFonts w:hint="default"/>
                <w:highlight w:val="none"/>
                <w:vertAlign w:val="baseline"/>
                <w:lang w:val="en-US" w:eastAsia="zh-CN"/>
              </w:rPr>
            </w:pPr>
            <w:r>
              <w:rPr>
                <w:rFonts w:hint="eastAsia"/>
                <w:highlight w:val="none"/>
                <w:vertAlign w:val="baseline"/>
                <w:lang w:val="en-US" w:eastAsia="zh-CN"/>
              </w:rPr>
              <w:t>224</w:t>
            </w:r>
          </w:p>
        </w:tc>
        <w:tc>
          <w:tcPr>
            <w:tcW w:w="1690" w:type="dxa"/>
            <w:noWrap w:val="0"/>
            <w:vAlign w:val="center"/>
          </w:tcPr>
          <w:p w14:paraId="151DAE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氯化钠</w:t>
            </w:r>
          </w:p>
        </w:tc>
        <w:tc>
          <w:tcPr>
            <w:tcW w:w="5928" w:type="dxa"/>
            <w:noWrap w:val="0"/>
            <w:vAlign w:val="top"/>
          </w:tcPr>
          <w:p w14:paraId="63F87841">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2602AF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119E31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ADEB4A0">
            <w:pPr>
              <w:jc w:val="center"/>
              <w:rPr>
                <w:highlight w:val="none"/>
              </w:rPr>
            </w:pPr>
          </w:p>
        </w:tc>
        <w:tc>
          <w:tcPr>
            <w:tcW w:w="710" w:type="dxa"/>
            <w:gridSpan w:val="2"/>
            <w:noWrap w:val="0"/>
            <w:vAlign w:val="center"/>
          </w:tcPr>
          <w:p w14:paraId="0097CEAD">
            <w:pPr>
              <w:jc w:val="both"/>
              <w:rPr>
                <w:highlight w:val="none"/>
                <w:vertAlign w:val="baseline"/>
              </w:rPr>
            </w:pPr>
          </w:p>
        </w:tc>
      </w:tr>
      <w:tr w14:paraId="5463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B9D3BA9">
            <w:pPr>
              <w:jc w:val="center"/>
              <w:rPr>
                <w:rFonts w:hint="default"/>
                <w:highlight w:val="none"/>
                <w:vertAlign w:val="baseline"/>
                <w:lang w:val="en-US" w:eastAsia="zh-CN"/>
              </w:rPr>
            </w:pPr>
            <w:r>
              <w:rPr>
                <w:rFonts w:hint="eastAsia"/>
                <w:highlight w:val="none"/>
                <w:vertAlign w:val="baseline"/>
                <w:lang w:val="en-US" w:eastAsia="zh-CN"/>
              </w:rPr>
              <w:t>225</w:t>
            </w:r>
          </w:p>
        </w:tc>
        <w:tc>
          <w:tcPr>
            <w:tcW w:w="1690" w:type="dxa"/>
            <w:noWrap w:val="0"/>
            <w:vAlign w:val="top"/>
          </w:tcPr>
          <w:p w14:paraId="193C199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无水氯化钙</w:t>
            </w:r>
          </w:p>
        </w:tc>
        <w:tc>
          <w:tcPr>
            <w:tcW w:w="5928" w:type="dxa"/>
            <w:noWrap w:val="0"/>
            <w:vAlign w:val="top"/>
          </w:tcPr>
          <w:p w14:paraId="4EC5FB2B">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5876E5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1C1F0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6BD7AF3">
            <w:pPr>
              <w:jc w:val="center"/>
              <w:rPr>
                <w:highlight w:val="none"/>
              </w:rPr>
            </w:pPr>
          </w:p>
        </w:tc>
        <w:tc>
          <w:tcPr>
            <w:tcW w:w="710" w:type="dxa"/>
            <w:gridSpan w:val="2"/>
            <w:noWrap w:val="0"/>
            <w:vAlign w:val="center"/>
          </w:tcPr>
          <w:p w14:paraId="21A1F460">
            <w:pPr>
              <w:jc w:val="both"/>
              <w:rPr>
                <w:highlight w:val="none"/>
                <w:vertAlign w:val="baseline"/>
              </w:rPr>
            </w:pPr>
          </w:p>
        </w:tc>
      </w:tr>
      <w:tr w14:paraId="7329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3334C2">
            <w:pPr>
              <w:jc w:val="center"/>
              <w:rPr>
                <w:rFonts w:hint="default"/>
                <w:highlight w:val="none"/>
                <w:vertAlign w:val="baseline"/>
                <w:lang w:val="en-US" w:eastAsia="zh-CN"/>
              </w:rPr>
            </w:pPr>
            <w:r>
              <w:rPr>
                <w:rFonts w:hint="eastAsia"/>
                <w:highlight w:val="none"/>
                <w:vertAlign w:val="baseline"/>
                <w:lang w:val="en-US" w:eastAsia="zh-CN"/>
              </w:rPr>
              <w:t>226</w:t>
            </w:r>
          </w:p>
        </w:tc>
        <w:tc>
          <w:tcPr>
            <w:tcW w:w="1690" w:type="dxa"/>
            <w:noWrap w:val="0"/>
            <w:vAlign w:val="top"/>
          </w:tcPr>
          <w:p w14:paraId="372B347D">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氯化镁</w:t>
            </w:r>
          </w:p>
        </w:tc>
        <w:tc>
          <w:tcPr>
            <w:tcW w:w="5928" w:type="dxa"/>
            <w:noWrap w:val="0"/>
            <w:vAlign w:val="top"/>
          </w:tcPr>
          <w:p w14:paraId="068496B6">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5F2E93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47876D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A909AE7">
            <w:pPr>
              <w:jc w:val="center"/>
              <w:rPr>
                <w:highlight w:val="none"/>
              </w:rPr>
            </w:pPr>
          </w:p>
        </w:tc>
        <w:tc>
          <w:tcPr>
            <w:tcW w:w="710" w:type="dxa"/>
            <w:gridSpan w:val="2"/>
            <w:noWrap w:val="0"/>
            <w:vAlign w:val="center"/>
          </w:tcPr>
          <w:p w14:paraId="2DEA2EA1">
            <w:pPr>
              <w:jc w:val="both"/>
              <w:rPr>
                <w:highlight w:val="none"/>
                <w:vertAlign w:val="baseline"/>
              </w:rPr>
            </w:pPr>
          </w:p>
        </w:tc>
      </w:tr>
      <w:tr w14:paraId="3FD7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561B3355">
            <w:pPr>
              <w:jc w:val="center"/>
              <w:rPr>
                <w:rFonts w:hint="default"/>
                <w:highlight w:val="none"/>
                <w:vertAlign w:val="baseline"/>
                <w:lang w:val="en-US" w:eastAsia="zh-CN"/>
              </w:rPr>
            </w:pPr>
            <w:r>
              <w:rPr>
                <w:rFonts w:hint="eastAsia"/>
                <w:highlight w:val="none"/>
                <w:vertAlign w:val="baseline"/>
                <w:lang w:val="en-US" w:eastAsia="zh-CN"/>
              </w:rPr>
              <w:t>227</w:t>
            </w:r>
          </w:p>
        </w:tc>
        <w:tc>
          <w:tcPr>
            <w:tcW w:w="1690" w:type="dxa"/>
            <w:noWrap w:val="0"/>
            <w:vAlign w:val="top"/>
          </w:tcPr>
          <w:p w14:paraId="2565F15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氯化铵</w:t>
            </w:r>
          </w:p>
        </w:tc>
        <w:tc>
          <w:tcPr>
            <w:tcW w:w="5928" w:type="dxa"/>
            <w:noWrap w:val="0"/>
            <w:vAlign w:val="top"/>
          </w:tcPr>
          <w:p w14:paraId="46B4384A">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7E9747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74D156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99C0AF0">
            <w:pPr>
              <w:jc w:val="center"/>
              <w:rPr>
                <w:highlight w:val="none"/>
              </w:rPr>
            </w:pPr>
          </w:p>
        </w:tc>
        <w:tc>
          <w:tcPr>
            <w:tcW w:w="710" w:type="dxa"/>
            <w:gridSpan w:val="2"/>
            <w:noWrap w:val="0"/>
            <w:vAlign w:val="center"/>
          </w:tcPr>
          <w:p w14:paraId="3806BD27">
            <w:pPr>
              <w:jc w:val="both"/>
              <w:rPr>
                <w:highlight w:val="none"/>
                <w:vertAlign w:val="baseline"/>
              </w:rPr>
            </w:pPr>
          </w:p>
        </w:tc>
      </w:tr>
      <w:tr w14:paraId="44EE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83AB1A0">
            <w:pPr>
              <w:jc w:val="center"/>
              <w:rPr>
                <w:rFonts w:hint="default"/>
                <w:highlight w:val="none"/>
                <w:vertAlign w:val="baseline"/>
                <w:lang w:val="en-US" w:eastAsia="zh-CN"/>
              </w:rPr>
            </w:pPr>
            <w:r>
              <w:rPr>
                <w:rFonts w:hint="eastAsia"/>
                <w:highlight w:val="none"/>
                <w:vertAlign w:val="baseline"/>
                <w:lang w:val="en-US" w:eastAsia="zh-CN"/>
              </w:rPr>
              <w:t>228</w:t>
            </w:r>
          </w:p>
        </w:tc>
        <w:tc>
          <w:tcPr>
            <w:tcW w:w="1690" w:type="dxa"/>
            <w:noWrap w:val="0"/>
            <w:vAlign w:val="top"/>
          </w:tcPr>
          <w:p w14:paraId="3ADE824E">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硫酸钾</w:t>
            </w:r>
          </w:p>
        </w:tc>
        <w:tc>
          <w:tcPr>
            <w:tcW w:w="5928" w:type="dxa"/>
            <w:noWrap w:val="0"/>
            <w:vAlign w:val="top"/>
          </w:tcPr>
          <w:p w14:paraId="07E1BAEC">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227377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00B63D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A8D3969">
            <w:pPr>
              <w:jc w:val="center"/>
              <w:rPr>
                <w:highlight w:val="none"/>
              </w:rPr>
            </w:pPr>
          </w:p>
        </w:tc>
        <w:tc>
          <w:tcPr>
            <w:tcW w:w="710" w:type="dxa"/>
            <w:gridSpan w:val="2"/>
            <w:noWrap w:val="0"/>
            <w:vAlign w:val="center"/>
          </w:tcPr>
          <w:p w14:paraId="7ACB6B1F">
            <w:pPr>
              <w:jc w:val="both"/>
              <w:rPr>
                <w:highlight w:val="none"/>
                <w:vertAlign w:val="baseline"/>
              </w:rPr>
            </w:pPr>
          </w:p>
        </w:tc>
      </w:tr>
      <w:tr w14:paraId="019B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12E939">
            <w:pPr>
              <w:jc w:val="center"/>
              <w:rPr>
                <w:rFonts w:hint="default"/>
                <w:highlight w:val="none"/>
                <w:vertAlign w:val="baseline"/>
                <w:lang w:val="en-US" w:eastAsia="zh-CN"/>
              </w:rPr>
            </w:pPr>
            <w:r>
              <w:rPr>
                <w:rFonts w:hint="eastAsia"/>
                <w:highlight w:val="none"/>
                <w:vertAlign w:val="baseline"/>
                <w:lang w:val="en-US" w:eastAsia="zh-CN"/>
              </w:rPr>
              <w:t>229</w:t>
            </w:r>
          </w:p>
        </w:tc>
        <w:tc>
          <w:tcPr>
            <w:tcW w:w="1690" w:type="dxa"/>
            <w:noWrap w:val="0"/>
            <w:vAlign w:val="top"/>
          </w:tcPr>
          <w:p w14:paraId="7FD1384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硫酸铝</w:t>
            </w:r>
          </w:p>
        </w:tc>
        <w:tc>
          <w:tcPr>
            <w:tcW w:w="5928" w:type="dxa"/>
            <w:noWrap w:val="0"/>
            <w:vAlign w:val="top"/>
          </w:tcPr>
          <w:p w14:paraId="49459A9F">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1EE743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135B6A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BA3E744">
            <w:pPr>
              <w:jc w:val="center"/>
              <w:rPr>
                <w:highlight w:val="none"/>
              </w:rPr>
            </w:pPr>
          </w:p>
        </w:tc>
        <w:tc>
          <w:tcPr>
            <w:tcW w:w="710" w:type="dxa"/>
            <w:gridSpan w:val="2"/>
            <w:noWrap w:val="0"/>
            <w:vAlign w:val="center"/>
          </w:tcPr>
          <w:p w14:paraId="24963827">
            <w:pPr>
              <w:jc w:val="both"/>
              <w:rPr>
                <w:highlight w:val="none"/>
                <w:vertAlign w:val="baseline"/>
              </w:rPr>
            </w:pPr>
          </w:p>
        </w:tc>
      </w:tr>
      <w:tr w14:paraId="1C9E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72B3A792">
            <w:pPr>
              <w:jc w:val="center"/>
              <w:rPr>
                <w:rFonts w:hint="default"/>
                <w:highlight w:val="none"/>
                <w:vertAlign w:val="baseline"/>
                <w:lang w:val="en-US" w:eastAsia="zh-CN"/>
              </w:rPr>
            </w:pPr>
            <w:r>
              <w:rPr>
                <w:rFonts w:hint="eastAsia"/>
                <w:highlight w:val="none"/>
                <w:vertAlign w:val="baseline"/>
                <w:lang w:val="en-US" w:eastAsia="zh-CN"/>
              </w:rPr>
              <w:t>230</w:t>
            </w:r>
          </w:p>
        </w:tc>
        <w:tc>
          <w:tcPr>
            <w:tcW w:w="1690" w:type="dxa"/>
            <w:noWrap w:val="0"/>
            <w:vAlign w:val="top"/>
          </w:tcPr>
          <w:p w14:paraId="248FB3D7">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硫酸铜(蓝矾、胆矾)</w:t>
            </w:r>
          </w:p>
        </w:tc>
        <w:tc>
          <w:tcPr>
            <w:tcW w:w="5928" w:type="dxa"/>
            <w:noWrap w:val="0"/>
            <w:vAlign w:val="top"/>
          </w:tcPr>
          <w:p w14:paraId="35CB7AF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572CC0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7B0EC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CE9EAD">
            <w:pPr>
              <w:jc w:val="center"/>
              <w:rPr>
                <w:highlight w:val="none"/>
              </w:rPr>
            </w:pPr>
          </w:p>
        </w:tc>
        <w:tc>
          <w:tcPr>
            <w:tcW w:w="710" w:type="dxa"/>
            <w:gridSpan w:val="2"/>
            <w:noWrap w:val="0"/>
            <w:vAlign w:val="center"/>
          </w:tcPr>
          <w:p w14:paraId="551131A6">
            <w:pPr>
              <w:jc w:val="both"/>
              <w:rPr>
                <w:highlight w:val="none"/>
                <w:vertAlign w:val="baseline"/>
              </w:rPr>
            </w:pPr>
          </w:p>
        </w:tc>
      </w:tr>
      <w:tr w14:paraId="769A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571A04">
            <w:pPr>
              <w:jc w:val="center"/>
              <w:rPr>
                <w:rFonts w:hint="default"/>
                <w:highlight w:val="none"/>
                <w:vertAlign w:val="baseline"/>
                <w:lang w:val="en-US" w:eastAsia="zh-CN"/>
              </w:rPr>
            </w:pPr>
            <w:r>
              <w:rPr>
                <w:rFonts w:hint="eastAsia"/>
                <w:highlight w:val="none"/>
                <w:vertAlign w:val="baseline"/>
                <w:lang w:val="en-US" w:eastAsia="zh-CN"/>
              </w:rPr>
              <w:t>231</w:t>
            </w:r>
          </w:p>
        </w:tc>
        <w:tc>
          <w:tcPr>
            <w:tcW w:w="1690" w:type="dxa"/>
            <w:noWrap w:val="0"/>
            <w:vAlign w:val="top"/>
          </w:tcPr>
          <w:p w14:paraId="1B2F79F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无水硫酸铜</w:t>
            </w:r>
          </w:p>
        </w:tc>
        <w:tc>
          <w:tcPr>
            <w:tcW w:w="5928" w:type="dxa"/>
            <w:noWrap w:val="0"/>
            <w:vAlign w:val="top"/>
          </w:tcPr>
          <w:p w14:paraId="61FB0371">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00656A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C37C8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1FDEC12">
            <w:pPr>
              <w:jc w:val="center"/>
              <w:rPr>
                <w:highlight w:val="none"/>
              </w:rPr>
            </w:pPr>
          </w:p>
        </w:tc>
        <w:tc>
          <w:tcPr>
            <w:tcW w:w="710" w:type="dxa"/>
            <w:gridSpan w:val="2"/>
            <w:noWrap w:val="0"/>
            <w:vAlign w:val="center"/>
          </w:tcPr>
          <w:p w14:paraId="0524956F">
            <w:pPr>
              <w:jc w:val="both"/>
              <w:rPr>
                <w:highlight w:val="none"/>
                <w:vertAlign w:val="baseline"/>
              </w:rPr>
            </w:pPr>
          </w:p>
        </w:tc>
      </w:tr>
      <w:tr w14:paraId="64B3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725E21">
            <w:pPr>
              <w:jc w:val="center"/>
              <w:rPr>
                <w:rFonts w:hint="default"/>
                <w:highlight w:val="none"/>
                <w:vertAlign w:val="baseline"/>
                <w:lang w:val="en-US" w:eastAsia="zh-CN"/>
              </w:rPr>
            </w:pPr>
            <w:r>
              <w:rPr>
                <w:rFonts w:hint="eastAsia"/>
                <w:highlight w:val="none"/>
                <w:vertAlign w:val="baseline"/>
                <w:lang w:val="en-US" w:eastAsia="zh-CN"/>
              </w:rPr>
              <w:t>232</w:t>
            </w:r>
          </w:p>
        </w:tc>
        <w:tc>
          <w:tcPr>
            <w:tcW w:w="1690" w:type="dxa"/>
            <w:noWrap w:val="0"/>
            <w:vAlign w:val="top"/>
          </w:tcPr>
          <w:p w14:paraId="2444865B">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硫酸铵</w:t>
            </w:r>
          </w:p>
        </w:tc>
        <w:tc>
          <w:tcPr>
            <w:tcW w:w="5928" w:type="dxa"/>
            <w:noWrap w:val="0"/>
            <w:vAlign w:val="top"/>
          </w:tcPr>
          <w:p w14:paraId="405C334C">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72D5C7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54FDE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3E95DAC">
            <w:pPr>
              <w:jc w:val="center"/>
              <w:rPr>
                <w:highlight w:val="none"/>
              </w:rPr>
            </w:pPr>
          </w:p>
        </w:tc>
        <w:tc>
          <w:tcPr>
            <w:tcW w:w="710" w:type="dxa"/>
            <w:gridSpan w:val="2"/>
            <w:noWrap w:val="0"/>
            <w:vAlign w:val="center"/>
          </w:tcPr>
          <w:p w14:paraId="5E72ABC1">
            <w:pPr>
              <w:jc w:val="both"/>
              <w:rPr>
                <w:highlight w:val="none"/>
                <w:vertAlign w:val="baseline"/>
              </w:rPr>
            </w:pPr>
          </w:p>
        </w:tc>
      </w:tr>
      <w:tr w14:paraId="264A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D098D9">
            <w:pPr>
              <w:jc w:val="center"/>
              <w:rPr>
                <w:rFonts w:hint="default"/>
                <w:highlight w:val="none"/>
                <w:vertAlign w:val="baseline"/>
                <w:lang w:val="en-US" w:eastAsia="zh-CN"/>
              </w:rPr>
            </w:pPr>
            <w:r>
              <w:rPr>
                <w:rFonts w:hint="eastAsia"/>
                <w:highlight w:val="none"/>
                <w:vertAlign w:val="baseline"/>
                <w:lang w:val="en-US" w:eastAsia="zh-CN"/>
              </w:rPr>
              <w:t>233</w:t>
            </w:r>
          </w:p>
        </w:tc>
        <w:tc>
          <w:tcPr>
            <w:tcW w:w="1690" w:type="dxa"/>
            <w:noWrap w:val="0"/>
            <w:vAlign w:val="top"/>
          </w:tcPr>
          <w:p w14:paraId="49EA738B">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硫酸铝钾</w:t>
            </w:r>
          </w:p>
        </w:tc>
        <w:tc>
          <w:tcPr>
            <w:tcW w:w="5928" w:type="dxa"/>
            <w:noWrap w:val="0"/>
            <w:vAlign w:val="top"/>
          </w:tcPr>
          <w:p w14:paraId="6660106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5B51AC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36FC9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4E40A8D">
            <w:pPr>
              <w:jc w:val="center"/>
              <w:rPr>
                <w:highlight w:val="none"/>
              </w:rPr>
            </w:pPr>
          </w:p>
        </w:tc>
        <w:tc>
          <w:tcPr>
            <w:tcW w:w="710" w:type="dxa"/>
            <w:gridSpan w:val="2"/>
            <w:noWrap w:val="0"/>
            <w:vAlign w:val="center"/>
          </w:tcPr>
          <w:p w14:paraId="5EC8823D">
            <w:pPr>
              <w:jc w:val="both"/>
              <w:rPr>
                <w:highlight w:val="none"/>
                <w:vertAlign w:val="baseline"/>
              </w:rPr>
            </w:pPr>
          </w:p>
        </w:tc>
      </w:tr>
      <w:tr w14:paraId="7EDA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68520F">
            <w:pPr>
              <w:jc w:val="center"/>
              <w:rPr>
                <w:rFonts w:hint="default"/>
                <w:highlight w:val="none"/>
                <w:vertAlign w:val="baseline"/>
                <w:lang w:val="en-US" w:eastAsia="zh-CN"/>
              </w:rPr>
            </w:pPr>
            <w:r>
              <w:rPr>
                <w:rFonts w:hint="eastAsia"/>
                <w:highlight w:val="none"/>
                <w:vertAlign w:val="baseline"/>
                <w:lang w:val="en-US" w:eastAsia="zh-CN"/>
              </w:rPr>
              <w:t>234</w:t>
            </w:r>
          </w:p>
        </w:tc>
        <w:tc>
          <w:tcPr>
            <w:tcW w:w="1690" w:type="dxa"/>
            <w:noWrap w:val="0"/>
            <w:vAlign w:val="top"/>
          </w:tcPr>
          <w:p w14:paraId="2045EBAC">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碳酸钾</w:t>
            </w:r>
          </w:p>
        </w:tc>
        <w:tc>
          <w:tcPr>
            <w:tcW w:w="5928" w:type="dxa"/>
            <w:noWrap w:val="0"/>
            <w:vAlign w:val="top"/>
          </w:tcPr>
          <w:p w14:paraId="54128EC2">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7E7BAD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756C3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A3B47B5">
            <w:pPr>
              <w:jc w:val="center"/>
              <w:rPr>
                <w:highlight w:val="none"/>
              </w:rPr>
            </w:pPr>
          </w:p>
        </w:tc>
        <w:tc>
          <w:tcPr>
            <w:tcW w:w="710" w:type="dxa"/>
            <w:gridSpan w:val="2"/>
            <w:noWrap w:val="0"/>
            <w:vAlign w:val="center"/>
          </w:tcPr>
          <w:p w14:paraId="5175E68B">
            <w:pPr>
              <w:jc w:val="both"/>
              <w:rPr>
                <w:highlight w:val="none"/>
                <w:vertAlign w:val="baseline"/>
              </w:rPr>
            </w:pPr>
          </w:p>
        </w:tc>
      </w:tr>
      <w:tr w14:paraId="100F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F3011D">
            <w:pPr>
              <w:jc w:val="center"/>
              <w:rPr>
                <w:rFonts w:hint="default"/>
                <w:highlight w:val="none"/>
                <w:vertAlign w:val="baseline"/>
                <w:lang w:val="en-US" w:eastAsia="zh-CN"/>
              </w:rPr>
            </w:pPr>
            <w:r>
              <w:rPr>
                <w:rFonts w:hint="eastAsia"/>
                <w:highlight w:val="none"/>
                <w:vertAlign w:val="baseline"/>
                <w:lang w:val="en-US" w:eastAsia="zh-CN"/>
              </w:rPr>
              <w:t>235</w:t>
            </w:r>
          </w:p>
        </w:tc>
        <w:tc>
          <w:tcPr>
            <w:tcW w:w="1690" w:type="dxa"/>
            <w:noWrap w:val="0"/>
            <w:vAlign w:val="top"/>
          </w:tcPr>
          <w:p w14:paraId="49C6694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碳酸钠</w:t>
            </w:r>
          </w:p>
        </w:tc>
        <w:tc>
          <w:tcPr>
            <w:tcW w:w="5928" w:type="dxa"/>
            <w:noWrap w:val="0"/>
            <w:vAlign w:val="top"/>
          </w:tcPr>
          <w:p w14:paraId="5AB6CCA7">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66EA9C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FCEE2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68E4D17">
            <w:pPr>
              <w:jc w:val="center"/>
              <w:rPr>
                <w:highlight w:val="none"/>
              </w:rPr>
            </w:pPr>
          </w:p>
        </w:tc>
        <w:tc>
          <w:tcPr>
            <w:tcW w:w="710" w:type="dxa"/>
            <w:gridSpan w:val="2"/>
            <w:noWrap w:val="0"/>
            <w:vAlign w:val="center"/>
          </w:tcPr>
          <w:p w14:paraId="2E77FE25">
            <w:pPr>
              <w:jc w:val="both"/>
              <w:rPr>
                <w:highlight w:val="none"/>
                <w:vertAlign w:val="baseline"/>
              </w:rPr>
            </w:pPr>
          </w:p>
        </w:tc>
      </w:tr>
      <w:tr w14:paraId="2A88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0FCA9C">
            <w:pPr>
              <w:jc w:val="center"/>
              <w:rPr>
                <w:rFonts w:hint="default"/>
                <w:highlight w:val="none"/>
                <w:vertAlign w:val="baseline"/>
                <w:lang w:val="en-US" w:eastAsia="zh-CN"/>
              </w:rPr>
            </w:pPr>
            <w:r>
              <w:rPr>
                <w:rFonts w:hint="eastAsia"/>
                <w:highlight w:val="none"/>
                <w:vertAlign w:val="baseline"/>
                <w:lang w:val="en-US" w:eastAsia="zh-CN"/>
              </w:rPr>
              <w:t>236</w:t>
            </w:r>
          </w:p>
        </w:tc>
        <w:tc>
          <w:tcPr>
            <w:tcW w:w="1690" w:type="dxa"/>
            <w:noWrap w:val="0"/>
            <w:vAlign w:val="top"/>
          </w:tcPr>
          <w:p w14:paraId="62CD7E0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碳酸氢钠</w:t>
            </w:r>
          </w:p>
        </w:tc>
        <w:tc>
          <w:tcPr>
            <w:tcW w:w="5928" w:type="dxa"/>
            <w:noWrap w:val="0"/>
            <w:vAlign w:val="top"/>
          </w:tcPr>
          <w:p w14:paraId="3B80130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w:t>
            </w:r>
          </w:p>
        </w:tc>
        <w:tc>
          <w:tcPr>
            <w:tcW w:w="736" w:type="dxa"/>
            <w:noWrap w:val="0"/>
            <w:vAlign w:val="center"/>
          </w:tcPr>
          <w:p w14:paraId="34E9FE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D2CF7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4EC598A">
            <w:pPr>
              <w:jc w:val="center"/>
              <w:rPr>
                <w:highlight w:val="none"/>
              </w:rPr>
            </w:pPr>
          </w:p>
        </w:tc>
        <w:tc>
          <w:tcPr>
            <w:tcW w:w="710" w:type="dxa"/>
            <w:gridSpan w:val="2"/>
            <w:noWrap w:val="0"/>
            <w:vAlign w:val="center"/>
          </w:tcPr>
          <w:p w14:paraId="7CC79231">
            <w:pPr>
              <w:jc w:val="both"/>
              <w:rPr>
                <w:highlight w:val="none"/>
                <w:vertAlign w:val="baseline"/>
              </w:rPr>
            </w:pPr>
          </w:p>
        </w:tc>
      </w:tr>
      <w:tr w14:paraId="5FCD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BEFDAF">
            <w:pPr>
              <w:jc w:val="center"/>
              <w:rPr>
                <w:rFonts w:hint="default"/>
                <w:highlight w:val="none"/>
                <w:vertAlign w:val="baseline"/>
                <w:lang w:val="en-US" w:eastAsia="zh-CN"/>
              </w:rPr>
            </w:pPr>
            <w:r>
              <w:rPr>
                <w:rFonts w:hint="eastAsia"/>
                <w:highlight w:val="none"/>
                <w:vertAlign w:val="baseline"/>
                <w:lang w:val="en-US" w:eastAsia="zh-CN"/>
              </w:rPr>
              <w:t>237</w:t>
            </w:r>
          </w:p>
        </w:tc>
        <w:tc>
          <w:tcPr>
            <w:tcW w:w="1690" w:type="dxa"/>
            <w:noWrap w:val="0"/>
            <w:vAlign w:val="top"/>
          </w:tcPr>
          <w:p w14:paraId="1AD8FBB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大理石</w:t>
            </w:r>
          </w:p>
        </w:tc>
        <w:tc>
          <w:tcPr>
            <w:tcW w:w="5928" w:type="dxa"/>
            <w:noWrap w:val="0"/>
            <w:vAlign w:val="top"/>
          </w:tcPr>
          <w:p w14:paraId="12B8B758">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块状500g</w:t>
            </w:r>
          </w:p>
        </w:tc>
        <w:tc>
          <w:tcPr>
            <w:tcW w:w="736" w:type="dxa"/>
            <w:noWrap w:val="0"/>
            <w:vAlign w:val="center"/>
          </w:tcPr>
          <w:p w14:paraId="03A2B5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0A0CDF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5897539B">
            <w:pPr>
              <w:jc w:val="center"/>
              <w:rPr>
                <w:highlight w:val="none"/>
              </w:rPr>
            </w:pPr>
          </w:p>
        </w:tc>
        <w:tc>
          <w:tcPr>
            <w:tcW w:w="710" w:type="dxa"/>
            <w:gridSpan w:val="2"/>
            <w:noWrap w:val="0"/>
            <w:vAlign w:val="center"/>
          </w:tcPr>
          <w:p w14:paraId="1717B0C7">
            <w:pPr>
              <w:jc w:val="both"/>
              <w:rPr>
                <w:highlight w:val="none"/>
                <w:vertAlign w:val="baseline"/>
              </w:rPr>
            </w:pPr>
          </w:p>
        </w:tc>
      </w:tr>
      <w:tr w14:paraId="2D52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4C0A79">
            <w:pPr>
              <w:jc w:val="center"/>
              <w:rPr>
                <w:rFonts w:hint="default"/>
                <w:highlight w:val="none"/>
                <w:vertAlign w:val="baseline"/>
                <w:lang w:val="en-US" w:eastAsia="zh-CN"/>
              </w:rPr>
            </w:pPr>
            <w:r>
              <w:rPr>
                <w:rFonts w:hint="eastAsia"/>
                <w:highlight w:val="none"/>
                <w:vertAlign w:val="baseline"/>
                <w:lang w:val="en-US" w:eastAsia="zh-CN"/>
              </w:rPr>
              <w:t>238</w:t>
            </w:r>
          </w:p>
        </w:tc>
        <w:tc>
          <w:tcPr>
            <w:tcW w:w="1690" w:type="dxa"/>
            <w:noWrap w:val="0"/>
            <w:vAlign w:val="top"/>
          </w:tcPr>
          <w:p w14:paraId="679BEC90">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碳酸钙</w:t>
            </w:r>
          </w:p>
        </w:tc>
        <w:tc>
          <w:tcPr>
            <w:tcW w:w="5928" w:type="dxa"/>
            <w:noWrap w:val="0"/>
            <w:vAlign w:val="top"/>
          </w:tcPr>
          <w:p w14:paraId="235E1412">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粉末500g</w:t>
            </w:r>
          </w:p>
        </w:tc>
        <w:tc>
          <w:tcPr>
            <w:tcW w:w="736" w:type="dxa"/>
            <w:noWrap w:val="0"/>
            <w:vAlign w:val="center"/>
          </w:tcPr>
          <w:p w14:paraId="2B5847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74D3A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EB086F9">
            <w:pPr>
              <w:jc w:val="center"/>
              <w:rPr>
                <w:highlight w:val="none"/>
              </w:rPr>
            </w:pPr>
          </w:p>
        </w:tc>
        <w:tc>
          <w:tcPr>
            <w:tcW w:w="710" w:type="dxa"/>
            <w:gridSpan w:val="2"/>
            <w:noWrap w:val="0"/>
            <w:vAlign w:val="center"/>
          </w:tcPr>
          <w:p w14:paraId="277592E9">
            <w:pPr>
              <w:jc w:val="both"/>
              <w:rPr>
                <w:highlight w:val="none"/>
                <w:vertAlign w:val="baseline"/>
              </w:rPr>
            </w:pPr>
          </w:p>
        </w:tc>
      </w:tr>
      <w:tr w14:paraId="521F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737ADB">
            <w:pPr>
              <w:jc w:val="center"/>
              <w:rPr>
                <w:rFonts w:hint="default"/>
                <w:highlight w:val="none"/>
                <w:vertAlign w:val="baseline"/>
                <w:lang w:val="en-US" w:eastAsia="zh-CN"/>
              </w:rPr>
            </w:pPr>
            <w:r>
              <w:rPr>
                <w:rFonts w:hint="eastAsia"/>
                <w:highlight w:val="none"/>
                <w:vertAlign w:val="baseline"/>
                <w:lang w:val="en-US" w:eastAsia="zh-CN"/>
              </w:rPr>
              <w:t>239</w:t>
            </w:r>
          </w:p>
        </w:tc>
        <w:tc>
          <w:tcPr>
            <w:tcW w:w="1690" w:type="dxa"/>
            <w:noWrap w:val="0"/>
            <w:vAlign w:val="top"/>
          </w:tcPr>
          <w:p w14:paraId="5DB90D64">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碳酸氢铵</w:t>
            </w:r>
          </w:p>
        </w:tc>
        <w:tc>
          <w:tcPr>
            <w:tcW w:w="5928" w:type="dxa"/>
            <w:noWrap w:val="0"/>
            <w:vAlign w:val="top"/>
          </w:tcPr>
          <w:p w14:paraId="689EFB31">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41CFDD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093A11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7E39B6C">
            <w:pPr>
              <w:jc w:val="center"/>
              <w:rPr>
                <w:highlight w:val="none"/>
              </w:rPr>
            </w:pPr>
          </w:p>
        </w:tc>
        <w:tc>
          <w:tcPr>
            <w:tcW w:w="710" w:type="dxa"/>
            <w:gridSpan w:val="2"/>
            <w:noWrap w:val="0"/>
            <w:vAlign w:val="center"/>
          </w:tcPr>
          <w:p w14:paraId="06898C4E">
            <w:pPr>
              <w:jc w:val="both"/>
              <w:rPr>
                <w:highlight w:val="none"/>
                <w:vertAlign w:val="baseline"/>
              </w:rPr>
            </w:pPr>
          </w:p>
        </w:tc>
      </w:tr>
      <w:tr w14:paraId="54E8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0066BA">
            <w:pPr>
              <w:jc w:val="center"/>
              <w:rPr>
                <w:rFonts w:hint="default"/>
                <w:highlight w:val="none"/>
                <w:vertAlign w:val="baseline"/>
                <w:lang w:val="en-US" w:eastAsia="zh-CN"/>
              </w:rPr>
            </w:pPr>
            <w:r>
              <w:rPr>
                <w:rFonts w:hint="eastAsia"/>
                <w:highlight w:val="none"/>
                <w:vertAlign w:val="baseline"/>
                <w:lang w:val="en-US" w:eastAsia="zh-CN"/>
              </w:rPr>
              <w:t>240</w:t>
            </w:r>
          </w:p>
        </w:tc>
        <w:tc>
          <w:tcPr>
            <w:tcW w:w="1690" w:type="dxa"/>
            <w:noWrap w:val="0"/>
            <w:vAlign w:val="top"/>
          </w:tcPr>
          <w:p w14:paraId="7DA0073B">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碱式碳酸铜</w:t>
            </w:r>
          </w:p>
        </w:tc>
        <w:tc>
          <w:tcPr>
            <w:tcW w:w="5928" w:type="dxa"/>
            <w:noWrap w:val="0"/>
            <w:vAlign w:val="top"/>
          </w:tcPr>
          <w:p w14:paraId="5F1CB0AC">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493D4B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EE5BE0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CEB8F96">
            <w:pPr>
              <w:jc w:val="center"/>
              <w:rPr>
                <w:highlight w:val="none"/>
              </w:rPr>
            </w:pPr>
          </w:p>
        </w:tc>
        <w:tc>
          <w:tcPr>
            <w:tcW w:w="710" w:type="dxa"/>
            <w:gridSpan w:val="2"/>
            <w:noWrap w:val="0"/>
            <w:vAlign w:val="center"/>
          </w:tcPr>
          <w:p w14:paraId="1021D4ED">
            <w:pPr>
              <w:jc w:val="both"/>
              <w:rPr>
                <w:highlight w:val="none"/>
                <w:vertAlign w:val="baseline"/>
              </w:rPr>
            </w:pPr>
          </w:p>
        </w:tc>
      </w:tr>
      <w:tr w14:paraId="18B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57ECBDB">
            <w:pPr>
              <w:jc w:val="center"/>
              <w:rPr>
                <w:rFonts w:hint="default"/>
                <w:highlight w:val="none"/>
                <w:vertAlign w:val="baseline"/>
                <w:lang w:val="en-US" w:eastAsia="zh-CN"/>
              </w:rPr>
            </w:pPr>
            <w:r>
              <w:rPr>
                <w:rFonts w:hint="eastAsia"/>
                <w:highlight w:val="none"/>
                <w:vertAlign w:val="baseline"/>
                <w:lang w:val="en-US" w:eastAsia="zh-CN"/>
              </w:rPr>
              <w:t>241</w:t>
            </w:r>
          </w:p>
        </w:tc>
        <w:tc>
          <w:tcPr>
            <w:tcW w:w="1690" w:type="dxa"/>
            <w:noWrap w:val="0"/>
            <w:vAlign w:val="top"/>
          </w:tcPr>
          <w:p w14:paraId="41B8C43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氢氧化钙 (熟石灰)</w:t>
            </w:r>
          </w:p>
        </w:tc>
        <w:tc>
          <w:tcPr>
            <w:tcW w:w="5928" w:type="dxa"/>
            <w:noWrap w:val="0"/>
            <w:vAlign w:val="top"/>
          </w:tcPr>
          <w:p w14:paraId="697FCE9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006855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5DAE9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27AD7E">
            <w:pPr>
              <w:jc w:val="center"/>
              <w:rPr>
                <w:highlight w:val="none"/>
              </w:rPr>
            </w:pPr>
          </w:p>
        </w:tc>
        <w:tc>
          <w:tcPr>
            <w:tcW w:w="710" w:type="dxa"/>
            <w:gridSpan w:val="2"/>
            <w:noWrap w:val="0"/>
            <w:vAlign w:val="center"/>
          </w:tcPr>
          <w:p w14:paraId="24568E50">
            <w:pPr>
              <w:jc w:val="both"/>
              <w:rPr>
                <w:highlight w:val="none"/>
                <w:vertAlign w:val="baseline"/>
              </w:rPr>
            </w:pPr>
          </w:p>
        </w:tc>
      </w:tr>
      <w:tr w14:paraId="2E61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4E3DBA">
            <w:pPr>
              <w:jc w:val="center"/>
              <w:rPr>
                <w:rFonts w:hint="default"/>
                <w:highlight w:val="none"/>
                <w:vertAlign w:val="baseline"/>
                <w:lang w:val="en-US" w:eastAsia="zh-CN"/>
              </w:rPr>
            </w:pPr>
            <w:r>
              <w:rPr>
                <w:rFonts w:hint="eastAsia"/>
                <w:highlight w:val="none"/>
                <w:vertAlign w:val="baseline"/>
                <w:lang w:val="en-US" w:eastAsia="zh-CN"/>
              </w:rPr>
              <w:t>242</w:t>
            </w:r>
          </w:p>
        </w:tc>
        <w:tc>
          <w:tcPr>
            <w:tcW w:w="1690" w:type="dxa"/>
            <w:noWrap w:val="0"/>
            <w:vAlign w:val="top"/>
          </w:tcPr>
          <w:p w14:paraId="676011D1">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碱石灰</w:t>
            </w:r>
          </w:p>
        </w:tc>
        <w:tc>
          <w:tcPr>
            <w:tcW w:w="5928" w:type="dxa"/>
            <w:noWrap w:val="0"/>
            <w:vAlign w:val="top"/>
          </w:tcPr>
          <w:p w14:paraId="27DF5463">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工业500g</w:t>
            </w:r>
          </w:p>
        </w:tc>
        <w:tc>
          <w:tcPr>
            <w:tcW w:w="736" w:type="dxa"/>
            <w:noWrap w:val="0"/>
            <w:vAlign w:val="center"/>
          </w:tcPr>
          <w:p w14:paraId="7EA80E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C66E7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C828EA2">
            <w:pPr>
              <w:jc w:val="center"/>
              <w:rPr>
                <w:highlight w:val="none"/>
              </w:rPr>
            </w:pPr>
          </w:p>
        </w:tc>
        <w:tc>
          <w:tcPr>
            <w:tcW w:w="710" w:type="dxa"/>
            <w:gridSpan w:val="2"/>
            <w:noWrap w:val="0"/>
            <w:vAlign w:val="center"/>
          </w:tcPr>
          <w:p w14:paraId="589162D5">
            <w:pPr>
              <w:jc w:val="both"/>
              <w:rPr>
                <w:highlight w:val="none"/>
                <w:vertAlign w:val="baseline"/>
              </w:rPr>
            </w:pPr>
          </w:p>
        </w:tc>
      </w:tr>
      <w:tr w14:paraId="132C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90DDF3">
            <w:pPr>
              <w:jc w:val="center"/>
              <w:rPr>
                <w:rFonts w:hint="default"/>
                <w:highlight w:val="none"/>
                <w:vertAlign w:val="baseline"/>
                <w:lang w:val="en-US" w:eastAsia="zh-CN"/>
              </w:rPr>
            </w:pPr>
            <w:r>
              <w:rPr>
                <w:rFonts w:hint="eastAsia"/>
                <w:highlight w:val="none"/>
                <w:vertAlign w:val="baseline"/>
                <w:lang w:val="en-US" w:eastAsia="zh-CN"/>
              </w:rPr>
              <w:t>243</w:t>
            </w:r>
          </w:p>
        </w:tc>
        <w:tc>
          <w:tcPr>
            <w:tcW w:w="1690" w:type="dxa"/>
            <w:noWrap w:val="0"/>
            <w:vAlign w:val="top"/>
          </w:tcPr>
          <w:p w14:paraId="0342957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葡萄糖</w:t>
            </w:r>
          </w:p>
        </w:tc>
        <w:tc>
          <w:tcPr>
            <w:tcW w:w="5928" w:type="dxa"/>
            <w:noWrap w:val="0"/>
            <w:vAlign w:val="top"/>
          </w:tcPr>
          <w:p w14:paraId="1A28350A">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42F096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6C5BAA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0E1430D">
            <w:pPr>
              <w:jc w:val="center"/>
              <w:rPr>
                <w:highlight w:val="none"/>
              </w:rPr>
            </w:pPr>
          </w:p>
        </w:tc>
        <w:tc>
          <w:tcPr>
            <w:tcW w:w="710" w:type="dxa"/>
            <w:gridSpan w:val="2"/>
            <w:noWrap w:val="0"/>
            <w:vAlign w:val="center"/>
          </w:tcPr>
          <w:p w14:paraId="50E8E1C6">
            <w:pPr>
              <w:jc w:val="both"/>
              <w:rPr>
                <w:highlight w:val="none"/>
                <w:vertAlign w:val="baseline"/>
              </w:rPr>
            </w:pPr>
          </w:p>
        </w:tc>
      </w:tr>
      <w:tr w14:paraId="20CC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257348">
            <w:pPr>
              <w:jc w:val="center"/>
              <w:rPr>
                <w:rFonts w:hint="default"/>
                <w:highlight w:val="none"/>
                <w:vertAlign w:val="baseline"/>
                <w:lang w:val="en-US" w:eastAsia="zh-CN"/>
              </w:rPr>
            </w:pPr>
            <w:r>
              <w:rPr>
                <w:rFonts w:hint="eastAsia"/>
                <w:highlight w:val="none"/>
                <w:vertAlign w:val="baseline"/>
                <w:lang w:val="en-US" w:eastAsia="zh-CN"/>
              </w:rPr>
              <w:t>244</w:t>
            </w:r>
          </w:p>
        </w:tc>
        <w:tc>
          <w:tcPr>
            <w:tcW w:w="1690" w:type="dxa"/>
            <w:noWrap w:val="0"/>
            <w:vAlign w:val="top"/>
          </w:tcPr>
          <w:p w14:paraId="00E9C72C">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蔗糖</w:t>
            </w:r>
          </w:p>
        </w:tc>
        <w:tc>
          <w:tcPr>
            <w:tcW w:w="5928" w:type="dxa"/>
            <w:noWrap w:val="0"/>
            <w:vAlign w:val="top"/>
          </w:tcPr>
          <w:p w14:paraId="14C889F9">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690084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20782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B1C0BE7">
            <w:pPr>
              <w:jc w:val="center"/>
              <w:rPr>
                <w:highlight w:val="none"/>
              </w:rPr>
            </w:pPr>
          </w:p>
        </w:tc>
        <w:tc>
          <w:tcPr>
            <w:tcW w:w="710" w:type="dxa"/>
            <w:gridSpan w:val="2"/>
            <w:noWrap w:val="0"/>
            <w:vAlign w:val="center"/>
          </w:tcPr>
          <w:p w14:paraId="470D346C">
            <w:pPr>
              <w:jc w:val="both"/>
              <w:rPr>
                <w:highlight w:val="none"/>
                <w:vertAlign w:val="baseline"/>
              </w:rPr>
            </w:pPr>
          </w:p>
        </w:tc>
      </w:tr>
      <w:tr w14:paraId="6D4E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674D80">
            <w:pPr>
              <w:jc w:val="center"/>
              <w:rPr>
                <w:rFonts w:hint="default"/>
                <w:highlight w:val="none"/>
                <w:vertAlign w:val="baseline"/>
                <w:lang w:val="en-US" w:eastAsia="zh-CN"/>
              </w:rPr>
            </w:pPr>
            <w:r>
              <w:rPr>
                <w:rFonts w:hint="eastAsia"/>
                <w:highlight w:val="none"/>
                <w:vertAlign w:val="baseline"/>
                <w:lang w:val="en-US" w:eastAsia="zh-CN"/>
              </w:rPr>
              <w:t>245</w:t>
            </w:r>
          </w:p>
        </w:tc>
        <w:tc>
          <w:tcPr>
            <w:tcW w:w="1690" w:type="dxa"/>
            <w:noWrap w:val="0"/>
            <w:vAlign w:val="top"/>
          </w:tcPr>
          <w:p w14:paraId="1676FF7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石蕊</w:t>
            </w:r>
          </w:p>
        </w:tc>
        <w:tc>
          <w:tcPr>
            <w:tcW w:w="5928" w:type="dxa"/>
            <w:noWrap w:val="0"/>
            <w:vAlign w:val="top"/>
          </w:tcPr>
          <w:p w14:paraId="2E50F41C">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25g</w:t>
            </w:r>
          </w:p>
        </w:tc>
        <w:tc>
          <w:tcPr>
            <w:tcW w:w="736" w:type="dxa"/>
            <w:noWrap w:val="0"/>
            <w:vAlign w:val="center"/>
          </w:tcPr>
          <w:p w14:paraId="4C80E5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42925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9989EBB">
            <w:pPr>
              <w:jc w:val="center"/>
              <w:rPr>
                <w:highlight w:val="none"/>
              </w:rPr>
            </w:pPr>
          </w:p>
        </w:tc>
        <w:tc>
          <w:tcPr>
            <w:tcW w:w="710" w:type="dxa"/>
            <w:gridSpan w:val="2"/>
            <w:noWrap w:val="0"/>
            <w:vAlign w:val="center"/>
          </w:tcPr>
          <w:p w14:paraId="4F77BC7B">
            <w:pPr>
              <w:jc w:val="both"/>
              <w:rPr>
                <w:highlight w:val="none"/>
                <w:vertAlign w:val="baseline"/>
              </w:rPr>
            </w:pPr>
          </w:p>
        </w:tc>
      </w:tr>
      <w:tr w14:paraId="75A9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08AC98">
            <w:pPr>
              <w:jc w:val="center"/>
              <w:rPr>
                <w:rFonts w:hint="default"/>
                <w:highlight w:val="none"/>
                <w:vertAlign w:val="baseline"/>
                <w:lang w:val="en-US" w:eastAsia="zh-CN"/>
              </w:rPr>
            </w:pPr>
            <w:r>
              <w:rPr>
                <w:rFonts w:hint="eastAsia"/>
                <w:highlight w:val="none"/>
                <w:vertAlign w:val="baseline"/>
                <w:lang w:val="en-US" w:eastAsia="zh-CN"/>
              </w:rPr>
              <w:t>246</w:t>
            </w:r>
          </w:p>
        </w:tc>
        <w:tc>
          <w:tcPr>
            <w:tcW w:w="1690" w:type="dxa"/>
            <w:noWrap w:val="0"/>
            <w:vAlign w:val="top"/>
          </w:tcPr>
          <w:p w14:paraId="3C64B59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酚酞</w:t>
            </w:r>
          </w:p>
        </w:tc>
        <w:tc>
          <w:tcPr>
            <w:tcW w:w="5928" w:type="dxa"/>
            <w:noWrap w:val="0"/>
            <w:vAlign w:val="top"/>
          </w:tcPr>
          <w:p w14:paraId="6D52E0DC">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指示剂25g</w:t>
            </w:r>
          </w:p>
        </w:tc>
        <w:tc>
          <w:tcPr>
            <w:tcW w:w="736" w:type="dxa"/>
            <w:noWrap w:val="0"/>
            <w:vAlign w:val="center"/>
          </w:tcPr>
          <w:p w14:paraId="76D436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1D7F537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B798684">
            <w:pPr>
              <w:jc w:val="center"/>
              <w:rPr>
                <w:highlight w:val="none"/>
              </w:rPr>
            </w:pPr>
          </w:p>
        </w:tc>
        <w:tc>
          <w:tcPr>
            <w:tcW w:w="710" w:type="dxa"/>
            <w:gridSpan w:val="2"/>
            <w:noWrap w:val="0"/>
            <w:vAlign w:val="center"/>
          </w:tcPr>
          <w:p w14:paraId="3D9CFA7D">
            <w:pPr>
              <w:jc w:val="both"/>
              <w:rPr>
                <w:highlight w:val="none"/>
                <w:vertAlign w:val="baseline"/>
              </w:rPr>
            </w:pPr>
          </w:p>
        </w:tc>
      </w:tr>
      <w:tr w14:paraId="5626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439A4E">
            <w:pPr>
              <w:jc w:val="center"/>
              <w:rPr>
                <w:rFonts w:hint="default"/>
                <w:highlight w:val="none"/>
                <w:vertAlign w:val="baseline"/>
                <w:lang w:val="en-US" w:eastAsia="zh-CN"/>
              </w:rPr>
            </w:pPr>
            <w:r>
              <w:rPr>
                <w:rFonts w:hint="eastAsia"/>
                <w:highlight w:val="none"/>
                <w:vertAlign w:val="baseline"/>
                <w:lang w:val="en-US" w:eastAsia="zh-CN"/>
              </w:rPr>
              <w:t>247</w:t>
            </w:r>
          </w:p>
        </w:tc>
        <w:tc>
          <w:tcPr>
            <w:tcW w:w="1690" w:type="dxa"/>
            <w:noWrap w:val="0"/>
            <w:vAlign w:val="top"/>
          </w:tcPr>
          <w:p w14:paraId="3F08B55C">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品红</w:t>
            </w:r>
          </w:p>
        </w:tc>
        <w:tc>
          <w:tcPr>
            <w:tcW w:w="5928" w:type="dxa"/>
            <w:noWrap w:val="0"/>
            <w:vAlign w:val="top"/>
          </w:tcPr>
          <w:p w14:paraId="50904514">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染料25g</w:t>
            </w:r>
          </w:p>
        </w:tc>
        <w:tc>
          <w:tcPr>
            <w:tcW w:w="736" w:type="dxa"/>
            <w:noWrap w:val="0"/>
            <w:vAlign w:val="center"/>
          </w:tcPr>
          <w:p w14:paraId="67ADD3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69887E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155A562">
            <w:pPr>
              <w:jc w:val="center"/>
              <w:rPr>
                <w:highlight w:val="none"/>
              </w:rPr>
            </w:pPr>
          </w:p>
        </w:tc>
        <w:tc>
          <w:tcPr>
            <w:tcW w:w="710" w:type="dxa"/>
            <w:gridSpan w:val="2"/>
            <w:noWrap w:val="0"/>
            <w:vAlign w:val="center"/>
          </w:tcPr>
          <w:p w14:paraId="768B8BCA">
            <w:pPr>
              <w:jc w:val="both"/>
              <w:rPr>
                <w:highlight w:val="none"/>
                <w:vertAlign w:val="baseline"/>
              </w:rPr>
            </w:pPr>
          </w:p>
        </w:tc>
      </w:tr>
      <w:tr w14:paraId="1DE3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4189" w:type="dxa"/>
            <w:gridSpan w:val="9"/>
            <w:noWrap w:val="0"/>
            <w:vAlign w:val="center"/>
          </w:tcPr>
          <w:p w14:paraId="260C6393">
            <w:pPr>
              <w:jc w:val="both"/>
              <w:rPr>
                <w:highlight w:val="none"/>
                <w:vertAlign w:val="baseline"/>
              </w:rPr>
            </w:pPr>
            <w:r>
              <w:rPr>
                <w:rFonts w:hint="eastAsia"/>
                <w:b/>
                <w:bCs/>
                <w:sz w:val="30"/>
                <w:szCs w:val="30"/>
                <w:highlight w:val="none"/>
                <w:vertAlign w:val="baseline"/>
              </w:rPr>
              <w:t>生物仪器及试剂</w:t>
            </w:r>
          </w:p>
        </w:tc>
      </w:tr>
      <w:tr w14:paraId="5E9E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895" w:type="dxa"/>
            <w:noWrap w:val="0"/>
            <w:vAlign w:val="center"/>
          </w:tcPr>
          <w:p w14:paraId="48E72D18">
            <w:pPr>
              <w:keepNext w:val="0"/>
              <w:keepLines w:val="0"/>
              <w:widowControl/>
              <w:suppressLineNumbers w:val="0"/>
              <w:jc w:val="center"/>
              <w:textAlignment w:val="center"/>
              <w:rPr>
                <w:rFonts w:hint="default"/>
                <w:highlight w:val="none"/>
                <w:vertAlign w:val="baseli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690" w:type="dxa"/>
            <w:noWrap w:val="0"/>
            <w:vAlign w:val="center"/>
          </w:tcPr>
          <w:p w14:paraId="5C6E6D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5928" w:type="dxa"/>
            <w:noWrap w:val="0"/>
            <w:vAlign w:val="center"/>
          </w:tcPr>
          <w:p w14:paraId="103D4F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技术</w:t>
            </w:r>
            <w:r>
              <w:rPr>
                <w:rFonts w:hint="eastAsia" w:ascii="宋体" w:hAnsi="宋体" w:eastAsia="宋体" w:cs="宋体"/>
                <w:b/>
                <w:bCs/>
                <w:i w:val="0"/>
                <w:iCs w:val="0"/>
                <w:color w:val="000000"/>
                <w:kern w:val="0"/>
                <w:sz w:val="24"/>
                <w:szCs w:val="24"/>
                <w:highlight w:val="none"/>
                <w:u w:val="none"/>
                <w:lang w:val="en-US" w:eastAsia="zh-CN" w:bidi="ar"/>
              </w:rPr>
              <w:t>参数</w:t>
            </w:r>
            <w:r>
              <w:rPr>
                <w:rFonts w:hint="eastAsia" w:ascii="宋体" w:hAnsi="宋体" w:cs="宋体"/>
                <w:b/>
                <w:bCs/>
                <w:i w:val="0"/>
                <w:iCs w:val="0"/>
                <w:color w:val="000000"/>
                <w:kern w:val="0"/>
                <w:sz w:val="24"/>
                <w:szCs w:val="24"/>
                <w:highlight w:val="none"/>
                <w:u w:val="none"/>
                <w:lang w:val="en-US" w:eastAsia="zh-CN" w:bidi="ar"/>
              </w:rPr>
              <w:t>要求</w:t>
            </w:r>
          </w:p>
        </w:tc>
        <w:tc>
          <w:tcPr>
            <w:tcW w:w="736" w:type="dxa"/>
            <w:noWrap w:val="0"/>
            <w:vAlign w:val="center"/>
          </w:tcPr>
          <w:p w14:paraId="28BF17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4" w:type="dxa"/>
            <w:noWrap w:val="0"/>
            <w:vAlign w:val="center"/>
          </w:tcPr>
          <w:p w14:paraId="10B015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396" w:type="dxa"/>
            <w:gridSpan w:val="2"/>
            <w:noWrap w:val="0"/>
            <w:vAlign w:val="center"/>
          </w:tcPr>
          <w:p w14:paraId="5E258481">
            <w:pPr>
              <w:keepNext w:val="0"/>
              <w:keepLines w:val="0"/>
              <w:widowControl/>
              <w:suppressLineNumbers w:val="0"/>
              <w:jc w:val="center"/>
              <w:textAlignment w:val="center"/>
              <w:rPr>
                <w:highlight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710" w:type="dxa"/>
            <w:gridSpan w:val="2"/>
            <w:noWrap w:val="0"/>
            <w:vAlign w:val="center"/>
          </w:tcPr>
          <w:p w14:paraId="5F939D45">
            <w:pPr>
              <w:keepNext w:val="0"/>
              <w:keepLines w:val="0"/>
              <w:widowControl/>
              <w:suppressLineNumbers w:val="0"/>
              <w:jc w:val="center"/>
              <w:textAlignment w:val="center"/>
              <w:rPr>
                <w:highlight w:val="none"/>
                <w:vertAlign w:val="baseline"/>
              </w:rPr>
            </w:pPr>
            <w:r>
              <w:rPr>
                <w:rFonts w:hint="eastAsia"/>
                <w:highlight w:val="none"/>
                <w:vertAlign w:val="baseline"/>
                <w:lang w:val="en-US" w:eastAsia="zh-CN"/>
              </w:rPr>
              <w:t>备注</w:t>
            </w:r>
          </w:p>
        </w:tc>
      </w:tr>
      <w:tr w14:paraId="3541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028EF7">
            <w:pPr>
              <w:jc w:val="center"/>
              <w:rPr>
                <w:rFonts w:hint="default"/>
                <w:highlight w:val="none"/>
                <w:vertAlign w:val="baseline"/>
                <w:lang w:val="en-US" w:eastAsia="zh-CN"/>
              </w:rPr>
            </w:pPr>
            <w:r>
              <w:rPr>
                <w:rFonts w:hint="eastAsia"/>
                <w:highlight w:val="none"/>
                <w:vertAlign w:val="baseline"/>
                <w:lang w:val="en-US" w:eastAsia="zh-CN"/>
              </w:rPr>
              <w:t>1</w:t>
            </w:r>
          </w:p>
        </w:tc>
        <w:tc>
          <w:tcPr>
            <w:tcW w:w="1690" w:type="dxa"/>
            <w:noWrap w:val="0"/>
            <w:vAlign w:val="center"/>
          </w:tcPr>
          <w:p w14:paraId="40CCBE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紧急喷淋器</w:t>
            </w:r>
          </w:p>
        </w:tc>
        <w:tc>
          <w:tcPr>
            <w:tcW w:w="5928" w:type="dxa"/>
            <w:noWrap w:val="0"/>
            <w:vAlign w:val="center"/>
          </w:tcPr>
          <w:p w14:paraId="147F1F8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w:t>
            </w:r>
          </w:p>
        </w:tc>
        <w:tc>
          <w:tcPr>
            <w:tcW w:w="736" w:type="dxa"/>
            <w:noWrap w:val="0"/>
            <w:vAlign w:val="center"/>
          </w:tcPr>
          <w:p w14:paraId="0A835C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242AB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C98EB9B">
            <w:pPr>
              <w:jc w:val="center"/>
              <w:rPr>
                <w:highlight w:val="none"/>
              </w:rPr>
            </w:pPr>
          </w:p>
        </w:tc>
        <w:tc>
          <w:tcPr>
            <w:tcW w:w="710" w:type="dxa"/>
            <w:gridSpan w:val="2"/>
            <w:noWrap w:val="0"/>
            <w:vAlign w:val="center"/>
          </w:tcPr>
          <w:p w14:paraId="02B64095">
            <w:pPr>
              <w:jc w:val="both"/>
              <w:rPr>
                <w:highlight w:val="none"/>
                <w:vertAlign w:val="baseline"/>
              </w:rPr>
            </w:pPr>
          </w:p>
        </w:tc>
      </w:tr>
      <w:tr w14:paraId="48D4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0BFA12">
            <w:pPr>
              <w:jc w:val="center"/>
              <w:rPr>
                <w:rFonts w:hint="default"/>
                <w:highlight w:val="none"/>
                <w:vertAlign w:val="baseline"/>
                <w:lang w:val="en-US" w:eastAsia="zh-CN"/>
              </w:rPr>
            </w:pPr>
            <w:r>
              <w:rPr>
                <w:rFonts w:hint="eastAsia"/>
                <w:highlight w:val="none"/>
                <w:vertAlign w:val="baseline"/>
                <w:lang w:val="en-US" w:eastAsia="zh-CN"/>
              </w:rPr>
              <w:t>2</w:t>
            </w:r>
          </w:p>
        </w:tc>
        <w:tc>
          <w:tcPr>
            <w:tcW w:w="1690" w:type="dxa"/>
            <w:noWrap w:val="0"/>
            <w:vAlign w:val="center"/>
          </w:tcPr>
          <w:p w14:paraId="74A6D3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洗眼器</w:t>
            </w:r>
          </w:p>
        </w:tc>
        <w:tc>
          <w:tcPr>
            <w:tcW w:w="5928" w:type="dxa"/>
            <w:noWrap w:val="0"/>
            <w:vAlign w:val="center"/>
          </w:tcPr>
          <w:p w14:paraId="1294EE6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台式双口，铜质阀门</w:t>
            </w:r>
          </w:p>
        </w:tc>
        <w:tc>
          <w:tcPr>
            <w:tcW w:w="736" w:type="dxa"/>
            <w:noWrap w:val="0"/>
            <w:vAlign w:val="center"/>
          </w:tcPr>
          <w:p w14:paraId="78B8E2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CD7CE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7900F58">
            <w:pPr>
              <w:jc w:val="center"/>
              <w:rPr>
                <w:highlight w:val="none"/>
              </w:rPr>
            </w:pPr>
          </w:p>
        </w:tc>
        <w:tc>
          <w:tcPr>
            <w:tcW w:w="710" w:type="dxa"/>
            <w:gridSpan w:val="2"/>
            <w:noWrap w:val="0"/>
            <w:vAlign w:val="center"/>
          </w:tcPr>
          <w:p w14:paraId="67EDD885">
            <w:pPr>
              <w:jc w:val="both"/>
              <w:rPr>
                <w:highlight w:val="none"/>
                <w:vertAlign w:val="baseline"/>
              </w:rPr>
            </w:pPr>
          </w:p>
        </w:tc>
      </w:tr>
      <w:tr w14:paraId="18E5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F29B95">
            <w:pPr>
              <w:jc w:val="center"/>
              <w:rPr>
                <w:rFonts w:hint="default"/>
                <w:highlight w:val="none"/>
                <w:vertAlign w:val="baseline"/>
                <w:lang w:val="en-US" w:eastAsia="zh-CN"/>
              </w:rPr>
            </w:pPr>
            <w:r>
              <w:rPr>
                <w:rFonts w:hint="eastAsia"/>
                <w:highlight w:val="none"/>
                <w:vertAlign w:val="baseline"/>
                <w:lang w:val="en-US" w:eastAsia="zh-CN"/>
              </w:rPr>
              <w:t>3</w:t>
            </w:r>
          </w:p>
        </w:tc>
        <w:tc>
          <w:tcPr>
            <w:tcW w:w="1690" w:type="dxa"/>
            <w:noWrap w:val="0"/>
            <w:vAlign w:val="center"/>
          </w:tcPr>
          <w:p w14:paraId="5E8847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灭火毯</w:t>
            </w:r>
          </w:p>
        </w:tc>
        <w:tc>
          <w:tcPr>
            <w:tcW w:w="5928" w:type="dxa"/>
            <w:noWrap w:val="0"/>
            <w:vAlign w:val="center"/>
          </w:tcPr>
          <w:p w14:paraId="3598EFD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1200 mm×1800 mm</w:t>
            </w:r>
          </w:p>
        </w:tc>
        <w:tc>
          <w:tcPr>
            <w:tcW w:w="736" w:type="dxa"/>
            <w:noWrap w:val="0"/>
            <w:vAlign w:val="center"/>
          </w:tcPr>
          <w:p w14:paraId="49F4C8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6BECA9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62C8823">
            <w:pPr>
              <w:jc w:val="center"/>
              <w:rPr>
                <w:highlight w:val="none"/>
              </w:rPr>
            </w:pPr>
          </w:p>
        </w:tc>
        <w:tc>
          <w:tcPr>
            <w:tcW w:w="710" w:type="dxa"/>
            <w:gridSpan w:val="2"/>
            <w:noWrap w:val="0"/>
            <w:vAlign w:val="center"/>
          </w:tcPr>
          <w:p w14:paraId="66D67D19">
            <w:pPr>
              <w:jc w:val="both"/>
              <w:rPr>
                <w:highlight w:val="none"/>
                <w:vertAlign w:val="baseline"/>
              </w:rPr>
            </w:pPr>
          </w:p>
        </w:tc>
      </w:tr>
      <w:tr w14:paraId="0175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FE5EF0">
            <w:pPr>
              <w:jc w:val="center"/>
              <w:rPr>
                <w:rFonts w:hint="default"/>
                <w:highlight w:val="none"/>
                <w:vertAlign w:val="baseline"/>
                <w:lang w:val="en-US" w:eastAsia="zh-CN"/>
              </w:rPr>
            </w:pPr>
            <w:r>
              <w:rPr>
                <w:rFonts w:hint="eastAsia"/>
                <w:highlight w:val="none"/>
                <w:vertAlign w:val="baseline"/>
                <w:lang w:val="en-US" w:eastAsia="zh-CN"/>
              </w:rPr>
              <w:t>4</w:t>
            </w:r>
          </w:p>
        </w:tc>
        <w:tc>
          <w:tcPr>
            <w:tcW w:w="1690" w:type="dxa"/>
            <w:noWrap w:val="0"/>
            <w:vAlign w:val="center"/>
          </w:tcPr>
          <w:p w14:paraId="21EE09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简易急救箱</w:t>
            </w:r>
          </w:p>
        </w:tc>
        <w:tc>
          <w:tcPr>
            <w:tcW w:w="5928" w:type="dxa"/>
            <w:noWrap w:val="0"/>
            <w:vAlign w:val="center"/>
          </w:tcPr>
          <w:p w14:paraId="2744A77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塑料盒，常规要品</w:t>
            </w:r>
          </w:p>
        </w:tc>
        <w:tc>
          <w:tcPr>
            <w:tcW w:w="736" w:type="dxa"/>
            <w:noWrap w:val="0"/>
            <w:vAlign w:val="center"/>
          </w:tcPr>
          <w:p w14:paraId="49EA58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3F916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A5A4DB0">
            <w:pPr>
              <w:jc w:val="center"/>
              <w:rPr>
                <w:highlight w:val="none"/>
              </w:rPr>
            </w:pPr>
          </w:p>
        </w:tc>
        <w:tc>
          <w:tcPr>
            <w:tcW w:w="710" w:type="dxa"/>
            <w:gridSpan w:val="2"/>
            <w:noWrap w:val="0"/>
            <w:vAlign w:val="center"/>
          </w:tcPr>
          <w:p w14:paraId="53F29A97">
            <w:pPr>
              <w:jc w:val="both"/>
              <w:rPr>
                <w:highlight w:val="none"/>
                <w:vertAlign w:val="baseline"/>
              </w:rPr>
            </w:pPr>
          </w:p>
        </w:tc>
      </w:tr>
      <w:tr w14:paraId="6619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990984">
            <w:pPr>
              <w:jc w:val="center"/>
              <w:rPr>
                <w:rFonts w:hint="default"/>
                <w:highlight w:val="none"/>
                <w:vertAlign w:val="baseline"/>
                <w:lang w:val="en-US" w:eastAsia="zh-CN"/>
              </w:rPr>
            </w:pPr>
            <w:r>
              <w:rPr>
                <w:rFonts w:hint="eastAsia"/>
                <w:highlight w:val="none"/>
                <w:vertAlign w:val="baseline"/>
                <w:lang w:val="en-US" w:eastAsia="zh-CN"/>
              </w:rPr>
              <w:t>5</w:t>
            </w:r>
          </w:p>
        </w:tc>
        <w:tc>
          <w:tcPr>
            <w:tcW w:w="1690" w:type="dxa"/>
            <w:noWrap w:val="0"/>
            <w:vAlign w:val="center"/>
          </w:tcPr>
          <w:p w14:paraId="320725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实验服</w:t>
            </w:r>
          </w:p>
        </w:tc>
        <w:tc>
          <w:tcPr>
            <w:tcW w:w="5928" w:type="dxa"/>
            <w:noWrap w:val="0"/>
            <w:vAlign w:val="center"/>
          </w:tcPr>
          <w:p w14:paraId="468C63A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白大褂</w:t>
            </w:r>
          </w:p>
        </w:tc>
        <w:tc>
          <w:tcPr>
            <w:tcW w:w="736" w:type="dxa"/>
            <w:noWrap w:val="0"/>
            <w:vAlign w:val="center"/>
          </w:tcPr>
          <w:p w14:paraId="552F54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4F27C5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0ABFD8D3">
            <w:pPr>
              <w:jc w:val="center"/>
              <w:rPr>
                <w:highlight w:val="none"/>
              </w:rPr>
            </w:pPr>
          </w:p>
        </w:tc>
        <w:tc>
          <w:tcPr>
            <w:tcW w:w="710" w:type="dxa"/>
            <w:gridSpan w:val="2"/>
            <w:noWrap w:val="0"/>
            <w:vAlign w:val="center"/>
          </w:tcPr>
          <w:p w14:paraId="26378C7E">
            <w:pPr>
              <w:jc w:val="both"/>
              <w:rPr>
                <w:highlight w:val="none"/>
                <w:vertAlign w:val="baseline"/>
              </w:rPr>
            </w:pPr>
          </w:p>
        </w:tc>
      </w:tr>
      <w:tr w14:paraId="2A95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E12795">
            <w:pPr>
              <w:jc w:val="center"/>
              <w:rPr>
                <w:rFonts w:hint="default"/>
                <w:highlight w:val="none"/>
                <w:vertAlign w:val="baseline"/>
                <w:lang w:val="en-US" w:eastAsia="zh-CN"/>
              </w:rPr>
            </w:pPr>
            <w:r>
              <w:rPr>
                <w:rFonts w:hint="eastAsia"/>
                <w:highlight w:val="none"/>
                <w:vertAlign w:val="baseline"/>
                <w:lang w:val="en-US" w:eastAsia="zh-CN"/>
              </w:rPr>
              <w:t>6</w:t>
            </w:r>
          </w:p>
        </w:tc>
        <w:tc>
          <w:tcPr>
            <w:tcW w:w="1690" w:type="dxa"/>
            <w:noWrap w:val="0"/>
            <w:vAlign w:val="center"/>
          </w:tcPr>
          <w:p w14:paraId="35EE23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护目镜</w:t>
            </w:r>
          </w:p>
        </w:tc>
        <w:tc>
          <w:tcPr>
            <w:tcW w:w="5928" w:type="dxa"/>
            <w:noWrap w:val="0"/>
            <w:vAlign w:val="center"/>
          </w:tcPr>
          <w:p w14:paraId="7030BC5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侧面完全遮挡</w:t>
            </w:r>
          </w:p>
        </w:tc>
        <w:tc>
          <w:tcPr>
            <w:tcW w:w="736" w:type="dxa"/>
            <w:noWrap w:val="0"/>
            <w:vAlign w:val="center"/>
          </w:tcPr>
          <w:p w14:paraId="21DCA7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01DC1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561969D">
            <w:pPr>
              <w:jc w:val="center"/>
              <w:rPr>
                <w:highlight w:val="none"/>
              </w:rPr>
            </w:pPr>
          </w:p>
        </w:tc>
        <w:tc>
          <w:tcPr>
            <w:tcW w:w="710" w:type="dxa"/>
            <w:gridSpan w:val="2"/>
            <w:noWrap w:val="0"/>
            <w:vAlign w:val="center"/>
          </w:tcPr>
          <w:p w14:paraId="403A1D19">
            <w:pPr>
              <w:jc w:val="both"/>
              <w:rPr>
                <w:highlight w:val="none"/>
                <w:vertAlign w:val="baseline"/>
              </w:rPr>
            </w:pPr>
          </w:p>
        </w:tc>
      </w:tr>
      <w:tr w14:paraId="7FAB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1FCA697">
            <w:pPr>
              <w:jc w:val="center"/>
              <w:rPr>
                <w:rFonts w:hint="default"/>
                <w:highlight w:val="none"/>
                <w:vertAlign w:val="baseline"/>
                <w:lang w:val="en-US" w:eastAsia="zh-CN"/>
              </w:rPr>
            </w:pPr>
            <w:r>
              <w:rPr>
                <w:rFonts w:hint="eastAsia"/>
                <w:highlight w:val="none"/>
                <w:vertAlign w:val="baseline"/>
                <w:lang w:val="en-US" w:eastAsia="zh-CN"/>
              </w:rPr>
              <w:t>7</w:t>
            </w:r>
          </w:p>
        </w:tc>
        <w:tc>
          <w:tcPr>
            <w:tcW w:w="1690" w:type="dxa"/>
            <w:noWrap w:val="0"/>
            <w:vAlign w:val="center"/>
          </w:tcPr>
          <w:p w14:paraId="7625510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防护面罩</w:t>
            </w:r>
          </w:p>
        </w:tc>
        <w:tc>
          <w:tcPr>
            <w:tcW w:w="5928" w:type="dxa"/>
            <w:noWrap w:val="0"/>
            <w:vAlign w:val="center"/>
          </w:tcPr>
          <w:p w14:paraId="70663A9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防冲击面屏</w:t>
            </w:r>
          </w:p>
        </w:tc>
        <w:tc>
          <w:tcPr>
            <w:tcW w:w="736" w:type="dxa"/>
            <w:noWrap w:val="0"/>
            <w:vAlign w:val="center"/>
          </w:tcPr>
          <w:p w14:paraId="72AFBD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29110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A2F5EB7">
            <w:pPr>
              <w:jc w:val="center"/>
              <w:rPr>
                <w:highlight w:val="none"/>
              </w:rPr>
            </w:pPr>
          </w:p>
        </w:tc>
        <w:tc>
          <w:tcPr>
            <w:tcW w:w="710" w:type="dxa"/>
            <w:gridSpan w:val="2"/>
            <w:noWrap w:val="0"/>
            <w:vAlign w:val="center"/>
          </w:tcPr>
          <w:p w14:paraId="20C16248">
            <w:pPr>
              <w:jc w:val="both"/>
              <w:rPr>
                <w:highlight w:val="none"/>
                <w:vertAlign w:val="baseline"/>
              </w:rPr>
            </w:pPr>
          </w:p>
        </w:tc>
      </w:tr>
      <w:tr w14:paraId="2491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68C8E5">
            <w:pPr>
              <w:jc w:val="center"/>
              <w:rPr>
                <w:rFonts w:hint="default"/>
                <w:highlight w:val="none"/>
                <w:vertAlign w:val="baseline"/>
                <w:lang w:val="en-US" w:eastAsia="zh-CN"/>
              </w:rPr>
            </w:pPr>
            <w:r>
              <w:rPr>
                <w:rFonts w:hint="eastAsia"/>
                <w:highlight w:val="none"/>
                <w:vertAlign w:val="baseline"/>
                <w:lang w:val="en-US" w:eastAsia="zh-CN"/>
              </w:rPr>
              <w:t>8</w:t>
            </w:r>
          </w:p>
        </w:tc>
        <w:tc>
          <w:tcPr>
            <w:tcW w:w="1690" w:type="dxa"/>
            <w:noWrap w:val="0"/>
            <w:vAlign w:val="center"/>
          </w:tcPr>
          <w:p w14:paraId="33B2E9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乳胶手套</w:t>
            </w:r>
          </w:p>
        </w:tc>
        <w:tc>
          <w:tcPr>
            <w:tcW w:w="5928" w:type="dxa"/>
            <w:noWrap w:val="0"/>
            <w:vAlign w:val="center"/>
          </w:tcPr>
          <w:p w14:paraId="48AAC83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耐酸碱</w:t>
            </w:r>
          </w:p>
        </w:tc>
        <w:tc>
          <w:tcPr>
            <w:tcW w:w="736" w:type="dxa"/>
            <w:noWrap w:val="0"/>
            <w:vAlign w:val="center"/>
          </w:tcPr>
          <w:p w14:paraId="092BDD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w:t>
            </w:r>
          </w:p>
        </w:tc>
        <w:tc>
          <w:tcPr>
            <w:tcW w:w="834" w:type="dxa"/>
            <w:noWrap w:val="0"/>
            <w:vAlign w:val="center"/>
          </w:tcPr>
          <w:p w14:paraId="1DD8B1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3396" w:type="dxa"/>
            <w:gridSpan w:val="2"/>
            <w:noWrap w:val="0"/>
            <w:vAlign w:val="center"/>
          </w:tcPr>
          <w:p w14:paraId="0808876B">
            <w:pPr>
              <w:jc w:val="center"/>
              <w:rPr>
                <w:highlight w:val="none"/>
              </w:rPr>
            </w:pPr>
          </w:p>
        </w:tc>
        <w:tc>
          <w:tcPr>
            <w:tcW w:w="710" w:type="dxa"/>
            <w:gridSpan w:val="2"/>
            <w:noWrap w:val="0"/>
            <w:vAlign w:val="center"/>
          </w:tcPr>
          <w:p w14:paraId="23798DD6">
            <w:pPr>
              <w:jc w:val="both"/>
              <w:rPr>
                <w:highlight w:val="none"/>
                <w:vertAlign w:val="baseline"/>
              </w:rPr>
            </w:pPr>
          </w:p>
        </w:tc>
      </w:tr>
      <w:tr w14:paraId="0DF7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963912">
            <w:pPr>
              <w:jc w:val="center"/>
              <w:rPr>
                <w:rFonts w:hint="default"/>
                <w:highlight w:val="none"/>
                <w:vertAlign w:val="baseline"/>
                <w:lang w:val="en-US" w:eastAsia="zh-CN"/>
              </w:rPr>
            </w:pPr>
            <w:r>
              <w:rPr>
                <w:rFonts w:hint="eastAsia"/>
                <w:highlight w:val="none"/>
                <w:vertAlign w:val="baseline"/>
                <w:lang w:val="en-US" w:eastAsia="zh-CN"/>
              </w:rPr>
              <w:t>9</w:t>
            </w:r>
          </w:p>
        </w:tc>
        <w:tc>
          <w:tcPr>
            <w:tcW w:w="1690" w:type="dxa"/>
            <w:noWrap w:val="0"/>
            <w:vAlign w:val="center"/>
          </w:tcPr>
          <w:p w14:paraId="0DDA29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电冰箱</w:t>
            </w:r>
          </w:p>
        </w:tc>
        <w:tc>
          <w:tcPr>
            <w:tcW w:w="5928" w:type="dxa"/>
            <w:noWrap w:val="0"/>
            <w:vAlign w:val="center"/>
          </w:tcPr>
          <w:p w14:paraId="60FFCF1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≥180 L</w:t>
            </w:r>
          </w:p>
        </w:tc>
        <w:tc>
          <w:tcPr>
            <w:tcW w:w="736" w:type="dxa"/>
            <w:noWrap w:val="0"/>
            <w:vAlign w:val="center"/>
          </w:tcPr>
          <w:p w14:paraId="5438BA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1182FE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4DE0673">
            <w:pPr>
              <w:jc w:val="center"/>
              <w:rPr>
                <w:highlight w:val="none"/>
              </w:rPr>
            </w:pPr>
          </w:p>
        </w:tc>
        <w:tc>
          <w:tcPr>
            <w:tcW w:w="710" w:type="dxa"/>
            <w:gridSpan w:val="2"/>
            <w:noWrap w:val="0"/>
            <w:vAlign w:val="center"/>
          </w:tcPr>
          <w:p w14:paraId="3E474A82">
            <w:pPr>
              <w:jc w:val="both"/>
              <w:rPr>
                <w:highlight w:val="none"/>
                <w:vertAlign w:val="baseline"/>
              </w:rPr>
            </w:pPr>
          </w:p>
        </w:tc>
      </w:tr>
      <w:tr w14:paraId="7DCD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A7EC7B">
            <w:pPr>
              <w:jc w:val="center"/>
              <w:rPr>
                <w:rFonts w:hint="default"/>
                <w:highlight w:val="none"/>
                <w:vertAlign w:val="baseline"/>
                <w:lang w:val="en-US" w:eastAsia="zh-CN"/>
              </w:rPr>
            </w:pPr>
            <w:r>
              <w:rPr>
                <w:rFonts w:hint="eastAsia"/>
                <w:highlight w:val="none"/>
                <w:vertAlign w:val="baseline"/>
                <w:lang w:val="en-US" w:eastAsia="zh-CN"/>
              </w:rPr>
              <w:t>10</w:t>
            </w:r>
          </w:p>
        </w:tc>
        <w:tc>
          <w:tcPr>
            <w:tcW w:w="1690" w:type="dxa"/>
            <w:noWrap w:val="0"/>
            <w:vAlign w:val="center"/>
          </w:tcPr>
          <w:p w14:paraId="50D8ED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微波炉</w:t>
            </w:r>
          </w:p>
        </w:tc>
        <w:tc>
          <w:tcPr>
            <w:tcW w:w="5928" w:type="dxa"/>
            <w:noWrap w:val="0"/>
            <w:vAlign w:val="center"/>
          </w:tcPr>
          <w:p w14:paraId="5338B0D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 L</w:t>
            </w:r>
          </w:p>
        </w:tc>
        <w:tc>
          <w:tcPr>
            <w:tcW w:w="736" w:type="dxa"/>
            <w:noWrap w:val="0"/>
            <w:vAlign w:val="center"/>
          </w:tcPr>
          <w:p w14:paraId="122662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31657B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044FCBC">
            <w:pPr>
              <w:jc w:val="center"/>
              <w:rPr>
                <w:highlight w:val="none"/>
              </w:rPr>
            </w:pPr>
          </w:p>
        </w:tc>
        <w:tc>
          <w:tcPr>
            <w:tcW w:w="710" w:type="dxa"/>
            <w:gridSpan w:val="2"/>
            <w:noWrap w:val="0"/>
            <w:vAlign w:val="center"/>
          </w:tcPr>
          <w:p w14:paraId="61CD99F8">
            <w:pPr>
              <w:jc w:val="both"/>
              <w:rPr>
                <w:highlight w:val="none"/>
                <w:vertAlign w:val="baseline"/>
              </w:rPr>
            </w:pPr>
          </w:p>
        </w:tc>
      </w:tr>
      <w:tr w14:paraId="5BF3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66D0C8">
            <w:pPr>
              <w:jc w:val="center"/>
              <w:rPr>
                <w:rFonts w:hint="default"/>
                <w:highlight w:val="none"/>
                <w:vertAlign w:val="baseline"/>
                <w:lang w:val="en-US" w:eastAsia="zh-CN"/>
              </w:rPr>
            </w:pPr>
            <w:r>
              <w:rPr>
                <w:rFonts w:hint="eastAsia"/>
                <w:highlight w:val="none"/>
                <w:vertAlign w:val="baseline"/>
                <w:lang w:val="en-US" w:eastAsia="zh-CN"/>
              </w:rPr>
              <w:t>11</w:t>
            </w:r>
          </w:p>
        </w:tc>
        <w:tc>
          <w:tcPr>
            <w:tcW w:w="1690" w:type="dxa"/>
            <w:noWrap w:val="0"/>
            <w:vAlign w:val="center"/>
          </w:tcPr>
          <w:p w14:paraId="09ACF7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电磁炉</w:t>
            </w:r>
          </w:p>
        </w:tc>
        <w:tc>
          <w:tcPr>
            <w:tcW w:w="5928" w:type="dxa"/>
            <w:noWrap w:val="0"/>
            <w:vAlign w:val="center"/>
          </w:tcPr>
          <w:p w14:paraId="44C5E98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功率可调，≥1600 W</w:t>
            </w:r>
          </w:p>
        </w:tc>
        <w:tc>
          <w:tcPr>
            <w:tcW w:w="736" w:type="dxa"/>
            <w:noWrap w:val="0"/>
            <w:vAlign w:val="center"/>
          </w:tcPr>
          <w:p w14:paraId="312EBC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89EA2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BB61818">
            <w:pPr>
              <w:jc w:val="center"/>
              <w:rPr>
                <w:highlight w:val="none"/>
              </w:rPr>
            </w:pPr>
          </w:p>
        </w:tc>
        <w:tc>
          <w:tcPr>
            <w:tcW w:w="710" w:type="dxa"/>
            <w:gridSpan w:val="2"/>
            <w:noWrap w:val="0"/>
            <w:vAlign w:val="center"/>
          </w:tcPr>
          <w:p w14:paraId="390208C3">
            <w:pPr>
              <w:jc w:val="both"/>
              <w:rPr>
                <w:highlight w:val="none"/>
                <w:vertAlign w:val="baseline"/>
              </w:rPr>
            </w:pPr>
          </w:p>
        </w:tc>
      </w:tr>
      <w:tr w14:paraId="64A5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8DB023E">
            <w:pPr>
              <w:jc w:val="center"/>
              <w:rPr>
                <w:rFonts w:hint="default"/>
                <w:highlight w:val="none"/>
                <w:vertAlign w:val="baseline"/>
                <w:lang w:val="en-US" w:eastAsia="zh-CN"/>
              </w:rPr>
            </w:pPr>
            <w:r>
              <w:rPr>
                <w:rFonts w:hint="eastAsia"/>
                <w:highlight w:val="none"/>
                <w:vertAlign w:val="baseline"/>
                <w:lang w:val="en-US" w:eastAsia="zh-CN"/>
              </w:rPr>
              <w:t>12</w:t>
            </w:r>
          </w:p>
        </w:tc>
        <w:tc>
          <w:tcPr>
            <w:tcW w:w="1690" w:type="dxa"/>
            <w:noWrap w:val="0"/>
            <w:vAlign w:val="center"/>
          </w:tcPr>
          <w:p w14:paraId="62BE61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恒温水浴锅</w:t>
            </w:r>
          </w:p>
        </w:tc>
        <w:tc>
          <w:tcPr>
            <w:tcW w:w="5928" w:type="dxa"/>
            <w:noWrap w:val="0"/>
            <w:vAlign w:val="center"/>
          </w:tcPr>
          <w:p w14:paraId="7B9C62E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单孔</w:t>
            </w:r>
          </w:p>
        </w:tc>
        <w:tc>
          <w:tcPr>
            <w:tcW w:w="736" w:type="dxa"/>
            <w:noWrap w:val="0"/>
            <w:vAlign w:val="center"/>
          </w:tcPr>
          <w:p w14:paraId="539B17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61BFFB0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33C0D97">
            <w:pPr>
              <w:jc w:val="center"/>
              <w:rPr>
                <w:highlight w:val="none"/>
              </w:rPr>
            </w:pPr>
          </w:p>
        </w:tc>
        <w:tc>
          <w:tcPr>
            <w:tcW w:w="710" w:type="dxa"/>
            <w:gridSpan w:val="2"/>
            <w:noWrap w:val="0"/>
            <w:vAlign w:val="center"/>
          </w:tcPr>
          <w:p w14:paraId="710D83FA">
            <w:pPr>
              <w:jc w:val="both"/>
              <w:rPr>
                <w:highlight w:val="none"/>
                <w:vertAlign w:val="baseline"/>
              </w:rPr>
            </w:pPr>
          </w:p>
        </w:tc>
      </w:tr>
      <w:tr w14:paraId="7AAC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009B5C">
            <w:pPr>
              <w:jc w:val="center"/>
              <w:rPr>
                <w:rFonts w:hint="default"/>
                <w:highlight w:val="none"/>
                <w:vertAlign w:val="baseline"/>
                <w:lang w:val="en-US" w:eastAsia="zh-CN"/>
              </w:rPr>
            </w:pPr>
            <w:r>
              <w:rPr>
                <w:rFonts w:hint="eastAsia"/>
                <w:highlight w:val="none"/>
                <w:vertAlign w:val="baseline"/>
                <w:lang w:val="en-US" w:eastAsia="zh-CN"/>
              </w:rPr>
              <w:t>13</w:t>
            </w:r>
          </w:p>
        </w:tc>
        <w:tc>
          <w:tcPr>
            <w:tcW w:w="1690" w:type="dxa"/>
            <w:noWrap w:val="0"/>
            <w:vAlign w:val="center"/>
          </w:tcPr>
          <w:p w14:paraId="1ECF19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蒸馏水器</w:t>
            </w:r>
          </w:p>
        </w:tc>
        <w:tc>
          <w:tcPr>
            <w:tcW w:w="5928" w:type="dxa"/>
            <w:noWrap w:val="0"/>
            <w:vAlign w:val="center"/>
          </w:tcPr>
          <w:p w14:paraId="259BCC6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 L/h,缺水报警</w:t>
            </w:r>
          </w:p>
        </w:tc>
        <w:tc>
          <w:tcPr>
            <w:tcW w:w="736" w:type="dxa"/>
            <w:noWrap w:val="0"/>
            <w:vAlign w:val="center"/>
          </w:tcPr>
          <w:p w14:paraId="411BA3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6AA6A4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6E532F6">
            <w:pPr>
              <w:jc w:val="center"/>
              <w:rPr>
                <w:highlight w:val="none"/>
              </w:rPr>
            </w:pPr>
          </w:p>
        </w:tc>
        <w:tc>
          <w:tcPr>
            <w:tcW w:w="710" w:type="dxa"/>
            <w:gridSpan w:val="2"/>
            <w:noWrap w:val="0"/>
            <w:vAlign w:val="center"/>
          </w:tcPr>
          <w:p w14:paraId="3233A162">
            <w:pPr>
              <w:jc w:val="both"/>
              <w:rPr>
                <w:highlight w:val="none"/>
                <w:vertAlign w:val="baseline"/>
              </w:rPr>
            </w:pPr>
          </w:p>
        </w:tc>
      </w:tr>
      <w:tr w14:paraId="7471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26A2C30">
            <w:pPr>
              <w:jc w:val="center"/>
              <w:rPr>
                <w:rFonts w:hint="default"/>
                <w:highlight w:val="none"/>
                <w:vertAlign w:val="baseline"/>
                <w:lang w:val="en-US" w:eastAsia="zh-CN"/>
              </w:rPr>
            </w:pPr>
            <w:r>
              <w:rPr>
                <w:rFonts w:hint="eastAsia"/>
                <w:highlight w:val="none"/>
                <w:vertAlign w:val="baseline"/>
                <w:lang w:val="en-US" w:eastAsia="zh-CN"/>
              </w:rPr>
              <w:t>14</w:t>
            </w:r>
          </w:p>
        </w:tc>
        <w:tc>
          <w:tcPr>
            <w:tcW w:w="1690" w:type="dxa"/>
            <w:noWrap w:val="0"/>
            <w:vAlign w:val="center"/>
          </w:tcPr>
          <w:p w14:paraId="3DE8B41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自动果菜榨汁机</w:t>
            </w:r>
          </w:p>
        </w:tc>
        <w:tc>
          <w:tcPr>
            <w:tcW w:w="5928" w:type="dxa"/>
            <w:noWrap w:val="0"/>
            <w:vAlign w:val="center"/>
          </w:tcPr>
          <w:p w14:paraId="7BCE52F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电动≥18000 r/min，≥1.0 L</w:t>
            </w:r>
          </w:p>
        </w:tc>
        <w:tc>
          <w:tcPr>
            <w:tcW w:w="736" w:type="dxa"/>
            <w:noWrap w:val="0"/>
            <w:vAlign w:val="center"/>
          </w:tcPr>
          <w:p w14:paraId="26C381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32D589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A1E3164">
            <w:pPr>
              <w:jc w:val="center"/>
              <w:rPr>
                <w:highlight w:val="none"/>
              </w:rPr>
            </w:pPr>
          </w:p>
        </w:tc>
        <w:tc>
          <w:tcPr>
            <w:tcW w:w="710" w:type="dxa"/>
            <w:gridSpan w:val="2"/>
            <w:noWrap w:val="0"/>
            <w:vAlign w:val="center"/>
          </w:tcPr>
          <w:p w14:paraId="55BAB44C">
            <w:pPr>
              <w:jc w:val="both"/>
              <w:rPr>
                <w:highlight w:val="none"/>
                <w:vertAlign w:val="baseline"/>
              </w:rPr>
            </w:pPr>
          </w:p>
        </w:tc>
      </w:tr>
      <w:tr w14:paraId="7DCB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BBA319">
            <w:pPr>
              <w:jc w:val="center"/>
              <w:rPr>
                <w:rFonts w:hint="default"/>
                <w:highlight w:val="none"/>
                <w:vertAlign w:val="baseline"/>
                <w:lang w:val="en-US" w:eastAsia="zh-CN"/>
              </w:rPr>
            </w:pPr>
            <w:r>
              <w:rPr>
                <w:rFonts w:hint="eastAsia"/>
                <w:highlight w:val="none"/>
                <w:vertAlign w:val="baseline"/>
                <w:lang w:val="en-US" w:eastAsia="zh-CN"/>
              </w:rPr>
              <w:t>15</w:t>
            </w:r>
          </w:p>
        </w:tc>
        <w:tc>
          <w:tcPr>
            <w:tcW w:w="1690" w:type="dxa"/>
            <w:noWrap w:val="0"/>
            <w:vAlign w:val="center"/>
          </w:tcPr>
          <w:p w14:paraId="53FABE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电动离心机</w:t>
            </w:r>
          </w:p>
        </w:tc>
        <w:tc>
          <w:tcPr>
            <w:tcW w:w="5928" w:type="dxa"/>
            <w:noWrap w:val="0"/>
            <w:vAlign w:val="center"/>
          </w:tcPr>
          <w:p w14:paraId="72D19C8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仪器尺寸：235*285*225mm,容量：20ml×6，使用电源220V±22V，50HZ，功率120W。1.产品由主机、控制面板、电机、定时器、离心管架、离心管、电源线等组成。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2.主机机壳采用1.5mm厚钢板制作，离心机上盖口直径不小于φ95mm，孔盖板采用透明塑料制作。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3.控制面板上设有电源开关及指示灯、定时调节旋钮、转速调节旋钮。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4.最高转速：4000r/min，最大相对离心场：1435×g，定时范围：0～60min（或常开）。净重3.3KG，毛重3.8KG。</w:t>
            </w:r>
          </w:p>
        </w:tc>
        <w:tc>
          <w:tcPr>
            <w:tcW w:w="736" w:type="dxa"/>
            <w:noWrap w:val="0"/>
            <w:vAlign w:val="center"/>
          </w:tcPr>
          <w:p w14:paraId="5688F9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5D3BC2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995A6F7">
            <w:pPr>
              <w:jc w:val="center"/>
              <w:rPr>
                <w:highlight w:val="none"/>
              </w:rPr>
            </w:pPr>
          </w:p>
        </w:tc>
        <w:tc>
          <w:tcPr>
            <w:tcW w:w="710" w:type="dxa"/>
            <w:gridSpan w:val="2"/>
            <w:noWrap w:val="0"/>
            <w:vAlign w:val="center"/>
          </w:tcPr>
          <w:p w14:paraId="77BA24B4">
            <w:pPr>
              <w:jc w:val="both"/>
              <w:rPr>
                <w:highlight w:val="none"/>
                <w:vertAlign w:val="baseline"/>
              </w:rPr>
            </w:pPr>
          </w:p>
        </w:tc>
      </w:tr>
      <w:tr w14:paraId="0EDA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5AB057">
            <w:pPr>
              <w:jc w:val="center"/>
              <w:rPr>
                <w:rFonts w:hint="default"/>
                <w:highlight w:val="none"/>
                <w:vertAlign w:val="baseline"/>
                <w:lang w:val="en-US" w:eastAsia="zh-CN"/>
              </w:rPr>
            </w:pPr>
            <w:r>
              <w:rPr>
                <w:rFonts w:hint="eastAsia"/>
                <w:highlight w:val="none"/>
                <w:vertAlign w:val="baseline"/>
                <w:lang w:val="en-US" w:eastAsia="zh-CN"/>
              </w:rPr>
              <w:t>16</w:t>
            </w:r>
          </w:p>
        </w:tc>
        <w:tc>
          <w:tcPr>
            <w:tcW w:w="1690" w:type="dxa"/>
            <w:noWrap w:val="0"/>
            <w:vAlign w:val="center"/>
          </w:tcPr>
          <w:p w14:paraId="171C2D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全金属大功率塑封机</w:t>
            </w:r>
          </w:p>
        </w:tc>
        <w:tc>
          <w:tcPr>
            <w:tcW w:w="5928" w:type="dxa"/>
            <w:noWrap w:val="0"/>
            <w:vAlign w:val="center"/>
          </w:tcPr>
          <w:p w14:paraId="28BEB75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冷裱/热裱功能，多档位温度</w:t>
            </w:r>
          </w:p>
        </w:tc>
        <w:tc>
          <w:tcPr>
            <w:tcW w:w="736" w:type="dxa"/>
            <w:noWrap w:val="0"/>
            <w:vAlign w:val="center"/>
          </w:tcPr>
          <w:p w14:paraId="10C412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3A5272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1044E70">
            <w:pPr>
              <w:jc w:val="center"/>
              <w:rPr>
                <w:highlight w:val="none"/>
              </w:rPr>
            </w:pPr>
          </w:p>
        </w:tc>
        <w:tc>
          <w:tcPr>
            <w:tcW w:w="710" w:type="dxa"/>
            <w:gridSpan w:val="2"/>
            <w:noWrap w:val="0"/>
            <w:vAlign w:val="center"/>
          </w:tcPr>
          <w:p w14:paraId="1D0D8A2D">
            <w:pPr>
              <w:jc w:val="both"/>
              <w:rPr>
                <w:highlight w:val="none"/>
                <w:vertAlign w:val="baseline"/>
              </w:rPr>
            </w:pPr>
          </w:p>
        </w:tc>
      </w:tr>
      <w:tr w14:paraId="0BD9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24B23E1">
            <w:pPr>
              <w:jc w:val="center"/>
              <w:rPr>
                <w:rFonts w:hint="default"/>
                <w:highlight w:val="none"/>
                <w:vertAlign w:val="baseline"/>
                <w:lang w:val="en-US" w:eastAsia="zh-CN"/>
              </w:rPr>
            </w:pPr>
            <w:r>
              <w:rPr>
                <w:rFonts w:hint="eastAsia"/>
                <w:highlight w:val="none"/>
                <w:vertAlign w:val="baseline"/>
                <w:lang w:val="en-US" w:eastAsia="zh-CN"/>
              </w:rPr>
              <w:t>17</w:t>
            </w:r>
          </w:p>
        </w:tc>
        <w:tc>
          <w:tcPr>
            <w:tcW w:w="1690" w:type="dxa"/>
            <w:noWrap w:val="0"/>
            <w:vAlign w:val="center"/>
          </w:tcPr>
          <w:p w14:paraId="41D8BBC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烘干箱</w:t>
            </w:r>
          </w:p>
        </w:tc>
        <w:tc>
          <w:tcPr>
            <w:tcW w:w="5928" w:type="dxa"/>
            <w:noWrap w:val="0"/>
            <w:vAlign w:val="center"/>
          </w:tcPr>
          <w:p w14:paraId="1777296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电热鼓风型，功率≥600 W</w:t>
            </w:r>
          </w:p>
        </w:tc>
        <w:tc>
          <w:tcPr>
            <w:tcW w:w="736" w:type="dxa"/>
            <w:noWrap w:val="0"/>
            <w:vAlign w:val="center"/>
          </w:tcPr>
          <w:p w14:paraId="6C577A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7FF161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68656AA">
            <w:pPr>
              <w:jc w:val="center"/>
              <w:rPr>
                <w:highlight w:val="none"/>
              </w:rPr>
            </w:pPr>
          </w:p>
        </w:tc>
        <w:tc>
          <w:tcPr>
            <w:tcW w:w="710" w:type="dxa"/>
            <w:gridSpan w:val="2"/>
            <w:noWrap w:val="0"/>
            <w:vAlign w:val="center"/>
          </w:tcPr>
          <w:p w14:paraId="50391EE2">
            <w:pPr>
              <w:jc w:val="both"/>
              <w:rPr>
                <w:highlight w:val="none"/>
                <w:vertAlign w:val="baseline"/>
              </w:rPr>
            </w:pPr>
          </w:p>
        </w:tc>
      </w:tr>
      <w:tr w14:paraId="1568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CE8A61">
            <w:pPr>
              <w:jc w:val="center"/>
              <w:rPr>
                <w:rFonts w:hint="default"/>
                <w:highlight w:val="none"/>
                <w:vertAlign w:val="baseline"/>
                <w:lang w:val="en-US" w:eastAsia="zh-CN"/>
              </w:rPr>
            </w:pPr>
            <w:r>
              <w:rPr>
                <w:rFonts w:hint="eastAsia"/>
                <w:highlight w:val="none"/>
                <w:vertAlign w:val="baseline"/>
                <w:lang w:val="en-US" w:eastAsia="zh-CN"/>
              </w:rPr>
              <w:t>18</w:t>
            </w:r>
          </w:p>
        </w:tc>
        <w:tc>
          <w:tcPr>
            <w:tcW w:w="1690" w:type="dxa"/>
            <w:noWrap w:val="0"/>
            <w:vAlign w:val="center"/>
          </w:tcPr>
          <w:p w14:paraId="61C7A6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高压灭菌锅</w:t>
            </w:r>
          </w:p>
        </w:tc>
        <w:tc>
          <w:tcPr>
            <w:tcW w:w="5928" w:type="dxa"/>
            <w:noWrap w:val="0"/>
            <w:vAlign w:val="center"/>
          </w:tcPr>
          <w:p w14:paraId="441F8DE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 L，立式，全自动，有超高温、超高压自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动保护设置</w:t>
            </w:r>
          </w:p>
        </w:tc>
        <w:tc>
          <w:tcPr>
            <w:tcW w:w="736" w:type="dxa"/>
            <w:noWrap w:val="0"/>
            <w:vAlign w:val="center"/>
          </w:tcPr>
          <w:p w14:paraId="595B51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5757DC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9BA593E">
            <w:pPr>
              <w:jc w:val="center"/>
              <w:rPr>
                <w:highlight w:val="none"/>
              </w:rPr>
            </w:pPr>
          </w:p>
        </w:tc>
        <w:tc>
          <w:tcPr>
            <w:tcW w:w="710" w:type="dxa"/>
            <w:gridSpan w:val="2"/>
            <w:noWrap w:val="0"/>
            <w:vAlign w:val="center"/>
          </w:tcPr>
          <w:p w14:paraId="10FE9ECA">
            <w:pPr>
              <w:jc w:val="both"/>
              <w:rPr>
                <w:highlight w:val="none"/>
                <w:vertAlign w:val="baseline"/>
              </w:rPr>
            </w:pPr>
          </w:p>
        </w:tc>
      </w:tr>
      <w:tr w14:paraId="39C1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CC7771">
            <w:pPr>
              <w:jc w:val="center"/>
              <w:rPr>
                <w:rFonts w:hint="default"/>
                <w:highlight w:val="none"/>
                <w:vertAlign w:val="baseline"/>
                <w:lang w:val="en-US" w:eastAsia="zh-CN"/>
              </w:rPr>
            </w:pPr>
            <w:r>
              <w:rPr>
                <w:rFonts w:hint="eastAsia"/>
                <w:highlight w:val="none"/>
                <w:vertAlign w:val="baseline"/>
                <w:lang w:val="en-US" w:eastAsia="zh-CN"/>
              </w:rPr>
              <w:t>19</w:t>
            </w:r>
          </w:p>
        </w:tc>
        <w:tc>
          <w:tcPr>
            <w:tcW w:w="1690" w:type="dxa"/>
            <w:noWrap w:val="0"/>
            <w:vAlign w:val="center"/>
          </w:tcPr>
          <w:p w14:paraId="2F7FA4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超净工作台</w:t>
            </w:r>
          </w:p>
        </w:tc>
        <w:tc>
          <w:tcPr>
            <w:tcW w:w="5928" w:type="dxa"/>
            <w:noWrap w:val="0"/>
            <w:vAlign w:val="center"/>
          </w:tcPr>
          <w:p w14:paraId="521F85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单人单面，不锈钢，可调风机系统，尺寸：80*50*160cm</w:t>
            </w:r>
          </w:p>
        </w:tc>
        <w:tc>
          <w:tcPr>
            <w:tcW w:w="736" w:type="dxa"/>
            <w:noWrap w:val="0"/>
            <w:vAlign w:val="center"/>
          </w:tcPr>
          <w:p w14:paraId="435B3A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64051F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DAC5EC">
            <w:pPr>
              <w:jc w:val="center"/>
              <w:rPr>
                <w:highlight w:val="none"/>
              </w:rPr>
            </w:pPr>
          </w:p>
        </w:tc>
        <w:tc>
          <w:tcPr>
            <w:tcW w:w="710" w:type="dxa"/>
            <w:gridSpan w:val="2"/>
            <w:noWrap w:val="0"/>
            <w:vAlign w:val="center"/>
          </w:tcPr>
          <w:p w14:paraId="7FA96FF2">
            <w:pPr>
              <w:jc w:val="both"/>
              <w:rPr>
                <w:highlight w:val="none"/>
                <w:vertAlign w:val="baseline"/>
              </w:rPr>
            </w:pPr>
          </w:p>
        </w:tc>
      </w:tr>
      <w:tr w14:paraId="1050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157E46">
            <w:pPr>
              <w:jc w:val="center"/>
              <w:rPr>
                <w:rFonts w:hint="default"/>
                <w:highlight w:val="none"/>
                <w:vertAlign w:val="baseline"/>
                <w:lang w:val="en-US" w:eastAsia="zh-CN"/>
              </w:rPr>
            </w:pPr>
            <w:r>
              <w:rPr>
                <w:rFonts w:hint="eastAsia"/>
                <w:highlight w:val="none"/>
                <w:vertAlign w:val="baseline"/>
                <w:lang w:val="en-US" w:eastAsia="zh-CN"/>
              </w:rPr>
              <w:t>20</w:t>
            </w:r>
          </w:p>
        </w:tc>
        <w:tc>
          <w:tcPr>
            <w:tcW w:w="1690" w:type="dxa"/>
            <w:noWrap w:val="0"/>
            <w:vAlign w:val="center"/>
          </w:tcPr>
          <w:p w14:paraId="79074E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恒温箱</w:t>
            </w:r>
          </w:p>
        </w:tc>
        <w:tc>
          <w:tcPr>
            <w:tcW w:w="5928" w:type="dxa"/>
            <w:noWrap w:val="0"/>
            <w:vAlign w:val="center"/>
          </w:tcPr>
          <w:p w14:paraId="537E09F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≥80L</w:t>
            </w:r>
          </w:p>
        </w:tc>
        <w:tc>
          <w:tcPr>
            <w:tcW w:w="736" w:type="dxa"/>
            <w:noWrap w:val="0"/>
            <w:vAlign w:val="center"/>
          </w:tcPr>
          <w:p w14:paraId="58B868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3E2EFD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4172CE0">
            <w:pPr>
              <w:jc w:val="center"/>
              <w:rPr>
                <w:highlight w:val="none"/>
              </w:rPr>
            </w:pPr>
          </w:p>
        </w:tc>
        <w:tc>
          <w:tcPr>
            <w:tcW w:w="710" w:type="dxa"/>
            <w:gridSpan w:val="2"/>
            <w:noWrap w:val="0"/>
            <w:vAlign w:val="center"/>
          </w:tcPr>
          <w:p w14:paraId="4F988389">
            <w:pPr>
              <w:jc w:val="both"/>
              <w:rPr>
                <w:highlight w:val="none"/>
                <w:vertAlign w:val="baseline"/>
              </w:rPr>
            </w:pPr>
          </w:p>
        </w:tc>
      </w:tr>
      <w:tr w14:paraId="147A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8E5F24B">
            <w:pPr>
              <w:jc w:val="center"/>
              <w:rPr>
                <w:rFonts w:hint="default"/>
                <w:highlight w:val="none"/>
                <w:vertAlign w:val="baseline"/>
                <w:lang w:val="en-US" w:eastAsia="zh-CN"/>
              </w:rPr>
            </w:pPr>
            <w:r>
              <w:rPr>
                <w:rFonts w:hint="eastAsia"/>
                <w:highlight w:val="none"/>
                <w:vertAlign w:val="baseline"/>
                <w:lang w:val="en-US" w:eastAsia="zh-CN"/>
              </w:rPr>
              <w:t>21</w:t>
            </w:r>
          </w:p>
        </w:tc>
        <w:tc>
          <w:tcPr>
            <w:tcW w:w="1690" w:type="dxa"/>
            <w:noWrap w:val="0"/>
            <w:vAlign w:val="center"/>
          </w:tcPr>
          <w:p w14:paraId="74F939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光照培养箱</w:t>
            </w:r>
          </w:p>
        </w:tc>
        <w:tc>
          <w:tcPr>
            <w:tcW w:w="5928" w:type="dxa"/>
            <w:noWrap w:val="0"/>
            <w:vAlign w:val="center"/>
          </w:tcPr>
          <w:p w14:paraId="18A89CB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≥150L</w:t>
            </w:r>
          </w:p>
        </w:tc>
        <w:tc>
          <w:tcPr>
            <w:tcW w:w="736" w:type="dxa"/>
            <w:noWrap w:val="0"/>
            <w:vAlign w:val="center"/>
          </w:tcPr>
          <w:p w14:paraId="36751A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189E8D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DCDCB0D">
            <w:pPr>
              <w:jc w:val="center"/>
              <w:rPr>
                <w:highlight w:val="none"/>
              </w:rPr>
            </w:pPr>
          </w:p>
        </w:tc>
        <w:tc>
          <w:tcPr>
            <w:tcW w:w="710" w:type="dxa"/>
            <w:gridSpan w:val="2"/>
            <w:noWrap w:val="0"/>
            <w:vAlign w:val="center"/>
          </w:tcPr>
          <w:p w14:paraId="479D88C6">
            <w:pPr>
              <w:jc w:val="both"/>
              <w:rPr>
                <w:highlight w:val="none"/>
                <w:vertAlign w:val="baseline"/>
              </w:rPr>
            </w:pPr>
          </w:p>
        </w:tc>
      </w:tr>
      <w:tr w14:paraId="38E2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43B755">
            <w:pPr>
              <w:jc w:val="center"/>
              <w:rPr>
                <w:rFonts w:hint="default"/>
                <w:highlight w:val="none"/>
                <w:vertAlign w:val="baseline"/>
                <w:lang w:val="en-US" w:eastAsia="zh-CN"/>
              </w:rPr>
            </w:pPr>
            <w:r>
              <w:rPr>
                <w:rFonts w:hint="eastAsia"/>
                <w:highlight w:val="none"/>
                <w:vertAlign w:val="baseline"/>
                <w:lang w:val="en-US" w:eastAsia="zh-CN"/>
              </w:rPr>
              <w:t>22</w:t>
            </w:r>
          </w:p>
        </w:tc>
        <w:tc>
          <w:tcPr>
            <w:tcW w:w="1690" w:type="dxa"/>
            <w:noWrap w:val="0"/>
            <w:vAlign w:val="center"/>
          </w:tcPr>
          <w:p w14:paraId="323654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光照培养架</w:t>
            </w:r>
          </w:p>
        </w:tc>
        <w:tc>
          <w:tcPr>
            <w:tcW w:w="5928" w:type="dxa"/>
            <w:noWrap w:val="0"/>
            <w:vAlign w:val="center"/>
          </w:tcPr>
          <w:p w14:paraId="51A8C77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多层</w:t>
            </w:r>
          </w:p>
        </w:tc>
        <w:tc>
          <w:tcPr>
            <w:tcW w:w="736" w:type="dxa"/>
            <w:noWrap w:val="0"/>
            <w:vAlign w:val="center"/>
          </w:tcPr>
          <w:p w14:paraId="21BDF5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247CA9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1CB0187">
            <w:pPr>
              <w:jc w:val="center"/>
              <w:rPr>
                <w:highlight w:val="none"/>
              </w:rPr>
            </w:pPr>
          </w:p>
        </w:tc>
        <w:tc>
          <w:tcPr>
            <w:tcW w:w="710" w:type="dxa"/>
            <w:gridSpan w:val="2"/>
            <w:noWrap w:val="0"/>
            <w:vAlign w:val="center"/>
          </w:tcPr>
          <w:p w14:paraId="52B90632">
            <w:pPr>
              <w:jc w:val="both"/>
              <w:rPr>
                <w:highlight w:val="none"/>
                <w:vertAlign w:val="baseline"/>
              </w:rPr>
            </w:pPr>
          </w:p>
        </w:tc>
      </w:tr>
      <w:tr w14:paraId="6613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756C38">
            <w:pPr>
              <w:jc w:val="center"/>
              <w:rPr>
                <w:rFonts w:hint="default"/>
                <w:highlight w:val="none"/>
                <w:vertAlign w:val="baseline"/>
                <w:lang w:val="en-US" w:eastAsia="zh-CN"/>
              </w:rPr>
            </w:pPr>
            <w:r>
              <w:rPr>
                <w:rFonts w:hint="eastAsia"/>
                <w:highlight w:val="none"/>
                <w:vertAlign w:val="baseline"/>
                <w:lang w:val="en-US" w:eastAsia="zh-CN"/>
              </w:rPr>
              <w:t>23</w:t>
            </w:r>
          </w:p>
        </w:tc>
        <w:tc>
          <w:tcPr>
            <w:tcW w:w="1690" w:type="dxa"/>
            <w:noWrap w:val="0"/>
            <w:vAlign w:val="center"/>
          </w:tcPr>
          <w:p w14:paraId="1EAD59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小型无土栽培智能装置</w:t>
            </w:r>
          </w:p>
        </w:tc>
        <w:tc>
          <w:tcPr>
            <w:tcW w:w="5928" w:type="dxa"/>
            <w:noWrap w:val="0"/>
            <w:vAlign w:val="center"/>
          </w:tcPr>
          <w:p w14:paraId="556F244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智能型12孔</w:t>
            </w:r>
          </w:p>
        </w:tc>
        <w:tc>
          <w:tcPr>
            <w:tcW w:w="736" w:type="dxa"/>
            <w:noWrap w:val="0"/>
            <w:vAlign w:val="center"/>
          </w:tcPr>
          <w:p w14:paraId="00132A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687F01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476552C">
            <w:pPr>
              <w:jc w:val="center"/>
              <w:rPr>
                <w:highlight w:val="none"/>
              </w:rPr>
            </w:pPr>
          </w:p>
        </w:tc>
        <w:tc>
          <w:tcPr>
            <w:tcW w:w="710" w:type="dxa"/>
            <w:gridSpan w:val="2"/>
            <w:noWrap w:val="0"/>
            <w:vAlign w:val="center"/>
          </w:tcPr>
          <w:p w14:paraId="5D5D1D7E">
            <w:pPr>
              <w:jc w:val="both"/>
              <w:rPr>
                <w:highlight w:val="none"/>
                <w:vertAlign w:val="baseline"/>
              </w:rPr>
            </w:pPr>
          </w:p>
        </w:tc>
      </w:tr>
      <w:tr w14:paraId="32C8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205AA5">
            <w:pPr>
              <w:jc w:val="center"/>
              <w:rPr>
                <w:rFonts w:hint="default"/>
                <w:highlight w:val="none"/>
                <w:vertAlign w:val="baseline"/>
                <w:lang w:val="en-US" w:eastAsia="zh-CN"/>
              </w:rPr>
            </w:pPr>
            <w:r>
              <w:rPr>
                <w:rFonts w:hint="eastAsia"/>
                <w:highlight w:val="none"/>
                <w:vertAlign w:val="baseline"/>
                <w:lang w:val="en-US" w:eastAsia="zh-CN"/>
              </w:rPr>
              <w:t>24</w:t>
            </w:r>
          </w:p>
        </w:tc>
        <w:tc>
          <w:tcPr>
            <w:tcW w:w="1690" w:type="dxa"/>
            <w:noWrap w:val="0"/>
            <w:vAlign w:val="center"/>
          </w:tcPr>
          <w:p w14:paraId="41EEDB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孵化器</w:t>
            </w:r>
          </w:p>
        </w:tc>
        <w:tc>
          <w:tcPr>
            <w:tcW w:w="5928" w:type="dxa"/>
            <w:noWrap w:val="0"/>
            <w:vAlign w:val="center"/>
          </w:tcPr>
          <w:p w14:paraId="2FB636B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可自动控温、控湿</w:t>
            </w:r>
          </w:p>
        </w:tc>
        <w:tc>
          <w:tcPr>
            <w:tcW w:w="736" w:type="dxa"/>
            <w:noWrap w:val="0"/>
            <w:vAlign w:val="center"/>
          </w:tcPr>
          <w:p w14:paraId="34AEC5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6F70A6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BAED98F">
            <w:pPr>
              <w:jc w:val="center"/>
              <w:rPr>
                <w:highlight w:val="none"/>
              </w:rPr>
            </w:pPr>
          </w:p>
        </w:tc>
        <w:tc>
          <w:tcPr>
            <w:tcW w:w="710" w:type="dxa"/>
            <w:gridSpan w:val="2"/>
            <w:noWrap w:val="0"/>
            <w:vAlign w:val="center"/>
          </w:tcPr>
          <w:p w14:paraId="318AFF2B">
            <w:pPr>
              <w:jc w:val="both"/>
              <w:rPr>
                <w:highlight w:val="none"/>
                <w:vertAlign w:val="baseline"/>
              </w:rPr>
            </w:pPr>
          </w:p>
        </w:tc>
      </w:tr>
      <w:tr w14:paraId="00DB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7677D9">
            <w:pPr>
              <w:jc w:val="center"/>
              <w:rPr>
                <w:rFonts w:hint="default"/>
                <w:highlight w:val="none"/>
                <w:vertAlign w:val="baseline"/>
                <w:lang w:val="en-US" w:eastAsia="zh-CN"/>
              </w:rPr>
            </w:pPr>
            <w:r>
              <w:rPr>
                <w:rFonts w:hint="eastAsia"/>
                <w:highlight w:val="none"/>
                <w:vertAlign w:val="baseline"/>
                <w:lang w:val="en-US" w:eastAsia="zh-CN"/>
              </w:rPr>
              <w:t>25</w:t>
            </w:r>
          </w:p>
        </w:tc>
        <w:tc>
          <w:tcPr>
            <w:tcW w:w="1690" w:type="dxa"/>
            <w:noWrap w:val="0"/>
            <w:vAlign w:val="center"/>
          </w:tcPr>
          <w:p w14:paraId="29AEE1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水族箱</w:t>
            </w:r>
          </w:p>
        </w:tc>
        <w:tc>
          <w:tcPr>
            <w:tcW w:w="5928" w:type="dxa"/>
            <w:noWrap w:val="0"/>
            <w:vAlign w:val="center"/>
          </w:tcPr>
          <w:p w14:paraId="19E5ED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 L</w:t>
            </w:r>
          </w:p>
        </w:tc>
        <w:tc>
          <w:tcPr>
            <w:tcW w:w="736" w:type="dxa"/>
            <w:noWrap w:val="0"/>
            <w:vAlign w:val="center"/>
          </w:tcPr>
          <w:p w14:paraId="669020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61E067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0544E52">
            <w:pPr>
              <w:jc w:val="center"/>
              <w:rPr>
                <w:highlight w:val="none"/>
              </w:rPr>
            </w:pPr>
          </w:p>
        </w:tc>
        <w:tc>
          <w:tcPr>
            <w:tcW w:w="710" w:type="dxa"/>
            <w:gridSpan w:val="2"/>
            <w:noWrap w:val="0"/>
            <w:vAlign w:val="center"/>
          </w:tcPr>
          <w:p w14:paraId="0FBEFBA7">
            <w:pPr>
              <w:jc w:val="both"/>
              <w:rPr>
                <w:highlight w:val="none"/>
                <w:vertAlign w:val="baseline"/>
              </w:rPr>
            </w:pPr>
          </w:p>
        </w:tc>
      </w:tr>
      <w:tr w14:paraId="3CDF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77F062">
            <w:pPr>
              <w:jc w:val="center"/>
              <w:rPr>
                <w:rFonts w:hint="default"/>
                <w:highlight w:val="none"/>
                <w:vertAlign w:val="baseline"/>
                <w:lang w:val="en-US" w:eastAsia="zh-CN"/>
              </w:rPr>
            </w:pPr>
            <w:r>
              <w:rPr>
                <w:rFonts w:hint="eastAsia"/>
                <w:highlight w:val="none"/>
                <w:vertAlign w:val="baseline"/>
                <w:lang w:val="en-US" w:eastAsia="zh-CN"/>
              </w:rPr>
              <w:t>26</w:t>
            </w:r>
          </w:p>
        </w:tc>
        <w:tc>
          <w:tcPr>
            <w:tcW w:w="1690" w:type="dxa"/>
            <w:noWrap w:val="0"/>
            <w:vAlign w:val="center"/>
          </w:tcPr>
          <w:p w14:paraId="1C5FA9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磁力加热搅拌器</w:t>
            </w:r>
          </w:p>
        </w:tc>
        <w:tc>
          <w:tcPr>
            <w:tcW w:w="5928" w:type="dxa"/>
            <w:noWrap w:val="0"/>
            <w:vAlign w:val="center"/>
          </w:tcPr>
          <w:p w14:paraId="0EA562B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容量：20mL～3000mL，转速：0r/min～1200r/min，无级调速</w:t>
            </w:r>
          </w:p>
        </w:tc>
        <w:tc>
          <w:tcPr>
            <w:tcW w:w="736" w:type="dxa"/>
            <w:noWrap w:val="0"/>
            <w:vAlign w:val="center"/>
          </w:tcPr>
          <w:p w14:paraId="49B37E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2932728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4183764">
            <w:pPr>
              <w:jc w:val="center"/>
              <w:rPr>
                <w:highlight w:val="none"/>
              </w:rPr>
            </w:pPr>
          </w:p>
        </w:tc>
        <w:tc>
          <w:tcPr>
            <w:tcW w:w="710" w:type="dxa"/>
            <w:gridSpan w:val="2"/>
            <w:noWrap w:val="0"/>
            <w:vAlign w:val="center"/>
          </w:tcPr>
          <w:p w14:paraId="1469AF64">
            <w:pPr>
              <w:jc w:val="both"/>
              <w:rPr>
                <w:highlight w:val="none"/>
                <w:vertAlign w:val="baseline"/>
              </w:rPr>
            </w:pPr>
          </w:p>
        </w:tc>
      </w:tr>
      <w:tr w14:paraId="59C7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13B28C7">
            <w:pPr>
              <w:jc w:val="center"/>
              <w:rPr>
                <w:rFonts w:hint="default"/>
                <w:highlight w:val="none"/>
                <w:vertAlign w:val="baseline"/>
                <w:lang w:val="en-US" w:eastAsia="zh-CN"/>
              </w:rPr>
            </w:pPr>
            <w:r>
              <w:rPr>
                <w:rFonts w:hint="eastAsia"/>
                <w:highlight w:val="none"/>
                <w:vertAlign w:val="baseline"/>
                <w:lang w:val="en-US" w:eastAsia="zh-CN"/>
              </w:rPr>
              <w:t>27</w:t>
            </w:r>
          </w:p>
        </w:tc>
        <w:tc>
          <w:tcPr>
            <w:tcW w:w="1690" w:type="dxa"/>
            <w:noWrap w:val="0"/>
            <w:vAlign w:val="center"/>
          </w:tcPr>
          <w:p w14:paraId="40862E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超声波清洗机</w:t>
            </w:r>
          </w:p>
        </w:tc>
        <w:tc>
          <w:tcPr>
            <w:tcW w:w="5928" w:type="dxa"/>
            <w:noWrap w:val="0"/>
            <w:vAlign w:val="center"/>
          </w:tcPr>
          <w:p w14:paraId="10FA228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 L～30 L</w:t>
            </w:r>
          </w:p>
        </w:tc>
        <w:tc>
          <w:tcPr>
            <w:tcW w:w="736" w:type="dxa"/>
            <w:noWrap w:val="0"/>
            <w:vAlign w:val="center"/>
          </w:tcPr>
          <w:p w14:paraId="33113D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136C48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05FB5C3">
            <w:pPr>
              <w:jc w:val="center"/>
              <w:rPr>
                <w:highlight w:val="none"/>
              </w:rPr>
            </w:pPr>
          </w:p>
        </w:tc>
        <w:tc>
          <w:tcPr>
            <w:tcW w:w="710" w:type="dxa"/>
            <w:gridSpan w:val="2"/>
            <w:noWrap w:val="0"/>
            <w:vAlign w:val="center"/>
          </w:tcPr>
          <w:p w14:paraId="587F8063">
            <w:pPr>
              <w:jc w:val="both"/>
              <w:rPr>
                <w:highlight w:val="none"/>
                <w:vertAlign w:val="baseline"/>
              </w:rPr>
            </w:pPr>
          </w:p>
        </w:tc>
      </w:tr>
      <w:tr w14:paraId="4224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869A0BC">
            <w:pPr>
              <w:jc w:val="center"/>
              <w:rPr>
                <w:rFonts w:hint="default"/>
                <w:highlight w:val="none"/>
                <w:vertAlign w:val="baseline"/>
                <w:lang w:val="en-US" w:eastAsia="zh-CN"/>
              </w:rPr>
            </w:pPr>
            <w:r>
              <w:rPr>
                <w:rFonts w:hint="eastAsia"/>
                <w:highlight w:val="none"/>
                <w:vertAlign w:val="baseline"/>
                <w:lang w:val="en-US" w:eastAsia="zh-CN"/>
              </w:rPr>
              <w:t>28</w:t>
            </w:r>
          </w:p>
        </w:tc>
        <w:tc>
          <w:tcPr>
            <w:tcW w:w="1690" w:type="dxa"/>
            <w:noWrap w:val="0"/>
            <w:vAlign w:val="center"/>
          </w:tcPr>
          <w:p w14:paraId="3CB334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酸度计</w:t>
            </w:r>
          </w:p>
        </w:tc>
        <w:tc>
          <w:tcPr>
            <w:tcW w:w="5928" w:type="dxa"/>
            <w:noWrap w:val="0"/>
            <w:vAlign w:val="center"/>
          </w:tcPr>
          <w:p w14:paraId="561C88D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笔式，pH 测量范围 0～14</w:t>
            </w:r>
          </w:p>
        </w:tc>
        <w:tc>
          <w:tcPr>
            <w:tcW w:w="736" w:type="dxa"/>
            <w:noWrap w:val="0"/>
            <w:vAlign w:val="center"/>
          </w:tcPr>
          <w:p w14:paraId="31EA12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057C44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25D39E8">
            <w:pPr>
              <w:jc w:val="center"/>
              <w:rPr>
                <w:highlight w:val="none"/>
              </w:rPr>
            </w:pPr>
          </w:p>
        </w:tc>
        <w:tc>
          <w:tcPr>
            <w:tcW w:w="710" w:type="dxa"/>
            <w:gridSpan w:val="2"/>
            <w:noWrap w:val="0"/>
            <w:vAlign w:val="center"/>
          </w:tcPr>
          <w:p w14:paraId="0F516A0B">
            <w:pPr>
              <w:jc w:val="both"/>
              <w:rPr>
                <w:highlight w:val="none"/>
                <w:vertAlign w:val="baseline"/>
              </w:rPr>
            </w:pPr>
          </w:p>
        </w:tc>
      </w:tr>
      <w:tr w14:paraId="2C1D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A4153D">
            <w:pPr>
              <w:jc w:val="center"/>
              <w:rPr>
                <w:rFonts w:hint="default"/>
                <w:highlight w:val="none"/>
                <w:vertAlign w:val="baseline"/>
                <w:lang w:val="en-US" w:eastAsia="zh-CN"/>
              </w:rPr>
            </w:pPr>
            <w:r>
              <w:rPr>
                <w:rFonts w:hint="eastAsia"/>
                <w:highlight w:val="none"/>
                <w:vertAlign w:val="baseline"/>
                <w:lang w:val="en-US" w:eastAsia="zh-CN"/>
              </w:rPr>
              <w:t>29</w:t>
            </w:r>
          </w:p>
        </w:tc>
        <w:tc>
          <w:tcPr>
            <w:tcW w:w="1690" w:type="dxa"/>
            <w:noWrap w:val="0"/>
            <w:vAlign w:val="center"/>
          </w:tcPr>
          <w:p w14:paraId="1D3467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仪器车</w:t>
            </w:r>
          </w:p>
        </w:tc>
        <w:tc>
          <w:tcPr>
            <w:tcW w:w="5928" w:type="dxa"/>
            <w:noWrap w:val="0"/>
            <w:vAlign w:val="center"/>
          </w:tcPr>
          <w:p w14:paraId="3CDC851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不锈钢，带护栏</w:t>
            </w:r>
          </w:p>
        </w:tc>
        <w:tc>
          <w:tcPr>
            <w:tcW w:w="736" w:type="dxa"/>
            <w:noWrap w:val="0"/>
            <w:vAlign w:val="center"/>
          </w:tcPr>
          <w:p w14:paraId="6C33E3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辆</w:t>
            </w:r>
          </w:p>
        </w:tc>
        <w:tc>
          <w:tcPr>
            <w:tcW w:w="834" w:type="dxa"/>
            <w:noWrap w:val="0"/>
            <w:vAlign w:val="center"/>
          </w:tcPr>
          <w:p w14:paraId="1162E0F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A147D4">
            <w:pPr>
              <w:jc w:val="center"/>
              <w:rPr>
                <w:highlight w:val="none"/>
              </w:rPr>
            </w:pPr>
          </w:p>
        </w:tc>
        <w:tc>
          <w:tcPr>
            <w:tcW w:w="710" w:type="dxa"/>
            <w:gridSpan w:val="2"/>
            <w:noWrap w:val="0"/>
            <w:vAlign w:val="center"/>
          </w:tcPr>
          <w:p w14:paraId="0BBB65A1">
            <w:pPr>
              <w:jc w:val="both"/>
              <w:rPr>
                <w:highlight w:val="none"/>
                <w:vertAlign w:val="baseline"/>
              </w:rPr>
            </w:pPr>
          </w:p>
        </w:tc>
      </w:tr>
      <w:tr w14:paraId="0ABF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E029BC">
            <w:pPr>
              <w:jc w:val="center"/>
              <w:rPr>
                <w:rFonts w:hint="default"/>
                <w:highlight w:val="none"/>
                <w:vertAlign w:val="baseline"/>
                <w:lang w:val="en-US" w:eastAsia="zh-CN"/>
              </w:rPr>
            </w:pPr>
            <w:r>
              <w:rPr>
                <w:rFonts w:hint="eastAsia"/>
                <w:highlight w:val="none"/>
                <w:vertAlign w:val="baseline"/>
                <w:lang w:val="en-US" w:eastAsia="zh-CN"/>
              </w:rPr>
              <w:t>30</w:t>
            </w:r>
          </w:p>
        </w:tc>
        <w:tc>
          <w:tcPr>
            <w:tcW w:w="1690" w:type="dxa"/>
            <w:noWrap w:val="0"/>
            <w:vAlign w:val="center"/>
          </w:tcPr>
          <w:p w14:paraId="438E34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整理箱</w:t>
            </w:r>
          </w:p>
        </w:tc>
        <w:tc>
          <w:tcPr>
            <w:tcW w:w="5928" w:type="dxa"/>
            <w:noWrap w:val="0"/>
            <w:vAlign w:val="center"/>
          </w:tcPr>
          <w:p w14:paraId="6CD31D0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PP材质</w:t>
            </w:r>
          </w:p>
        </w:tc>
        <w:tc>
          <w:tcPr>
            <w:tcW w:w="736" w:type="dxa"/>
            <w:noWrap w:val="0"/>
            <w:vAlign w:val="center"/>
          </w:tcPr>
          <w:p w14:paraId="0DCA2F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7E84E4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4B49A308">
            <w:pPr>
              <w:jc w:val="center"/>
              <w:rPr>
                <w:highlight w:val="none"/>
              </w:rPr>
            </w:pPr>
          </w:p>
        </w:tc>
        <w:tc>
          <w:tcPr>
            <w:tcW w:w="710" w:type="dxa"/>
            <w:gridSpan w:val="2"/>
            <w:noWrap w:val="0"/>
            <w:vAlign w:val="center"/>
          </w:tcPr>
          <w:p w14:paraId="1A9A4199">
            <w:pPr>
              <w:jc w:val="both"/>
              <w:rPr>
                <w:highlight w:val="none"/>
                <w:vertAlign w:val="baseline"/>
              </w:rPr>
            </w:pPr>
          </w:p>
        </w:tc>
      </w:tr>
      <w:tr w14:paraId="31CD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10157D">
            <w:pPr>
              <w:jc w:val="center"/>
              <w:rPr>
                <w:rFonts w:hint="default"/>
                <w:highlight w:val="none"/>
                <w:vertAlign w:val="baseline"/>
                <w:lang w:val="en-US" w:eastAsia="zh-CN"/>
              </w:rPr>
            </w:pPr>
            <w:r>
              <w:rPr>
                <w:rFonts w:hint="eastAsia"/>
                <w:highlight w:val="none"/>
                <w:vertAlign w:val="baseline"/>
                <w:lang w:val="en-US" w:eastAsia="zh-CN"/>
              </w:rPr>
              <w:t>31</w:t>
            </w:r>
          </w:p>
        </w:tc>
        <w:tc>
          <w:tcPr>
            <w:tcW w:w="1690" w:type="dxa"/>
            <w:noWrap w:val="0"/>
            <w:vAlign w:val="center"/>
          </w:tcPr>
          <w:p w14:paraId="17A4AB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大托盘</w:t>
            </w:r>
          </w:p>
        </w:tc>
        <w:tc>
          <w:tcPr>
            <w:tcW w:w="5928" w:type="dxa"/>
            <w:noWrap w:val="0"/>
            <w:vAlign w:val="center"/>
          </w:tcPr>
          <w:p w14:paraId="6E9305E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塑料制，42*31*15cm</w:t>
            </w:r>
          </w:p>
        </w:tc>
        <w:tc>
          <w:tcPr>
            <w:tcW w:w="736" w:type="dxa"/>
            <w:noWrap w:val="0"/>
            <w:vAlign w:val="center"/>
          </w:tcPr>
          <w:p w14:paraId="0736760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7D83AC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w:t>
            </w:r>
          </w:p>
        </w:tc>
        <w:tc>
          <w:tcPr>
            <w:tcW w:w="3396" w:type="dxa"/>
            <w:gridSpan w:val="2"/>
            <w:noWrap w:val="0"/>
            <w:vAlign w:val="center"/>
          </w:tcPr>
          <w:p w14:paraId="070F9DD5">
            <w:pPr>
              <w:jc w:val="center"/>
              <w:rPr>
                <w:highlight w:val="none"/>
              </w:rPr>
            </w:pPr>
          </w:p>
        </w:tc>
        <w:tc>
          <w:tcPr>
            <w:tcW w:w="710" w:type="dxa"/>
            <w:gridSpan w:val="2"/>
            <w:noWrap w:val="0"/>
            <w:vAlign w:val="center"/>
          </w:tcPr>
          <w:p w14:paraId="17C81104">
            <w:pPr>
              <w:jc w:val="both"/>
              <w:rPr>
                <w:highlight w:val="none"/>
                <w:vertAlign w:val="baseline"/>
              </w:rPr>
            </w:pPr>
          </w:p>
        </w:tc>
      </w:tr>
      <w:tr w14:paraId="7A00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1604DD">
            <w:pPr>
              <w:jc w:val="center"/>
              <w:rPr>
                <w:rFonts w:hint="default"/>
                <w:highlight w:val="none"/>
                <w:vertAlign w:val="baseline"/>
                <w:lang w:val="en-US" w:eastAsia="zh-CN"/>
              </w:rPr>
            </w:pPr>
            <w:r>
              <w:rPr>
                <w:rFonts w:hint="eastAsia"/>
                <w:highlight w:val="none"/>
                <w:vertAlign w:val="baseline"/>
                <w:lang w:val="en-US" w:eastAsia="zh-CN"/>
              </w:rPr>
              <w:t>32</w:t>
            </w:r>
          </w:p>
        </w:tc>
        <w:tc>
          <w:tcPr>
            <w:tcW w:w="1690" w:type="dxa"/>
            <w:noWrap w:val="0"/>
            <w:vAlign w:val="center"/>
          </w:tcPr>
          <w:p w14:paraId="714539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小托盘</w:t>
            </w:r>
          </w:p>
        </w:tc>
        <w:tc>
          <w:tcPr>
            <w:tcW w:w="5928" w:type="dxa"/>
            <w:noWrap w:val="0"/>
            <w:vAlign w:val="center"/>
          </w:tcPr>
          <w:p w14:paraId="65E3E36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塑料制，36*27*13cm</w:t>
            </w:r>
          </w:p>
        </w:tc>
        <w:tc>
          <w:tcPr>
            <w:tcW w:w="736" w:type="dxa"/>
            <w:noWrap w:val="0"/>
            <w:vAlign w:val="center"/>
          </w:tcPr>
          <w:p w14:paraId="727D5C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6B79F3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w:t>
            </w:r>
          </w:p>
        </w:tc>
        <w:tc>
          <w:tcPr>
            <w:tcW w:w="3396" w:type="dxa"/>
            <w:gridSpan w:val="2"/>
            <w:noWrap w:val="0"/>
            <w:vAlign w:val="center"/>
          </w:tcPr>
          <w:p w14:paraId="56870BF0">
            <w:pPr>
              <w:jc w:val="center"/>
              <w:rPr>
                <w:highlight w:val="none"/>
              </w:rPr>
            </w:pPr>
          </w:p>
        </w:tc>
        <w:tc>
          <w:tcPr>
            <w:tcW w:w="710" w:type="dxa"/>
            <w:gridSpan w:val="2"/>
            <w:noWrap w:val="0"/>
            <w:vAlign w:val="center"/>
          </w:tcPr>
          <w:p w14:paraId="784C84F4">
            <w:pPr>
              <w:jc w:val="both"/>
              <w:rPr>
                <w:highlight w:val="none"/>
                <w:vertAlign w:val="baseline"/>
              </w:rPr>
            </w:pPr>
          </w:p>
        </w:tc>
      </w:tr>
      <w:tr w14:paraId="7168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695634">
            <w:pPr>
              <w:jc w:val="center"/>
              <w:rPr>
                <w:rFonts w:hint="default"/>
                <w:highlight w:val="none"/>
                <w:vertAlign w:val="baseline"/>
                <w:lang w:val="en-US" w:eastAsia="zh-CN"/>
              </w:rPr>
            </w:pPr>
            <w:r>
              <w:rPr>
                <w:rFonts w:hint="eastAsia"/>
                <w:highlight w:val="none"/>
                <w:vertAlign w:val="baseline"/>
                <w:lang w:val="en-US" w:eastAsia="zh-CN"/>
              </w:rPr>
              <w:t>33</w:t>
            </w:r>
          </w:p>
        </w:tc>
        <w:tc>
          <w:tcPr>
            <w:tcW w:w="1690" w:type="dxa"/>
            <w:noWrap w:val="0"/>
            <w:vAlign w:val="center"/>
          </w:tcPr>
          <w:p w14:paraId="363B41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实验用品提篮</w:t>
            </w:r>
          </w:p>
        </w:tc>
        <w:tc>
          <w:tcPr>
            <w:tcW w:w="5928" w:type="dxa"/>
            <w:noWrap w:val="0"/>
            <w:vAlign w:val="center"/>
          </w:tcPr>
          <w:p w14:paraId="4B16FCB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木制，配有提手,长42cm宽28cm高38cm，底部高8cm，木制</w:t>
            </w:r>
          </w:p>
        </w:tc>
        <w:tc>
          <w:tcPr>
            <w:tcW w:w="736" w:type="dxa"/>
            <w:noWrap w:val="0"/>
            <w:vAlign w:val="center"/>
          </w:tcPr>
          <w:p w14:paraId="6AB022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7619CB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96F97E6">
            <w:pPr>
              <w:jc w:val="center"/>
              <w:rPr>
                <w:highlight w:val="none"/>
              </w:rPr>
            </w:pPr>
          </w:p>
        </w:tc>
        <w:tc>
          <w:tcPr>
            <w:tcW w:w="710" w:type="dxa"/>
            <w:gridSpan w:val="2"/>
            <w:noWrap w:val="0"/>
            <w:vAlign w:val="center"/>
          </w:tcPr>
          <w:p w14:paraId="2A16C19F">
            <w:pPr>
              <w:jc w:val="both"/>
              <w:rPr>
                <w:highlight w:val="none"/>
                <w:vertAlign w:val="baseline"/>
              </w:rPr>
            </w:pPr>
          </w:p>
        </w:tc>
      </w:tr>
      <w:tr w14:paraId="2CC8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F98CD9">
            <w:pPr>
              <w:jc w:val="center"/>
              <w:rPr>
                <w:rFonts w:hint="default"/>
                <w:highlight w:val="none"/>
                <w:vertAlign w:val="baseline"/>
                <w:lang w:val="en-US" w:eastAsia="zh-CN"/>
              </w:rPr>
            </w:pPr>
            <w:r>
              <w:rPr>
                <w:rFonts w:hint="eastAsia"/>
                <w:highlight w:val="none"/>
                <w:vertAlign w:val="baseline"/>
                <w:lang w:val="en-US" w:eastAsia="zh-CN"/>
              </w:rPr>
              <w:t>34</w:t>
            </w:r>
          </w:p>
        </w:tc>
        <w:tc>
          <w:tcPr>
            <w:tcW w:w="1690" w:type="dxa"/>
            <w:noWrap w:val="0"/>
            <w:vAlign w:val="center"/>
          </w:tcPr>
          <w:p w14:paraId="22A2E2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打孔器</w:t>
            </w:r>
          </w:p>
        </w:tc>
        <w:tc>
          <w:tcPr>
            <w:tcW w:w="5928" w:type="dxa"/>
            <w:noWrap w:val="0"/>
            <w:vAlign w:val="center"/>
          </w:tcPr>
          <w:p w14:paraId="7FF1952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齿口式、不锈钢材质，每组4支</w:t>
            </w:r>
          </w:p>
        </w:tc>
        <w:tc>
          <w:tcPr>
            <w:tcW w:w="736" w:type="dxa"/>
            <w:noWrap w:val="0"/>
            <w:vAlign w:val="center"/>
          </w:tcPr>
          <w:p w14:paraId="4AED96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6CAB41C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7E371A7">
            <w:pPr>
              <w:jc w:val="center"/>
              <w:rPr>
                <w:highlight w:val="none"/>
              </w:rPr>
            </w:pPr>
          </w:p>
        </w:tc>
        <w:tc>
          <w:tcPr>
            <w:tcW w:w="710" w:type="dxa"/>
            <w:gridSpan w:val="2"/>
            <w:noWrap w:val="0"/>
            <w:vAlign w:val="center"/>
          </w:tcPr>
          <w:p w14:paraId="634FC112">
            <w:pPr>
              <w:jc w:val="both"/>
              <w:rPr>
                <w:highlight w:val="none"/>
                <w:vertAlign w:val="baseline"/>
              </w:rPr>
            </w:pPr>
          </w:p>
        </w:tc>
      </w:tr>
      <w:tr w14:paraId="363F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43ACF7">
            <w:pPr>
              <w:jc w:val="center"/>
              <w:rPr>
                <w:rFonts w:hint="default"/>
                <w:highlight w:val="none"/>
                <w:vertAlign w:val="baseline"/>
                <w:lang w:val="en-US" w:eastAsia="zh-CN"/>
              </w:rPr>
            </w:pPr>
            <w:r>
              <w:rPr>
                <w:rFonts w:hint="eastAsia"/>
                <w:highlight w:val="none"/>
                <w:vertAlign w:val="baseline"/>
                <w:lang w:val="en-US" w:eastAsia="zh-CN"/>
              </w:rPr>
              <w:t>35</w:t>
            </w:r>
          </w:p>
        </w:tc>
        <w:tc>
          <w:tcPr>
            <w:tcW w:w="1690" w:type="dxa"/>
            <w:noWrap w:val="0"/>
            <w:vAlign w:val="center"/>
          </w:tcPr>
          <w:p w14:paraId="2D52A3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打孔器夹板</w:t>
            </w:r>
          </w:p>
        </w:tc>
        <w:tc>
          <w:tcPr>
            <w:tcW w:w="5928" w:type="dxa"/>
            <w:noWrap w:val="0"/>
            <w:vAlign w:val="center"/>
          </w:tcPr>
          <w:p w14:paraId="7C0C657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塑料的</w:t>
            </w:r>
          </w:p>
        </w:tc>
        <w:tc>
          <w:tcPr>
            <w:tcW w:w="736" w:type="dxa"/>
            <w:noWrap w:val="0"/>
            <w:vAlign w:val="center"/>
          </w:tcPr>
          <w:p w14:paraId="2F49EDF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7606A6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5BA2B79">
            <w:pPr>
              <w:jc w:val="center"/>
              <w:rPr>
                <w:highlight w:val="none"/>
              </w:rPr>
            </w:pPr>
          </w:p>
        </w:tc>
        <w:tc>
          <w:tcPr>
            <w:tcW w:w="710" w:type="dxa"/>
            <w:gridSpan w:val="2"/>
            <w:noWrap w:val="0"/>
            <w:vAlign w:val="center"/>
          </w:tcPr>
          <w:p w14:paraId="64480D54">
            <w:pPr>
              <w:jc w:val="both"/>
              <w:rPr>
                <w:highlight w:val="none"/>
                <w:vertAlign w:val="baseline"/>
              </w:rPr>
            </w:pPr>
          </w:p>
        </w:tc>
      </w:tr>
      <w:tr w14:paraId="0EB0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44D2B6">
            <w:pPr>
              <w:jc w:val="center"/>
              <w:rPr>
                <w:rFonts w:hint="default"/>
                <w:highlight w:val="none"/>
                <w:vertAlign w:val="baseline"/>
                <w:lang w:val="en-US" w:eastAsia="zh-CN"/>
              </w:rPr>
            </w:pPr>
            <w:r>
              <w:rPr>
                <w:rFonts w:hint="eastAsia"/>
                <w:highlight w:val="none"/>
                <w:vertAlign w:val="baseline"/>
                <w:lang w:val="en-US" w:eastAsia="zh-CN"/>
              </w:rPr>
              <w:t>36</w:t>
            </w:r>
          </w:p>
        </w:tc>
        <w:tc>
          <w:tcPr>
            <w:tcW w:w="1690" w:type="dxa"/>
            <w:noWrap w:val="0"/>
            <w:vAlign w:val="center"/>
          </w:tcPr>
          <w:p w14:paraId="0AA274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打孔器刮刀</w:t>
            </w:r>
          </w:p>
        </w:tc>
        <w:tc>
          <w:tcPr>
            <w:tcW w:w="5928" w:type="dxa"/>
            <w:noWrap w:val="0"/>
            <w:vAlign w:val="center"/>
          </w:tcPr>
          <w:p w14:paraId="4CE22F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center"/>
          </w:tcPr>
          <w:p w14:paraId="582D47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09151C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B8B86A9">
            <w:pPr>
              <w:jc w:val="center"/>
              <w:rPr>
                <w:highlight w:val="none"/>
              </w:rPr>
            </w:pPr>
          </w:p>
        </w:tc>
        <w:tc>
          <w:tcPr>
            <w:tcW w:w="710" w:type="dxa"/>
            <w:gridSpan w:val="2"/>
            <w:noWrap w:val="0"/>
            <w:vAlign w:val="center"/>
          </w:tcPr>
          <w:p w14:paraId="4C686BBB">
            <w:pPr>
              <w:jc w:val="both"/>
              <w:rPr>
                <w:highlight w:val="none"/>
                <w:vertAlign w:val="baseline"/>
              </w:rPr>
            </w:pPr>
          </w:p>
        </w:tc>
      </w:tr>
      <w:tr w14:paraId="1959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16016E">
            <w:pPr>
              <w:jc w:val="center"/>
              <w:rPr>
                <w:rFonts w:hint="default"/>
                <w:highlight w:val="none"/>
                <w:vertAlign w:val="baseline"/>
                <w:lang w:val="en-US" w:eastAsia="zh-CN"/>
              </w:rPr>
            </w:pPr>
            <w:r>
              <w:rPr>
                <w:rFonts w:hint="eastAsia"/>
                <w:highlight w:val="none"/>
                <w:vertAlign w:val="baseline"/>
                <w:lang w:val="en-US" w:eastAsia="zh-CN"/>
              </w:rPr>
              <w:t>37</w:t>
            </w:r>
          </w:p>
        </w:tc>
        <w:tc>
          <w:tcPr>
            <w:tcW w:w="1690" w:type="dxa"/>
            <w:noWrap w:val="0"/>
            <w:vAlign w:val="center"/>
          </w:tcPr>
          <w:p w14:paraId="3BDA92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电动钻孔器</w:t>
            </w:r>
          </w:p>
        </w:tc>
        <w:tc>
          <w:tcPr>
            <w:tcW w:w="5928" w:type="dxa"/>
            <w:noWrap w:val="0"/>
            <w:vAlign w:val="center"/>
          </w:tcPr>
          <w:p w14:paraId="687A9CE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钻头可拆卸</w:t>
            </w:r>
          </w:p>
        </w:tc>
        <w:tc>
          <w:tcPr>
            <w:tcW w:w="736" w:type="dxa"/>
            <w:noWrap w:val="0"/>
            <w:vAlign w:val="center"/>
          </w:tcPr>
          <w:p w14:paraId="3BE590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3251FD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33C22D">
            <w:pPr>
              <w:jc w:val="center"/>
              <w:rPr>
                <w:highlight w:val="none"/>
              </w:rPr>
            </w:pPr>
          </w:p>
        </w:tc>
        <w:tc>
          <w:tcPr>
            <w:tcW w:w="710" w:type="dxa"/>
            <w:gridSpan w:val="2"/>
            <w:noWrap w:val="0"/>
            <w:vAlign w:val="center"/>
          </w:tcPr>
          <w:p w14:paraId="15503724">
            <w:pPr>
              <w:jc w:val="both"/>
              <w:rPr>
                <w:highlight w:val="none"/>
                <w:vertAlign w:val="baseline"/>
              </w:rPr>
            </w:pPr>
          </w:p>
        </w:tc>
      </w:tr>
      <w:tr w14:paraId="55C8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F1A349">
            <w:pPr>
              <w:jc w:val="center"/>
              <w:rPr>
                <w:rFonts w:hint="default"/>
                <w:highlight w:val="none"/>
                <w:vertAlign w:val="baseline"/>
                <w:lang w:val="en-US" w:eastAsia="zh-CN"/>
              </w:rPr>
            </w:pPr>
            <w:r>
              <w:rPr>
                <w:rFonts w:hint="eastAsia"/>
                <w:highlight w:val="none"/>
                <w:vertAlign w:val="baseline"/>
                <w:lang w:val="en-US" w:eastAsia="zh-CN"/>
              </w:rPr>
              <w:t>38</w:t>
            </w:r>
          </w:p>
        </w:tc>
        <w:tc>
          <w:tcPr>
            <w:tcW w:w="1690" w:type="dxa"/>
            <w:noWrap w:val="0"/>
            <w:vAlign w:val="center"/>
          </w:tcPr>
          <w:p w14:paraId="29BD82D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低压测电器</w:t>
            </w:r>
          </w:p>
        </w:tc>
        <w:tc>
          <w:tcPr>
            <w:tcW w:w="5928" w:type="dxa"/>
            <w:noWrap w:val="0"/>
            <w:vAlign w:val="center"/>
          </w:tcPr>
          <w:p w14:paraId="4C04682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笔式，氖泡式，测电极长≤10 mm，测量范围100 V～500 V，辉光应稳定不闪烁</w:t>
            </w:r>
          </w:p>
        </w:tc>
        <w:tc>
          <w:tcPr>
            <w:tcW w:w="736" w:type="dxa"/>
            <w:noWrap w:val="0"/>
            <w:vAlign w:val="center"/>
          </w:tcPr>
          <w:p w14:paraId="4476A1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371C1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02B373D0">
            <w:pPr>
              <w:jc w:val="center"/>
              <w:rPr>
                <w:highlight w:val="none"/>
              </w:rPr>
            </w:pPr>
          </w:p>
        </w:tc>
        <w:tc>
          <w:tcPr>
            <w:tcW w:w="710" w:type="dxa"/>
            <w:gridSpan w:val="2"/>
            <w:noWrap w:val="0"/>
            <w:vAlign w:val="center"/>
          </w:tcPr>
          <w:p w14:paraId="2A7C5074">
            <w:pPr>
              <w:jc w:val="both"/>
              <w:rPr>
                <w:highlight w:val="none"/>
                <w:vertAlign w:val="baseline"/>
              </w:rPr>
            </w:pPr>
          </w:p>
        </w:tc>
      </w:tr>
      <w:tr w14:paraId="73C1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163CF8">
            <w:pPr>
              <w:jc w:val="center"/>
              <w:rPr>
                <w:rFonts w:hint="default"/>
                <w:highlight w:val="none"/>
                <w:vertAlign w:val="baseline"/>
                <w:lang w:val="en-US" w:eastAsia="zh-CN"/>
              </w:rPr>
            </w:pPr>
            <w:r>
              <w:rPr>
                <w:rFonts w:hint="eastAsia"/>
                <w:highlight w:val="none"/>
                <w:vertAlign w:val="baseline"/>
                <w:lang w:val="en-US" w:eastAsia="zh-CN"/>
              </w:rPr>
              <w:t>39</w:t>
            </w:r>
          </w:p>
        </w:tc>
        <w:tc>
          <w:tcPr>
            <w:tcW w:w="1690" w:type="dxa"/>
            <w:noWrap w:val="0"/>
            <w:vAlign w:val="center"/>
          </w:tcPr>
          <w:p w14:paraId="044F3D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一字螺丝刀</w:t>
            </w:r>
          </w:p>
        </w:tc>
        <w:tc>
          <w:tcPr>
            <w:tcW w:w="5928" w:type="dxa"/>
            <w:noWrap w:val="0"/>
            <w:vAlign w:val="center"/>
          </w:tcPr>
          <w:p w14:paraId="08BCA24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套装 Φ6 mm，Φ3 mm，各一把</w:t>
            </w:r>
          </w:p>
        </w:tc>
        <w:tc>
          <w:tcPr>
            <w:tcW w:w="736" w:type="dxa"/>
            <w:noWrap w:val="0"/>
            <w:vAlign w:val="center"/>
          </w:tcPr>
          <w:p w14:paraId="08082D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243F59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111C9F30">
            <w:pPr>
              <w:jc w:val="center"/>
              <w:rPr>
                <w:highlight w:val="none"/>
              </w:rPr>
            </w:pPr>
          </w:p>
        </w:tc>
        <w:tc>
          <w:tcPr>
            <w:tcW w:w="710" w:type="dxa"/>
            <w:gridSpan w:val="2"/>
            <w:noWrap w:val="0"/>
            <w:vAlign w:val="center"/>
          </w:tcPr>
          <w:p w14:paraId="147BE91C">
            <w:pPr>
              <w:jc w:val="both"/>
              <w:rPr>
                <w:highlight w:val="none"/>
                <w:vertAlign w:val="baseline"/>
              </w:rPr>
            </w:pPr>
          </w:p>
        </w:tc>
      </w:tr>
      <w:tr w14:paraId="7BC9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80CE0B6">
            <w:pPr>
              <w:jc w:val="center"/>
              <w:rPr>
                <w:rFonts w:hint="default"/>
                <w:highlight w:val="none"/>
                <w:vertAlign w:val="baseline"/>
                <w:lang w:val="en-US" w:eastAsia="zh-CN"/>
              </w:rPr>
            </w:pPr>
            <w:r>
              <w:rPr>
                <w:rFonts w:hint="eastAsia"/>
                <w:highlight w:val="none"/>
                <w:vertAlign w:val="baseline"/>
                <w:lang w:val="en-US" w:eastAsia="zh-CN"/>
              </w:rPr>
              <w:t>40</w:t>
            </w:r>
          </w:p>
        </w:tc>
        <w:tc>
          <w:tcPr>
            <w:tcW w:w="1690" w:type="dxa"/>
            <w:noWrap w:val="0"/>
            <w:vAlign w:val="center"/>
          </w:tcPr>
          <w:p w14:paraId="7681FD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十字螺丝刀</w:t>
            </w:r>
          </w:p>
        </w:tc>
        <w:tc>
          <w:tcPr>
            <w:tcW w:w="5928" w:type="dxa"/>
            <w:noWrap w:val="0"/>
            <w:vAlign w:val="center"/>
          </w:tcPr>
          <w:p w14:paraId="34AAA32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套装 Φ6 mm，Φ3 mm，各一把</w:t>
            </w:r>
          </w:p>
        </w:tc>
        <w:tc>
          <w:tcPr>
            <w:tcW w:w="736" w:type="dxa"/>
            <w:noWrap w:val="0"/>
            <w:vAlign w:val="center"/>
          </w:tcPr>
          <w:p w14:paraId="4A37EB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312C05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3CB0DF39">
            <w:pPr>
              <w:jc w:val="center"/>
              <w:rPr>
                <w:highlight w:val="none"/>
              </w:rPr>
            </w:pPr>
          </w:p>
        </w:tc>
        <w:tc>
          <w:tcPr>
            <w:tcW w:w="710" w:type="dxa"/>
            <w:gridSpan w:val="2"/>
            <w:noWrap w:val="0"/>
            <w:vAlign w:val="center"/>
          </w:tcPr>
          <w:p w14:paraId="4B4984F4">
            <w:pPr>
              <w:jc w:val="both"/>
              <w:rPr>
                <w:highlight w:val="none"/>
                <w:vertAlign w:val="baseline"/>
              </w:rPr>
            </w:pPr>
          </w:p>
        </w:tc>
      </w:tr>
      <w:tr w14:paraId="4C29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F03EECD">
            <w:pPr>
              <w:jc w:val="center"/>
              <w:rPr>
                <w:rFonts w:hint="default"/>
                <w:highlight w:val="none"/>
                <w:vertAlign w:val="baseline"/>
                <w:lang w:val="en-US" w:eastAsia="zh-CN"/>
              </w:rPr>
            </w:pPr>
            <w:r>
              <w:rPr>
                <w:rFonts w:hint="eastAsia"/>
                <w:highlight w:val="none"/>
                <w:vertAlign w:val="baseline"/>
                <w:lang w:val="en-US" w:eastAsia="zh-CN"/>
              </w:rPr>
              <w:t>41</w:t>
            </w:r>
          </w:p>
        </w:tc>
        <w:tc>
          <w:tcPr>
            <w:tcW w:w="1690" w:type="dxa"/>
            <w:noWrap w:val="0"/>
            <w:vAlign w:val="center"/>
          </w:tcPr>
          <w:p w14:paraId="28A25D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钢手锯</w:t>
            </w:r>
          </w:p>
        </w:tc>
        <w:tc>
          <w:tcPr>
            <w:tcW w:w="5928" w:type="dxa"/>
            <w:noWrap w:val="0"/>
            <w:vAlign w:val="center"/>
          </w:tcPr>
          <w:p w14:paraId="089F559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长度300 mm</w:t>
            </w:r>
          </w:p>
        </w:tc>
        <w:tc>
          <w:tcPr>
            <w:tcW w:w="736" w:type="dxa"/>
            <w:noWrap w:val="0"/>
            <w:vAlign w:val="center"/>
          </w:tcPr>
          <w:p w14:paraId="3FFF9C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把  </w:t>
            </w:r>
          </w:p>
        </w:tc>
        <w:tc>
          <w:tcPr>
            <w:tcW w:w="834" w:type="dxa"/>
            <w:noWrap w:val="0"/>
            <w:vAlign w:val="center"/>
          </w:tcPr>
          <w:p w14:paraId="0F62DB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69DD684">
            <w:pPr>
              <w:jc w:val="center"/>
              <w:rPr>
                <w:highlight w:val="none"/>
              </w:rPr>
            </w:pPr>
          </w:p>
        </w:tc>
        <w:tc>
          <w:tcPr>
            <w:tcW w:w="710" w:type="dxa"/>
            <w:gridSpan w:val="2"/>
            <w:noWrap w:val="0"/>
            <w:vAlign w:val="center"/>
          </w:tcPr>
          <w:p w14:paraId="12506FD2">
            <w:pPr>
              <w:jc w:val="both"/>
              <w:rPr>
                <w:highlight w:val="none"/>
                <w:vertAlign w:val="baseline"/>
              </w:rPr>
            </w:pPr>
          </w:p>
        </w:tc>
      </w:tr>
      <w:tr w14:paraId="4266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4231B6">
            <w:pPr>
              <w:jc w:val="center"/>
              <w:rPr>
                <w:rFonts w:hint="default"/>
                <w:highlight w:val="none"/>
                <w:vertAlign w:val="baseline"/>
                <w:lang w:val="en-US" w:eastAsia="zh-CN"/>
              </w:rPr>
            </w:pPr>
            <w:r>
              <w:rPr>
                <w:rFonts w:hint="eastAsia"/>
                <w:highlight w:val="none"/>
                <w:vertAlign w:val="baseline"/>
                <w:lang w:val="en-US" w:eastAsia="zh-CN"/>
              </w:rPr>
              <w:t>42</w:t>
            </w:r>
          </w:p>
        </w:tc>
        <w:tc>
          <w:tcPr>
            <w:tcW w:w="1690" w:type="dxa"/>
            <w:noWrap w:val="0"/>
            <w:vAlign w:val="center"/>
          </w:tcPr>
          <w:p w14:paraId="13A1D6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剥线钳</w:t>
            </w:r>
          </w:p>
        </w:tc>
        <w:tc>
          <w:tcPr>
            <w:tcW w:w="5928" w:type="dxa"/>
            <w:noWrap w:val="0"/>
            <w:vAlign w:val="center"/>
          </w:tcPr>
          <w:p w14:paraId="59931CA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剥线范围Φ0.5 mm～Φ2mm</w:t>
            </w:r>
          </w:p>
        </w:tc>
        <w:tc>
          <w:tcPr>
            <w:tcW w:w="736" w:type="dxa"/>
            <w:noWrap w:val="0"/>
            <w:vAlign w:val="center"/>
          </w:tcPr>
          <w:p w14:paraId="4BC8C1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把  </w:t>
            </w:r>
          </w:p>
        </w:tc>
        <w:tc>
          <w:tcPr>
            <w:tcW w:w="834" w:type="dxa"/>
            <w:noWrap w:val="0"/>
            <w:vAlign w:val="center"/>
          </w:tcPr>
          <w:p w14:paraId="558801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1A03BBD4">
            <w:pPr>
              <w:jc w:val="center"/>
              <w:rPr>
                <w:highlight w:val="none"/>
              </w:rPr>
            </w:pPr>
          </w:p>
        </w:tc>
        <w:tc>
          <w:tcPr>
            <w:tcW w:w="710" w:type="dxa"/>
            <w:gridSpan w:val="2"/>
            <w:noWrap w:val="0"/>
            <w:vAlign w:val="center"/>
          </w:tcPr>
          <w:p w14:paraId="24F05256">
            <w:pPr>
              <w:jc w:val="both"/>
              <w:rPr>
                <w:highlight w:val="none"/>
                <w:vertAlign w:val="baseline"/>
              </w:rPr>
            </w:pPr>
          </w:p>
        </w:tc>
      </w:tr>
      <w:tr w14:paraId="0C33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D1DFB8">
            <w:pPr>
              <w:jc w:val="center"/>
              <w:rPr>
                <w:rFonts w:hint="default"/>
                <w:highlight w:val="none"/>
                <w:vertAlign w:val="baseline"/>
                <w:lang w:val="en-US" w:eastAsia="zh-CN"/>
              </w:rPr>
            </w:pPr>
            <w:r>
              <w:rPr>
                <w:rFonts w:hint="eastAsia"/>
                <w:highlight w:val="none"/>
                <w:vertAlign w:val="baseline"/>
                <w:lang w:val="en-US" w:eastAsia="zh-CN"/>
              </w:rPr>
              <w:t>43</w:t>
            </w:r>
          </w:p>
        </w:tc>
        <w:tc>
          <w:tcPr>
            <w:tcW w:w="1690" w:type="dxa"/>
            <w:noWrap w:val="0"/>
            <w:vAlign w:val="center"/>
          </w:tcPr>
          <w:p w14:paraId="47D158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钢丝钳</w:t>
            </w:r>
          </w:p>
        </w:tc>
        <w:tc>
          <w:tcPr>
            <w:tcW w:w="5928" w:type="dxa"/>
            <w:noWrap w:val="0"/>
            <w:vAlign w:val="center"/>
          </w:tcPr>
          <w:p w14:paraId="4243486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160 mm</w:t>
            </w:r>
          </w:p>
        </w:tc>
        <w:tc>
          <w:tcPr>
            <w:tcW w:w="736" w:type="dxa"/>
            <w:noWrap w:val="0"/>
            <w:vAlign w:val="center"/>
          </w:tcPr>
          <w:p w14:paraId="66E673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把  </w:t>
            </w:r>
          </w:p>
        </w:tc>
        <w:tc>
          <w:tcPr>
            <w:tcW w:w="834" w:type="dxa"/>
            <w:noWrap w:val="0"/>
            <w:vAlign w:val="center"/>
          </w:tcPr>
          <w:p w14:paraId="26B40D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A88EF06">
            <w:pPr>
              <w:jc w:val="center"/>
              <w:rPr>
                <w:highlight w:val="none"/>
              </w:rPr>
            </w:pPr>
          </w:p>
        </w:tc>
        <w:tc>
          <w:tcPr>
            <w:tcW w:w="710" w:type="dxa"/>
            <w:gridSpan w:val="2"/>
            <w:noWrap w:val="0"/>
            <w:vAlign w:val="center"/>
          </w:tcPr>
          <w:p w14:paraId="629EDDD0">
            <w:pPr>
              <w:jc w:val="both"/>
              <w:rPr>
                <w:highlight w:val="none"/>
                <w:vertAlign w:val="baseline"/>
              </w:rPr>
            </w:pPr>
          </w:p>
        </w:tc>
      </w:tr>
      <w:tr w14:paraId="4E6C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6989D1">
            <w:pPr>
              <w:jc w:val="center"/>
              <w:rPr>
                <w:rFonts w:hint="default"/>
                <w:highlight w:val="none"/>
                <w:vertAlign w:val="baseline"/>
                <w:lang w:val="en-US" w:eastAsia="zh-CN"/>
              </w:rPr>
            </w:pPr>
            <w:r>
              <w:rPr>
                <w:rFonts w:hint="eastAsia"/>
                <w:highlight w:val="none"/>
                <w:vertAlign w:val="baseline"/>
                <w:lang w:val="en-US" w:eastAsia="zh-CN"/>
              </w:rPr>
              <w:t>44</w:t>
            </w:r>
          </w:p>
        </w:tc>
        <w:tc>
          <w:tcPr>
            <w:tcW w:w="1690" w:type="dxa"/>
            <w:noWrap w:val="0"/>
            <w:vAlign w:val="center"/>
          </w:tcPr>
          <w:p w14:paraId="67E808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钢锤</w:t>
            </w:r>
          </w:p>
        </w:tc>
        <w:tc>
          <w:tcPr>
            <w:tcW w:w="5928" w:type="dxa"/>
            <w:noWrap w:val="0"/>
            <w:vAlign w:val="center"/>
          </w:tcPr>
          <w:p w14:paraId="68710FF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0.25 kg，羊角锤</w:t>
            </w:r>
          </w:p>
        </w:tc>
        <w:tc>
          <w:tcPr>
            <w:tcW w:w="736" w:type="dxa"/>
            <w:noWrap w:val="0"/>
            <w:vAlign w:val="center"/>
          </w:tcPr>
          <w:p w14:paraId="4BA18C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把  </w:t>
            </w:r>
          </w:p>
        </w:tc>
        <w:tc>
          <w:tcPr>
            <w:tcW w:w="834" w:type="dxa"/>
            <w:noWrap w:val="0"/>
            <w:vAlign w:val="center"/>
          </w:tcPr>
          <w:p w14:paraId="4C756F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950538A">
            <w:pPr>
              <w:jc w:val="center"/>
              <w:rPr>
                <w:highlight w:val="none"/>
              </w:rPr>
            </w:pPr>
          </w:p>
        </w:tc>
        <w:tc>
          <w:tcPr>
            <w:tcW w:w="710" w:type="dxa"/>
            <w:gridSpan w:val="2"/>
            <w:noWrap w:val="0"/>
            <w:vAlign w:val="center"/>
          </w:tcPr>
          <w:p w14:paraId="6B1C4812">
            <w:pPr>
              <w:jc w:val="both"/>
              <w:rPr>
                <w:highlight w:val="none"/>
                <w:vertAlign w:val="baseline"/>
              </w:rPr>
            </w:pPr>
          </w:p>
        </w:tc>
      </w:tr>
      <w:tr w14:paraId="31DB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B07C06">
            <w:pPr>
              <w:jc w:val="center"/>
              <w:rPr>
                <w:rFonts w:hint="default"/>
                <w:highlight w:val="none"/>
                <w:vertAlign w:val="baseline"/>
                <w:lang w:val="en-US" w:eastAsia="zh-CN"/>
              </w:rPr>
            </w:pPr>
            <w:r>
              <w:rPr>
                <w:rFonts w:hint="eastAsia"/>
                <w:highlight w:val="none"/>
                <w:vertAlign w:val="baseline"/>
                <w:lang w:val="en-US" w:eastAsia="zh-CN"/>
              </w:rPr>
              <w:t>45</w:t>
            </w:r>
          </w:p>
        </w:tc>
        <w:tc>
          <w:tcPr>
            <w:tcW w:w="1690" w:type="dxa"/>
            <w:noWrap w:val="0"/>
            <w:vAlign w:val="center"/>
          </w:tcPr>
          <w:p w14:paraId="4C38BD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活扳手</w:t>
            </w:r>
          </w:p>
        </w:tc>
        <w:tc>
          <w:tcPr>
            <w:tcW w:w="5928" w:type="dxa"/>
            <w:noWrap w:val="0"/>
            <w:vAlign w:val="center"/>
          </w:tcPr>
          <w:p w14:paraId="549EF71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200 mm</w:t>
            </w:r>
          </w:p>
        </w:tc>
        <w:tc>
          <w:tcPr>
            <w:tcW w:w="736" w:type="dxa"/>
            <w:noWrap w:val="0"/>
            <w:vAlign w:val="center"/>
          </w:tcPr>
          <w:p w14:paraId="665E14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把  </w:t>
            </w:r>
          </w:p>
        </w:tc>
        <w:tc>
          <w:tcPr>
            <w:tcW w:w="834" w:type="dxa"/>
            <w:noWrap w:val="0"/>
            <w:vAlign w:val="center"/>
          </w:tcPr>
          <w:p w14:paraId="7AD2DE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483AEC1">
            <w:pPr>
              <w:jc w:val="center"/>
              <w:rPr>
                <w:highlight w:val="none"/>
              </w:rPr>
            </w:pPr>
          </w:p>
        </w:tc>
        <w:tc>
          <w:tcPr>
            <w:tcW w:w="710" w:type="dxa"/>
            <w:gridSpan w:val="2"/>
            <w:noWrap w:val="0"/>
            <w:vAlign w:val="center"/>
          </w:tcPr>
          <w:p w14:paraId="7D19A9C6">
            <w:pPr>
              <w:jc w:val="both"/>
              <w:rPr>
                <w:highlight w:val="none"/>
                <w:vertAlign w:val="baseline"/>
              </w:rPr>
            </w:pPr>
          </w:p>
        </w:tc>
      </w:tr>
      <w:tr w14:paraId="77D9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95025E">
            <w:pPr>
              <w:jc w:val="center"/>
              <w:rPr>
                <w:rFonts w:hint="default"/>
                <w:highlight w:val="none"/>
                <w:vertAlign w:val="baseline"/>
                <w:lang w:val="en-US" w:eastAsia="zh-CN"/>
              </w:rPr>
            </w:pPr>
            <w:r>
              <w:rPr>
                <w:rFonts w:hint="eastAsia"/>
                <w:highlight w:val="none"/>
                <w:vertAlign w:val="baseline"/>
                <w:lang w:val="en-US" w:eastAsia="zh-CN"/>
              </w:rPr>
              <w:t>46</w:t>
            </w:r>
          </w:p>
        </w:tc>
        <w:tc>
          <w:tcPr>
            <w:tcW w:w="1690" w:type="dxa"/>
            <w:noWrap w:val="0"/>
            <w:vAlign w:val="center"/>
          </w:tcPr>
          <w:p w14:paraId="75B19E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测微尺</w:t>
            </w:r>
          </w:p>
        </w:tc>
        <w:tc>
          <w:tcPr>
            <w:tcW w:w="5928" w:type="dxa"/>
            <w:noWrap w:val="0"/>
            <w:vAlign w:val="center"/>
          </w:tcPr>
          <w:p w14:paraId="6E3F9B0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显微镜用</w:t>
            </w:r>
          </w:p>
        </w:tc>
        <w:tc>
          <w:tcPr>
            <w:tcW w:w="736" w:type="dxa"/>
            <w:noWrap w:val="0"/>
            <w:vAlign w:val="center"/>
          </w:tcPr>
          <w:p w14:paraId="58B906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E8DB7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3396" w:type="dxa"/>
            <w:gridSpan w:val="2"/>
            <w:noWrap w:val="0"/>
            <w:vAlign w:val="center"/>
          </w:tcPr>
          <w:p w14:paraId="1A7884CB">
            <w:pPr>
              <w:jc w:val="center"/>
              <w:rPr>
                <w:highlight w:val="none"/>
              </w:rPr>
            </w:pPr>
          </w:p>
        </w:tc>
        <w:tc>
          <w:tcPr>
            <w:tcW w:w="710" w:type="dxa"/>
            <w:gridSpan w:val="2"/>
            <w:noWrap w:val="0"/>
            <w:vAlign w:val="center"/>
          </w:tcPr>
          <w:p w14:paraId="28E28633">
            <w:pPr>
              <w:jc w:val="both"/>
              <w:rPr>
                <w:highlight w:val="none"/>
                <w:vertAlign w:val="baseline"/>
              </w:rPr>
            </w:pPr>
          </w:p>
        </w:tc>
      </w:tr>
      <w:tr w14:paraId="1B85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E90FE5">
            <w:pPr>
              <w:jc w:val="center"/>
              <w:rPr>
                <w:rFonts w:hint="default"/>
                <w:highlight w:val="none"/>
                <w:vertAlign w:val="baseline"/>
                <w:lang w:val="en-US" w:eastAsia="zh-CN"/>
              </w:rPr>
            </w:pPr>
            <w:r>
              <w:rPr>
                <w:rFonts w:hint="eastAsia"/>
                <w:highlight w:val="none"/>
                <w:vertAlign w:val="baseline"/>
                <w:lang w:val="en-US" w:eastAsia="zh-CN"/>
              </w:rPr>
              <w:t>47</w:t>
            </w:r>
          </w:p>
        </w:tc>
        <w:tc>
          <w:tcPr>
            <w:tcW w:w="1690" w:type="dxa"/>
            <w:noWrap w:val="0"/>
            <w:vAlign w:val="center"/>
          </w:tcPr>
          <w:p w14:paraId="530CDC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软尺</w:t>
            </w:r>
          </w:p>
        </w:tc>
        <w:tc>
          <w:tcPr>
            <w:tcW w:w="5928" w:type="dxa"/>
            <w:noWrap w:val="0"/>
            <w:vAlign w:val="center"/>
          </w:tcPr>
          <w:p w14:paraId="1D1C040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1500mm</w:t>
            </w:r>
          </w:p>
        </w:tc>
        <w:tc>
          <w:tcPr>
            <w:tcW w:w="736" w:type="dxa"/>
            <w:noWrap w:val="0"/>
            <w:vAlign w:val="center"/>
          </w:tcPr>
          <w:p w14:paraId="1AF77C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1C274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24</w:t>
            </w:r>
          </w:p>
        </w:tc>
        <w:tc>
          <w:tcPr>
            <w:tcW w:w="3396" w:type="dxa"/>
            <w:gridSpan w:val="2"/>
            <w:noWrap w:val="0"/>
            <w:vAlign w:val="center"/>
          </w:tcPr>
          <w:p w14:paraId="6F641C3A">
            <w:pPr>
              <w:jc w:val="center"/>
              <w:rPr>
                <w:highlight w:val="none"/>
              </w:rPr>
            </w:pPr>
          </w:p>
        </w:tc>
        <w:tc>
          <w:tcPr>
            <w:tcW w:w="710" w:type="dxa"/>
            <w:gridSpan w:val="2"/>
            <w:noWrap w:val="0"/>
            <w:vAlign w:val="center"/>
          </w:tcPr>
          <w:p w14:paraId="18B0165E">
            <w:pPr>
              <w:jc w:val="both"/>
              <w:rPr>
                <w:highlight w:val="none"/>
                <w:vertAlign w:val="baseline"/>
              </w:rPr>
            </w:pPr>
          </w:p>
        </w:tc>
      </w:tr>
      <w:tr w14:paraId="111F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5DFF28">
            <w:pPr>
              <w:jc w:val="center"/>
              <w:rPr>
                <w:rFonts w:hint="default"/>
                <w:highlight w:val="none"/>
                <w:vertAlign w:val="baseline"/>
                <w:lang w:val="en-US" w:eastAsia="zh-CN"/>
              </w:rPr>
            </w:pPr>
            <w:r>
              <w:rPr>
                <w:rFonts w:hint="eastAsia"/>
                <w:highlight w:val="none"/>
                <w:vertAlign w:val="baseline"/>
                <w:lang w:val="en-US" w:eastAsia="zh-CN"/>
              </w:rPr>
              <w:t>48</w:t>
            </w:r>
          </w:p>
        </w:tc>
        <w:tc>
          <w:tcPr>
            <w:tcW w:w="1690" w:type="dxa"/>
            <w:noWrap w:val="0"/>
            <w:vAlign w:val="center"/>
          </w:tcPr>
          <w:p w14:paraId="520DBB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激光测距仪</w:t>
            </w:r>
          </w:p>
        </w:tc>
        <w:tc>
          <w:tcPr>
            <w:tcW w:w="5928" w:type="dxa"/>
            <w:noWrap w:val="0"/>
            <w:vAlign w:val="center"/>
          </w:tcPr>
          <w:p w14:paraId="0B3017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手持式，1 mm～100 m，1 mm；</w:t>
            </w:r>
          </w:p>
        </w:tc>
        <w:tc>
          <w:tcPr>
            <w:tcW w:w="736" w:type="dxa"/>
            <w:noWrap w:val="0"/>
            <w:vAlign w:val="center"/>
          </w:tcPr>
          <w:p w14:paraId="7F939C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7474A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5AE10F46">
            <w:pPr>
              <w:jc w:val="center"/>
              <w:rPr>
                <w:highlight w:val="none"/>
              </w:rPr>
            </w:pPr>
          </w:p>
        </w:tc>
        <w:tc>
          <w:tcPr>
            <w:tcW w:w="710" w:type="dxa"/>
            <w:gridSpan w:val="2"/>
            <w:noWrap w:val="0"/>
            <w:vAlign w:val="center"/>
          </w:tcPr>
          <w:p w14:paraId="12845FB1">
            <w:pPr>
              <w:jc w:val="both"/>
              <w:rPr>
                <w:highlight w:val="none"/>
                <w:vertAlign w:val="baseline"/>
              </w:rPr>
            </w:pPr>
          </w:p>
        </w:tc>
      </w:tr>
      <w:tr w14:paraId="6989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33C5130">
            <w:pPr>
              <w:jc w:val="center"/>
              <w:rPr>
                <w:rFonts w:hint="default"/>
                <w:highlight w:val="none"/>
                <w:vertAlign w:val="baseline"/>
                <w:lang w:val="en-US" w:eastAsia="zh-CN"/>
              </w:rPr>
            </w:pPr>
            <w:r>
              <w:rPr>
                <w:rFonts w:hint="eastAsia"/>
                <w:highlight w:val="none"/>
                <w:vertAlign w:val="baseline"/>
                <w:lang w:val="en-US" w:eastAsia="zh-CN"/>
              </w:rPr>
              <w:t>49</w:t>
            </w:r>
          </w:p>
        </w:tc>
        <w:tc>
          <w:tcPr>
            <w:tcW w:w="1690" w:type="dxa"/>
            <w:noWrap w:val="0"/>
            <w:vAlign w:val="center"/>
          </w:tcPr>
          <w:p w14:paraId="5AEAC5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托盘天平</w:t>
            </w:r>
          </w:p>
        </w:tc>
        <w:tc>
          <w:tcPr>
            <w:tcW w:w="5928" w:type="dxa"/>
            <w:noWrap w:val="0"/>
            <w:vAlign w:val="center"/>
          </w:tcPr>
          <w:p w14:paraId="3A33158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200g,0.2g</w:t>
            </w:r>
          </w:p>
        </w:tc>
        <w:tc>
          <w:tcPr>
            <w:tcW w:w="736" w:type="dxa"/>
            <w:noWrap w:val="0"/>
            <w:vAlign w:val="center"/>
          </w:tcPr>
          <w:p w14:paraId="7DCF944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65380A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7398BAA3">
            <w:pPr>
              <w:jc w:val="center"/>
              <w:rPr>
                <w:highlight w:val="none"/>
              </w:rPr>
            </w:pPr>
          </w:p>
        </w:tc>
        <w:tc>
          <w:tcPr>
            <w:tcW w:w="710" w:type="dxa"/>
            <w:gridSpan w:val="2"/>
            <w:noWrap w:val="0"/>
            <w:vAlign w:val="center"/>
          </w:tcPr>
          <w:p w14:paraId="7D0DE205">
            <w:pPr>
              <w:jc w:val="both"/>
              <w:rPr>
                <w:highlight w:val="none"/>
                <w:vertAlign w:val="baseline"/>
              </w:rPr>
            </w:pPr>
          </w:p>
        </w:tc>
      </w:tr>
      <w:tr w14:paraId="525A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690A0F">
            <w:pPr>
              <w:jc w:val="center"/>
              <w:rPr>
                <w:rFonts w:hint="default"/>
                <w:highlight w:val="none"/>
                <w:vertAlign w:val="baseline"/>
                <w:lang w:val="en-US" w:eastAsia="zh-CN"/>
              </w:rPr>
            </w:pPr>
            <w:r>
              <w:rPr>
                <w:rFonts w:hint="eastAsia"/>
                <w:highlight w:val="none"/>
                <w:vertAlign w:val="baseline"/>
                <w:lang w:val="en-US" w:eastAsia="zh-CN"/>
              </w:rPr>
              <w:t>50</w:t>
            </w:r>
          </w:p>
        </w:tc>
        <w:tc>
          <w:tcPr>
            <w:tcW w:w="1690" w:type="dxa"/>
            <w:noWrap w:val="0"/>
            <w:vAlign w:val="center"/>
          </w:tcPr>
          <w:p w14:paraId="337317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电子天平</w:t>
            </w:r>
          </w:p>
        </w:tc>
        <w:tc>
          <w:tcPr>
            <w:tcW w:w="5928" w:type="dxa"/>
            <w:noWrap w:val="0"/>
            <w:vAlign w:val="center"/>
          </w:tcPr>
          <w:p w14:paraId="483A942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100G，0.001G</w:t>
            </w:r>
          </w:p>
        </w:tc>
        <w:tc>
          <w:tcPr>
            <w:tcW w:w="736" w:type="dxa"/>
            <w:noWrap w:val="0"/>
            <w:vAlign w:val="center"/>
          </w:tcPr>
          <w:p w14:paraId="6F93DF1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74736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C42511">
            <w:pPr>
              <w:jc w:val="center"/>
              <w:rPr>
                <w:highlight w:val="none"/>
              </w:rPr>
            </w:pPr>
          </w:p>
        </w:tc>
        <w:tc>
          <w:tcPr>
            <w:tcW w:w="710" w:type="dxa"/>
            <w:gridSpan w:val="2"/>
            <w:noWrap w:val="0"/>
            <w:vAlign w:val="center"/>
          </w:tcPr>
          <w:p w14:paraId="74DECDFB">
            <w:pPr>
              <w:jc w:val="both"/>
              <w:rPr>
                <w:highlight w:val="none"/>
                <w:vertAlign w:val="baseline"/>
              </w:rPr>
            </w:pPr>
          </w:p>
        </w:tc>
      </w:tr>
      <w:tr w14:paraId="48FA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21EFEBD">
            <w:pPr>
              <w:jc w:val="center"/>
              <w:rPr>
                <w:rFonts w:hint="default"/>
                <w:highlight w:val="none"/>
                <w:vertAlign w:val="baseline"/>
                <w:lang w:val="en-US" w:eastAsia="zh-CN"/>
              </w:rPr>
            </w:pPr>
            <w:r>
              <w:rPr>
                <w:rFonts w:hint="eastAsia"/>
                <w:highlight w:val="none"/>
                <w:vertAlign w:val="baseline"/>
                <w:lang w:val="en-US" w:eastAsia="zh-CN"/>
              </w:rPr>
              <w:t>51</w:t>
            </w:r>
          </w:p>
        </w:tc>
        <w:tc>
          <w:tcPr>
            <w:tcW w:w="1690" w:type="dxa"/>
            <w:noWrap w:val="0"/>
            <w:vAlign w:val="center"/>
          </w:tcPr>
          <w:p w14:paraId="5BB3FF7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电子天平</w:t>
            </w:r>
          </w:p>
        </w:tc>
        <w:tc>
          <w:tcPr>
            <w:tcW w:w="5928" w:type="dxa"/>
            <w:noWrap w:val="0"/>
            <w:vAlign w:val="center"/>
          </w:tcPr>
          <w:p w14:paraId="0B10262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500g0.01g</w:t>
            </w:r>
          </w:p>
        </w:tc>
        <w:tc>
          <w:tcPr>
            <w:tcW w:w="736" w:type="dxa"/>
            <w:noWrap w:val="0"/>
            <w:vAlign w:val="center"/>
          </w:tcPr>
          <w:p w14:paraId="10CFEA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61103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75B6C87">
            <w:pPr>
              <w:jc w:val="center"/>
              <w:rPr>
                <w:highlight w:val="none"/>
              </w:rPr>
            </w:pPr>
          </w:p>
        </w:tc>
        <w:tc>
          <w:tcPr>
            <w:tcW w:w="710" w:type="dxa"/>
            <w:gridSpan w:val="2"/>
            <w:noWrap w:val="0"/>
            <w:vAlign w:val="center"/>
          </w:tcPr>
          <w:p w14:paraId="1AACCB6D">
            <w:pPr>
              <w:jc w:val="both"/>
              <w:rPr>
                <w:highlight w:val="none"/>
                <w:vertAlign w:val="baseline"/>
              </w:rPr>
            </w:pPr>
          </w:p>
        </w:tc>
      </w:tr>
      <w:tr w14:paraId="3AEE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5633ED">
            <w:pPr>
              <w:jc w:val="center"/>
              <w:rPr>
                <w:rFonts w:hint="default"/>
                <w:highlight w:val="none"/>
                <w:vertAlign w:val="baseline"/>
                <w:lang w:val="en-US" w:eastAsia="zh-CN"/>
              </w:rPr>
            </w:pPr>
            <w:r>
              <w:rPr>
                <w:rFonts w:hint="eastAsia"/>
                <w:highlight w:val="none"/>
                <w:vertAlign w:val="baseline"/>
                <w:lang w:val="en-US" w:eastAsia="zh-CN"/>
              </w:rPr>
              <w:t>52</w:t>
            </w:r>
          </w:p>
        </w:tc>
        <w:tc>
          <w:tcPr>
            <w:tcW w:w="1690" w:type="dxa"/>
            <w:noWrap w:val="0"/>
            <w:vAlign w:val="center"/>
          </w:tcPr>
          <w:p w14:paraId="270D25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电子秒表</w:t>
            </w:r>
          </w:p>
        </w:tc>
        <w:tc>
          <w:tcPr>
            <w:tcW w:w="5928" w:type="dxa"/>
            <w:noWrap w:val="0"/>
            <w:vAlign w:val="center"/>
          </w:tcPr>
          <w:p w14:paraId="6934602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分辨力 0.01s</w:t>
            </w:r>
          </w:p>
        </w:tc>
        <w:tc>
          <w:tcPr>
            <w:tcW w:w="736" w:type="dxa"/>
            <w:noWrap w:val="0"/>
            <w:vAlign w:val="center"/>
          </w:tcPr>
          <w:p w14:paraId="5933AF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只</w:t>
            </w:r>
          </w:p>
        </w:tc>
        <w:tc>
          <w:tcPr>
            <w:tcW w:w="834" w:type="dxa"/>
            <w:noWrap w:val="0"/>
            <w:vAlign w:val="center"/>
          </w:tcPr>
          <w:p w14:paraId="60C9DE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D0CB893">
            <w:pPr>
              <w:jc w:val="center"/>
              <w:rPr>
                <w:highlight w:val="none"/>
              </w:rPr>
            </w:pPr>
          </w:p>
        </w:tc>
        <w:tc>
          <w:tcPr>
            <w:tcW w:w="710" w:type="dxa"/>
            <w:gridSpan w:val="2"/>
            <w:noWrap w:val="0"/>
            <w:vAlign w:val="center"/>
          </w:tcPr>
          <w:p w14:paraId="7044101F">
            <w:pPr>
              <w:jc w:val="both"/>
              <w:rPr>
                <w:highlight w:val="none"/>
                <w:vertAlign w:val="baseline"/>
              </w:rPr>
            </w:pPr>
          </w:p>
        </w:tc>
      </w:tr>
      <w:tr w14:paraId="0CA9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258457F">
            <w:pPr>
              <w:jc w:val="center"/>
              <w:rPr>
                <w:rFonts w:hint="default"/>
                <w:highlight w:val="none"/>
                <w:vertAlign w:val="baseline"/>
                <w:lang w:val="en-US" w:eastAsia="zh-CN"/>
              </w:rPr>
            </w:pPr>
            <w:r>
              <w:rPr>
                <w:rFonts w:hint="eastAsia"/>
                <w:highlight w:val="none"/>
                <w:vertAlign w:val="baseline"/>
                <w:lang w:val="en-US" w:eastAsia="zh-CN"/>
              </w:rPr>
              <w:t>53</w:t>
            </w:r>
          </w:p>
        </w:tc>
        <w:tc>
          <w:tcPr>
            <w:tcW w:w="1690" w:type="dxa"/>
            <w:noWrap w:val="0"/>
            <w:vAlign w:val="center"/>
          </w:tcPr>
          <w:p w14:paraId="71525D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红液温度计</w:t>
            </w:r>
          </w:p>
        </w:tc>
        <w:tc>
          <w:tcPr>
            <w:tcW w:w="5928" w:type="dxa"/>
            <w:noWrap w:val="0"/>
            <w:vAlign w:val="center"/>
          </w:tcPr>
          <w:p w14:paraId="4E273DC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 ℃～100 ℃</w:t>
            </w:r>
          </w:p>
        </w:tc>
        <w:tc>
          <w:tcPr>
            <w:tcW w:w="736" w:type="dxa"/>
            <w:noWrap w:val="0"/>
            <w:vAlign w:val="center"/>
          </w:tcPr>
          <w:p w14:paraId="7DBCD4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17EDD0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47228203">
            <w:pPr>
              <w:jc w:val="center"/>
              <w:rPr>
                <w:highlight w:val="none"/>
              </w:rPr>
            </w:pPr>
          </w:p>
        </w:tc>
        <w:tc>
          <w:tcPr>
            <w:tcW w:w="710" w:type="dxa"/>
            <w:gridSpan w:val="2"/>
            <w:noWrap w:val="0"/>
            <w:vAlign w:val="center"/>
          </w:tcPr>
          <w:p w14:paraId="6FE1321F">
            <w:pPr>
              <w:jc w:val="both"/>
              <w:rPr>
                <w:highlight w:val="none"/>
                <w:vertAlign w:val="baseline"/>
              </w:rPr>
            </w:pPr>
          </w:p>
        </w:tc>
      </w:tr>
      <w:tr w14:paraId="40D4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70C800">
            <w:pPr>
              <w:jc w:val="center"/>
              <w:rPr>
                <w:rFonts w:hint="default"/>
                <w:highlight w:val="none"/>
                <w:vertAlign w:val="baseline"/>
                <w:lang w:val="en-US" w:eastAsia="zh-CN"/>
              </w:rPr>
            </w:pPr>
            <w:r>
              <w:rPr>
                <w:rFonts w:hint="eastAsia"/>
                <w:highlight w:val="none"/>
                <w:vertAlign w:val="baseline"/>
                <w:lang w:val="en-US" w:eastAsia="zh-CN"/>
              </w:rPr>
              <w:t>54</w:t>
            </w:r>
          </w:p>
        </w:tc>
        <w:tc>
          <w:tcPr>
            <w:tcW w:w="1690" w:type="dxa"/>
            <w:noWrap w:val="0"/>
            <w:vAlign w:val="center"/>
          </w:tcPr>
          <w:p w14:paraId="2E9B8E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水银温度计</w:t>
            </w:r>
          </w:p>
        </w:tc>
        <w:tc>
          <w:tcPr>
            <w:tcW w:w="5928" w:type="dxa"/>
            <w:noWrap w:val="0"/>
            <w:vAlign w:val="center"/>
          </w:tcPr>
          <w:p w14:paraId="211D0BE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 ℃～200 ℃</w:t>
            </w:r>
          </w:p>
        </w:tc>
        <w:tc>
          <w:tcPr>
            <w:tcW w:w="736" w:type="dxa"/>
            <w:noWrap w:val="0"/>
            <w:vAlign w:val="center"/>
          </w:tcPr>
          <w:p w14:paraId="3E5481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080F39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15E9F27C">
            <w:pPr>
              <w:jc w:val="center"/>
              <w:rPr>
                <w:highlight w:val="none"/>
              </w:rPr>
            </w:pPr>
          </w:p>
        </w:tc>
        <w:tc>
          <w:tcPr>
            <w:tcW w:w="710" w:type="dxa"/>
            <w:gridSpan w:val="2"/>
            <w:noWrap w:val="0"/>
            <w:vAlign w:val="center"/>
          </w:tcPr>
          <w:p w14:paraId="4C95B450">
            <w:pPr>
              <w:jc w:val="both"/>
              <w:rPr>
                <w:highlight w:val="none"/>
                <w:vertAlign w:val="baseline"/>
              </w:rPr>
            </w:pPr>
          </w:p>
        </w:tc>
      </w:tr>
      <w:tr w14:paraId="2270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EB2AD7">
            <w:pPr>
              <w:jc w:val="center"/>
              <w:rPr>
                <w:rFonts w:hint="default"/>
                <w:highlight w:val="none"/>
                <w:vertAlign w:val="baseline"/>
                <w:lang w:val="en-US" w:eastAsia="zh-CN"/>
              </w:rPr>
            </w:pPr>
            <w:r>
              <w:rPr>
                <w:rFonts w:hint="eastAsia"/>
                <w:highlight w:val="none"/>
                <w:vertAlign w:val="baseline"/>
                <w:lang w:val="en-US" w:eastAsia="zh-CN"/>
              </w:rPr>
              <w:t>55</w:t>
            </w:r>
          </w:p>
        </w:tc>
        <w:tc>
          <w:tcPr>
            <w:tcW w:w="1690" w:type="dxa"/>
            <w:noWrap w:val="0"/>
            <w:vAlign w:val="center"/>
          </w:tcPr>
          <w:p w14:paraId="3C858B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干湿球温度计</w:t>
            </w:r>
          </w:p>
        </w:tc>
        <w:tc>
          <w:tcPr>
            <w:tcW w:w="5928" w:type="dxa"/>
            <w:noWrap w:val="0"/>
            <w:vAlign w:val="center"/>
          </w:tcPr>
          <w:p w14:paraId="1F55E35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 ℃～50 ℃，分度值 0.2 ℃；测量湿度</w:t>
            </w:r>
          </w:p>
        </w:tc>
        <w:tc>
          <w:tcPr>
            <w:tcW w:w="736" w:type="dxa"/>
            <w:noWrap w:val="0"/>
            <w:vAlign w:val="center"/>
          </w:tcPr>
          <w:p w14:paraId="18F553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E256B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5866CB5">
            <w:pPr>
              <w:jc w:val="center"/>
              <w:rPr>
                <w:highlight w:val="none"/>
              </w:rPr>
            </w:pPr>
          </w:p>
        </w:tc>
        <w:tc>
          <w:tcPr>
            <w:tcW w:w="710" w:type="dxa"/>
            <w:gridSpan w:val="2"/>
            <w:noWrap w:val="0"/>
            <w:vAlign w:val="center"/>
          </w:tcPr>
          <w:p w14:paraId="7A13C984">
            <w:pPr>
              <w:jc w:val="both"/>
              <w:rPr>
                <w:highlight w:val="none"/>
                <w:vertAlign w:val="baseline"/>
              </w:rPr>
            </w:pPr>
          </w:p>
        </w:tc>
      </w:tr>
      <w:tr w14:paraId="1F55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320FB6">
            <w:pPr>
              <w:jc w:val="center"/>
              <w:rPr>
                <w:rFonts w:hint="default"/>
                <w:highlight w:val="none"/>
                <w:vertAlign w:val="baseline"/>
                <w:lang w:val="en-US" w:eastAsia="zh-CN"/>
              </w:rPr>
            </w:pPr>
            <w:r>
              <w:rPr>
                <w:rFonts w:hint="eastAsia"/>
                <w:highlight w:val="none"/>
                <w:vertAlign w:val="baseline"/>
                <w:lang w:val="en-US" w:eastAsia="zh-CN"/>
              </w:rPr>
              <w:t>56</w:t>
            </w:r>
          </w:p>
        </w:tc>
        <w:tc>
          <w:tcPr>
            <w:tcW w:w="1690" w:type="dxa"/>
            <w:noWrap w:val="0"/>
            <w:vAlign w:val="center"/>
          </w:tcPr>
          <w:p w14:paraId="285BEF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计数器</w:t>
            </w:r>
          </w:p>
        </w:tc>
        <w:tc>
          <w:tcPr>
            <w:tcW w:w="5928" w:type="dxa"/>
            <w:noWrap w:val="0"/>
            <w:vAlign w:val="center"/>
          </w:tcPr>
          <w:p w14:paraId="60F647F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手持式</w:t>
            </w:r>
          </w:p>
        </w:tc>
        <w:tc>
          <w:tcPr>
            <w:tcW w:w="736" w:type="dxa"/>
            <w:noWrap w:val="0"/>
            <w:vAlign w:val="center"/>
          </w:tcPr>
          <w:p w14:paraId="5A85F90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E78CD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4B589403">
            <w:pPr>
              <w:jc w:val="center"/>
              <w:rPr>
                <w:highlight w:val="none"/>
              </w:rPr>
            </w:pPr>
          </w:p>
        </w:tc>
        <w:tc>
          <w:tcPr>
            <w:tcW w:w="710" w:type="dxa"/>
            <w:gridSpan w:val="2"/>
            <w:noWrap w:val="0"/>
            <w:vAlign w:val="center"/>
          </w:tcPr>
          <w:p w14:paraId="4190EF7E">
            <w:pPr>
              <w:jc w:val="both"/>
              <w:rPr>
                <w:highlight w:val="none"/>
                <w:vertAlign w:val="baseline"/>
              </w:rPr>
            </w:pPr>
          </w:p>
        </w:tc>
      </w:tr>
      <w:tr w14:paraId="036F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903646">
            <w:pPr>
              <w:jc w:val="center"/>
              <w:rPr>
                <w:rFonts w:hint="default"/>
                <w:highlight w:val="none"/>
                <w:vertAlign w:val="baseline"/>
                <w:lang w:val="en-US" w:eastAsia="zh-CN"/>
              </w:rPr>
            </w:pPr>
            <w:r>
              <w:rPr>
                <w:rFonts w:hint="eastAsia"/>
                <w:highlight w:val="none"/>
                <w:vertAlign w:val="baseline"/>
                <w:lang w:val="en-US" w:eastAsia="zh-CN"/>
              </w:rPr>
              <w:t>57</w:t>
            </w:r>
          </w:p>
        </w:tc>
        <w:tc>
          <w:tcPr>
            <w:tcW w:w="1690" w:type="dxa"/>
            <w:noWrap w:val="0"/>
            <w:vAlign w:val="center"/>
          </w:tcPr>
          <w:p w14:paraId="55D38C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解剖器（七件）</w:t>
            </w:r>
          </w:p>
        </w:tc>
        <w:tc>
          <w:tcPr>
            <w:tcW w:w="5928" w:type="dxa"/>
            <w:noWrap w:val="0"/>
            <w:vAlign w:val="center"/>
          </w:tcPr>
          <w:p w14:paraId="68E9268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w:t>
            </w:r>
          </w:p>
        </w:tc>
        <w:tc>
          <w:tcPr>
            <w:tcW w:w="736" w:type="dxa"/>
            <w:noWrap w:val="0"/>
            <w:vAlign w:val="center"/>
          </w:tcPr>
          <w:p w14:paraId="294FF7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86CA3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C6F05F7">
            <w:pPr>
              <w:jc w:val="center"/>
              <w:rPr>
                <w:highlight w:val="none"/>
              </w:rPr>
            </w:pPr>
          </w:p>
        </w:tc>
        <w:tc>
          <w:tcPr>
            <w:tcW w:w="710" w:type="dxa"/>
            <w:gridSpan w:val="2"/>
            <w:noWrap w:val="0"/>
            <w:vAlign w:val="center"/>
          </w:tcPr>
          <w:p w14:paraId="3F17ABBE">
            <w:pPr>
              <w:jc w:val="both"/>
              <w:rPr>
                <w:highlight w:val="none"/>
                <w:vertAlign w:val="baseline"/>
              </w:rPr>
            </w:pPr>
          </w:p>
        </w:tc>
      </w:tr>
      <w:tr w14:paraId="2D36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8963D35">
            <w:pPr>
              <w:jc w:val="center"/>
              <w:rPr>
                <w:rFonts w:hint="default"/>
                <w:highlight w:val="none"/>
                <w:vertAlign w:val="baseline"/>
                <w:lang w:val="en-US" w:eastAsia="zh-CN"/>
              </w:rPr>
            </w:pPr>
            <w:r>
              <w:rPr>
                <w:rFonts w:hint="eastAsia"/>
                <w:highlight w:val="none"/>
                <w:vertAlign w:val="baseline"/>
                <w:lang w:val="en-US" w:eastAsia="zh-CN"/>
              </w:rPr>
              <w:t>58</w:t>
            </w:r>
          </w:p>
        </w:tc>
        <w:tc>
          <w:tcPr>
            <w:tcW w:w="1690" w:type="dxa"/>
            <w:noWrap w:val="0"/>
            <w:vAlign w:val="center"/>
          </w:tcPr>
          <w:p w14:paraId="05AE97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解剖盘</w:t>
            </w:r>
          </w:p>
        </w:tc>
        <w:tc>
          <w:tcPr>
            <w:tcW w:w="5928" w:type="dxa"/>
            <w:noWrap w:val="0"/>
            <w:vAlign w:val="center"/>
          </w:tcPr>
          <w:p w14:paraId="5048F1F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盛有石蜡的金属盘尺寸约140mm×250mm×10mm</w:t>
            </w:r>
          </w:p>
        </w:tc>
        <w:tc>
          <w:tcPr>
            <w:tcW w:w="736" w:type="dxa"/>
            <w:noWrap w:val="0"/>
            <w:vAlign w:val="center"/>
          </w:tcPr>
          <w:p w14:paraId="459554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731381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1AB1EB3">
            <w:pPr>
              <w:jc w:val="center"/>
              <w:rPr>
                <w:highlight w:val="none"/>
              </w:rPr>
            </w:pPr>
          </w:p>
        </w:tc>
        <w:tc>
          <w:tcPr>
            <w:tcW w:w="710" w:type="dxa"/>
            <w:gridSpan w:val="2"/>
            <w:noWrap w:val="0"/>
            <w:vAlign w:val="center"/>
          </w:tcPr>
          <w:p w14:paraId="332201D0">
            <w:pPr>
              <w:jc w:val="both"/>
              <w:rPr>
                <w:highlight w:val="none"/>
                <w:vertAlign w:val="baseline"/>
              </w:rPr>
            </w:pPr>
          </w:p>
        </w:tc>
      </w:tr>
      <w:tr w14:paraId="5237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2FCC40">
            <w:pPr>
              <w:jc w:val="center"/>
              <w:rPr>
                <w:rFonts w:hint="default"/>
                <w:highlight w:val="none"/>
                <w:vertAlign w:val="baseline"/>
                <w:lang w:val="en-US" w:eastAsia="zh-CN"/>
              </w:rPr>
            </w:pPr>
            <w:r>
              <w:rPr>
                <w:rFonts w:hint="eastAsia"/>
                <w:highlight w:val="none"/>
                <w:vertAlign w:val="baseline"/>
                <w:lang w:val="en-US" w:eastAsia="zh-CN"/>
              </w:rPr>
              <w:t>59</w:t>
            </w:r>
          </w:p>
        </w:tc>
        <w:tc>
          <w:tcPr>
            <w:tcW w:w="1690" w:type="dxa"/>
            <w:noWrap w:val="0"/>
            <w:vAlign w:val="center"/>
          </w:tcPr>
          <w:p w14:paraId="44F1DC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骨剪</w:t>
            </w:r>
          </w:p>
        </w:tc>
        <w:tc>
          <w:tcPr>
            <w:tcW w:w="5928" w:type="dxa"/>
            <w:noWrap w:val="0"/>
            <w:vAlign w:val="center"/>
          </w:tcPr>
          <w:p w14:paraId="71BCE9B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130 mm</w:t>
            </w:r>
          </w:p>
        </w:tc>
        <w:tc>
          <w:tcPr>
            <w:tcW w:w="736" w:type="dxa"/>
            <w:noWrap w:val="0"/>
            <w:vAlign w:val="center"/>
          </w:tcPr>
          <w:p w14:paraId="759DFE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4143AE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9D6AA58">
            <w:pPr>
              <w:jc w:val="center"/>
              <w:rPr>
                <w:highlight w:val="none"/>
              </w:rPr>
            </w:pPr>
          </w:p>
        </w:tc>
        <w:tc>
          <w:tcPr>
            <w:tcW w:w="710" w:type="dxa"/>
            <w:gridSpan w:val="2"/>
            <w:noWrap w:val="0"/>
            <w:vAlign w:val="center"/>
          </w:tcPr>
          <w:p w14:paraId="49D650D7">
            <w:pPr>
              <w:jc w:val="both"/>
              <w:rPr>
                <w:highlight w:val="none"/>
                <w:vertAlign w:val="baseline"/>
              </w:rPr>
            </w:pPr>
          </w:p>
        </w:tc>
      </w:tr>
      <w:tr w14:paraId="0ECC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6324F4">
            <w:pPr>
              <w:jc w:val="center"/>
              <w:rPr>
                <w:rFonts w:hint="default"/>
                <w:highlight w:val="none"/>
                <w:vertAlign w:val="baseline"/>
                <w:lang w:val="en-US" w:eastAsia="zh-CN"/>
              </w:rPr>
            </w:pPr>
            <w:r>
              <w:rPr>
                <w:rFonts w:hint="eastAsia"/>
                <w:highlight w:val="none"/>
                <w:vertAlign w:val="baseline"/>
                <w:lang w:val="en-US" w:eastAsia="zh-CN"/>
              </w:rPr>
              <w:t>60</w:t>
            </w:r>
          </w:p>
        </w:tc>
        <w:tc>
          <w:tcPr>
            <w:tcW w:w="1690" w:type="dxa"/>
            <w:noWrap w:val="0"/>
            <w:vAlign w:val="center"/>
          </w:tcPr>
          <w:p w14:paraId="7374E4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普通手术剪</w:t>
            </w:r>
          </w:p>
        </w:tc>
        <w:tc>
          <w:tcPr>
            <w:tcW w:w="5928" w:type="dxa"/>
            <w:noWrap w:val="0"/>
            <w:vAlign w:val="center"/>
          </w:tcPr>
          <w:p w14:paraId="1A55BDF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尖头，140 mm</w:t>
            </w:r>
          </w:p>
        </w:tc>
        <w:tc>
          <w:tcPr>
            <w:tcW w:w="736" w:type="dxa"/>
            <w:noWrap w:val="0"/>
            <w:vAlign w:val="center"/>
          </w:tcPr>
          <w:p w14:paraId="56B254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292F2E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7A4FE9E3">
            <w:pPr>
              <w:jc w:val="center"/>
              <w:rPr>
                <w:highlight w:val="none"/>
              </w:rPr>
            </w:pPr>
          </w:p>
        </w:tc>
        <w:tc>
          <w:tcPr>
            <w:tcW w:w="710" w:type="dxa"/>
            <w:gridSpan w:val="2"/>
            <w:noWrap w:val="0"/>
            <w:vAlign w:val="center"/>
          </w:tcPr>
          <w:p w14:paraId="35F91C90">
            <w:pPr>
              <w:jc w:val="both"/>
              <w:rPr>
                <w:highlight w:val="none"/>
                <w:vertAlign w:val="baseline"/>
              </w:rPr>
            </w:pPr>
          </w:p>
        </w:tc>
      </w:tr>
      <w:tr w14:paraId="574D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DB8252">
            <w:pPr>
              <w:jc w:val="center"/>
              <w:rPr>
                <w:rFonts w:hint="default"/>
                <w:highlight w:val="none"/>
                <w:vertAlign w:val="baseline"/>
                <w:lang w:val="en-US" w:eastAsia="zh-CN"/>
              </w:rPr>
            </w:pPr>
            <w:r>
              <w:rPr>
                <w:rFonts w:hint="eastAsia"/>
                <w:highlight w:val="none"/>
                <w:vertAlign w:val="baseline"/>
                <w:lang w:val="en-US" w:eastAsia="zh-CN"/>
              </w:rPr>
              <w:t>61</w:t>
            </w:r>
          </w:p>
        </w:tc>
        <w:tc>
          <w:tcPr>
            <w:tcW w:w="1690" w:type="dxa"/>
            <w:noWrap w:val="0"/>
            <w:vAlign w:val="center"/>
          </w:tcPr>
          <w:p w14:paraId="5DE1A3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眼用手术剪</w:t>
            </w:r>
          </w:p>
        </w:tc>
        <w:tc>
          <w:tcPr>
            <w:tcW w:w="5928" w:type="dxa"/>
            <w:noWrap w:val="0"/>
            <w:vAlign w:val="center"/>
          </w:tcPr>
          <w:p w14:paraId="6CC9FAC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尖头，100 mm</w:t>
            </w:r>
          </w:p>
        </w:tc>
        <w:tc>
          <w:tcPr>
            <w:tcW w:w="736" w:type="dxa"/>
            <w:noWrap w:val="0"/>
            <w:vAlign w:val="center"/>
          </w:tcPr>
          <w:p w14:paraId="7E252A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F72D5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E03C0B8">
            <w:pPr>
              <w:jc w:val="center"/>
              <w:rPr>
                <w:highlight w:val="none"/>
              </w:rPr>
            </w:pPr>
          </w:p>
        </w:tc>
        <w:tc>
          <w:tcPr>
            <w:tcW w:w="710" w:type="dxa"/>
            <w:gridSpan w:val="2"/>
            <w:noWrap w:val="0"/>
            <w:vAlign w:val="center"/>
          </w:tcPr>
          <w:p w14:paraId="727D7D6F">
            <w:pPr>
              <w:jc w:val="both"/>
              <w:rPr>
                <w:highlight w:val="none"/>
                <w:vertAlign w:val="baseline"/>
              </w:rPr>
            </w:pPr>
          </w:p>
        </w:tc>
      </w:tr>
      <w:tr w14:paraId="272B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540EFC">
            <w:pPr>
              <w:jc w:val="center"/>
              <w:rPr>
                <w:rFonts w:hint="default"/>
                <w:highlight w:val="none"/>
                <w:vertAlign w:val="baseline"/>
                <w:lang w:val="en-US" w:eastAsia="zh-CN"/>
              </w:rPr>
            </w:pPr>
            <w:r>
              <w:rPr>
                <w:rFonts w:hint="eastAsia"/>
                <w:highlight w:val="none"/>
                <w:vertAlign w:val="baseline"/>
                <w:lang w:val="en-US" w:eastAsia="zh-CN"/>
              </w:rPr>
              <w:t>62</w:t>
            </w:r>
          </w:p>
        </w:tc>
        <w:tc>
          <w:tcPr>
            <w:tcW w:w="1690" w:type="dxa"/>
            <w:noWrap w:val="0"/>
            <w:vAlign w:val="center"/>
          </w:tcPr>
          <w:p w14:paraId="600A1E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手术刀柄</w:t>
            </w:r>
          </w:p>
        </w:tc>
        <w:tc>
          <w:tcPr>
            <w:tcW w:w="5928" w:type="dxa"/>
            <w:noWrap w:val="0"/>
            <w:vAlign w:val="center"/>
          </w:tcPr>
          <w:p w14:paraId="2CA8A34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配套手术刀片</w:t>
            </w:r>
          </w:p>
        </w:tc>
        <w:tc>
          <w:tcPr>
            <w:tcW w:w="736" w:type="dxa"/>
            <w:noWrap w:val="0"/>
            <w:vAlign w:val="center"/>
          </w:tcPr>
          <w:p w14:paraId="54389A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122817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1D584A26">
            <w:pPr>
              <w:jc w:val="center"/>
              <w:rPr>
                <w:highlight w:val="none"/>
              </w:rPr>
            </w:pPr>
          </w:p>
        </w:tc>
        <w:tc>
          <w:tcPr>
            <w:tcW w:w="710" w:type="dxa"/>
            <w:gridSpan w:val="2"/>
            <w:noWrap w:val="0"/>
            <w:vAlign w:val="center"/>
          </w:tcPr>
          <w:p w14:paraId="3913CA59">
            <w:pPr>
              <w:jc w:val="both"/>
              <w:rPr>
                <w:highlight w:val="none"/>
                <w:vertAlign w:val="baseline"/>
              </w:rPr>
            </w:pPr>
          </w:p>
        </w:tc>
      </w:tr>
      <w:tr w14:paraId="6844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68E106">
            <w:pPr>
              <w:jc w:val="center"/>
              <w:rPr>
                <w:rFonts w:hint="default"/>
                <w:highlight w:val="none"/>
                <w:vertAlign w:val="baseline"/>
                <w:lang w:val="en-US" w:eastAsia="zh-CN"/>
              </w:rPr>
            </w:pPr>
            <w:r>
              <w:rPr>
                <w:rFonts w:hint="eastAsia"/>
                <w:highlight w:val="none"/>
                <w:vertAlign w:val="baseline"/>
                <w:lang w:val="en-US" w:eastAsia="zh-CN"/>
              </w:rPr>
              <w:t>63</w:t>
            </w:r>
          </w:p>
        </w:tc>
        <w:tc>
          <w:tcPr>
            <w:tcW w:w="1690" w:type="dxa"/>
            <w:noWrap w:val="0"/>
            <w:vAlign w:val="center"/>
          </w:tcPr>
          <w:p w14:paraId="58C150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手术刀片</w:t>
            </w:r>
          </w:p>
        </w:tc>
        <w:tc>
          <w:tcPr>
            <w:tcW w:w="5928" w:type="dxa"/>
            <w:noWrap w:val="0"/>
            <w:vAlign w:val="center"/>
          </w:tcPr>
          <w:p w14:paraId="5B5061E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刀片应平整，刃口应锋利</w:t>
            </w:r>
          </w:p>
        </w:tc>
        <w:tc>
          <w:tcPr>
            <w:tcW w:w="736" w:type="dxa"/>
            <w:noWrap w:val="0"/>
            <w:vAlign w:val="center"/>
          </w:tcPr>
          <w:p w14:paraId="2E10A0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w:t>
            </w:r>
          </w:p>
        </w:tc>
        <w:tc>
          <w:tcPr>
            <w:tcW w:w="834" w:type="dxa"/>
            <w:noWrap w:val="0"/>
            <w:vAlign w:val="center"/>
          </w:tcPr>
          <w:p w14:paraId="5953BF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B3E0A47">
            <w:pPr>
              <w:jc w:val="center"/>
              <w:rPr>
                <w:highlight w:val="none"/>
              </w:rPr>
            </w:pPr>
          </w:p>
        </w:tc>
        <w:tc>
          <w:tcPr>
            <w:tcW w:w="710" w:type="dxa"/>
            <w:gridSpan w:val="2"/>
            <w:noWrap w:val="0"/>
            <w:vAlign w:val="center"/>
          </w:tcPr>
          <w:p w14:paraId="391FCE4B">
            <w:pPr>
              <w:jc w:val="both"/>
              <w:rPr>
                <w:highlight w:val="none"/>
                <w:vertAlign w:val="baseline"/>
              </w:rPr>
            </w:pPr>
          </w:p>
        </w:tc>
      </w:tr>
      <w:tr w14:paraId="77AC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335E3E">
            <w:pPr>
              <w:jc w:val="center"/>
              <w:rPr>
                <w:rFonts w:hint="default"/>
                <w:highlight w:val="none"/>
                <w:vertAlign w:val="baseline"/>
                <w:lang w:val="en-US" w:eastAsia="zh-CN"/>
              </w:rPr>
            </w:pPr>
            <w:r>
              <w:rPr>
                <w:rFonts w:hint="eastAsia"/>
                <w:highlight w:val="none"/>
                <w:vertAlign w:val="baseline"/>
                <w:lang w:val="en-US" w:eastAsia="zh-CN"/>
              </w:rPr>
              <w:t>64</w:t>
            </w:r>
          </w:p>
        </w:tc>
        <w:tc>
          <w:tcPr>
            <w:tcW w:w="1690" w:type="dxa"/>
            <w:noWrap w:val="0"/>
            <w:vAlign w:val="center"/>
          </w:tcPr>
          <w:p w14:paraId="5DE00D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双面刀片</w:t>
            </w:r>
          </w:p>
        </w:tc>
        <w:tc>
          <w:tcPr>
            <w:tcW w:w="5928" w:type="dxa"/>
            <w:noWrap w:val="0"/>
            <w:vAlign w:val="center"/>
          </w:tcPr>
          <w:p w14:paraId="744CA2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43 mm×22 mm10片</w:t>
            </w:r>
          </w:p>
        </w:tc>
        <w:tc>
          <w:tcPr>
            <w:tcW w:w="736" w:type="dxa"/>
            <w:noWrap w:val="0"/>
            <w:vAlign w:val="center"/>
          </w:tcPr>
          <w:p w14:paraId="0989BA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w:t>
            </w:r>
          </w:p>
        </w:tc>
        <w:tc>
          <w:tcPr>
            <w:tcW w:w="834" w:type="dxa"/>
            <w:noWrap w:val="0"/>
            <w:vAlign w:val="center"/>
          </w:tcPr>
          <w:p w14:paraId="7A12A6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3FB40EF2">
            <w:pPr>
              <w:jc w:val="center"/>
              <w:rPr>
                <w:highlight w:val="none"/>
              </w:rPr>
            </w:pPr>
          </w:p>
        </w:tc>
        <w:tc>
          <w:tcPr>
            <w:tcW w:w="710" w:type="dxa"/>
            <w:gridSpan w:val="2"/>
            <w:noWrap w:val="0"/>
            <w:vAlign w:val="center"/>
          </w:tcPr>
          <w:p w14:paraId="2886DCA4">
            <w:pPr>
              <w:jc w:val="both"/>
              <w:rPr>
                <w:highlight w:val="none"/>
                <w:vertAlign w:val="baseline"/>
              </w:rPr>
            </w:pPr>
          </w:p>
        </w:tc>
      </w:tr>
      <w:tr w14:paraId="5518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5D1383">
            <w:pPr>
              <w:jc w:val="center"/>
              <w:rPr>
                <w:rFonts w:hint="default"/>
                <w:highlight w:val="none"/>
                <w:vertAlign w:val="baseline"/>
                <w:lang w:val="en-US" w:eastAsia="zh-CN"/>
              </w:rPr>
            </w:pPr>
            <w:r>
              <w:rPr>
                <w:rFonts w:hint="eastAsia"/>
                <w:highlight w:val="none"/>
                <w:vertAlign w:val="baseline"/>
                <w:lang w:val="en-US" w:eastAsia="zh-CN"/>
              </w:rPr>
              <w:t>65</w:t>
            </w:r>
          </w:p>
        </w:tc>
        <w:tc>
          <w:tcPr>
            <w:tcW w:w="1690" w:type="dxa"/>
            <w:noWrap w:val="0"/>
            <w:vAlign w:val="center"/>
          </w:tcPr>
          <w:p w14:paraId="218845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镊子</w:t>
            </w:r>
          </w:p>
        </w:tc>
        <w:tc>
          <w:tcPr>
            <w:tcW w:w="5928" w:type="dxa"/>
            <w:noWrap w:val="0"/>
            <w:vAlign w:val="center"/>
          </w:tcPr>
          <w:p w14:paraId="3B190E5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尖头，140 mm  </w:t>
            </w:r>
          </w:p>
        </w:tc>
        <w:tc>
          <w:tcPr>
            <w:tcW w:w="736" w:type="dxa"/>
            <w:noWrap w:val="0"/>
            <w:vAlign w:val="center"/>
          </w:tcPr>
          <w:p w14:paraId="1FDA584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038423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3E817818">
            <w:pPr>
              <w:jc w:val="center"/>
              <w:rPr>
                <w:highlight w:val="none"/>
              </w:rPr>
            </w:pPr>
          </w:p>
        </w:tc>
        <w:tc>
          <w:tcPr>
            <w:tcW w:w="710" w:type="dxa"/>
            <w:gridSpan w:val="2"/>
            <w:noWrap w:val="0"/>
            <w:vAlign w:val="center"/>
          </w:tcPr>
          <w:p w14:paraId="3E03B836">
            <w:pPr>
              <w:jc w:val="both"/>
              <w:rPr>
                <w:highlight w:val="none"/>
                <w:vertAlign w:val="baseline"/>
              </w:rPr>
            </w:pPr>
          </w:p>
        </w:tc>
      </w:tr>
      <w:tr w14:paraId="7F7D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33ED2A6">
            <w:pPr>
              <w:jc w:val="center"/>
              <w:rPr>
                <w:rFonts w:hint="default"/>
                <w:highlight w:val="none"/>
                <w:vertAlign w:val="baseline"/>
                <w:lang w:val="en-US" w:eastAsia="zh-CN"/>
              </w:rPr>
            </w:pPr>
            <w:r>
              <w:rPr>
                <w:rFonts w:hint="eastAsia"/>
                <w:highlight w:val="none"/>
                <w:vertAlign w:val="baseline"/>
                <w:lang w:val="en-US" w:eastAsia="zh-CN"/>
              </w:rPr>
              <w:t>66</w:t>
            </w:r>
          </w:p>
        </w:tc>
        <w:tc>
          <w:tcPr>
            <w:tcW w:w="1690" w:type="dxa"/>
            <w:noWrap w:val="0"/>
            <w:vAlign w:val="center"/>
          </w:tcPr>
          <w:p w14:paraId="1DD751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镊子</w:t>
            </w:r>
          </w:p>
        </w:tc>
        <w:tc>
          <w:tcPr>
            <w:tcW w:w="5928" w:type="dxa"/>
            <w:noWrap w:val="0"/>
            <w:vAlign w:val="center"/>
          </w:tcPr>
          <w:p w14:paraId="51D78B2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弯头，140 mm  </w:t>
            </w:r>
          </w:p>
        </w:tc>
        <w:tc>
          <w:tcPr>
            <w:tcW w:w="736" w:type="dxa"/>
            <w:noWrap w:val="0"/>
            <w:vAlign w:val="center"/>
          </w:tcPr>
          <w:p w14:paraId="1681D3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7EA7AE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2348B06B">
            <w:pPr>
              <w:jc w:val="center"/>
              <w:rPr>
                <w:highlight w:val="none"/>
              </w:rPr>
            </w:pPr>
          </w:p>
        </w:tc>
        <w:tc>
          <w:tcPr>
            <w:tcW w:w="710" w:type="dxa"/>
            <w:gridSpan w:val="2"/>
            <w:noWrap w:val="0"/>
            <w:vAlign w:val="center"/>
          </w:tcPr>
          <w:p w14:paraId="1B055383">
            <w:pPr>
              <w:jc w:val="both"/>
              <w:rPr>
                <w:highlight w:val="none"/>
                <w:vertAlign w:val="baseline"/>
              </w:rPr>
            </w:pPr>
          </w:p>
        </w:tc>
      </w:tr>
      <w:tr w14:paraId="4251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279A49">
            <w:pPr>
              <w:jc w:val="center"/>
              <w:rPr>
                <w:rFonts w:hint="default"/>
                <w:highlight w:val="none"/>
                <w:vertAlign w:val="baseline"/>
                <w:lang w:val="en-US" w:eastAsia="zh-CN"/>
              </w:rPr>
            </w:pPr>
            <w:r>
              <w:rPr>
                <w:rFonts w:hint="eastAsia"/>
                <w:highlight w:val="none"/>
                <w:vertAlign w:val="baseline"/>
                <w:lang w:val="en-US" w:eastAsia="zh-CN"/>
              </w:rPr>
              <w:t>67</w:t>
            </w:r>
          </w:p>
        </w:tc>
        <w:tc>
          <w:tcPr>
            <w:tcW w:w="1690" w:type="dxa"/>
            <w:noWrap w:val="0"/>
            <w:vAlign w:val="center"/>
          </w:tcPr>
          <w:p w14:paraId="769BC5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眼用镊</w:t>
            </w:r>
          </w:p>
        </w:tc>
        <w:tc>
          <w:tcPr>
            <w:tcW w:w="5928" w:type="dxa"/>
            <w:noWrap w:val="0"/>
            <w:vAlign w:val="center"/>
          </w:tcPr>
          <w:p w14:paraId="6DE8C87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直唇头齿，100mm</w:t>
            </w:r>
          </w:p>
        </w:tc>
        <w:tc>
          <w:tcPr>
            <w:tcW w:w="736" w:type="dxa"/>
            <w:noWrap w:val="0"/>
            <w:vAlign w:val="center"/>
          </w:tcPr>
          <w:p w14:paraId="2C0D60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76BB13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0D602FE8">
            <w:pPr>
              <w:jc w:val="center"/>
              <w:rPr>
                <w:highlight w:val="none"/>
              </w:rPr>
            </w:pPr>
          </w:p>
        </w:tc>
        <w:tc>
          <w:tcPr>
            <w:tcW w:w="710" w:type="dxa"/>
            <w:gridSpan w:val="2"/>
            <w:noWrap w:val="0"/>
            <w:vAlign w:val="center"/>
          </w:tcPr>
          <w:p w14:paraId="326DA9CF">
            <w:pPr>
              <w:jc w:val="both"/>
              <w:rPr>
                <w:highlight w:val="none"/>
                <w:vertAlign w:val="baseline"/>
              </w:rPr>
            </w:pPr>
          </w:p>
        </w:tc>
      </w:tr>
      <w:tr w14:paraId="011F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57D044">
            <w:pPr>
              <w:jc w:val="center"/>
              <w:rPr>
                <w:rFonts w:hint="default"/>
                <w:highlight w:val="none"/>
                <w:vertAlign w:val="baseline"/>
                <w:lang w:val="en-US" w:eastAsia="zh-CN"/>
              </w:rPr>
            </w:pPr>
            <w:r>
              <w:rPr>
                <w:rFonts w:hint="eastAsia"/>
                <w:highlight w:val="none"/>
                <w:vertAlign w:val="baseline"/>
                <w:lang w:val="en-US" w:eastAsia="zh-CN"/>
              </w:rPr>
              <w:t>68</w:t>
            </w:r>
          </w:p>
        </w:tc>
        <w:tc>
          <w:tcPr>
            <w:tcW w:w="1690" w:type="dxa"/>
            <w:noWrap w:val="0"/>
            <w:vAlign w:val="center"/>
          </w:tcPr>
          <w:p w14:paraId="0B1AE3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解剖针</w:t>
            </w:r>
          </w:p>
        </w:tc>
        <w:tc>
          <w:tcPr>
            <w:tcW w:w="5928" w:type="dxa"/>
            <w:noWrap w:val="0"/>
            <w:vAlign w:val="center"/>
          </w:tcPr>
          <w:p w14:paraId="4E1D3C2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直型</w:t>
            </w:r>
          </w:p>
        </w:tc>
        <w:tc>
          <w:tcPr>
            <w:tcW w:w="736" w:type="dxa"/>
            <w:noWrap w:val="0"/>
            <w:vAlign w:val="center"/>
          </w:tcPr>
          <w:p w14:paraId="40001F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C5381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0113154A">
            <w:pPr>
              <w:jc w:val="center"/>
              <w:rPr>
                <w:highlight w:val="none"/>
              </w:rPr>
            </w:pPr>
          </w:p>
        </w:tc>
        <w:tc>
          <w:tcPr>
            <w:tcW w:w="710" w:type="dxa"/>
            <w:gridSpan w:val="2"/>
            <w:noWrap w:val="0"/>
            <w:vAlign w:val="center"/>
          </w:tcPr>
          <w:p w14:paraId="5DED0668">
            <w:pPr>
              <w:jc w:val="both"/>
              <w:rPr>
                <w:highlight w:val="none"/>
                <w:vertAlign w:val="baseline"/>
              </w:rPr>
            </w:pPr>
          </w:p>
        </w:tc>
      </w:tr>
      <w:tr w14:paraId="25FC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3DBE718B">
            <w:pPr>
              <w:jc w:val="center"/>
              <w:rPr>
                <w:rFonts w:hint="default"/>
                <w:highlight w:val="none"/>
                <w:vertAlign w:val="baseline"/>
                <w:lang w:val="en-US" w:eastAsia="zh-CN"/>
              </w:rPr>
            </w:pPr>
            <w:r>
              <w:rPr>
                <w:rFonts w:hint="eastAsia"/>
                <w:highlight w:val="none"/>
                <w:vertAlign w:val="baseline"/>
                <w:lang w:val="en-US" w:eastAsia="zh-CN"/>
              </w:rPr>
              <w:t>69</w:t>
            </w:r>
          </w:p>
        </w:tc>
        <w:tc>
          <w:tcPr>
            <w:tcW w:w="1690" w:type="dxa"/>
            <w:noWrap w:val="0"/>
            <w:vAlign w:val="center"/>
          </w:tcPr>
          <w:p w14:paraId="57920E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研磨过滤器</w:t>
            </w:r>
          </w:p>
        </w:tc>
        <w:tc>
          <w:tcPr>
            <w:tcW w:w="5928" w:type="dxa"/>
            <w:noWrap w:val="0"/>
            <w:vAlign w:val="center"/>
          </w:tcPr>
          <w:p w14:paraId="39E3492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容量 20 mL</w:t>
            </w:r>
          </w:p>
        </w:tc>
        <w:tc>
          <w:tcPr>
            <w:tcW w:w="736" w:type="dxa"/>
            <w:noWrap w:val="0"/>
            <w:vAlign w:val="center"/>
          </w:tcPr>
          <w:p w14:paraId="4258F3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个  </w:t>
            </w:r>
          </w:p>
        </w:tc>
        <w:tc>
          <w:tcPr>
            <w:tcW w:w="834" w:type="dxa"/>
            <w:noWrap w:val="0"/>
            <w:vAlign w:val="center"/>
          </w:tcPr>
          <w:p w14:paraId="3E506D2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30A8C7AF">
            <w:pPr>
              <w:jc w:val="center"/>
              <w:rPr>
                <w:highlight w:val="none"/>
              </w:rPr>
            </w:pPr>
          </w:p>
        </w:tc>
        <w:tc>
          <w:tcPr>
            <w:tcW w:w="710" w:type="dxa"/>
            <w:gridSpan w:val="2"/>
            <w:noWrap w:val="0"/>
            <w:vAlign w:val="center"/>
          </w:tcPr>
          <w:p w14:paraId="33FA203A">
            <w:pPr>
              <w:jc w:val="both"/>
              <w:rPr>
                <w:highlight w:val="none"/>
                <w:vertAlign w:val="baseline"/>
              </w:rPr>
            </w:pPr>
          </w:p>
        </w:tc>
      </w:tr>
      <w:tr w14:paraId="0C2E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A5DB78">
            <w:pPr>
              <w:jc w:val="center"/>
              <w:rPr>
                <w:rFonts w:hint="default"/>
                <w:highlight w:val="none"/>
                <w:vertAlign w:val="baseline"/>
                <w:lang w:val="en-US" w:eastAsia="zh-CN"/>
              </w:rPr>
            </w:pPr>
            <w:r>
              <w:rPr>
                <w:rFonts w:hint="eastAsia"/>
                <w:highlight w:val="none"/>
                <w:vertAlign w:val="baseline"/>
                <w:lang w:val="en-US" w:eastAsia="zh-CN"/>
              </w:rPr>
              <w:t>70</w:t>
            </w:r>
          </w:p>
        </w:tc>
        <w:tc>
          <w:tcPr>
            <w:tcW w:w="1690" w:type="dxa"/>
            <w:noWrap w:val="0"/>
            <w:vAlign w:val="center"/>
          </w:tcPr>
          <w:p w14:paraId="4076018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接种环</w:t>
            </w:r>
          </w:p>
        </w:tc>
        <w:tc>
          <w:tcPr>
            <w:tcW w:w="5928" w:type="dxa"/>
            <w:noWrap w:val="0"/>
            <w:vAlign w:val="center"/>
          </w:tcPr>
          <w:p w14:paraId="081586B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塑料手柄，铜棒</w:t>
            </w:r>
          </w:p>
        </w:tc>
        <w:tc>
          <w:tcPr>
            <w:tcW w:w="736" w:type="dxa"/>
            <w:noWrap w:val="0"/>
            <w:vAlign w:val="center"/>
          </w:tcPr>
          <w:p w14:paraId="588530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48BE06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AC85940">
            <w:pPr>
              <w:jc w:val="center"/>
              <w:rPr>
                <w:highlight w:val="none"/>
              </w:rPr>
            </w:pPr>
          </w:p>
        </w:tc>
        <w:tc>
          <w:tcPr>
            <w:tcW w:w="710" w:type="dxa"/>
            <w:gridSpan w:val="2"/>
            <w:noWrap w:val="0"/>
            <w:vAlign w:val="center"/>
          </w:tcPr>
          <w:p w14:paraId="541D2145">
            <w:pPr>
              <w:jc w:val="both"/>
              <w:rPr>
                <w:highlight w:val="none"/>
                <w:vertAlign w:val="baseline"/>
              </w:rPr>
            </w:pPr>
          </w:p>
        </w:tc>
      </w:tr>
      <w:tr w14:paraId="4171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C41DBF">
            <w:pPr>
              <w:jc w:val="center"/>
              <w:rPr>
                <w:rFonts w:hint="default"/>
                <w:highlight w:val="none"/>
                <w:vertAlign w:val="baseline"/>
                <w:lang w:val="en-US" w:eastAsia="zh-CN"/>
              </w:rPr>
            </w:pPr>
            <w:r>
              <w:rPr>
                <w:rFonts w:hint="eastAsia"/>
                <w:highlight w:val="none"/>
                <w:vertAlign w:val="baseline"/>
                <w:lang w:val="en-US" w:eastAsia="zh-CN"/>
              </w:rPr>
              <w:t>71</w:t>
            </w:r>
          </w:p>
        </w:tc>
        <w:tc>
          <w:tcPr>
            <w:tcW w:w="1690" w:type="dxa"/>
            <w:noWrap w:val="0"/>
            <w:vAlign w:val="center"/>
          </w:tcPr>
          <w:p w14:paraId="099989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教学支架</w:t>
            </w:r>
          </w:p>
        </w:tc>
        <w:tc>
          <w:tcPr>
            <w:tcW w:w="5928" w:type="dxa"/>
            <w:noWrap w:val="0"/>
            <w:vAlign w:val="center"/>
          </w:tcPr>
          <w:p w14:paraId="505B6F5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center"/>
          </w:tcPr>
          <w:p w14:paraId="5FBEEA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DD2C9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7C76B75A">
            <w:pPr>
              <w:jc w:val="center"/>
              <w:rPr>
                <w:highlight w:val="none"/>
              </w:rPr>
            </w:pPr>
          </w:p>
        </w:tc>
        <w:tc>
          <w:tcPr>
            <w:tcW w:w="710" w:type="dxa"/>
            <w:gridSpan w:val="2"/>
            <w:noWrap w:val="0"/>
            <w:vAlign w:val="center"/>
          </w:tcPr>
          <w:p w14:paraId="5131C3F9">
            <w:pPr>
              <w:jc w:val="both"/>
              <w:rPr>
                <w:highlight w:val="none"/>
                <w:vertAlign w:val="baseline"/>
              </w:rPr>
            </w:pPr>
          </w:p>
        </w:tc>
      </w:tr>
      <w:tr w14:paraId="1B48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5D8E37">
            <w:pPr>
              <w:jc w:val="center"/>
              <w:rPr>
                <w:rFonts w:hint="default"/>
                <w:highlight w:val="none"/>
                <w:vertAlign w:val="baseline"/>
                <w:lang w:val="en-US" w:eastAsia="zh-CN"/>
              </w:rPr>
            </w:pPr>
            <w:r>
              <w:rPr>
                <w:rFonts w:hint="eastAsia"/>
                <w:highlight w:val="none"/>
                <w:vertAlign w:val="baseline"/>
                <w:lang w:val="en-US" w:eastAsia="zh-CN"/>
              </w:rPr>
              <w:t>72</w:t>
            </w:r>
          </w:p>
        </w:tc>
        <w:tc>
          <w:tcPr>
            <w:tcW w:w="1690" w:type="dxa"/>
            <w:noWrap w:val="0"/>
            <w:vAlign w:val="center"/>
          </w:tcPr>
          <w:p w14:paraId="6E54A7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三脚架</w:t>
            </w:r>
          </w:p>
        </w:tc>
        <w:tc>
          <w:tcPr>
            <w:tcW w:w="5928" w:type="dxa"/>
            <w:noWrap w:val="0"/>
            <w:vAlign w:val="center"/>
          </w:tcPr>
          <w:p w14:paraId="01F9D4E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铁质，环内径 75 mm，高 150 mm</w:t>
            </w:r>
          </w:p>
        </w:tc>
        <w:tc>
          <w:tcPr>
            <w:tcW w:w="736" w:type="dxa"/>
            <w:noWrap w:val="0"/>
            <w:vAlign w:val="center"/>
          </w:tcPr>
          <w:p w14:paraId="4A43F2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5FF2BC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6A06C02D">
            <w:pPr>
              <w:jc w:val="center"/>
              <w:rPr>
                <w:highlight w:val="none"/>
              </w:rPr>
            </w:pPr>
          </w:p>
        </w:tc>
        <w:tc>
          <w:tcPr>
            <w:tcW w:w="710" w:type="dxa"/>
            <w:gridSpan w:val="2"/>
            <w:noWrap w:val="0"/>
            <w:vAlign w:val="center"/>
          </w:tcPr>
          <w:p w14:paraId="7EBA3C31">
            <w:pPr>
              <w:jc w:val="both"/>
              <w:rPr>
                <w:highlight w:val="none"/>
                <w:vertAlign w:val="baseline"/>
              </w:rPr>
            </w:pPr>
          </w:p>
        </w:tc>
      </w:tr>
      <w:tr w14:paraId="4266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A23C8E2">
            <w:pPr>
              <w:jc w:val="center"/>
              <w:rPr>
                <w:rFonts w:hint="default"/>
                <w:highlight w:val="none"/>
                <w:vertAlign w:val="baseline"/>
                <w:lang w:val="en-US" w:eastAsia="zh-CN"/>
              </w:rPr>
            </w:pPr>
            <w:r>
              <w:rPr>
                <w:rFonts w:hint="eastAsia"/>
                <w:highlight w:val="none"/>
                <w:vertAlign w:val="baseline"/>
                <w:lang w:val="en-US" w:eastAsia="zh-CN"/>
              </w:rPr>
              <w:t>73</w:t>
            </w:r>
          </w:p>
        </w:tc>
        <w:tc>
          <w:tcPr>
            <w:tcW w:w="1690" w:type="dxa"/>
            <w:noWrap w:val="0"/>
            <w:vAlign w:val="center"/>
          </w:tcPr>
          <w:p w14:paraId="2DA97C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试管架</w:t>
            </w:r>
          </w:p>
        </w:tc>
        <w:tc>
          <w:tcPr>
            <w:tcW w:w="5928" w:type="dxa"/>
            <w:noWrap w:val="0"/>
            <w:vAlign w:val="center"/>
          </w:tcPr>
          <w:p w14:paraId="2B73706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 孔，孔径 21 mm，立柱黏结牢固</w:t>
            </w:r>
          </w:p>
        </w:tc>
        <w:tc>
          <w:tcPr>
            <w:tcW w:w="736" w:type="dxa"/>
            <w:noWrap w:val="0"/>
            <w:vAlign w:val="center"/>
          </w:tcPr>
          <w:p w14:paraId="5DE892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497C6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5574319">
            <w:pPr>
              <w:jc w:val="center"/>
              <w:rPr>
                <w:highlight w:val="none"/>
              </w:rPr>
            </w:pPr>
          </w:p>
        </w:tc>
        <w:tc>
          <w:tcPr>
            <w:tcW w:w="710" w:type="dxa"/>
            <w:gridSpan w:val="2"/>
            <w:noWrap w:val="0"/>
            <w:vAlign w:val="center"/>
          </w:tcPr>
          <w:p w14:paraId="54379778">
            <w:pPr>
              <w:jc w:val="both"/>
              <w:rPr>
                <w:highlight w:val="none"/>
                <w:vertAlign w:val="baseline"/>
              </w:rPr>
            </w:pPr>
          </w:p>
        </w:tc>
      </w:tr>
      <w:tr w14:paraId="3CC3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877F5D">
            <w:pPr>
              <w:jc w:val="center"/>
              <w:rPr>
                <w:rFonts w:hint="default"/>
                <w:highlight w:val="none"/>
                <w:vertAlign w:val="baseline"/>
                <w:lang w:val="en-US" w:eastAsia="zh-CN"/>
              </w:rPr>
            </w:pPr>
            <w:r>
              <w:rPr>
                <w:rFonts w:hint="eastAsia"/>
                <w:highlight w:val="none"/>
                <w:vertAlign w:val="baseline"/>
                <w:lang w:val="en-US" w:eastAsia="zh-CN"/>
              </w:rPr>
              <w:t>74</w:t>
            </w:r>
          </w:p>
        </w:tc>
        <w:tc>
          <w:tcPr>
            <w:tcW w:w="1690" w:type="dxa"/>
            <w:noWrap w:val="0"/>
            <w:vAlign w:val="center"/>
          </w:tcPr>
          <w:p w14:paraId="6BF0AD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生物体的结构层次</w:t>
            </w:r>
          </w:p>
        </w:tc>
        <w:tc>
          <w:tcPr>
            <w:tcW w:w="5928" w:type="dxa"/>
            <w:noWrap w:val="0"/>
            <w:vAlign w:val="center"/>
          </w:tcPr>
          <w:p w14:paraId="4FE6D47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挂图-结构层次</w:t>
            </w:r>
          </w:p>
        </w:tc>
        <w:tc>
          <w:tcPr>
            <w:tcW w:w="736" w:type="dxa"/>
            <w:noWrap w:val="0"/>
            <w:vAlign w:val="center"/>
          </w:tcPr>
          <w:p w14:paraId="77A162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71B3F7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DF69E9">
            <w:pPr>
              <w:jc w:val="center"/>
              <w:rPr>
                <w:highlight w:val="none"/>
              </w:rPr>
            </w:pPr>
          </w:p>
        </w:tc>
        <w:tc>
          <w:tcPr>
            <w:tcW w:w="710" w:type="dxa"/>
            <w:gridSpan w:val="2"/>
            <w:noWrap w:val="0"/>
            <w:vAlign w:val="center"/>
          </w:tcPr>
          <w:p w14:paraId="12F7B41B">
            <w:pPr>
              <w:jc w:val="both"/>
              <w:rPr>
                <w:highlight w:val="none"/>
                <w:vertAlign w:val="baseline"/>
              </w:rPr>
            </w:pPr>
          </w:p>
        </w:tc>
      </w:tr>
      <w:tr w14:paraId="37DB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3FDFCA">
            <w:pPr>
              <w:jc w:val="center"/>
              <w:rPr>
                <w:rFonts w:hint="default"/>
                <w:highlight w:val="none"/>
                <w:vertAlign w:val="baseline"/>
                <w:lang w:val="en-US" w:eastAsia="zh-CN"/>
              </w:rPr>
            </w:pPr>
            <w:r>
              <w:rPr>
                <w:rFonts w:hint="eastAsia"/>
                <w:highlight w:val="none"/>
                <w:vertAlign w:val="baseline"/>
                <w:lang w:val="en-US" w:eastAsia="zh-CN"/>
              </w:rPr>
              <w:t>75</w:t>
            </w:r>
          </w:p>
        </w:tc>
        <w:tc>
          <w:tcPr>
            <w:tcW w:w="1690" w:type="dxa"/>
            <w:noWrap w:val="0"/>
            <w:vAlign w:val="center"/>
          </w:tcPr>
          <w:p w14:paraId="567D06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生物与环境</w:t>
            </w:r>
          </w:p>
        </w:tc>
        <w:tc>
          <w:tcPr>
            <w:tcW w:w="5928" w:type="dxa"/>
            <w:noWrap w:val="0"/>
            <w:vAlign w:val="center"/>
          </w:tcPr>
          <w:p w14:paraId="715438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挂图-生物与环境</w:t>
            </w:r>
          </w:p>
        </w:tc>
        <w:tc>
          <w:tcPr>
            <w:tcW w:w="736" w:type="dxa"/>
            <w:noWrap w:val="0"/>
            <w:vAlign w:val="center"/>
          </w:tcPr>
          <w:p w14:paraId="6B3D3A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254D45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242F340">
            <w:pPr>
              <w:jc w:val="center"/>
              <w:rPr>
                <w:highlight w:val="none"/>
              </w:rPr>
            </w:pPr>
          </w:p>
        </w:tc>
        <w:tc>
          <w:tcPr>
            <w:tcW w:w="710" w:type="dxa"/>
            <w:gridSpan w:val="2"/>
            <w:noWrap w:val="0"/>
            <w:vAlign w:val="center"/>
          </w:tcPr>
          <w:p w14:paraId="4DD2F3C0">
            <w:pPr>
              <w:jc w:val="both"/>
              <w:rPr>
                <w:highlight w:val="none"/>
                <w:vertAlign w:val="baseline"/>
              </w:rPr>
            </w:pPr>
          </w:p>
        </w:tc>
      </w:tr>
      <w:tr w14:paraId="3F75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B814D0">
            <w:pPr>
              <w:jc w:val="center"/>
              <w:rPr>
                <w:rFonts w:hint="default"/>
                <w:highlight w:val="none"/>
                <w:vertAlign w:val="baseline"/>
                <w:lang w:val="en-US" w:eastAsia="zh-CN"/>
              </w:rPr>
            </w:pPr>
            <w:r>
              <w:rPr>
                <w:rFonts w:hint="eastAsia"/>
                <w:highlight w:val="none"/>
                <w:vertAlign w:val="baseline"/>
                <w:lang w:val="en-US" w:eastAsia="zh-CN"/>
              </w:rPr>
              <w:t>76</w:t>
            </w:r>
          </w:p>
        </w:tc>
        <w:tc>
          <w:tcPr>
            <w:tcW w:w="1690" w:type="dxa"/>
            <w:noWrap w:val="0"/>
            <w:vAlign w:val="center"/>
          </w:tcPr>
          <w:p w14:paraId="69DE62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生物圏中的绿色植物</w:t>
            </w:r>
          </w:p>
        </w:tc>
        <w:tc>
          <w:tcPr>
            <w:tcW w:w="5928" w:type="dxa"/>
            <w:noWrap w:val="0"/>
            <w:vAlign w:val="center"/>
          </w:tcPr>
          <w:p w14:paraId="25F47A3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挂图-绿色植物</w:t>
            </w:r>
          </w:p>
        </w:tc>
        <w:tc>
          <w:tcPr>
            <w:tcW w:w="736" w:type="dxa"/>
            <w:noWrap w:val="0"/>
            <w:vAlign w:val="center"/>
          </w:tcPr>
          <w:p w14:paraId="1332A5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429ED6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672A917">
            <w:pPr>
              <w:jc w:val="center"/>
              <w:rPr>
                <w:highlight w:val="none"/>
              </w:rPr>
            </w:pPr>
          </w:p>
        </w:tc>
        <w:tc>
          <w:tcPr>
            <w:tcW w:w="710" w:type="dxa"/>
            <w:gridSpan w:val="2"/>
            <w:noWrap w:val="0"/>
            <w:vAlign w:val="center"/>
          </w:tcPr>
          <w:p w14:paraId="70597237">
            <w:pPr>
              <w:jc w:val="both"/>
              <w:rPr>
                <w:highlight w:val="none"/>
                <w:vertAlign w:val="baseline"/>
              </w:rPr>
            </w:pPr>
          </w:p>
        </w:tc>
      </w:tr>
      <w:tr w14:paraId="3E26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16DC74">
            <w:pPr>
              <w:jc w:val="center"/>
              <w:rPr>
                <w:rFonts w:hint="default"/>
                <w:highlight w:val="none"/>
                <w:vertAlign w:val="baseline"/>
                <w:lang w:val="en-US" w:eastAsia="zh-CN"/>
              </w:rPr>
            </w:pPr>
            <w:r>
              <w:rPr>
                <w:rFonts w:hint="eastAsia"/>
                <w:highlight w:val="none"/>
                <w:vertAlign w:val="baseline"/>
                <w:lang w:val="en-US" w:eastAsia="zh-CN"/>
              </w:rPr>
              <w:t>77</w:t>
            </w:r>
          </w:p>
        </w:tc>
        <w:tc>
          <w:tcPr>
            <w:tcW w:w="1690" w:type="dxa"/>
            <w:noWrap w:val="0"/>
            <w:vAlign w:val="center"/>
          </w:tcPr>
          <w:p w14:paraId="033CFB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生物圈中的人</w:t>
            </w:r>
          </w:p>
        </w:tc>
        <w:tc>
          <w:tcPr>
            <w:tcW w:w="5928" w:type="dxa"/>
            <w:noWrap w:val="0"/>
            <w:vAlign w:val="center"/>
          </w:tcPr>
          <w:p w14:paraId="427EFD6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挂图-人体结构等</w:t>
            </w:r>
          </w:p>
        </w:tc>
        <w:tc>
          <w:tcPr>
            <w:tcW w:w="736" w:type="dxa"/>
            <w:noWrap w:val="0"/>
            <w:vAlign w:val="center"/>
          </w:tcPr>
          <w:p w14:paraId="63527D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546887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63560A6">
            <w:pPr>
              <w:jc w:val="center"/>
              <w:rPr>
                <w:highlight w:val="none"/>
              </w:rPr>
            </w:pPr>
          </w:p>
        </w:tc>
        <w:tc>
          <w:tcPr>
            <w:tcW w:w="710" w:type="dxa"/>
            <w:gridSpan w:val="2"/>
            <w:noWrap w:val="0"/>
            <w:vAlign w:val="center"/>
          </w:tcPr>
          <w:p w14:paraId="287C9867">
            <w:pPr>
              <w:jc w:val="both"/>
              <w:rPr>
                <w:highlight w:val="none"/>
                <w:vertAlign w:val="baseline"/>
              </w:rPr>
            </w:pPr>
          </w:p>
        </w:tc>
      </w:tr>
      <w:tr w14:paraId="18DD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8C515A">
            <w:pPr>
              <w:jc w:val="center"/>
              <w:rPr>
                <w:rFonts w:hint="default"/>
                <w:highlight w:val="none"/>
                <w:vertAlign w:val="baseline"/>
                <w:lang w:val="en-US" w:eastAsia="zh-CN"/>
              </w:rPr>
            </w:pPr>
            <w:r>
              <w:rPr>
                <w:rFonts w:hint="eastAsia"/>
                <w:highlight w:val="none"/>
                <w:vertAlign w:val="baseline"/>
                <w:lang w:val="en-US" w:eastAsia="zh-CN"/>
              </w:rPr>
              <w:t>78</w:t>
            </w:r>
          </w:p>
        </w:tc>
        <w:tc>
          <w:tcPr>
            <w:tcW w:w="1690" w:type="dxa"/>
            <w:noWrap w:val="0"/>
            <w:vAlign w:val="center"/>
          </w:tcPr>
          <w:p w14:paraId="7CD061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动物的运动和行为</w:t>
            </w:r>
          </w:p>
        </w:tc>
        <w:tc>
          <w:tcPr>
            <w:tcW w:w="5928" w:type="dxa"/>
            <w:noWrap w:val="0"/>
            <w:vAlign w:val="center"/>
          </w:tcPr>
          <w:p w14:paraId="5853193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挂图-动物运动和行为</w:t>
            </w:r>
          </w:p>
        </w:tc>
        <w:tc>
          <w:tcPr>
            <w:tcW w:w="736" w:type="dxa"/>
            <w:noWrap w:val="0"/>
            <w:vAlign w:val="center"/>
          </w:tcPr>
          <w:p w14:paraId="6A14A7C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113B21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515D46A">
            <w:pPr>
              <w:jc w:val="center"/>
              <w:rPr>
                <w:highlight w:val="none"/>
              </w:rPr>
            </w:pPr>
          </w:p>
        </w:tc>
        <w:tc>
          <w:tcPr>
            <w:tcW w:w="710" w:type="dxa"/>
            <w:gridSpan w:val="2"/>
            <w:noWrap w:val="0"/>
            <w:vAlign w:val="center"/>
          </w:tcPr>
          <w:p w14:paraId="1646D891">
            <w:pPr>
              <w:jc w:val="both"/>
              <w:rPr>
                <w:highlight w:val="none"/>
                <w:vertAlign w:val="baseline"/>
              </w:rPr>
            </w:pPr>
          </w:p>
        </w:tc>
      </w:tr>
      <w:tr w14:paraId="302E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74C5E9">
            <w:pPr>
              <w:jc w:val="center"/>
              <w:rPr>
                <w:rFonts w:hint="default"/>
                <w:highlight w:val="none"/>
                <w:vertAlign w:val="baseline"/>
                <w:lang w:val="en-US" w:eastAsia="zh-CN"/>
              </w:rPr>
            </w:pPr>
            <w:r>
              <w:rPr>
                <w:rFonts w:hint="eastAsia"/>
                <w:highlight w:val="none"/>
                <w:vertAlign w:val="baseline"/>
                <w:lang w:val="en-US" w:eastAsia="zh-CN"/>
              </w:rPr>
              <w:t>79</w:t>
            </w:r>
          </w:p>
        </w:tc>
        <w:tc>
          <w:tcPr>
            <w:tcW w:w="1690" w:type="dxa"/>
            <w:noWrap w:val="0"/>
            <w:vAlign w:val="center"/>
          </w:tcPr>
          <w:p w14:paraId="361754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生物的生殖、发育和遗传</w:t>
            </w:r>
          </w:p>
        </w:tc>
        <w:tc>
          <w:tcPr>
            <w:tcW w:w="5928" w:type="dxa"/>
            <w:noWrap w:val="0"/>
            <w:vAlign w:val="center"/>
          </w:tcPr>
          <w:p w14:paraId="6B93005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挂图-生殖、发育和遗传</w:t>
            </w:r>
          </w:p>
        </w:tc>
        <w:tc>
          <w:tcPr>
            <w:tcW w:w="736" w:type="dxa"/>
            <w:noWrap w:val="0"/>
            <w:vAlign w:val="center"/>
          </w:tcPr>
          <w:p w14:paraId="054F02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467A01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95F2C40">
            <w:pPr>
              <w:jc w:val="center"/>
              <w:rPr>
                <w:highlight w:val="none"/>
              </w:rPr>
            </w:pPr>
          </w:p>
        </w:tc>
        <w:tc>
          <w:tcPr>
            <w:tcW w:w="710" w:type="dxa"/>
            <w:gridSpan w:val="2"/>
            <w:noWrap w:val="0"/>
            <w:vAlign w:val="center"/>
          </w:tcPr>
          <w:p w14:paraId="2AE9A152">
            <w:pPr>
              <w:jc w:val="both"/>
              <w:rPr>
                <w:highlight w:val="none"/>
                <w:vertAlign w:val="baseline"/>
              </w:rPr>
            </w:pPr>
          </w:p>
        </w:tc>
      </w:tr>
      <w:tr w14:paraId="729A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EE551A">
            <w:pPr>
              <w:jc w:val="center"/>
              <w:rPr>
                <w:rFonts w:hint="default"/>
                <w:highlight w:val="none"/>
                <w:vertAlign w:val="baseline"/>
                <w:lang w:val="en-US" w:eastAsia="zh-CN"/>
              </w:rPr>
            </w:pPr>
            <w:r>
              <w:rPr>
                <w:rFonts w:hint="eastAsia"/>
                <w:highlight w:val="none"/>
                <w:vertAlign w:val="baseline"/>
                <w:lang w:val="en-US" w:eastAsia="zh-CN"/>
              </w:rPr>
              <w:t>80</w:t>
            </w:r>
          </w:p>
        </w:tc>
        <w:tc>
          <w:tcPr>
            <w:tcW w:w="1690" w:type="dxa"/>
            <w:noWrap w:val="0"/>
            <w:vAlign w:val="center"/>
          </w:tcPr>
          <w:p w14:paraId="5CEDB8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生物多样性</w:t>
            </w:r>
          </w:p>
        </w:tc>
        <w:tc>
          <w:tcPr>
            <w:tcW w:w="5928" w:type="dxa"/>
            <w:noWrap w:val="0"/>
            <w:vAlign w:val="center"/>
          </w:tcPr>
          <w:p w14:paraId="7797C9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挂图-多样性</w:t>
            </w:r>
          </w:p>
        </w:tc>
        <w:tc>
          <w:tcPr>
            <w:tcW w:w="736" w:type="dxa"/>
            <w:noWrap w:val="0"/>
            <w:vAlign w:val="center"/>
          </w:tcPr>
          <w:p w14:paraId="7823A6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6D02E81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2D67FE6">
            <w:pPr>
              <w:jc w:val="center"/>
              <w:rPr>
                <w:highlight w:val="none"/>
              </w:rPr>
            </w:pPr>
          </w:p>
        </w:tc>
        <w:tc>
          <w:tcPr>
            <w:tcW w:w="710" w:type="dxa"/>
            <w:gridSpan w:val="2"/>
            <w:noWrap w:val="0"/>
            <w:vAlign w:val="center"/>
          </w:tcPr>
          <w:p w14:paraId="0ACBF08E">
            <w:pPr>
              <w:jc w:val="both"/>
              <w:rPr>
                <w:highlight w:val="none"/>
                <w:vertAlign w:val="baseline"/>
              </w:rPr>
            </w:pPr>
          </w:p>
        </w:tc>
      </w:tr>
      <w:tr w14:paraId="5EC6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B4CE6D">
            <w:pPr>
              <w:jc w:val="center"/>
              <w:rPr>
                <w:rFonts w:hint="default"/>
                <w:highlight w:val="none"/>
                <w:vertAlign w:val="baseline"/>
                <w:lang w:val="en-US" w:eastAsia="zh-CN"/>
              </w:rPr>
            </w:pPr>
            <w:r>
              <w:rPr>
                <w:rFonts w:hint="eastAsia"/>
                <w:highlight w:val="none"/>
                <w:vertAlign w:val="baseline"/>
                <w:lang w:val="en-US" w:eastAsia="zh-CN"/>
              </w:rPr>
              <w:t>81</w:t>
            </w:r>
          </w:p>
        </w:tc>
        <w:tc>
          <w:tcPr>
            <w:tcW w:w="1690" w:type="dxa"/>
            <w:noWrap w:val="0"/>
            <w:vAlign w:val="center"/>
          </w:tcPr>
          <w:p w14:paraId="06FC6C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生物技术</w:t>
            </w:r>
          </w:p>
        </w:tc>
        <w:tc>
          <w:tcPr>
            <w:tcW w:w="5928" w:type="dxa"/>
            <w:noWrap w:val="0"/>
            <w:vAlign w:val="center"/>
          </w:tcPr>
          <w:p w14:paraId="2D5579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挂图-生物技术</w:t>
            </w:r>
          </w:p>
        </w:tc>
        <w:tc>
          <w:tcPr>
            <w:tcW w:w="736" w:type="dxa"/>
            <w:noWrap w:val="0"/>
            <w:vAlign w:val="center"/>
          </w:tcPr>
          <w:p w14:paraId="649A5E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3F1188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73AE414">
            <w:pPr>
              <w:jc w:val="center"/>
              <w:rPr>
                <w:highlight w:val="none"/>
              </w:rPr>
            </w:pPr>
          </w:p>
        </w:tc>
        <w:tc>
          <w:tcPr>
            <w:tcW w:w="710" w:type="dxa"/>
            <w:gridSpan w:val="2"/>
            <w:noWrap w:val="0"/>
            <w:vAlign w:val="center"/>
          </w:tcPr>
          <w:p w14:paraId="4701B0EB">
            <w:pPr>
              <w:jc w:val="both"/>
              <w:rPr>
                <w:highlight w:val="none"/>
                <w:vertAlign w:val="baseline"/>
              </w:rPr>
            </w:pPr>
          </w:p>
        </w:tc>
      </w:tr>
      <w:tr w14:paraId="2B91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A1DE7B">
            <w:pPr>
              <w:jc w:val="center"/>
              <w:rPr>
                <w:rFonts w:hint="default"/>
                <w:highlight w:val="none"/>
                <w:vertAlign w:val="baseline"/>
                <w:lang w:val="en-US" w:eastAsia="zh-CN"/>
              </w:rPr>
            </w:pPr>
            <w:r>
              <w:rPr>
                <w:rFonts w:hint="eastAsia"/>
                <w:highlight w:val="none"/>
                <w:vertAlign w:val="baseline"/>
                <w:lang w:val="en-US" w:eastAsia="zh-CN"/>
              </w:rPr>
              <w:t>82</w:t>
            </w:r>
          </w:p>
        </w:tc>
        <w:tc>
          <w:tcPr>
            <w:tcW w:w="1690" w:type="dxa"/>
            <w:noWrap w:val="0"/>
            <w:vAlign w:val="center"/>
          </w:tcPr>
          <w:p w14:paraId="21ABC4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健康地生活</w:t>
            </w:r>
          </w:p>
        </w:tc>
        <w:tc>
          <w:tcPr>
            <w:tcW w:w="5928" w:type="dxa"/>
            <w:noWrap w:val="0"/>
            <w:vAlign w:val="center"/>
          </w:tcPr>
          <w:p w14:paraId="3A36B37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挂图-健康地生活</w:t>
            </w:r>
          </w:p>
        </w:tc>
        <w:tc>
          <w:tcPr>
            <w:tcW w:w="736" w:type="dxa"/>
            <w:noWrap w:val="0"/>
            <w:vAlign w:val="center"/>
          </w:tcPr>
          <w:p w14:paraId="40684B2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022BBF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7328650">
            <w:pPr>
              <w:jc w:val="center"/>
              <w:rPr>
                <w:highlight w:val="none"/>
              </w:rPr>
            </w:pPr>
          </w:p>
        </w:tc>
        <w:tc>
          <w:tcPr>
            <w:tcW w:w="710" w:type="dxa"/>
            <w:gridSpan w:val="2"/>
            <w:noWrap w:val="0"/>
            <w:vAlign w:val="center"/>
          </w:tcPr>
          <w:p w14:paraId="6916766E">
            <w:pPr>
              <w:jc w:val="both"/>
              <w:rPr>
                <w:highlight w:val="none"/>
                <w:vertAlign w:val="baseline"/>
              </w:rPr>
            </w:pPr>
          </w:p>
        </w:tc>
      </w:tr>
      <w:tr w14:paraId="57B1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B844C4">
            <w:pPr>
              <w:jc w:val="center"/>
              <w:rPr>
                <w:rFonts w:hint="default"/>
                <w:highlight w:val="none"/>
                <w:vertAlign w:val="baseline"/>
                <w:lang w:val="en-US" w:eastAsia="zh-CN"/>
              </w:rPr>
            </w:pPr>
            <w:r>
              <w:rPr>
                <w:rFonts w:hint="eastAsia"/>
                <w:highlight w:val="none"/>
                <w:vertAlign w:val="baseline"/>
                <w:lang w:val="en-US" w:eastAsia="zh-CN"/>
              </w:rPr>
              <w:t>83</w:t>
            </w:r>
          </w:p>
        </w:tc>
        <w:tc>
          <w:tcPr>
            <w:tcW w:w="1690" w:type="dxa"/>
            <w:noWrap w:val="0"/>
            <w:vAlign w:val="center"/>
          </w:tcPr>
          <w:p w14:paraId="75F585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青春期教育挂图</w:t>
            </w:r>
          </w:p>
        </w:tc>
        <w:tc>
          <w:tcPr>
            <w:tcW w:w="5928" w:type="dxa"/>
            <w:noWrap w:val="0"/>
            <w:vAlign w:val="center"/>
          </w:tcPr>
          <w:p w14:paraId="17E3BBC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挂图-青春期教育</w:t>
            </w:r>
          </w:p>
        </w:tc>
        <w:tc>
          <w:tcPr>
            <w:tcW w:w="736" w:type="dxa"/>
            <w:noWrap w:val="0"/>
            <w:vAlign w:val="center"/>
          </w:tcPr>
          <w:p w14:paraId="7C213B8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02DE15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5022579">
            <w:pPr>
              <w:jc w:val="center"/>
              <w:rPr>
                <w:highlight w:val="none"/>
              </w:rPr>
            </w:pPr>
          </w:p>
        </w:tc>
        <w:tc>
          <w:tcPr>
            <w:tcW w:w="710" w:type="dxa"/>
            <w:gridSpan w:val="2"/>
            <w:noWrap w:val="0"/>
            <w:vAlign w:val="center"/>
          </w:tcPr>
          <w:p w14:paraId="51C902EA">
            <w:pPr>
              <w:jc w:val="both"/>
              <w:rPr>
                <w:highlight w:val="none"/>
                <w:vertAlign w:val="baseline"/>
              </w:rPr>
            </w:pPr>
          </w:p>
        </w:tc>
      </w:tr>
      <w:tr w14:paraId="1CC9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492413">
            <w:pPr>
              <w:jc w:val="center"/>
              <w:rPr>
                <w:rFonts w:hint="default"/>
                <w:highlight w:val="none"/>
                <w:vertAlign w:val="baseline"/>
                <w:lang w:val="en-US" w:eastAsia="zh-CN"/>
              </w:rPr>
            </w:pPr>
            <w:r>
              <w:rPr>
                <w:rFonts w:hint="eastAsia"/>
                <w:highlight w:val="none"/>
                <w:vertAlign w:val="baseline"/>
                <w:lang w:val="en-US" w:eastAsia="zh-CN"/>
              </w:rPr>
              <w:t>84</w:t>
            </w:r>
          </w:p>
        </w:tc>
        <w:tc>
          <w:tcPr>
            <w:tcW w:w="1690" w:type="dxa"/>
            <w:noWrap w:val="0"/>
            <w:vAlign w:val="center"/>
          </w:tcPr>
          <w:p w14:paraId="1437D1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中学生物显微图谱</w:t>
            </w:r>
          </w:p>
        </w:tc>
        <w:tc>
          <w:tcPr>
            <w:tcW w:w="5928" w:type="dxa"/>
            <w:noWrap w:val="0"/>
            <w:vAlign w:val="center"/>
          </w:tcPr>
          <w:p w14:paraId="70BCF17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彩色图谱</w:t>
            </w:r>
          </w:p>
        </w:tc>
        <w:tc>
          <w:tcPr>
            <w:tcW w:w="736" w:type="dxa"/>
            <w:noWrap w:val="0"/>
            <w:vAlign w:val="center"/>
          </w:tcPr>
          <w:p w14:paraId="77029D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本</w:t>
            </w:r>
          </w:p>
        </w:tc>
        <w:tc>
          <w:tcPr>
            <w:tcW w:w="834" w:type="dxa"/>
            <w:noWrap w:val="0"/>
            <w:vAlign w:val="center"/>
          </w:tcPr>
          <w:p w14:paraId="17B53F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4728660">
            <w:pPr>
              <w:jc w:val="center"/>
              <w:rPr>
                <w:highlight w:val="none"/>
              </w:rPr>
            </w:pPr>
          </w:p>
        </w:tc>
        <w:tc>
          <w:tcPr>
            <w:tcW w:w="710" w:type="dxa"/>
            <w:gridSpan w:val="2"/>
            <w:noWrap w:val="0"/>
            <w:vAlign w:val="center"/>
          </w:tcPr>
          <w:p w14:paraId="1E80A6D8">
            <w:pPr>
              <w:jc w:val="both"/>
              <w:rPr>
                <w:highlight w:val="none"/>
                <w:vertAlign w:val="baseline"/>
              </w:rPr>
            </w:pPr>
          </w:p>
        </w:tc>
      </w:tr>
      <w:tr w14:paraId="2329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88BCC5">
            <w:pPr>
              <w:jc w:val="center"/>
              <w:rPr>
                <w:rFonts w:hint="default"/>
                <w:highlight w:val="none"/>
                <w:vertAlign w:val="baseline"/>
                <w:lang w:val="en-US" w:eastAsia="zh-CN"/>
              </w:rPr>
            </w:pPr>
            <w:r>
              <w:rPr>
                <w:rFonts w:hint="eastAsia"/>
                <w:highlight w:val="none"/>
                <w:vertAlign w:val="baseline"/>
                <w:lang w:val="en-US" w:eastAsia="zh-CN"/>
              </w:rPr>
              <w:t>85</w:t>
            </w:r>
          </w:p>
        </w:tc>
        <w:tc>
          <w:tcPr>
            <w:tcW w:w="1690" w:type="dxa"/>
            <w:noWrap w:val="0"/>
            <w:vAlign w:val="center"/>
          </w:tcPr>
          <w:p w14:paraId="4E809F1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7DA7563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 mL,玻璃制</w:t>
            </w:r>
          </w:p>
        </w:tc>
        <w:tc>
          <w:tcPr>
            <w:tcW w:w="736" w:type="dxa"/>
            <w:noWrap w:val="0"/>
            <w:vAlign w:val="center"/>
          </w:tcPr>
          <w:p w14:paraId="34D57C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73308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70CDD8D5">
            <w:pPr>
              <w:jc w:val="center"/>
              <w:rPr>
                <w:highlight w:val="none"/>
              </w:rPr>
            </w:pPr>
          </w:p>
        </w:tc>
        <w:tc>
          <w:tcPr>
            <w:tcW w:w="710" w:type="dxa"/>
            <w:gridSpan w:val="2"/>
            <w:noWrap w:val="0"/>
            <w:vAlign w:val="center"/>
          </w:tcPr>
          <w:p w14:paraId="0CF7185B">
            <w:pPr>
              <w:jc w:val="both"/>
              <w:rPr>
                <w:highlight w:val="none"/>
                <w:vertAlign w:val="baseline"/>
              </w:rPr>
            </w:pPr>
          </w:p>
        </w:tc>
      </w:tr>
      <w:tr w14:paraId="7228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E89632">
            <w:pPr>
              <w:jc w:val="center"/>
              <w:rPr>
                <w:rFonts w:hint="default"/>
                <w:highlight w:val="none"/>
                <w:vertAlign w:val="baseline"/>
                <w:lang w:val="en-US" w:eastAsia="zh-CN"/>
              </w:rPr>
            </w:pPr>
            <w:r>
              <w:rPr>
                <w:rFonts w:hint="eastAsia"/>
                <w:highlight w:val="none"/>
                <w:vertAlign w:val="baseline"/>
                <w:lang w:val="en-US" w:eastAsia="zh-CN"/>
              </w:rPr>
              <w:t>86</w:t>
            </w:r>
          </w:p>
        </w:tc>
        <w:tc>
          <w:tcPr>
            <w:tcW w:w="1690" w:type="dxa"/>
            <w:noWrap w:val="0"/>
            <w:vAlign w:val="center"/>
          </w:tcPr>
          <w:p w14:paraId="43A196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2C407A3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 mL 玻璃制</w:t>
            </w:r>
          </w:p>
        </w:tc>
        <w:tc>
          <w:tcPr>
            <w:tcW w:w="736" w:type="dxa"/>
            <w:noWrap w:val="0"/>
            <w:vAlign w:val="center"/>
          </w:tcPr>
          <w:p w14:paraId="11C227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A0BFA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7CFB9364">
            <w:pPr>
              <w:jc w:val="center"/>
              <w:rPr>
                <w:highlight w:val="none"/>
              </w:rPr>
            </w:pPr>
          </w:p>
        </w:tc>
        <w:tc>
          <w:tcPr>
            <w:tcW w:w="710" w:type="dxa"/>
            <w:gridSpan w:val="2"/>
            <w:noWrap w:val="0"/>
            <w:vAlign w:val="center"/>
          </w:tcPr>
          <w:p w14:paraId="3796F9AE">
            <w:pPr>
              <w:jc w:val="both"/>
              <w:rPr>
                <w:highlight w:val="none"/>
                <w:vertAlign w:val="baseline"/>
              </w:rPr>
            </w:pPr>
          </w:p>
        </w:tc>
      </w:tr>
      <w:tr w14:paraId="3552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78B93C">
            <w:pPr>
              <w:jc w:val="center"/>
              <w:rPr>
                <w:rFonts w:hint="default"/>
                <w:highlight w:val="none"/>
                <w:vertAlign w:val="baseline"/>
                <w:lang w:val="en-US" w:eastAsia="zh-CN"/>
              </w:rPr>
            </w:pPr>
            <w:r>
              <w:rPr>
                <w:rFonts w:hint="eastAsia"/>
                <w:highlight w:val="none"/>
                <w:vertAlign w:val="baseline"/>
                <w:lang w:val="en-US" w:eastAsia="zh-CN"/>
              </w:rPr>
              <w:t>87</w:t>
            </w:r>
          </w:p>
        </w:tc>
        <w:tc>
          <w:tcPr>
            <w:tcW w:w="1690" w:type="dxa"/>
            <w:noWrap w:val="0"/>
            <w:vAlign w:val="center"/>
          </w:tcPr>
          <w:p w14:paraId="7784E3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39BF232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100ml.玻璃制</w:t>
            </w:r>
          </w:p>
        </w:tc>
        <w:tc>
          <w:tcPr>
            <w:tcW w:w="736" w:type="dxa"/>
            <w:noWrap w:val="0"/>
            <w:vAlign w:val="center"/>
          </w:tcPr>
          <w:p w14:paraId="0F500F9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EDACD7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2A9A0011">
            <w:pPr>
              <w:jc w:val="center"/>
              <w:rPr>
                <w:highlight w:val="none"/>
              </w:rPr>
            </w:pPr>
          </w:p>
        </w:tc>
        <w:tc>
          <w:tcPr>
            <w:tcW w:w="710" w:type="dxa"/>
            <w:gridSpan w:val="2"/>
            <w:noWrap w:val="0"/>
            <w:vAlign w:val="center"/>
          </w:tcPr>
          <w:p w14:paraId="5355F8A3">
            <w:pPr>
              <w:jc w:val="both"/>
              <w:rPr>
                <w:highlight w:val="none"/>
                <w:vertAlign w:val="baseline"/>
              </w:rPr>
            </w:pPr>
          </w:p>
        </w:tc>
      </w:tr>
      <w:tr w14:paraId="6130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7DAD0B">
            <w:pPr>
              <w:jc w:val="center"/>
              <w:rPr>
                <w:rFonts w:hint="default"/>
                <w:highlight w:val="none"/>
                <w:vertAlign w:val="baseline"/>
                <w:lang w:val="en-US" w:eastAsia="zh-CN"/>
              </w:rPr>
            </w:pPr>
            <w:r>
              <w:rPr>
                <w:rFonts w:hint="eastAsia"/>
                <w:highlight w:val="none"/>
                <w:vertAlign w:val="baseline"/>
                <w:lang w:val="en-US" w:eastAsia="zh-CN"/>
              </w:rPr>
              <w:t>88</w:t>
            </w:r>
          </w:p>
        </w:tc>
        <w:tc>
          <w:tcPr>
            <w:tcW w:w="1690" w:type="dxa"/>
            <w:noWrap w:val="0"/>
            <w:vAlign w:val="center"/>
          </w:tcPr>
          <w:p w14:paraId="352056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量筒</w:t>
            </w:r>
          </w:p>
        </w:tc>
        <w:tc>
          <w:tcPr>
            <w:tcW w:w="5928" w:type="dxa"/>
            <w:noWrap w:val="0"/>
            <w:vAlign w:val="center"/>
          </w:tcPr>
          <w:p w14:paraId="39EBA4F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center"/>
          </w:tcPr>
          <w:p w14:paraId="5E5B2C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E6C49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D2E9E57">
            <w:pPr>
              <w:jc w:val="center"/>
              <w:rPr>
                <w:highlight w:val="none"/>
              </w:rPr>
            </w:pPr>
          </w:p>
        </w:tc>
        <w:tc>
          <w:tcPr>
            <w:tcW w:w="710" w:type="dxa"/>
            <w:gridSpan w:val="2"/>
            <w:noWrap w:val="0"/>
            <w:vAlign w:val="center"/>
          </w:tcPr>
          <w:p w14:paraId="1FE776C2">
            <w:pPr>
              <w:jc w:val="both"/>
              <w:rPr>
                <w:highlight w:val="none"/>
                <w:vertAlign w:val="baseline"/>
              </w:rPr>
            </w:pPr>
          </w:p>
        </w:tc>
      </w:tr>
      <w:tr w14:paraId="68D2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0AB1744A">
            <w:pPr>
              <w:jc w:val="center"/>
              <w:rPr>
                <w:rFonts w:hint="default"/>
                <w:highlight w:val="none"/>
                <w:vertAlign w:val="baseline"/>
                <w:lang w:val="en-US" w:eastAsia="zh-CN"/>
              </w:rPr>
            </w:pPr>
            <w:r>
              <w:rPr>
                <w:rFonts w:hint="eastAsia"/>
                <w:highlight w:val="none"/>
                <w:vertAlign w:val="baseline"/>
                <w:lang w:val="en-US" w:eastAsia="zh-CN"/>
              </w:rPr>
              <w:t>89</w:t>
            </w:r>
          </w:p>
        </w:tc>
        <w:tc>
          <w:tcPr>
            <w:tcW w:w="1690" w:type="dxa"/>
            <w:noWrap w:val="0"/>
            <w:vAlign w:val="center"/>
          </w:tcPr>
          <w:p w14:paraId="5F4E4A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容量瓶</w:t>
            </w:r>
          </w:p>
        </w:tc>
        <w:tc>
          <w:tcPr>
            <w:tcW w:w="5928" w:type="dxa"/>
            <w:noWrap w:val="0"/>
            <w:vAlign w:val="center"/>
          </w:tcPr>
          <w:p w14:paraId="4495820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 玻璃制</w:t>
            </w:r>
          </w:p>
        </w:tc>
        <w:tc>
          <w:tcPr>
            <w:tcW w:w="736" w:type="dxa"/>
            <w:noWrap w:val="0"/>
            <w:vAlign w:val="center"/>
          </w:tcPr>
          <w:p w14:paraId="7FCCED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85D9EF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49C46960">
            <w:pPr>
              <w:jc w:val="center"/>
              <w:rPr>
                <w:highlight w:val="none"/>
              </w:rPr>
            </w:pPr>
          </w:p>
        </w:tc>
        <w:tc>
          <w:tcPr>
            <w:tcW w:w="710" w:type="dxa"/>
            <w:gridSpan w:val="2"/>
            <w:noWrap w:val="0"/>
            <w:vAlign w:val="center"/>
          </w:tcPr>
          <w:p w14:paraId="027CBE2B">
            <w:pPr>
              <w:jc w:val="both"/>
              <w:rPr>
                <w:highlight w:val="none"/>
                <w:vertAlign w:val="baseline"/>
              </w:rPr>
            </w:pPr>
          </w:p>
        </w:tc>
      </w:tr>
      <w:tr w14:paraId="3A2A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9B52CE">
            <w:pPr>
              <w:jc w:val="center"/>
              <w:rPr>
                <w:rFonts w:hint="default"/>
                <w:highlight w:val="none"/>
                <w:vertAlign w:val="baseline"/>
                <w:lang w:val="en-US" w:eastAsia="zh-CN"/>
              </w:rPr>
            </w:pPr>
            <w:r>
              <w:rPr>
                <w:rFonts w:hint="eastAsia"/>
                <w:highlight w:val="none"/>
                <w:vertAlign w:val="baseline"/>
                <w:lang w:val="en-US" w:eastAsia="zh-CN"/>
              </w:rPr>
              <w:t>90</w:t>
            </w:r>
          </w:p>
        </w:tc>
        <w:tc>
          <w:tcPr>
            <w:tcW w:w="1690" w:type="dxa"/>
            <w:noWrap w:val="0"/>
            <w:vAlign w:val="center"/>
          </w:tcPr>
          <w:p w14:paraId="2CA066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555154A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12 mm × 70 mm 玻璃制</w:t>
            </w:r>
          </w:p>
        </w:tc>
        <w:tc>
          <w:tcPr>
            <w:tcW w:w="736" w:type="dxa"/>
            <w:noWrap w:val="0"/>
            <w:vAlign w:val="center"/>
          </w:tcPr>
          <w:p w14:paraId="419C5C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4B8E9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16E2E6FE">
            <w:pPr>
              <w:jc w:val="center"/>
              <w:rPr>
                <w:highlight w:val="none"/>
              </w:rPr>
            </w:pPr>
          </w:p>
        </w:tc>
        <w:tc>
          <w:tcPr>
            <w:tcW w:w="710" w:type="dxa"/>
            <w:gridSpan w:val="2"/>
            <w:noWrap w:val="0"/>
            <w:vAlign w:val="center"/>
          </w:tcPr>
          <w:p w14:paraId="60D8B498">
            <w:pPr>
              <w:jc w:val="both"/>
              <w:rPr>
                <w:highlight w:val="none"/>
                <w:vertAlign w:val="baseline"/>
              </w:rPr>
            </w:pPr>
          </w:p>
        </w:tc>
      </w:tr>
      <w:tr w14:paraId="73B8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52378C">
            <w:pPr>
              <w:jc w:val="center"/>
              <w:rPr>
                <w:rFonts w:hint="default"/>
                <w:highlight w:val="none"/>
                <w:vertAlign w:val="baseline"/>
                <w:lang w:val="en-US" w:eastAsia="zh-CN"/>
              </w:rPr>
            </w:pPr>
            <w:r>
              <w:rPr>
                <w:rFonts w:hint="eastAsia"/>
                <w:highlight w:val="none"/>
                <w:vertAlign w:val="baseline"/>
                <w:lang w:val="en-US" w:eastAsia="zh-CN"/>
              </w:rPr>
              <w:t>91</w:t>
            </w:r>
          </w:p>
        </w:tc>
        <w:tc>
          <w:tcPr>
            <w:tcW w:w="1690" w:type="dxa"/>
            <w:noWrap w:val="0"/>
            <w:vAlign w:val="center"/>
          </w:tcPr>
          <w:p w14:paraId="1316E1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w:t>
            </w:r>
          </w:p>
        </w:tc>
        <w:tc>
          <w:tcPr>
            <w:tcW w:w="5928" w:type="dxa"/>
            <w:noWrap w:val="0"/>
            <w:vAlign w:val="center"/>
          </w:tcPr>
          <w:p w14:paraId="6E66F0B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15 mm × 150 mm玻璃制</w:t>
            </w:r>
          </w:p>
        </w:tc>
        <w:tc>
          <w:tcPr>
            <w:tcW w:w="736" w:type="dxa"/>
            <w:noWrap w:val="0"/>
            <w:vAlign w:val="center"/>
          </w:tcPr>
          <w:p w14:paraId="3AC556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2D660F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120</w:t>
            </w:r>
          </w:p>
        </w:tc>
        <w:tc>
          <w:tcPr>
            <w:tcW w:w="3396" w:type="dxa"/>
            <w:gridSpan w:val="2"/>
            <w:noWrap w:val="0"/>
            <w:vAlign w:val="center"/>
          </w:tcPr>
          <w:p w14:paraId="169406BE">
            <w:pPr>
              <w:jc w:val="center"/>
              <w:rPr>
                <w:highlight w:val="none"/>
              </w:rPr>
            </w:pPr>
          </w:p>
        </w:tc>
        <w:tc>
          <w:tcPr>
            <w:tcW w:w="710" w:type="dxa"/>
            <w:gridSpan w:val="2"/>
            <w:noWrap w:val="0"/>
            <w:vAlign w:val="center"/>
          </w:tcPr>
          <w:p w14:paraId="311C74E4">
            <w:pPr>
              <w:jc w:val="both"/>
              <w:rPr>
                <w:highlight w:val="none"/>
                <w:vertAlign w:val="baseline"/>
              </w:rPr>
            </w:pPr>
          </w:p>
        </w:tc>
      </w:tr>
      <w:tr w14:paraId="2A06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4AC156">
            <w:pPr>
              <w:jc w:val="center"/>
              <w:rPr>
                <w:rFonts w:hint="default"/>
                <w:highlight w:val="none"/>
                <w:vertAlign w:val="baseline"/>
                <w:lang w:val="en-US" w:eastAsia="zh-CN"/>
              </w:rPr>
            </w:pPr>
            <w:r>
              <w:rPr>
                <w:rFonts w:hint="eastAsia"/>
                <w:highlight w:val="none"/>
                <w:vertAlign w:val="baseline"/>
                <w:lang w:val="en-US" w:eastAsia="zh-CN"/>
              </w:rPr>
              <w:t>92</w:t>
            </w:r>
          </w:p>
        </w:tc>
        <w:tc>
          <w:tcPr>
            <w:tcW w:w="1690" w:type="dxa"/>
            <w:noWrap w:val="0"/>
            <w:vAlign w:val="center"/>
          </w:tcPr>
          <w:p w14:paraId="14E272E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5A1CB25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 mL,玻璃制</w:t>
            </w:r>
          </w:p>
        </w:tc>
        <w:tc>
          <w:tcPr>
            <w:tcW w:w="736" w:type="dxa"/>
            <w:noWrap w:val="0"/>
            <w:vAlign w:val="center"/>
          </w:tcPr>
          <w:p w14:paraId="270126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6558D9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2AABA60B">
            <w:pPr>
              <w:jc w:val="center"/>
              <w:rPr>
                <w:highlight w:val="none"/>
              </w:rPr>
            </w:pPr>
          </w:p>
        </w:tc>
        <w:tc>
          <w:tcPr>
            <w:tcW w:w="710" w:type="dxa"/>
            <w:gridSpan w:val="2"/>
            <w:noWrap w:val="0"/>
            <w:vAlign w:val="center"/>
          </w:tcPr>
          <w:p w14:paraId="04477BEF">
            <w:pPr>
              <w:jc w:val="both"/>
              <w:rPr>
                <w:highlight w:val="none"/>
                <w:vertAlign w:val="baseline"/>
              </w:rPr>
            </w:pPr>
          </w:p>
        </w:tc>
      </w:tr>
      <w:tr w14:paraId="23C2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553C26">
            <w:pPr>
              <w:jc w:val="center"/>
              <w:rPr>
                <w:rFonts w:hint="default"/>
                <w:highlight w:val="none"/>
                <w:vertAlign w:val="baseline"/>
                <w:lang w:val="en-US" w:eastAsia="zh-CN"/>
              </w:rPr>
            </w:pPr>
            <w:r>
              <w:rPr>
                <w:rFonts w:hint="eastAsia"/>
                <w:highlight w:val="none"/>
                <w:vertAlign w:val="baseline"/>
                <w:lang w:val="en-US" w:eastAsia="zh-CN"/>
              </w:rPr>
              <w:t>93</w:t>
            </w:r>
          </w:p>
        </w:tc>
        <w:tc>
          <w:tcPr>
            <w:tcW w:w="1690" w:type="dxa"/>
            <w:noWrap w:val="0"/>
            <w:vAlign w:val="center"/>
          </w:tcPr>
          <w:p w14:paraId="6575B68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65A6932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mL,玻璃制</w:t>
            </w:r>
          </w:p>
        </w:tc>
        <w:tc>
          <w:tcPr>
            <w:tcW w:w="736" w:type="dxa"/>
            <w:noWrap w:val="0"/>
            <w:vAlign w:val="center"/>
          </w:tcPr>
          <w:p w14:paraId="72E2CD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661AD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3917A39C">
            <w:pPr>
              <w:jc w:val="center"/>
              <w:rPr>
                <w:highlight w:val="none"/>
              </w:rPr>
            </w:pPr>
          </w:p>
        </w:tc>
        <w:tc>
          <w:tcPr>
            <w:tcW w:w="710" w:type="dxa"/>
            <w:gridSpan w:val="2"/>
            <w:noWrap w:val="0"/>
            <w:vAlign w:val="center"/>
          </w:tcPr>
          <w:p w14:paraId="49CAA1BA">
            <w:pPr>
              <w:jc w:val="both"/>
              <w:rPr>
                <w:highlight w:val="none"/>
                <w:vertAlign w:val="baseline"/>
              </w:rPr>
            </w:pPr>
          </w:p>
        </w:tc>
      </w:tr>
      <w:tr w14:paraId="3B41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7587E6">
            <w:pPr>
              <w:jc w:val="center"/>
              <w:rPr>
                <w:rFonts w:hint="default"/>
                <w:highlight w:val="none"/>
                <w:vertAlign w:val="baseline"/>
                <w:lang w:val="en-US" w:eastAsia="zh-CN"/>
              </w:rPr>
            </w:pPr>
            <w:r>
              <w:rPr>
                <w:rFonts w:hint="eastAsia"/>
                <w:highlight w:val="none"/>
                <w:vertAlign w:val="baseline"/>
                <w:lang w:val="en-US" w:eastAsia="zh-CN"/>
              </w:rPr>
              <w:t>94</w:t>
            </w:r>
          </w:p>
        </w:tc>
        <w:tc>
          <w:tcPr>
            <w:tcW w:w="1690" w:type="dxa"/>
            <w:noWrap w:val="0"/>
            <w:vAlign w:val="center"/>
          </w:tcPr>
          <w:p w14:paraId="2CF74B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1B5A225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 玻璃制</w:t>
            </w:r>
          </w:p>
        </w:tc>
        <w:tc>
          <w:tcPr>
            <w:tcW w:w="736" w:type="dxa"/>
            <w:noWrap w:val="0"/>
            <w:vAlign w:val="center"/>
          </w:tcPr>
          <w:p w14:paraId="2908D08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2648F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4BBF1395">
            <w:pPr>
              <w:jc w:val="center"/>
              <w:rPr>
                <w:highlight w:val="none"/>
              </w:rPr>
            </w:pPr>
          </w:p>
        </w:tc>
        <w:tc>
          <w:tcPr>
            <w:tcW w:w="710" w:type="dxa"/>
            <w:gridSpan w:val="2"/>
            <w:noWrap w:val="0"/>
            <w:vAlign w:val="center"/>
          </w:tcPr>
          <w:p w14:paraId="06FF86B5">
            <w:pPr>
              <w:jc w:val="both"/>
              <w:rPr>
                <w:highlight w:val="none"/>
                <w:vertAlign w:val="baseline"/>
              </w:rPr>
            </w:pPr>
          </w:p>
        </w:tc>
      </w:tr>
      <w:tr w14:paraId="7B88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725CB6F">
            <w:pPr>
              <w:jc w:val="center"/>
              <w:rPr>
                <w:rFonts w:hint="default"/>
                <w:highlight w:val="none"/>
                <w:vertAlign w:val="baseline"/>
                <w:lang w:val="en-US" w:eastAsia="zh-CN"/>
              </w:rPr>
            </w:pPr>
            <w:r>
              <w:rPr>
                <w:rFonts w:hint="eastAsia"/>
                <w:highlight w:val="none"/>
                <w:vertAlign w:val="baseline"/>
                <w:lang w:val="en-US" w:eastAsia="zh-CN"/>
              </w:rPr>
              <w:t>95</w:t>
            </w:r>
          </w:p>
        </w:tc>
        <w:tc>
          <w:tcPr>
            <w:tcW w:w="1690" w:type="dxa"/>
            <w:noWrap w:val="0"/>
            <w:vAlign w:val="center"/>
          </w:tcPr>
          <w:p w14:paraId="00B68F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烧杯</w:t>
            </w:r>
          </w:p>
        </w:tc>
        <w:tc>
          <w:tcPr>
            <w:tcW w:w="5928" w:type="dxa"/>
            <w:noWrap w:val="0"/>
            <w:vAlign w:val="center"/>
          </w:tcPr>
          <w:p w14:paraId="5497D77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center"/>
          </w:tcPr>
          <w:p w14:paraId="032A2E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351F9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7C8E1739">
            <w:pPr>
              <w:jc w:val="center"/>
              <w:rPr>
                <w:highlight w:val="none"/>
              </w:rPr>
            </w:pPr>
          </w:p>
        </w:tc>
        <w:tc>
          <w:tcPr>
            <w:tcW w:w="710" w:type="dxa"/>
            <w:gridSpan w:val="2"/>
            <w:noWrap w:val="0"/>
            <w:vAlign w:val="center"/>
          </w:tcPr>
          <w:p w14:paraId="0FF77203">
            <w:pPr>
              <w:jc w:val="both"/>
              <w:rPr>
                <w:highlight w:val="none"/>
                <w:vertAlign w:val="baseline"/>
              </w:rPr>
            </w:pPr>
          </w:p>
        </w:tc>
      </w:tr>
      <w:tr w14:paraId="1A66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6952E5">
            <w:pPr>
              <w:jc w:val="center"/>
              <w:rPr>
                <w:rFonts w:hint="default"/>
                <w:highlight w:val="none"/>
                <w:vertAlign w:val="baseline"/>
                <w:lang w:val="en-US" w:eastAsia="zh-CN"/>
              </w:rPr>
            </w:pPr>
            <w:r>
              <w:rPr>
                <w:rFonts w:hint="eastAsia"/>
                <w:highlight w:val="none"/>
                <w:vertAlign w:val="baseline"/>
                <w:lang w:val="en-US" w:eastAsia="zh-CN"/>
              </w:rPr>
              <w:t>96</w:t>
            </w:r>
          </w:p>
        </w:tc>
        <w:tc>
          <w:tcPr>
            <w:tcW w:w="1690" w:type="dxa"/>
            <w:noWrap w:val="0"/>
            <w:vAlign w:val="center"/>
          </w:tcPr>
          <w:p w14:paraId="146838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锥形瓶</w:t>
            </w:r>
          </w:p>
        </w:tc>
        <w:tc>
          <w:tcPr>
            <w:tcW w:w="5928" w:type="dxa"/>
            <w:noWrap w:val="0"/>
            <w:vAlign w:val="center"/>
          </w:tcPr>
          <w:p w14:paraId="7F9B8FD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mL,玻璃制</w:t>
            </w:r>
          </w:p>
        </w:tc>
        <w:tc>
          <w:tcPr>
            <w:tcW w:w="736" w:type="dxa"/>
            <w:noWrap w:val="0"/>
            <w:vAlign w:val="center"/>
          </w:tcPr>
          <w:p w14:paraId="0F6CB9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12888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44422227">
            <w:pPr>
              <w:jc w:val="center"/>
              <w:rPr>
                <w:highlight w:val="none"/>
              </w:rPr>
            </w:pPr>
          </w:p>
        </w:tc>
        <w:tc>
          <w:tcPr>
            <w:tcW w:w="710" w:type="dxa"/>
            <w:gridSpan w:val="2"/>
            <w:noWrap w:val="0"/>
            <w:vAlign w:val="center"/>
          </w:tcPr>
          <w:p w14:paraId="79150D43">
            <w:pPr>
              <w:jc w:val="both"/>
              <w:rPr>
                <w:highlight w:val="none"/>
                <w:vertAlign w:val="baseline"/>
              </w:rPr>
            </w:pPr>
          </w:p>
        </w:tc>
      </w:tr>
      <w:tr w14:paraId="0605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2CCD54F">
            <w:pPr>
              <w:jc w:val="center"/>
              <w:rPr>
                <w:rFonts w:hint="default"/>
                <w:highlight w:val="none"/>
                <w:vertAlign w:val="baseline"/>
                <w:lang w:val="en-US" w:eastAsia="zh-CN"/>
              </w:rPr>
            </w:pPr>
            <w:r>
              <w:rPr>
                <w:rFonts w:hint="eastAsia"/>
                <w:highlight w:val="none"/>
                <w:vertAlign w:val="baseline"/>
                <w:lang w:val="en-US" w:eastAsia="zh-CN"/>
              </w:rPr>
              <w:t>97</w:t>
            </w:r>
          </w:p>
        </w:tc>
        <w:tc>
          <w:tcPr>
            <w:tcW w:w="1690" w:type="dxa"/>
            <w:noWrap w:val="0"/>
            <w:vAlign w:val="center"/>
          </w:tcPr>
          <w:p w14:paraId="62A5A0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锥形瓶</w:t>
            </w:r>
          </w:p>
        </w:tc>
        <w:tc>
          <w:tcPr>
            <w:tcW w:w="5928" w:type="dxa"/>
            <w:noWrap w:val="0"/>
            <w:vAlign w:val="center"/>
          </w:tcPr>
          <w:p w14:paraId="29649BF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center"/>
          </w:tcPr>
          <w:p w14:paraId="4BF95C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8E28A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783A7951">
            <w:pPr>
              <w:jc w:val="center"/>
              <w:rPr>
                <w:highlight w:val="none"/>
              </w:rPr>
            </w:pPr>
          </w:p>
        </w:tc>
        <w:tc>
          <w:tcPr>
            <w:tcW w:w="710" w:type="dxa"/>
            <w:gridSpan w:val="2"/>
            <w:noWrap w:val="0"/>
            <w:vAlign w:val="center"/>
          </w:tcPr>
          <w:p w14:paraId="34A731A6">
            <w:pPr>
              <w:jc w:val="both"/>
              <w:rPr>
                <w:highlight w:val="none"/>
                <w:vertAlign w:val="baseline"/>
              </w:rPr>
            </w:pPr>
          </w:p>
        </w:tc>
      </w:tr>
      <w:tr w14:paraId="74BF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BD155F8">
            <w:pPr>
              <w:jc w:val="center"/>
              <w:rPr>
                <w:rFonts w:hint="default"/>
                <w:highlight w:val="none"/>
                <w:vertAlign w:val="baseline"/>
                <w:lang w:val="en-US" w:eastAsia="zh-CN"/>
              </w:rPr>
            </w:pPr>
            <w:r>
              <w:rPr>
                <w:rFonts w:hint="eastAsia"/>
                <w:highlight w:val="none"/>
                <w:vertAlign w:val="baseline"/>
                <w:lang w:val="en-US" w:eastAsia="zh-CN"/>
              </w:rPr>
              <w:t>98</w:t>
            </w:r>
          </w:p>
        </w:tc>
        <w:tc>
          <w:tcPr>
            <w:tcW w:w="1690" w:type="dxa"/>
            <w:noWrap w:val="0"/>
            <w:vAlign w:val="center"/>
          </w:tcPr>
          <w:p w14:paraId="206893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22067C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125 mL,玻璃制</w:t>
            </w:r>
          </w:p>
        </w:tc>
        <w:tc>
          <w:tcPr>
            <w:tcW w:w="736" w:type="dxa"/>
            <w:noWrap w:val="0"/>
            <w:vAlign w:val="center"/>
          </w:tcPr>
          <w:p w14:paraId="5696A7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92054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120</w:t>
            </w:r>
          </w:p>
        </w:tc>
        <w:tc>
          <w:tcPr>
            <w:tcW w:w="3396" w:type="dxa"/>
            <w:gridSpan w:val="2"/>
            <w:noWrap w:val="0"/>
            <w:vAlign w:val="center"/>
          </w:tcPr>
          <w:p w14:paraId="097F2F46">
            <w:pPr>
              <w:jc w:val="center"/>
              <w:rPr>
                <w:highlight w:val="none"/>
              </w:rPr>
            </w:pPr>
          </w:p>
        </w:tc>
        <w:tc>
          <w:tcPr>
            <w:tcW w:w="710" w:type="dxa"/>
            <w:gridSpan w:val="2"/>
            <w:noWrap w:val="0"/>
            <w:vAlign w:val="center"/>
          </w:tcPr>
          <w:p w14:paraId="7A36B119">
            <w:pPr>
              <w:jc w:val="both"/>
              <w:rPr>
                <w:highlight w:val="none"/>
                <w:vertAlign w:val="baseline"/>
              </w:rPr>
            </w:pPr>
          </w:p>
        </w:tc>
      </w:tr>
      <w:tr w14:paraId="35E6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51E66A">
            <w:pPr>
              <w:jc w:val="center"/>
              <w:rPr>
                <w:rFonts w:hint="default"/>
                <w:highlight w:val="none"/>
                <w:vertAlign w:val="baseline"/>
                <w:lang w:val="en-US" w:eastAsia="zh-CN"/>
              </w:rPr>
            </w:pPr>
            <w:r>
              <w:rPr>
                <w:rFonts w:hint="eastAsia"/>
                <w:highlight w:val="none"/>
                <w:vertAlign w:val="baseline"/>
                <w:lang w:val="en-US" w:eastAsia="zh-CN"/>
              </w:rPr>
              <w:t>99</w:t>
            </w:r>
          </w:p>
        </w:tc>
        <w:tc>
          <w:tcPr>
            <w:tcW w:w="1690" w:type="dxa"/>
            <w:noWrap w:val="0"/>
            <w:vAlign w:val="center"/>
          </w:tcPr>
          <w:p w14:paraId="042835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广口瓶</w:t>
            </w:r>
          </w:p>
        </w:tc>
        <w:tc>
          <w:tcPr>
            <w:tcW w:w="5928" w:type="dxa"/>
            <w:noWrap w:val="0"/>
            <w:vAlign w:val="center"/>
          </w:tcPr>
          <w:p w14:paraId="3C600E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center"/>
          </w:tcPr>
          <w:p w14:paraId="799B01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5998F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120</w:t>
            </w:r>
          </w:p>
        </w:tc>
        <w:tc>
          <w:tcPr>
            <w:tcW w:w="3396" w:type="dxa"/>
            <w:gridSpan w:val="2"/>
            <w:noWrap w:val="0"/>
            <w:vAlign w:val="center"/>
          </w:tcPr>
          <w:p w14:paraId="41DF62DD">
            <w:pPr>
              <w:jc w:val="center"/>
              <w:rPr>
                <w:highlight w:val="none"/>
              </w:rPr>
            </w:pPr>
          </w:p>
        </w:tc>
        <w:tc>
          <w:tcPr>
            <w:tcW w:w="710" w:type="dxa"/>
            <w:gridSpan w:val="2"/>
            <w:noWrap w:val="0"/>
            <w:vAlign w:val="center"/>
          </w:tcPr>
          <w:p w14:paraId="4A0D917B">
            <w:pPr>
              <w:jc w:val="both"/>
              <w:rPr>
                <w:highlight w:val="none"/>
                <w:vertAlign w:val="baseline"/>
              </w:rPr>
            </w:pPr>
          </w:p>
        </w:tc>
      </w:tr>
      <w:tr w14:paraId="3256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11AF0B">
            <w:pPr>
              <w:jc w:val="center"/>
              <w:rPr>
                <w:rFonts w:hint="default"/>
                <w:highlight w:val="none"/>
                <w:vertAlign w:val="baseline"/>
                <w:lang w:val="en-US" w:eastAsia="zh-CN"/>
              </w:rPr>
            </w:pPr>
            <w:r>
              <w:rPr>
                <w:rFonts w:hint="eastAsia"/>
                <w:highlight w:val="none"/>
                <w:vertAlign w:val="baseline"/>
                <w:lang w:val="en-US" w:eastAsia="zh-CN"/>
              </w:rPr>
              <w:t>100</w:t>
            </w:r>
          </w:p>
        </w:tc>
        <w:tc>
          <w:tcPr>
            <w:tcW w:w="1690" w:type="dxa"/>
            <w:noWrap w:val="0"/>
            <w:vAlign w:val="center"/>
          </w:tcPr>
          <w:p w14:paraId="4C484C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68DA0BF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250 mL,玻璃制</w:t>
            </w:r>
          </w:p>
        </w:tc>
        <w:tc>
          <w:tcPr>
            <w:tcW w:w="736" w:type="dxa"/>
            <w:noWrap w:val="0"/>
            <w:vAlign w:val="center"/>
          </w:tcPr>
          <w:p w14:paraId="595457F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797C9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74D3EAB3">
            <w:pPr>
              <w:jc w:val="center"/>
              <w:rPr>
                <w:highlight w:val="none"/>
              </w:rPr>
            </w:pPr>
          </w:p>
        </w:tc>
        <w:tc>
          <w:tcPr>
            <w:tcW w:w="710" w:type="dxa"/>
            <w:gridSpan w:val="2"/>
            <w:noWrap w:val="0"/>
            <w:vAlign w:val="center"/>
          </w:tcPr>
          <w:p w14:paraId="037B13CF">
            <w:pPr>
              <w:jc w:val="both"/>
              <w:rPr>
                <w:highlight w:val="none"/>
                <w:vertAlign w:val="baseline"/>
              </w:rPr>
            </w:pPr>
          </w:p>
        </w:tc>
      </w:tr>
      <w:tr w14:paraId="29E1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A9058F">
            <w:pPr>
              <w:jc w:val="center"/>
              <w:rPr>
                <w:rFonts w:hint="default"/>
                <w:highlight w:val="none"/>
                <w:vertAlign w:val="baseline"/>
                <w:lang w:val="en-US" w:eastAsia="zh-CN"/>
              </w:rPr>
            </w:pPr>
            <w:r>
              <w:rPr>
                <w:rFonts w:hint="eastAsia"/>
                <w:highlight w:val="none"/>
                <w:vertAlign w:val="baseline"/>
                <w:lang w:val="en-US" w:eastAsia="zh-CN"/>
              </w:rPr>
              <w:t>101</w:t>
            </w:r>
          </w:p>
        </w:tc>
        <w:tc>
          <w:tcPr>
            <w:tcW w:w="1690" w:type="dxa"/>
            <w:noWrap w:val="0"/>
            <w:vAlign w:val="center"/>
          </w:tcPr>
          <w:p w14:paraId="544BE8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细口瓶</w:t>
            </w:r>
          </w:p>
        </w:tc>
        <w:tc>
          <w:tcPr>
            <w:tcW w:w="5928" w:type="dxa"/>
            <w:noWrap w:val="0"/>
            <w:vAlign w:val="center"/>
          </w:tcPr>
          <w:p w14:paraId="6E21901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 mL,玻璃制</w:t>
            </w:r>
          </w:p>
        </w:tc>
        <w:tc>
          <w:tcPr>
            <w:tcW w:w="736" w:type="dxa"/>
            <w:noWrap w:val="0"/>
            <w:vAlign w:val="center"/>
          </w:tcPr>
          <w:p w14:paraId="21D750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BFE10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18030A72">
            <w:pPr>
              <w:jc w:val="center"/>
              <w:rPr>
                <w:highlight w:val="none"/>
              </w:rPr>
            </w:pPr>
          </w:p>
        </w:tc>
        <w:tc>
          <w:tcPr>
            <w:tcW w:w="710" w:type="dxa"/>
            <w:gridSpan w:val="2"/>
            <w:noWrap w:val="0"/>
            <w:vAlign w:val="center"/>
          </w:tcPr>
          <w:p w14:paraId="08E7F783">
            <w:pPr>
              <w:jc w:val="both"/>
              <w:rPr>
                <w:highlight w:val="none"/>
                <w:vertAlign w:val="baseline"/>
              </w:rPr>
            </w:pPr>
          </w:p>
        </w:tc>
      </w:tr>
      <w:tr w14:paraId="5FD4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00EEF4">
            <w:pPr>
              <w:jc w:val="center"/>
              <w:rPr>
                <w:rFonts w:hint="default"/>
                <w:highlight w:val="none"/>
                <w:vertAlign w:val="baseline"/>
                <w:lang w:val="en-US" w:eastAsia="zh-CN"/>
              </w:rPr>
            </w:pPr>
            <w:r>
              <w:rPr>
                <w:rFonts w:hint="eastAsia"/>
                <w:highlight w:val="none"/>
                <w:vertAlign w:val="baseline"/>
                <w:lang w:val="en-US" w:eastAsia="zh-CN"/>
              </w:rPr>
              <w:t>102</w:t>
            </w:r>
          </w:p>
        </w:tc>
        <w:tc>
          <w:tcPr>
            <w:tcW w:w="1690" w:type="dxa"/>
            <w:noWrap w:val="0"/>
            <w:vAlign w:val="center"/>
          </w:tcPr>
          <w:p w14:paraId="6D65D9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3902283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 mL,玻璃制</w:t>
            </w:r>
          </w:p>
        </w:tc>
        <w:tc>
          <w:tcPr>
            <w:tcW w:w="736" w:type="dxa"/>
            <w:noWrap w:val="0"/>
            <w:vAlign w:val="center"/>
          </w:tcPr>
          <w:p w14:paraId="60C0F4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B2E04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7AB0A5B2">
            <w:pPr>
              <w:jc w:val="center"/>
              <w:rPr>
                <w:highlight w:val="none"/>
              </w:rPr>
            </w:pPr>
          </w:p>
        </w:tc>
        <w:tc>
          <w:tcPr>
            <w:tcW w:w="710" w:type="dxa"/>
            <w:gridSpan w:val="2"/>
            <w:noWrap w:val="0"/>
            <w:vAlign w:val="center"/>
          </w:tcPr>
          <w:p w14:paraId="3B425F04">
            <w:pPr>
              <w:jc w:val="both"/>
              <w:rPr>
                <w:highlight w:val="none"/>
                <w:vertAlign w:val="baseline"/>
              </w:rPr>
            </w:pPr>
          </w:p>
        </w:tc>
      </w:tr>
      <w:tr w14:paraId="0B37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4D5F97">
            <w:pPr>
              <w:jc w:val="center"/>
              <w:rPr>
                <w:rFonts w:hint="default"/>
                <w:highlight w:val="none"/>
                <w:vertAlign w:val="baseline"/>
                <w:lang w:val="en-US" w:eastAsia="zh-CN"/>
              </w:rPr>
            </w:pPr>
            <w:r>
              <w:rPr>
                <w:rFonts w:hint="eastAsia"/>
                <w:highlight w:val="none"/>
                <w:vertAlign w:val="baseline"/>
                <w:lang w:val="en-US" w:eastAsia="zh-CN"/>
              </w:rPr>
              <w:t>103</w:t>
            </w:r>
          </w:p>
        </w:tc>
        <w:tc>
          <w:tcPr>
            <w:tcW w:w="1690" w:type="dxa"/>
            <w:noWrap w:val="0"/>
            <w:vAlign w:val="center"/>
          </w:tcPr>
          <w:p w14:paraId="3C7AB0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34BAEC9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mL,玻璃制</w:t>
            </w:r>
          </w:p>
        </w:tc>
        <w:tc>
          <w:tcPr>
            <w:tcW w:w="736" w:type="dxa"/>
            <w:noWrap w:val="0"/>
            <w:vAlign w:val="center"/>
          </w:tcPr>
          <w:p w14:paraId="52DF70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52344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737B3F6A">
            <w:pPr>
              <w:jc w:val="center"/>
              <w:rPr>
                <w:highlight w:val="none"/>
              </w:rPr>
            </w:pPr>
          </w:p>
        </w:tc>
        <w:tc>
          <w:tcPr>
            <w:tcW w:w="710" w:type="dxa"/>
            <w:gridSpan w:val="2"/>
            <w:noWrap w:val="0"/>
            <w:vAlign w:val="center"/>
          </w:tcPr>
          <w:p w14:paraId="357B48E4">
            <w:pPr>
              <w:jc w:val="both"/>
              <w:rPr>
                <w:highlight w:val="none"/>
                <w:vertAlign w:val="baseline"/>
              </w:rPr>
            </w:pPr>
          </w:p>
        </w:tc>
      </w:tr>
      <w:tr w14:paraId="4113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EA48E8">
            <w:pPr>
              <w:jc w:val="center"/>
              <w:rPr>
                <w:rFonts w:hint="default"/>
                <w:highlight w:val="none"/>
                <w:vertAlign w:val="baseline"/>
                <w:lang w:val="en-US" w:eastAsia="zh-CN"/>
              </w:rPr>
            </w:pPr>
            <w:r>
              <w:rPr>
                <w:rFonts w:hint="eastAsia"/>
                <w:highlight w:val="none"/>
                <w:vertAlign w:val="baseline"/>
                <w:lang w:val="en-US" w:eastAsia="zh-CN"/>
              </w:rPr>
              <w:t>104</w:t>
            </w:r>
          </w:p>
        </w:tc>
        <w:tc>
          <w:tcPr>
            <w:tcW w:w="1690" w:type="dxa"/>
            <w:noWrap w:val="0"/>
            <w:vAlign w:val="center"/>
          </w:tcPr>
          <w:p w14:paraId="6889CB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7C8115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 mL,茶色玻璃制</w:t>
            </w:r>
          </w:p>
        </w:tc>
        <w:tc>
          <w:tcPr>
            <w:tcW w:w="736" w:type="dxa"/>
            <w:noWrap w:val="0"/>
            <w:vAlign w:val="center"/>
          </w:tcPr>
          <w:p w14:paraId="737C3A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3EFDB3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6C1F0BA4">
            <w:pPr>
              <w:jc w:val="center"/>
              <w:rPr>
                <w:highlight w:val="none"/>
              </w:rPr>
            </w:pPr>
          </w:p>
        </w:tc>
        <w:tc>
          <w:tcPr>
            <w:tcW w:w="710" w:type="dxa"/>
            <w:gridSpan w:val="2"/>
            <w:noWrap w:val="0"/>
            <w:vAlign w:val="center"/>
          </w:tcPr>
          <w:p w14:paraId="4103F6FC">
            <w:pPr>
              <w:jc w:val="both"/>
              <w:rPr>
                <w:highlight w:val="none"/>
                <w:vertAlign w:val="baseline"/>
              </w:rPr>
            </w:pPr>
          </w:p>
        </w:tc>
      </w:tr>
      <w:tr w14:paraId="61FF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F65BBEE">
            <w:pPr>
              <w:jc w:val="center"/>
              <w:rPr>
                <w:rFonts w:hint="default"/>
                <w:highlight w:val="none"/>
                <w:vertAlign w:val="baseline"/>
                <w:lang w:val="en-US" w:eastAsia="zh-CN"/>
              </w:rPr>
            </w:pPr>
            <w:r>
              <w:rPr>
                <w:rFonts w:hint="eastAsia"/>
                <w:highlight w:val="none"/>
                <w:vertAlign w:val="baseline"/>
                <w:lang w:val="en-US" w:eastAsia="zh-CN"/>
              </w:rPr>
              <w:t>105</w:t>
            </w:r>
          </w:p>
        </w:tc>
        <w:tc>
          <w:tcPr>
            <w:tcW w:w="1690" w:type="dxa"/>
            <w:noWrap w:val="0"/>
            <w:vAlign w:val="center"/>
          </w:tcPr>
          <w:p w14:paraId="070552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滴瓶</w:t>
            </w:r>
          </w:p>
        </w:tc>
        <w:tc>
          <w:tcPr>
            <w:tcW w:w="5928" w:type="dxa"/>
            <w:noWrap w:val="0"/>
            <w:vAlign w:val="center"/>
          </w:tcPr>
          <w:p w14:paraId="5FC60BB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mL,茶色玻璃制</w:t>
            </w:r>
          </w:p>
        </w:tc>
        <w:tc>
          <w:tcPr>
            <w:tcW w:w="736" w:type="dxa"/>
            <w:noWrap w:val="0"/>
            <w:vAlign w:val="center"/>
          </w:tcPr>
          <w:p w14:paraId="11DB1E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171DA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w:t>
            </w:r>
          </w:p>
        </w:tc>
        <w:tc>
          <w:tcPr>
            <w:tcW w:w="3396" w:type="dxa"/>
            <w:gridSpan w:val="2"/>
            <w:noWrap w:val="0"/>
            <w:vAlign w:val="center"/>
          </w:tcPr>
          <w:p w14:paraId="1A7E6521">
            <w:pPr>
              <w:jc w:val="center"/>
              <w:rPr>
                <w:highlight w:val="none"/>
              </w:rPr>
            </w:pPr>
          </w:p>
        </w:tc>
        <w:tc>
          <w:tcPr>
            <w:tcW w:w="710" w:type="dxa"/>
            <w:gridSpan w:val="2"/>
            <w:noWrap w:val="0"/>
            <w:vAlign w:val="center"/>
          </w:tcPr>
          <w:p w14:paraId="154A124E">
            <w:pPr>
              <w:jc w:val="both"/>
              <w:rPr>
                <w:highlight w:val="none"/>
                <w:vertAlign w:val="baseline"/>
              </w:rPr>
            </w:pPr>
          </w:p>
        </w:tc>
      </w:tr>
      <w:tr w14:paraId="7351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944410">
            <w:pPr>
              <w:jc w:val="center"/>
              <w:rPr>
                <w:rFonts w:hint="default"/>
                <w:highlight w:val="none"/>
                <w:vertAlign w:val="baseline"/>
                <w:lang w:val="en-US" w:eastAsia="zh-CN"/>
              </w:rPr>
            </w:pPr>
            <w:r>
              <w:rPr>
                <w:rFonts w:hint="eastAsia"/>
                <w:highlight w:val="none"/>
                <w:vertAlign w:val="baseline"/>
                <w:lang w:val="en-US" w:eastAsia="zh-CN"/>
              </w:rPr>
              <w:t>106</w:t>
            </w:r>
          </w:p>
        </w:tc>
        <w:tc>
          <w:tcPr>
            <w:tcW w:w="1690" w:type="dxa"/>
            <w:noWrap w:val="0"/>
            <w:vAlign w:val="center"/>
          </w:tcPr>
          <w:p w14:paraId="417784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培养皿</w:t>
            </w:r>
          </w:p>
        </w:tc>
        <w:tc>
          <w:tcPr>
            <w:tcW w:w="5928" w:type="dxa"/>
            <w:noWrap w:val="0"/>
            <w:vAlign w:val="center"/>
          </w:tcPr>
          <w:p w14:paraId="752FCDB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60mm</w:t>
            </w:r>
          </w:p>
        </w:tc>
        <w:tc>
          <w:tcPr>
            <w:tcW w:w="736" w:type="dxa"/>
            <w:noWrap w:val="0"/>
            <w:vAlign w:val="center"/>
          </w:tcPr>
          <w:p w14:paraId="6EAB19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28B90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w:t>
            </w:r>
          </w:p>
        </w:tc>
        <w:tc>
          <w:tcPr>
            <w:tcW w:w="3396" w:type="dxa"/>
            <w:gridSpan w:val="2"/>
            <w:noWrap w:val="0"/>
            <w:vAlign w:val="center"/>
          </w:tcPr>
          <w:p w14:paraId="7BBCD830">
            <w:pPr>
              <w:jc w:val="center"/>
              <w:rPr>
                <w:highlight w:val="none"/>
              </w:rPr>
            </w:pPr>
          </w:p>
        </w:tc>
        <w:tc>
          <w:tcPr>
            <w:tcW w:w="710" w:type="dxa"/>
            <w:gridSpan w:val="2"/>
            <w:noWrap w:val="0"/>
            <w:vAlign w:val="center"/>
          </w:tcPr>
          <w:p w14:paraId="0A72A3FC">
            <w:pPr>
              <w:jc w:val="both"/>
              <w:rPr>
                <w:highlight w:val="none"/>
                <w:vertAlign w:val="baseline"/>
              </w:rPr>
            </w:pPr>
          </w:p>
        </w:tc>
      </w:tr>
      <w:tr w14:paraId="5400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F085B9">
            <w:pPr>
              <w:jc w:val="center"/>
              <w:rPr>
                <w:rFonts w:hint="default"/>
                <w:highlight w:val="none"/>
                <w:vertAlign w:val="baseline"/>
                <w:lang w:val="en-US" w:eastAsia="zh-CN"/>
              </w:rPr>
            </w:pPr>
            <w:r>
              <w:rPr>
                <w:rFonts w:hint="eastAsia"/>
                <w:highlight w:val="none"/>
                <w:vertAlign w:val="baseline"/>
                <w:lang w:val="en-US" w:eastAsia="zh-CN"/>
              </w:rPr>
              <w:t>107</w:t>
            </w:r>
          </w:p>
        </w:tc>
        <w:tc>
          <w:tcPr>
            <w:tcW w:w="1690" w:type="dxa"/>
            <w:noWrap w:val="0"/>
            <w:vAlign w:val="center"/>
          </w:tcPr>
          <w:p w14:paraId="223456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培养皿</w:t>
            </w:r>
          </w:p>
        </w:tc>
        <w:tc>
          <w:tcPr>
            <w:tcW w:w="5928" w:type="dxa"/>
            <w:noWrap w:val="0"/>
            <w:vAlign w:val="center"/>
          </w:tcPr>
          <w:p w14:paraId="0A1B00F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90 mm 玻璃制</w:t>
            </w:r>
          </w:p>
        </w:tc>
        <w:tc>
          <w:tcPr>
            <w:tcW w:w="736" w:type="dxa"/>
            <w:noWrap w:val="0"/>
            <w:vAlign w:val="center"/>
          </w:tcPr>
          <w:p w14:paraId="7BFC44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02F9C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w:t>
            </w:r>
          </w:p>
        </w:tc>
        <w:tc>
          <w:tcPr>
            <w:tcW w:w="3396" w:type="dxa"/>
            <w:gridSpan w:val="2"/>
            <w:noWrap w:val="0"/>
            <w:vAlign w:val="center"/>
          </w:tcPr>
          <w:p w14:paraId="77AA98E1">
            <w:pPr>
              <w:jc w:val="center"/>
              <w:rPr>
                <w:highlight w:val="none"/>
              </w:rPr>
            </w:pPr>
          </w:p>
        </w:tc>
        <w:tc>
          <w:tcPr>
            <w:tcW w:w="710" w:type="dxa"/>
            <w:gridSpan w:val="2"/>
            <w:noWrap w:val="0"/>
            <w:vAlign w:val="center"/>
          </w:tcPr>
          <w:p w14:paraId="4B628FBA">
            <w:pPr>
              <w:jc w:val="both"/>
              <w:rPr>
                <w:highlight w:val="none"/>
                <w:vertAlign w:val="baseline"/>
              </w:rPr>
            </w:pPr>
          </w:p>
        </w:tc>
      </w:tr>
      <w:tr w14:paraId="2F7F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EE4C42">
            <w:pPr>
              <w:jc w:val="center"/>
              <w:rPr>
                <w:rFonts w:hint="default"/>
                <w:highlight w:val="none"/>
                <w:vertAlign w:val="baseline"/>
                <w:lang w:val="en-US" w:eastAsia="zh-CN"/>
              </w:rPr>
            </w:pPr>
            <w:r>
              <w:rPr>
                <w:rFonts w:hint="eastAsia"/>
                <w:highlight w:val="none"/>
                <w:vertAlign w:val="baseline"/>
                <w:lang w:val="en-US" w:eastAsia="zh-CN"/>
              </w:rPr>
              <w:t>108</w:t>
            </w:r>
          </w:p>
        </w:tc>
        <w:tc>
          <w:tcPr>
            <w:tcW w:w="1690" w:type="dxa"/>
            <w:noWrap w:val="0"/>
            <w:vAlign w:val="center"/>
          </w:tcPr>
          <w:p w14:paraId="5FC049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干燥器</w:t>
            </w:r>
          </w:p>
        </w:tc>
        <w:tc>
          <w:tcPr>
            <w:tcW w:w="5928" w:type="dxa"/>
            <w:noWrap w:val="0"/>
            <w:vAlign w:val="center"/>
          </w:tcPr>
          <w:p w14:paraId="2F5F70F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 mm,不少于 5 个圆孔</w:t>
            </w:r>
          </w:p>
        </w:tc>
        <w:tc>
          <w:tcPr>
            <w:tcW w:w="736" w:type="dxa"/>
            <w:noWrap w:val="0"/>
            <w:vAlign w:val="center"/>
          </w:tcPr>
          <w:p w14:paraId="190672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B6B56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61327CF">
            <w:pPr>
              <w:jc w:val="center"/>
              <w:rPr>
                <w:highlight w:val="none"/>
              </w:rPr>
            </w:pPr>
          </w:p>
        </w:tc>
        <w:tc>
          <w:tcPr>
            <w:tcW w:w="710" w:type="dxa"/>
            <w:gridSpan w:val="2"/>
            <w:noWrap w:val="0"/>
            <w:vAlign w:val="center"/>
          </w:tcPr>
          <w:p w14:paraId="181A523A">
            <w:pPr>
              <w:jc w:val="both"/>
              <w:rPr>
                <w:highlight w:val="none"/>
                <w:vertAlign w:val="baseline"/>
              </w:rPr>
            </w:pPr>
          </w:p>
        </w:tc>
      </w:tr>
      <w:tr w14:paraId="4ECC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5682886">
            <w:pPr>
              <w:jc w:val="center"/>
              <w:rPr>
                <w:rFonts w:hint="default"/>
                <w:highlight w:val="none"/>
                <w:vertAlign w:val="baseline"/>
                <w:lang w:val="en-US" w:eastAsia="zh-CN"/>
              </w:rPr>
            </w:pPr>
            <w:r>
              <w:rPr>
                <w:rFonts w:hint="eastAsia"/>
                <w:highlight w:val="none"/>
                <w:vertAlign w:val="baseline"/>
                <w:lang w:val="en-US" w:eastAsia="zh-CN"/>
              </w:rPr>
              <w:t>109</w:t>
            </w:r>
          </w:p>
        </w:tc>
        <w:tc>
          <w:tcPr>
            <w:tcW w:w="1690" w:type="dxa"/>
            <w:noWrap w:val="0"/>
            <w:vAlign w:val="center"/>
          </w:tcPr>
          <w:p w14:paraId="47FA08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干燥管</w:t>
            </w:r>
          </w:p>
        </w:tc>
        <w:tc>
          <w:tcPr>
            <w:tcW w:w="5928" w:type="dxa"/>
            <w:noWrap w:val="0"/>
            <w:vAlign w:val="center"/>
          </w:tcPr>
          <w:p w14:paraId="346316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15 mm × 150 mm，U 型,玻璃制</w:t>
            </w:r>
          </w:p>
        </w:tc>
        <w:tc>
          <w:tcPr>
            <w:tcW w:w="736" w:type="dxa"/>
            <w:noWrap w:val="0"/>
            <w:vAlign w:val="center"/>
          </w:tcPr>
          <w:p w14:paraId="6F2784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C7D09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46045776">
            <w:pPr>
              <w:jc w:val="center"/>
              <w:rPr>
                <w:highlight w:val="none"/>
              </w:rPr>
            </w:pPr>
          </w:p>
        </w:tc>
        <w:tc>
          <w:tcPr>
            <w:tcW w:w="710" w:type="dxa"/>
            <w:gridSpan w:val="2"/>
            <w:noWrap w:val="0"/>
            <w:vAlign w:val="center"/>
          </w:tcPr>
          <w:p w14:paraId="49B6258E">
            <w:pPr>
              <w:jc w:val="both"/>
              <w:rPr>
                <w:highlight w:val="none"/>
                <w:vertAlign w:val="baseline"/>
              </w:rPr>
            </w:pPr>
          </w:p>
        </w:tc>
      </w:tr>
      <w:tr w14:paraId="251C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1A748E6">
            <w:pPr>
              <w:jc w:val="center"/>
              <w:rPr>
                <w:rFonts w:hint="default"/>
                <w:highlight w:val="none"/>
                <w:vertAlign w:val="baseline"/>
                <w:lang w:val="en-US" w:eastAsia="zh-CN"/>
              </w:rPr>
            </w:pPr>
            <w:r>
              <w:rPr>
                <w:rFonts w:hint="eastAsia"/>
                <w:highlight w:val="none"/>
                <w:vertAlign w:val="baseline"/>
                <w:lang w:val="en-US" w:eastAsia="zh-CN"/>
              </w:rPr>
              <w:t>110</w:t>
            </w:r>
          </w:p>
        </w:tc>
        <w:tc>
          <w:tcPr>
            <w:tcW w:w="1690" w:type="dxa"/>
            <w:noWrap w:val="0"/>
            <w:vAlign w:val="center"/>
          </w:tcPr>
          <w:p w14:paraId="731C7E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漏斗</w:t>
            </w:r>
          </w:p>
        </w:tc>
        <w:tc>
          <w:tcPr>
            <w:tcW w:w="5928" w:type="dxa"/>
            <w:noWrap w:val="0"/>
            <w:vAlign w:val="center"/>
          </w:tcPr>
          <w:p w14:paraId="78F4969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 mm,玻璃制</w:t>
            </w:r>
          </w:p>
        </w:tc>
        <w:tc>
          <w:tcPr>
            <w:tcW w:w="736" w:type="dxa"/>
            <w:noWrap w:val="0"/>
            <w:vAlign w:val="center"/>
          </w:tcPr>
          <w:p w14:paraId="0D5F76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AF95D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4ED8C330">
            <w:pPr>
              <w:jc w:val="center"/>
              <w:rPr>
                <w:highlight w:val="none"/>
              </w:rPr>
            </w:pPr>
          </w:p>
        </w:tc>
        <w:tc>
          <w:tcPr>
            <w:tcW w:w="710" w:type="dxa"/>
            <w:gridSpan w:val="2"/>
            <w:noWrap w:val="0"/>
            <w:vAlign w:val="center"/>
          </w:tcPr>
          <w:p w14:paraId="467197F0">
            <w:pPr>
              <w:jc w:val="both"/>
              <w:rPr>
                <w:highlight w:val="none"/>
                <w:vertAlign w:val="baseline"/>
              </w:rPr>
            </w:pPr>
          </w:p>
        </w:tc>
      </w:tr>
      <w:tr w14:paraId="0BD1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99DBAD">
            <w:pPr>
              <w:jc w:val="center"/>
              <w:rPr>
                <w:rFonts w:hint="default"/>
                <w:highlight w:val="none"/>
                <w:vertAlign w:val="baseline"/>
                <w:lang w:val="en-US" w:eastAsia="zh-CN"/>
              </w:rPr>
            </w:pPr>
            <w:r>
              <w:rPr>
                <w:rFonts w:hint="eastAsia"/>
                <w:highlight w:val="none"/>
                <w:vertAlign w:val="baseline"/>
                <w:lang w:val="en-US" w:eastAsia="zh-CN"/>
              </w:rPr>
              <w:t>111</w:t>
            </w:r>
          </w:p>
        </w:tc>
        <w:tc>
          <w:tcPr>
            <w:tcW w:w="1690" w:type="dxa"/>
            <w:noWrap w:val="0"/>
            <w:vAlign w:val="center"/>
          </w:tcPr>
          <w:p w14:paraId="6343C34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三通连接管</w:t>
            </w:r>
          </w:p>
        </w:tc>
        <w:tc>
          <w:tcPr>
            <w:tcW w:w="5928" w:type="dxa"/>
            <w:noWrap w:val="0"/>
            <w:vAlign w:val="center"/>
          </w:tcPr>
          <w:p w14:paraId="7D2D35D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Y 形</w:t>
            </w:r>
          </w:p>
        </w:tc>
        <w:tc>
          <w:tcPr>
            <w:tcW w:w="736" w:type="dxa"/>
            <w:noWrap w:val="0"/>
            <w:vAlign w:val="center"/>
          </w:tcPr>
          <w:p w14:paraId="40C02F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E526A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0CD989E4">
            <w:pPr>
              <w:jc w:val="center"/>
              <w:rPr>
                <w:highlight w:val="none"/>
              </w:rPr>
            </w:pPr>
          </w:p>
        </w:tc>
        <w:tc>
          <w:tcPr>
            <w:tcW w:w="710" w:type="dxa"/>
            <w:gridSpan w:val="2"/>
            <w:noWrap w:val="0"/>
            <w:vAlign w:val="center"/>
          </w:tcPr>
          <w:p w14:paraId="6C8DDF00">
            <w:pPr>
              <w:jc w:val="both"/>
              <w:rPr>
                <w:highlight w:val="none"/>
                <w:vertAlign w:val="baseline"/>
              </w:rPr>
            </w:pPr>
          </w:p>
        </w:tc>
      </w:tr>
      <w:tr w14:paraId="59BD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8591CC">
            <w:pPr>
              <w:jc w:val="center"/>
              <w:rPr>
                <w:rFonts w:hint="default"/>
                <w:highlight w:val="none"/>
                <w:vertAlign w:val="baseline"/>
                <w:lang w:val="en-US" w:eastAsia="zh-CN"/>
              </w:rPr>
            </w:pPr>
            <w:r>
              <w:rPr>
                <w:rFonts w:hint="eastAsia"/>
                <w:highlight w:val="none"/>
                <w:vertAlign w:val="baseline"/>
                <w:lang w:val="en-US" w:eastAsia="zh-CN"/>
              </w:rPr>
              <w:t>112</w:t>
            </w:r>
          </w:p>
        </w:tc>
        <w:tc>
          <w:tcPr>
            <w:tcW w:w="1690" w:type="dxa"/>
            <w:noWrap w:val="0"/>
            <w:vAlign w:val="center"/>
          </w:tcPr>
          <w:p w14:paraId="700523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滴管</w:t>
            </w:r>
          </w:p>
        </w:tc>
        <w:tc>
          <w:tcPr>
            <w:tcW w:w="5928" w:type="dxa"/>
            <w:noWrap w:val="0"/>
            <w:vAlign w:val="center"/>
          </w:tcPr>
          <w:p w14:paraId="024CC71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mm 直形,玻璃胶头</w:t>
            </w:r>
          </w:p>
        </w:tc>
        <w:tc>
          <w:tcPr>
            <w:tcW w:w="736" w:type="dxa"/>
            <w:noWrap w:val="0"/>
            <w:vAlign w:val="center"/>
          </w:tcPr>
          <w:p w14:paraId="37077E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40788F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300</w:t>
            </w:r>
          </w:p>
        </w:tc>
        <w:tc>
          <w:tcPr>
            <w:tcW w:w="3396" w:type="dxa"/>
            <w:gridSpan w:val="2"/>
            <w:noWrap w:val="0"/>
            <w:vAlign w:val="center"/>
          </w:tcPr>
          <w:p w14:paraId="7AC4CEAC">
            <w:pPr>
              <w:jc w:val="center"/>
              <w:rPr>
                <w:highlight w:val="none"/>
              </w:rPr>
            </w:pPr>
          </w:p>
        </w:tc>
        <w:tc>
          <w:tcPr>
            <w:tcW w:w="710" w:type="dxa"/>
            <w:gridSpan w:val="2"/>
            <w:noWrap w:val="0"/>
            <w:vAlign w:val="center"/>
          </w:tcPr>
          <w:p w14:paraId="3C89C3A4">
            <w:pPr>
              <w:jc w:val="both"/>
              <w:rPr>
                <w:highlight w:val="none"/>
                <w:vertAlign w:val="baseline"/>
              </w:rPr>
            </w:pPr>
          </w:p>
        </w:tc>
      </w:tr>
      <w:tr w14:paraId="0E2E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5A956F">
            <w:pPr>
              <w:jc w:val="center"/>
              <w:rPr>
                <w:rFonts w:hint="default"/>
                <w:highlight w:val="none"/>
                <w:vertAlign w:val="baseline"/>
                <w:lang w:val="en-US" w:eastAsia="zh-CN"/>
              </w:rPr>
            </w:pPr>
            <w:r>
              <w:rPr>
                <w:rFonts w:hint="eastAsia"/>
                <w:highlight w:val="none"/>
                <w:vertAlign w:val="baseline"/>
                <w:lang w:val="en-US" w:eastAsia="zh-CN"/>
              </w:rPr>
              <w:t>113</w:t>
            </w:r>
          </w:p>
        </w:tc>
        <w:tc>
          <w:tcPr>
            <w:tcW w:w="1690" w:type="dxa"/>
            <w:noWrap w:val="0"/>
            <w:vAlign w:val="center"/>
          </w:tcPr>
          <w:p w14:paraId="655613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离心管</w:t>
            </w:r>
          </w:p>
        </w:tc>
        <w:tc>
          <w:tcPr>
            <w:tcW w:w="5928" w:type="dxa"/>
            <w:noWrap w:val="0"/>
            <w:vAlign w:val="center"/>
          </w:tcPr>
          <w:p w14:paraId="44C9025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10ml 玻璃制</w:t>
            </w:r>
          </w:p>
        </w:tc>
        <w:tc>
          <w:tcPr>
            <w:tcW w:w="736" w:type="dxa"/>
            <w:noWrap w:val="0"/>
            <w:vAlign w:val="center"/>
          </w:tcPr>
          <w:p w14:paraId="202943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4509BD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600A1B39">
            <w:pPr>
              <w:jc w:val="center"/>
              <w:rPr>
                <w:highlight w:val="none"/>
              </w:rPr>
            </w:pPr>
          </w:p>
        </w:tc>
        <w:tc>
          <w:tcPr>
            <w:tcW w:w="710" w:type="dxa"/>
            <w:gridSpan w:val="2"/>
            <w:noWrap w:val="0"/>
            <w:vAlign w:val="center"/>
          </w:tcPr>
          <w:p w14:paraId="301081B8">
            <w:pPr>
              <w:jc w:val="both"/>
              <w:rPr>
                <w:highlight w:val="none"/>
                <w:vertAlign w:val="baseline"/>
              </w:rPr>
            </w:pPr>
          </w:p>
        </w:tc>
      </w:tr>
      <w:tr w14:paraId="24F8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2C72A6E">
            <w:pPr>
              <w:jc w:val="center"/>
              <w:rPr>
                <w:rFonts w:hint="default"/>
                <w:highlight w:val="none"/>
                <w:vertAlign w:val="baseline"/>
                <w:lang w:val="en-US" w:eastAsia="zh-CN"/>
              </w:rPr>
            </w:pPr>
            <w:r>
              <w:rPr>
                <w:rFonts w:hint="eastAsia"/>
                <w:highlight w:val="none"/>
                <w:vertAlign w:val="baseline"/>
                <w:lang w:val="en-US" w:eastAsia="zh-CN"/>
              </w:rPr>
              <w:t>114</w:t>
            </w:r>
          </w:p>
        </w:tc>
        <w:tc>
          <w:tcPr>
            <w:tcW w:w="1690" w:type="dxa"/>
            <w:noWrap w:val="0"/>
            <w:vAlign w:val="center"/>
          </w:tcPr>
          <w:p w14:paraId="340C2B1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玻璃钟罩</w:t>
            </w:r>
          </w:p>
        </w:tc>
        <w:tc>
          <w:tcPr>
            <w:tcW w:w="5928" w:type="dxa"/>
            <w:noWrap w:val="0"/>
            <w:vAlign w:val="center"/>
          </w:tcPr>
          <w:p w14:paraId="0D6C16C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Φ150 mm×280 mm</w:t>
            </w:r>
          </w:p>
        </w:tc>
        <w:tc>
          <w:tcPr>
            <w:tcW w:w="736" w:type="dxa"/>
            <w:noWrap w:val="0"/>
            <w:vAlign w:val="center"/>
          </w:tcPr>
          <w:p w14:paraId="027FCA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2CC75A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5ED1EA2">
            <w:pPr>
              <w:jc w:val="center"/>
              <w:rPr>
                <w:highlight w:val="none"/>
              </w:rPr>
            </w:pPr>
          </w:p>
        </w:tc>
        <w:tc>
          <w:tcPr>
            <w:tcW w:w="710" w:type="dxa"/>
            <w:gridSpan w:val="2"/>
            <w:noWrap w:val="0"/>
            <w:vAlign w:val="center"/>
          </w:tcPr>
          <w:p w14:paraId="22F3B01C">
            <w:pPr>
              <w:jc w:val="both"/>
              <w:rPr>
                <w:highlight w:val="none"/>
                <w:vertAlign w:val="baseline"/>
              </w:rPr>
            </w:pPr>
          </w:p>
        </w:tc>
      </w:tr>
      <w:tr w14:paraId="5965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D3E725">
            <w:pPr>
              <w:jc w:val="center"/>
              <w:rPr>
                <w:rFonts w:hint="default"/>
                <w:highlight w:val="none"/>
                <w:vertAlign w:val="baseline"/>
                <w:lang w:val="en-US" w:eastAsia="zh-CN"/>
              </w:rPr>
            </w:pPr>
            <w:r>
              <w:rPr>
                <w:rFonts w:hint="eastAsia"/>
                <w:highlight w:val="none"/>
                <w:vertAlign w:val="baseline"/>
                <w:lang w:val="en-US" w:eastAsia="zh-CN"/>
              </w:rPr>
              <w:t>115</w:t>
            </w:r>
          </w:p>
        </w:tc>
        <w:tc>
          <w:tcPr>
            <w:tcW w:w="1690" w:type="dxa"/>
            <w:noWrap w:val="0"/>
            <w:vAlign w:val="center"/>
          </w:tcPr>
          <w:p w14:paraId="40C1EB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载玻片</w:t>
            </w:r>
          </w:p>
        </w:tc>
        <w:tc>
          <w:tcPr>
            <w:tcW w:w="5928" w:type="dxa"/>
            <w:noWrap w:val="0"/>
            <w:vAlign w:val="center"/>
          </w:tcPr>
          <w:p w14:paraId="7818649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（7101）50片</w:t>
            </w:r>
          </w:p>
        </w:tc>
        <w:tc>
          <w:tcPr>
            <w:tcW w:w="736" w:type="dxa"/>
            <w:noWrap w:val="0"/>
            <w:vAlign w:val="center"/>
          </w:tcPr>
          <w:p w14:paraId="65FCEB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1AC365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4016333E">
            <w:pPr>
              <w:jc w:val="center"/>
              <w:rPr>
                <w:highlight w:val="none"/>
              </w:rPr>
            </w:pPr>
          </w:p>
        </w:tc>
        <w:tc>
          <w:tcPr>
            <w:tcW w:w="710" w:type="dxa"/>
            <w:gridSpan w:val="2"/>
            <w:noWrap w:val="0"/>
            <w:vAlign w:val="center"/>
          </w:tcPr>
          <w:p w14:paraId="7B2FD18C">
            <w:pPr>
              <w:jc w:val="both"/>
              <w:rPr>
                <w:highlight w:val="none"/>
                <w:vertAlign w:val="baseline"/>
              </w:rPr>
            </w:pPr>
          </w:p>
        </w:tc>
      </w:tr>
      <w:tr w14:paraId="6CE1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C67DFB8">
            <w:pPr>
              <w:jc w:val="center"/>
              <w:rPr>
                <w:rFonts w:hint="default"/>
                <w:highlight w:val="none"/>
                <w:vertAlign w:val="baseline"/>
                <w:lang w:val="en-US" w:eastAsia="zh-CN"/>
              </w:rPr>
            </w:pPr>
            <w:r>
              <w:rPr>
                <w:rFonts w:hint="eastAsia"/>
                <w:highlight w:val="none"/>
                <w:vertAlign w:val="baseline"/>
                <w:lang w:val="en-US" w:eastAsia="zh-CN"/>
              </w:rPr>
              <w:t>116</w:t>
            </w:r>
          </w:p>
        </w:tc>
        <w:tc>
          <w:tcPr>
            <w:tcW w:w="1690" w:type="dxa"/>
            <w:noWrap w:val="0"/>
            <w:vAlign w:val="center"/>
          </w:tcPr>
          <w:p w14:paraId="25317C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盖玻片</w:t>
            </w:r>
          </w:p>
        </w:tc>
        <w:tc>
          <w:tcPr>
            <w:tcW w:w="5928" w:type="dxa"/>
            <w:noWrap w:val="0"/>
            <w:vAlign w:val="center"/>
          </w:tcPr>
          <w:p w14:paraId="2933EF8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50片</w:t>
            </w:r>
          </w:p>
        </w:tc>
        <w:tc>
          <w:tcPr>
            <w:tcW w:w="736" w:type="dxa"/>
            <w:noWrap w:val="0"/>
            <w:vAlign w:val="center"/>
          </w:tcPr>
          <w:p w14:paraId="40381D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w:t>
            </w:r>
          </w:p>
        </w:tc>
        <w:tc>
          <w:tcPr>
            <w:tcW w:w="834" w:type="dxa"/>
            <w:noWrap w:val="0"/>
            <w:vAlign w:val="center"/>
          </w:tcPr>
          <w:p w14:paraId="68F8D5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23BEC222">
            <w:pPr>
              <w:jc w:val="center"/>
              <w:rPr>
                <w:highlight w:val="none"/>
              </w:rPr>
            </w:pPr>
          </w:p>
        </w:tc>
        <w:tc>
          <w:tcPr>
            <w:tcW w:w="710" w:type="dxa"/>
            <w:gridSpan w:val="2"/>
            <w:noWrap w:val="0"/>
            <w:vAlign w:val="center"/>
          </w:tcPr>
          <w:p w14:paraId="17C3406A">
            <w:pPr>
              <w:jc w:val="both"/>
              <w:rPr>
                <w:highlight w:val="none"/>
                <w:vertAlign w:val="baseline"/>
              </w:rPr>
            </w:pPr>
          </w:p>
        </w:tc>
      </w:tr>
      <w:tr w14:paraId="3E57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07DD4D8B">
            <w:pPr>
              <w:jc w:val="center"/>
              <w:rPr>
                <w:rFonts w:hint="default"/>
                <w:highlight w:val="none"/>
                <w:vertAlign w:val="baseline"/>
                <w:lang w:val="en-US" w:eastAsia="zh-CN"/>
              </w:rPr>
            </w:pPr>
            <w:r>
              <w:rPr>
                <w:rFonts w:hint="eastAsia"/>
                <w:highlight w:val="none"/>
                <w:vertAlign w:val="baseline"/>
                <w:lang w:val="en-US" w:eastAsia="zh-CN"/>
              </w:rPr>
              <w:t>117</w:t>
            </w:r>
          </w:p>
        </w:tc>
        <w:tc>
          <w:tcPr>
            <w:tcW w:w="1690" w:type="dxa"/>
            <w:noWrap w:val="0"/>
            <w:vAlign w:val="center"/>
          </w:tcPr>
          <w:p w14:paraId="5F646F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酒精灯</w:t>
            </w:r>
          </w:p>
        </w:tc>
        <w:tc>
          <w:tcPr>
            <w:tcW w:w="5928" w:type="dxa"/>
            <w:noWrap w:val="0"/>
            <w:vAlign w:val="center"/>
          </w:tcPr>
          <w:p w14:paraId="6ABCAB1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150 mL,玻璃制,配灯芯</w:t>
            </w:r>
          </w:p>
        </w:tc>
        <w:tc>
          <w:tcPr>
            <w:tcW w:w="736" w:type="dxa"/>
            <w:noWrap w:val="0"/>
            <w:vAlign w:val="center"/>
          </w:tcPr>
          <w:p w14:paraId="28B494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DD0E89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3BD94BD0">
            <w:pPr>
              <w:jc w:val="center"/>
              <w:rPr>
                <w:highlight w:val="none"/>
              </w:rPr>
            </w:pPr>
          </w:p>
        </w:tc>
        <w:tc>
          <w:tcPr>
            <w:tcW w:w="710" w:type="dxa"/>
            <w:gridSpan w:val="2"/>
            <w:noWrap w:val="0"/>
            <w:vAlign w:val="center"/>
          </w:tcPr>
          <w:p w14:paraId="4B015888">
            <w:pPr>
              <w:jc w:val="both"/>
              <w:rPr>
                <w:highlight w:val="none"/>
                <w:vertAlign w:val="baseline"/>
              </w:rPr>
            </w:pPr>
          </w:p>
        </w:tc>
      </w:tr>
      <w:tr w14:paraId="0AFB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C27A80">
            <w:pPr>
              <w:jc w:val="center"/>
              <w:rPr>
                <w:rFonts w:hint="default"/>
                <w:highlight w:val="none"/>
                <w:vertAlign w:val="baseline"/>
                <w:lang w:val="en-US" w:eastAsia="zh-CN"/>
              </w:rPr>
            </w:pPr>
            <w:r>
              <w:rPr>
                <w:rFonts w:hint="eastAsia"/>
                <w:highlight w:val="none"/>
                <w:vertAlign w:val="baseline"/>
                <w:lang w:val="en-US" w:eastAsia="zh-CN"/>
              </w:rPr>
              <w:t>118</w:t>
            </w:r>
          </w:p>
        </w:tc>
        <w:tc>
          <w:tcPr>
            <w:tcW w:w="1690" w:type="dxa"/>
            <w:noWrap w:val="0"/>
            <w:vAlign w:val="center"/>
          </w:tcPr>
          <w:p w14:paraId="459C73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酒精喷灯</w:t>
            </w:r>
          </w:p>
        </w:tc>
        <w:tc>
          <w:tcPr>
            <w:tcW w:w="5928" w:type="dxa"/>
            <w:noWrap w:val="0"/>
            <w:vAlign w:val="center"/>
          </w:tcPr>
          <w:p w14:paraId="6665315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坐式，铜制，壶体容积≥300 mL</w:t>
            </w:r>
          </w:p>
        </w:tc>
        <w:tc>
          <w:tcPr>
            <w:tcW w:w="736" w:type="dxa"/>
            <w:noWrap w:val="0"/>
            <w:vAlign w:val="center"/>
          </w:tcPr>
          <w:p w14:paraId="5D82B1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11A7CF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1F8FCEE">
            <w:pPr>
              <w:jc w:val="center"/>
              <w:rPr>
                <w:highlight w:val="none"/>
              </w:rPr>
            </w:pPr>
          </w:p>
        </w:tc>
        <w:tc>
          <w:tcPr>
            <w:tcW w:w="710" w:type="dxa"/>
            <w:gridSpan w:val="2"/>
            <w:noWrap w:val="0"/>
            <w:vAlign w:val="center"/>
          </w:tcPr>
          <w:p w14:paraId="01D572CA">
            <w:pPr>
              <w:jc w:val="both"/>
              <w:rPr>
                <w:highlight w:val="none"/>
                <w:vertAlign w:val="baseline"/>
              </w:rPr>
            </w:pPr>
          </w:p>
        </w:tc>
      </w:tr>
      <w:tr w14:paraId="7D3F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675B83">
            <w:pPr>
              <w:jc w:val="center"/>
              <w:rPr>
                <w:rFonts w:hint="default"/>
                <w:highlight w:val="none"/>
                <w:vertAlign w:val="baseline"/>
                <w:lang w:val="en-US" w:eastAsia="zh-CN"/>
              </w:rPr>
            </w:pPr>
            <w:r>
              <w:rPr>
                <w:rFonts w:hint="eastAsia"/>
                <w:highlight w:val="none"/>
                <w:vertAlign w:val="baseline"/>
                <w:lang w:val="en-US" w:eastAsia="zh-CN"/>
              </w:rPr>
              <w:t>119</w:t>
            </w:r>
          </w:p>
        </w:tc>
        <w:tc>
          <w:tcPr>
            <w:tcW w:w="1690" w:type="dxa"/>
            <w:noWrap w:val="0"/>
            <w:vAlign w:val="center"/>
          </w:tcPr>
          <w:p w14:paraId="7DFB36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玻璃管</w:t>
            </w:r>
          </w:p>
        </w:tc>
        <w:tc>
          <w:tcPr>
            <w:tcW w:w="5928" w:type="dxa"/>
            <w:noWrap w:val="0"/>
            <w:vAlign w:val="center"/>
          </w:tcPr>
          <w:p w14:paraId="13876F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5 mm ～ 6 mm</w:t>
            </w:r>
          </w:p>
        </w:tc>
        <w:tc>
          <w:tcPr>
            <w:tcW w:w="736" w:type="dxa"/>
            <w:noWrap w:val="0"/>
            <w:vAlign w:val="center"/>
          </w:tcPr>
          <w:p w14:paraId="51A88E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7CF8B5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F996056">
            <w:pPr>
              <w:jc w:val="center"/>
              <w:rPr>
                <w:highlight w:val="none"/>
              </w:rPr>
            </w:pPr>
          </w:p>
        </w:tc>
        <w:tc>
          <w:tcPr>
            <w:tcW w:w="710" w:type="dxa"/>
            <w:gridSpan w:val="2"/>
            <w:noWrap w:val="0"/>
            <w:vAlign w:val="center"/>
          </w:tcPr>
          <w:p w14:paraId="43DA1C2C">
            <w:pPr>
              <w:jc w:val="both"/>
              <w:rPr>
                <w:highlight w:val="none"/>
                <w:vertAlign w:val="baseline"/>
              </w:rPr>
            </w:pPr>
          </w:p>
        </w:tc>
      </w:tr>
      <w:tr w14:paraId="70A2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768BDB0">
            <w:pPr>
              <w:jc w:val="center"/>
              <w:rPr>
                <w:rFonts w:hint="default"/>
                <w:highlight w:val="none"/>
                <w:vertAlign w:val="baseline"/>
                <w:lang w:val="en-US" w:eastAsia="zh-CN"/>
              </w:rPr>
            </w:pPr>
            <w:r>
              <w:rPr>
                <w:rFonts w:hint="eastAsia"/>
                <w:highlight w:val="none"/>
                <w:vertAlign w:val="baseline"/>
                <w:lang w:val="en-US" w:eastAsia="zh-CN"/>
              </w:rPr>
              <w:t>120</w:t>
            </w:r>
          </w:p>
        </w:tc>
        <w:tc>
          <w:tcPr>
            <w:tcW w:w="1690" w:type="dxa"/>
            <w:noWrap w:val="0"/>
            <w:vAlign w:val="center"/>
          </w:tcPr>
          <w:p w14:paraId="314382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玻璃弯管</w:t>
            </w:r>
          </w:p>
        </w:tc>
        <w:tc>
          <w:tcPr>
            <w:tcW w:w="5928" w:type="dxa"/>
            <w:noWrap w:val="0"/>
            <w:vAlign w:val="center"/>
          </w:tcPr>
          <w:p w14:paraId="2E36102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7 mm ～ 8 mm 一端长度为 6 cm～7 cm，另一端长 度约 20 cm</w:t>
            </w:r>
          </w:p>
        </w:tc>
        <w:tc>
          <w:tcPr>
            <w:tcW w:w="736" w:type="dxa"/>
            <w:noWrap w:val="0"/>
            <w:vAlign w:val="center"/>
          </w:tcPr>
          <w:p w14:paraId="24BD4B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5B80AB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0.5</w:t>
            </w:r>
          </w:p>
        </w:tc>
        <w:tc>
          <w:tcPr>
            <w:tcW w:w="3396" w:type="dxa"/>
            <w:gridSpan w:val="2"/>
            <w:noWrap w:val="0"/>
            <w:vAlign w:val="center"/>
          </w:tcPr>
          <w:p w14:paraId="732A6966">
            <w:pPr>
              <w:jc w:val="center"/>
              <w:rPr>
                <w:highlight w:val="none"/>
              </w:rPr>
            </w:pPr>
          </w:p>
        </w:tc>
        <w:tc>
          <w:tcPr>
            <w:tcW w:w="710" w:type="dxa"/>
            <w:gridSpan w:val="2"/>
            <w:noWrap w:val="0"/>
            <w:vAlign w:val="center"/>
          </w:tcPr>
          <w:p w14:paraId="3B4D1C5D">
            <w:pPr>
              <w:jc w:val="both"/>
              <w:rPr>
                <w:highlight w:val="none"/>
                <w:vertAlign w:val="baseline"/>
              </w:rPr>
            </w:pPr>
          </w:p>
        </w:tc>
      </w:tr>
      <w:tr w14:paraId="5FEC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378F17">
            <w:pPr>
              <w:jc w:val="center"/>
              <w:rPr>
                <w:rFonts w:hint="default"/>
                <w:highlight w:val="none"/>
                <w:vertAlign w:val="baseline"/>
                <w:lang w:val="en-US" w:eastAsia="zh-CN"/>
              </w:rPr>
            </w:pPr>
            <w:r>
              <w:rPr>
                <w:rFonts w:hint="eastAsia"/>
                <w:highlight w:val="none"/>
                <w:vertAlign w:val="baseline"/>
                <w:lang w:val="en-US" w:eastAsia="zh-CN"/>
              </w:rPr>
              <w:t>121</w:t>
            </w:r>
          </w:p>
        </w:tc>
        <w:tc>
          <w:tcPr>
            <w:tcW w:w="1690" w:type="dxa"/>
            <w:noWrap w:val="0"/>
            <w:vAlign w:val="center"/>
          </w:tcPr>
          <w:p w14:paraId="32F4379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玻璃棒</w:t>
            </w:r>
          </w:p>
        </w:tc>
        <w:tc>
          <w:tcPr>
            <w:tcW w:w="5928" w:type="dxa"/>
            <w:noWrap w:val="0"/>
            <w:vAlign w:val="center"/>
          </w:tcPr>
          <w:p w14:paraId="2B3E911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φ3mm～φ4mm</w:t>
            </w:r>
          </w:p>
        </w:tc>
        <w:tc>
          <w:tcPr>
            <w:tcW w:w="736" w:type="dxa"/>
            <w:noWrap w:val="0"/>
            <w:vAlign w:val="center"/>
          </w:tcPr>
          <w:p w14:paraId="41A3DA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千克</w:t>
            </w:r>
          </w:p>
        </w:tc>
        <w:tc>
          <w:tcPr>
            <w:tcW w:w="834" w:type="dxa"/>
            <w:noWrap w:val="0"/>
            <w:vAlign w:val="center"/>
          </w:tcPr>
          <w:p w14:paraId="3781DB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7BCF66B">
            <w:pPr>
              <w:jc w:val="center"/>
              <w:rPr>
                <w:highlight w:val="none"/>
              </w:rPr>
            </w:pPr>
          </w:p>
        </w:tc>
        <w:tc>
          <w:tcPr>
            <w:tcW w:w="710" w:type="dxa"/>
            <w:gridSpan w:val="2"/>
            <w:noWrap w:val="0"/>
            <w:vAlign w:val="center"/>
          </w:tcPr>
          <w:p w14:paraId="35C7D95D">
            <w:pPr>
              <w:jc w:val="both"/>
              <w:rPr>
                <w:highlight w:val="none"/>
                <w:vertAlign w:val="baseline"/>
              </w:rPr>
            </w:pPr>
          </w:p>
        </w:tc>
      </w:tr>
      <w:tr w14:paraId="76F0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4703AC">
            <w:pPr>
              <w:jc w:val="center"/>
              <w:rPr>
                <w:rFonts w:hint="default"/>
                <w:highlight w:val="none"/>
                <w:vertAlign w:val="baseline"/>
                <w:lang w:val="en-US" w:eastAsia="zh-CN"/>
              </w:rPr>
            </w:pPr>
            <w:r>
              <w:rPr>
                <w:rFonts w:hint="eastAsia"/>
                <w:highlight w:val="none"/>
                <w:vertAlign w:val="baseline"/>
                <w:lang w:val="en-US" w:eastAsia="zh-CN"/>
              </w:rPr>
              <w:t>122</w:t>
            </w:r>
          </w:p>
        </w:tc>
        <w:tc>
          <w:tcPr>
            <w:tcW w:w="1690" w:type="dxa"/>
            <w:noWrap w:val="0"/>
            <w:vAlign w:val="center"/>
          </w:tcPr>
          <w:p w14:paraId="3B3100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试管夹</w:t>
            </w:r>
          </w:p>
        </w:tc>
        <w:tc>
          <w:tcPr>
            <w:tcW w:w="5928" w:type="dxa"/>
            <w:noWrap w:val="0"/>
            <w:vAlign w:val="center"/>
          </w:tcPr>
          <w:p w14:paraId="502C1B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木制</w:t>
            </w:r>
          </w:p>
        </w:tc>
        <w:tc>
          <w:tcPr>
            <w:tcW w:w="736" w:type="dxa"/>
            <w:noWrap w:val="0"/>
            <w:vAlign w:val="center"/>
          </w:tcPr>
          <w:p w14:paraId="7FDE87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72ACC9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3AD97C6">
            <w:pPr>
              <w:jc w:val="center"/>
              <w:rPr>
                <w:highlight w:val="none"/>
              </w:rPr>
            </w:pPr>
          </w:p>
        </w:tc>
        <w:tc>
          <w:tcPr>
            <w:tcW w:w="710" w:type="dxa"/>
            <w:gridSpan w:val="2"/>
            <w:noWrap w:val="0"/>
            <w:vAlign w:val="center"/>
          </w:tcPr>
          <w:p w14:paraId="0B290D1B">
            <w:pPr>
              <w:jc w:val="both"/>
              <w:rPr>
                <w:highlight w:val="none"/>
                <w:vertAlign w:val="baseline"/>
              </w:rPr>
            </w:pPr>
          </w:p>
        </w:tc>
      </w:tr>
      <w:tr w14:paraId="0339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46953F">
            <w:pPr>
              <w:jc w:val="center"/>
              <w:rPr>
                <w:rFonts w:hint="default"/>
                <w:highlight w:val="none"/>
                <w:vertAlign w:val="baseline"/>
                <w:lang w:val="en-US" w:eastAsia="zh-CN"/>
              </w:rPr>
            </w:pPr>
            <w:r>
              <w:rPr>
                <w:rFonts w:hint="eastAsia"/>
                <w:highlight w:val="none"/>
                <w:vertAlign w:val="baseline"/>
                <w:lang w:val="en-US" w:eastAsia="zh-CN"/>
              </w:rPr>
              <w:t>123</w:t>
            </w:r>
          </w:p>
        </w:tc>
        <w:tc>
          <w:tcPr>
            <w:tcW w:w="1690" w:type="dxa"/>
            <w:noWrap w:val="0"/>
            <w:vAlign w:val="center"/>
          </w:tcPr>
          <w:p w14:paraId="31860A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止水皮管夹</w:t>
            </w:r>
          </w:p>
        </w:tc>
        <w:tc>
          <w:tcPr>
            <w:tcW w:w="5928" w:type="dxa"/>
            <w:noWrap w:val="0"/>
            <w:vAlign w:val="center"/>
          </w:tcPr>
          <w:p w14:paraId="2773000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金属制,夹持角度 ≥60º</w:t>
            </w:r>
          </w:p>
        </w:tc>
        <w:tc>
          <w:tcPr>
            <w:tcW w:w="736" w:type="dxa"/>
            <w:noWrap w:val="0"/>
            <w:vAlign w:val="center"/>
          </w:tcPr>
          <w:p w14:paraId="2D512E1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BEE81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D461E89">
            <w:pPr>
              <w:jc w:val="center"/>
              <w:rPr>
                <w:highlight w:val="none"/>
              </w:rPr>
            </w:pPr>
          </w:p>
        </w:tc>
        <w:tc>
          <w:tcPr>
            <w:tcW w:w="710" w:type="dxa"/>
            <w:gridSpan w:val="2"/>
            <w:noWrap w:val="0"/>
            <w:vAlign w:val="center"/>
          </w:tcPr>
          <w:p w14:paraId="5C846C0B">
            <w:pPr>
              <w:jc w:val="both"/>
              <w:rPr>
                <w:highlight w:val="none"/>
                <w:vertAlign w:val="baseline"/>
              </w:rPr>
            </w:pPr>
          </w:p>
        </w:tc>
      </w:tr>
      <w:tr w14:paraId="249A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B9B8C18">
            <w:pPr>
              <w:jc w:val="center"/>
              <w:rPr>
                <w:rFonts w:hint="default"/>
                <w:highlight w:val="none"/>
                <w:vertAlign w:val="baseline"/>
                <w:lang w:val="en-US" w:eastAsia="zh-CN"/>
              </w:rPr>
            </w:pPr>
            <w:r>
              <w:rPr>
                <w:rFonts w:hint="eastAsia"/>
                <w:highlight w:val="none"/>
                <w:vertAlign w:val="baseline"/>
                <w:lang w:val="en-US" w:eastAsia="zh-CN"/>
              </w:rPr>
              <w:t>124</w:t>
            </w:r>
          </w:p>
        </w:tc>
        <w:tc>
          <w:tcPr>
            <w:tcW w:w="1690" w:type="dxa"/>
            <w:noWrap w:val="0"/>
            <w:vAlign w:val="center"/>
          </w:tcPr>
          <w:p w14:paraId="29786D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陶土网</w:t>
            </w:r>
          </w:p>
        </w:tc>
        <w:tc>
          <w:tcPr>
            <w:tcW w:w="5928" w:type="dxa"/>
            <w:noWrap w:val="0"/>
            <w:vAlign w:val="center"/>
          </w:tcPr>
          <w:p w14:paraId="24AE4B4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功能等同于石棉网，尺寸≥125 mm×125 mm，耐火材料为陶土</w:t>
            </w:r>
          </w:p>
        </w:tc>
        <w:tc>
          <w:tcPr>
            <w:tcW w:w="736" w:type="dxa"/>
            <w:noWrap w:val="0"/>
            <w:vAlign w:val="center"/>
          </w:tcPr>
          <w:p w14:paraId="00D44A2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73F493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949D909">
            <w:pPr>
              <w:jc w:val="center"/>
              <w:rPr>
                <w:highlight w:val="none"/>
              </w:rPr>
            </w:pPr>
          </w:p>
        </w:tc>
        <w:tc>
          <w:tcPr>
            <w:tcW w:w="710" w:type="dxa"/>
            <w:gridSpan w:val="2"/>
            <w:noWrap w:val="0"/>
            <w:vAlign w:val="center"/>
          </w:tcPr>
          <w:p w14:paraId="0F53CC10">
            <w:pPr>
              <w:jc w:val="both"/>
              <w:rPr>
                <w:highlight w:val="none"/>
                <w:vertAlign w:val="baseline"/>
              </w:rPr>
            </w:pPr>
          </w:p>
        </w:tc>
      </w:tr>
      <w:tr w14:paraId="1D87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1E062C">
            <w:pPr>
              <w:jc w:val="center"/>
              <w:rPr>
                <w:rFonts w:hint="default"/>
                <w:highlight w:val="none"/>
                <w:vertAlign w:val="baseline"/>
                <w:lang w:val="en-US" w:eastAsia="zh-CN"/>
              </w:rPr>
            </w:pPr>
            <w:r>
              <w:rPr>
                <w:rFonts w:hint="eastAsia"/>
                <w:highlight w:val="none"/>
                <w:vertAlign w:val="baseline"/>
                <w:lang w:val="en-US" w:eastAsia="zh-CN"/>
              </w:rPr>
              <w:t>125</w:t>
            </w:r>
          </w:p>
        </w:tc>
        <w:tc>
          <w:tcPr>
            <w:tcW w:w="1690" w:type="dxa"/>
            <w:noWrap w:val="0"/>
            <w:vAlign w:val="center"/>
          </w:tcPr>
          <w:p w14:paraId="1CC67A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燃烧匙</w:t>
            </w:r>
          </w:p>
        </w:tc>
        <w:tc>
          <w:tcPr>
            <w:tcW w:w="5928" w:type="dxa"/>
            <w:noWrap w:val="0"/>
            <w:vAlign w:val="center"/>
          </w:tcPr>
          <w:p w14:paraId="1149187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铜勺</w:t>
            </w:r>
          </w:p>
        </w:tc>
        <w:tc>
          <w:tcPr>
            <w:tcW w:w="736" w:type="dxa"/>
            <w:noWrap w:val="0"/>
            <w:vAlign w:val="center"/>
          </w:tcPr>
          <w:p w14:paraId="35FE7F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5472A4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E24F902">
            <w:pPr>
              <w:jc w:val="center"/>
              <w:rPr>
                <w:highlight w:val="none"/>
              </w:rPr>
            </w:pPr>
          </w:p>
        </w:tc>
        <w:tc>
          <w:tcPr>
            <w:tcW w:w="710" w:type="dxa"/>
            <w:gridSpan w:val="2"/>
            <w:noWrap w:val="0"/>
            <w:vAlign w:val="center"/>
          </w:tcPr>
          <w:p w14:paraId="110569D1">
            <w:pPr>
              <w:jc w:val="both"/>
              <w:rPr>
                <w:highlight w:val="none"/>
                <w:vertAlign w:val="baseline"/>
              </w:rPr>
            </w:pPr>
          </w:p>
        </w:tc>
      </w:tr>
      <w:tr w14:paraId="051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466C0D">
            <w:pPr>
              <w:jc w:val="center"/>
              <w:rPr>
                <w:rFonts w:hint="default"/>
                <w:highlight w:val="none"/>
                <w:vertAlign w:val="baseline"/>
                <w:lang w:val="en-US" w:eastAsia="zh-CN"/>
              </w:rPr>
            </w:pPr>
            <w:r>
              <w:rPr>
                <w:rFonts w:hint="eastAsia"/>
                <w:highlight w:val="none"/>
                <w:vertAlign w:val="baseline"/>
                <w:lang w:val="en-US" w:eastAsia="zh-CN"/>
              </w:rPr>
              <w:t>126</w:t>
            </w:r>
          </w:p>
        </w:tc>
        <w:tc>
          <w:tcPr>
            <w:tcW w:w="1690" w:type="dxa"/>
            <w:noWrap w:val="0"/>
            <w:vAlign w:val="center"/>
          </w:tcPr>
          <w:p w14:paraId="49D231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药匙</w:t>
            </w:r>
          </w:p>
        </w:tc>
        <w:tc>
          <w:tcPr>
            <w:tcW w:w="5928" w:type="dxa"/>
            <w:noWrap w:val="0"/>
            <w:vAlign w:val="center"/>
          </w:tcPr>
          <w:p w14:paraId="1174F6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center"/>
          </w:tcPr>
          <w:p w14:paraId="1D0321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0111E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C2E1CDE">
            <w:pPr>
              <w:jc w:val="center"/>
              <w:rPr>
                <w:highlight w:val="none"/>
              </w:rPr>
            </w:pPr>
          </w:p>
        </w:tc>
        <w:tc>
          <w:tcPr>
            <w:tcW w:w="710" w:type="dxa"/>
            <w:gridSpan w:val="2"/>
            <w:noWrap w:val="0"/>
            <w:vAlign w:val="center"/>
          </w:tcPr>
          <w:p w14:paraId="1A2229E7">
            <w:pPr>
              <w:jc w:val="both"/>
              <w:rPr>
                <w:highlight w:val="none"/>
                <w:vertAlign w:val="baseline"/>
              </w:rPr>
            </w:pPr>
          </w:p>
        </w:tc>
      </w:tr>
      <w:tr w14:paraId="3F73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6032E4">
            <w:pPr>
              <w:jc w:val="center"/>
              <w:rPr>
                <w:rFonts w:hint="default"/>
                <w:highlight w:val="none"/>
                <w:vertAlign w:val="baseline"/>
                <w:lang w:val="en-US" w:eastAsia="zh-CN"/>
              </w:rPr>
            </w:pPr>
            <w:r>
              <w:rPr>
                <w:rFonts w:hint="eastAsia"/>
                <w:highlight w:val="none"/>
                <w:vertAlign w:val="baseline"/>
                <w:lang w:val="en-US" w:eastAsia="zh-CN"/>
              </w:rPr>
              <w:t>127</w:t>
            </w:r>
          </w:p>
        </w:tc>
        <w:tc>
          <w:tcPr>
            <w:tcW w:w="1690" w:type="dxa"/>
            <w:noWrap w:val="0"/>
            <w:vAlign w:val="center"/>
          </w:tcPr>
          <w:p w14:paraId="6C9A32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橡胶塞</w:t>
            </w:r>
          </w:p>
        </w:tc>
        <w:tc>
          <w:tcPr>
            <w:tcW w:w="5928" w:type="dxa"/>
            <w:noWrap w:val="0"/>
            <w:vAlign w:val="center"/>
          </w:tcPr>
          <w:p w14:paraId="15939C7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000、00、 0～10 号</w:t>
            </w:r>
          </w:p>
        </w:tc>
        <w:tc>
          <w:tcPr>
            <w:tcW w:w="736" w:type="dxa"/>
            <w:noWrap w:val="0"/>
            <w:vAlign w:val="center"/>
          </w:tcPr>
          <w:p w14:paraId="185AC4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kg </w:t>
            </w:r>
          </w:p>
        </w:tc>
        <w:tc>
          <w:tcPr>
            <w:tcW w:w="834" w:type="dxa"/>
            <w:noWrap w:val="0"/>
            <w:vAlign w:val="center"/>
          </w:tcPr>
          <w:p w14:paraId="00FD5D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9FDCD87">
            <w:pPr>
              <w:jc w:val="center"/>
              <w:rPr>
                <w:highlight w:val="none"/>
              </w:rPr>
            </w:pPr>
          </w:p>
        </w:tc>
        <w:tc>
          <w:tcPr>
            <w:tcW w:w="710" w:type="dxa"/>
            <w:gridSpan w:val="2"/>
            <w:noWrap w:val="0"/>
            <w:vAlign w:val="center"/>
          </w:tcPr>
          <w:p w14:paraId="150A1A7E">
            <w:pPr>
              <w:jc w:val="both"/>
              <w:rPr>
                <w:highlight w:val="none"/>
                <w:vertAlign w:val="baseline"/>
              </w:rPr>
            </w:pPr>
          </w:p>
        </w:tc>
      </w:tr>
      <w:tr w14:paraId="0573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62A3F5">
            <w:pPr>
              <w:jc w:val="center"/>
              <w:rPr>
                <w:rFonts w:hint="default"/>
                <w:highlight w:val="none"/>
                <w:vertAlign w:val="baseline"/>
                <w:lang w:val="en-US" w:eastAsia="zh-CN"/>
              </w:rPr>
            </w:pPr>
            <w:r>
              <w:rPr>
                <w:rFonts w:hint="eastAsia"/>
                <w:highlight w:val="none"/>
                <w:vertAlign w:val="baseline"/>
                <w:lang w:val="en-US" w:eastAsia="zh-CN"/>
              </w:rPr>
              <w:t>128</w:t>
            </w:r>
          </w:p>
        </w:tc>
        <w:tc>
          <w:tcPr>
            <w:tcW w:w="1690" w:type="dxa"/>
            <w:noWrap w:val="0"/>
            <w:vAlign w:val="center"/>
          </w:tcPr>
          <w:p w14:paraId="406D78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橡胶管</w:t>
            </w:r>
          </w:p>
        </w:tc>
        <w:tc>
          <w:tcPr>
            <w:tcW w:w="5928" w:type="dxa"/>
            <w:noWrap w:val="0"/>
            <w:vAlign w:val="center"/>
          </w:tcPr>
          <w:p w14:paraId="11F61C2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外径 9 mm， 内径 6 mm</w:t>
            </w:r>
          </w:p>
        </w:tc>
        <w:tc>
          <w:tcPr>
            <w:tcW w:w="736" w:type="dxa"/>
            <w:noWrap w:val="0"/>
            <w:vAlign w:val="center"/>
          </w:tcPr>
          <w:p w14:paraId="1D8B21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kg </w:t>
            </w:r>
          </w:p>
        </w:tc>
        <w:tc>
          <w:tcPr>
            <w:tcW w:w="834" w:type="dxa"/>
            <w:noWrap w:val="0"/>
            <w:vAlign w:val="center"/>
          </w:tcPr>
          <w:p w14:paraId="035A4DA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B2FFF7">
            <w:pPr>
              <w:jc w:val="center"/>
              <w:rPr>
                <w:highlight w:val="none"/>
              </w:rPr>
            </w:pPr>
          </w:p>
        </w:tc>
        <w:tc>
          <w:tcPr>
            <w:tcW w:w="710" w:type="dxa"/>
            <w:gridSpan w:val="2"/>
            <w:noWrap w:val="0"/>
            <w:vAlign w:val="center"/>
          </w:tcPr>
          <w:p w14:paraId="30597794">
            <w:pPr>
              <w:jc w:val="both"/>
              <w:rPr>
                <w:highlight w:val="none"/>
                <w:vertAlign w:val="baseline"/>
              </w:rPr>
            </w:pPr>
          </w:p>
        </w:tc>
      </w:tr>
      <w:tr w14:paraId="1D08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003F47">
            <w:pPr>
              <w:jc w:val="center"/>
              <w:rPr>
                <w:rFonts w:hint="default"/>
                <w:highlight w:val="none"/>
                <w:vertAlign w:val="baseline"/>
                <w:lang w:val="en-US" w:eastAsia="zh-CN"/>
              </w:rPr>
            </w:pPr>
            <w:r>
              <w:rPr>
                <w:rFonts w:hint="eastAsia"/>
                <w:highlight w:val="none"/>
                <w:vertAlign w:val="baseline"/>
                <w:lang w:val="en-US" w:eastAsia="zh-CN"/>
              </w:rPr>
              <w:t>129</w:t>
            </w:r>
          </w:p>
        </w:tc>
        <w:tc>
          <w:tcPr>
            <w:tcW w:w="1690" w:type="dxa"/>
            <w:noWrap w:val="0"/>
            <w:vAlign w:val="center"/>
          </w:tcPr>
          <w:p w14:paraId="0C5054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试管刷</w:t>
            </w:r>
          </w:p>
        </w:tc>
        <w:tc>
          <w:tcPr>
            <w:tcW w:w="5928" w:type="dxa"/>
            <w:noWrap w:val="0"/>
            <w:vAlign w:val="center"/>
          </w:tcPr>
          <w:p w14:paraId="6E69606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12 mm</w:t>
            </w:r>
          </w:p>
        </w:tc>
        <w:tc>
          <w:tcPr>
            <w:tcW w:w="736" w:type="dxa"/>
            <w:noWrap w:val="0"/>
            <w:vAlign w:val="center"/>
          </w:tcPr>
          <w:p w14:paraId="1C6EF5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9F84A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16FF2CBA">
            <w:pPr>
              <w:jc w:val="center"/>
              <w:rPr>
                <w:highlight w:val="none"/>
              </w:rPr>
            </w:pPr>
          </w:p>
        </w:tc>
        <w:tc>
          <w:tcPr>
            <w:tcW w:w="710" w:type="dxa"/>
            <w:gridSpan w:val="2"/>
            <w:noWrap w:val="0"/>
            <w:vAlign w:val="center"/>
          </w:tcPr>
          <w:p w14:paraId="03223E60">
            <w:pPr>
              <w:jc w:val="both"/>
              <w:rPr>
                <w:highlight w:val="none"/>
                <w:vertAlign w:val="baseline"/>
              </w:rPr>
            </w:pPr>
          </w:p>
        </w:tc>
      </w:tr>
      <w:tr w14:paraId="55A0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A01905">
            <w:pPr>
              <w:jc w:val="center"/>
              <w:rPr>
                <w:rFonts w:hint="default"/>
                <w:highlight w:val="none"/>
                <w:vertAlign w:val="baseline"/>
                <w:lang w:val="en-US" w:eastAsia="zh-CN"/>
              </w:rPr>
            </w:pPr>
            <w:r>
              <w:rPr>
                <w:rFonts w:hint="eastAsia"/>
                <w:highlight w:val="none"/>
                <w:vertAlign w:val="baseline"/>
                <w:lang w:val="en-US" w:eastAsia="zh-CN"/>
              </w:rPr>
              <w:t>130</w:t>
            </w:r>
          </w:p>
        </w:tc>
        <w:tc>
          <w:tcPr>
            <w:tcW w:w="1690" w:type="dxa"/>
            <w:noWrap w:val="0"/>
            <w:vAlign w:val="center"/>
          </w:tcPr>
          <w:p w14:paraId="7B0476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试管刷</w:t>
            </w:r>
          </w:p>
        </w:tc>
        <w:tc>
          <w:tcPr>
            <w:tcW w:w="5928" w:type="dxa"/>
            <w:noWrap w:val="0"/>
            <w:vAlign w:val="center"/>
          </w:tcPr>
          <w:p w14:paraId="03556C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Φ 18 mm</w:t>
            </w:r>
          </w:p>
        </w:tc>
        <w:tc>
          <w:tcPr>
            <w:tcW w:w="736" w:type="dxa"/>
            <w:noWrap w:val="0"/>
            <w:vAlign w:val="center"/>
          </w:tcPr>
          <w:p w14:paraId="1B2B77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5E85D6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2EDBDF0E">
            <w:pPr>
              <w:jc w:val="center"/>
              <w:rPr>
                <w:highlight w:val="none"/>
              </w:rPr>
            </w:pPr>
          </w:p>
        </w:tc>
        <w:tc>
          <w:tcPr>
            <w:tcW w:w="710" w:type="dxa"/>
            <w:gridSpan w:val="2"/>
            <w:noWrap w:val="0"/>
            <w:vAlign w:val="center"/>
          </w:tcPr>
          <w:p w14:paraId="3A76FF4C">
            <w:pPr>
              <w:jc w:val="both"/>
              <w:rPr>
                <w:highlight w:val="none"/>
                <w:vertAlign w:val="baseline"/>
              </w:rPr>
            </w:pPr>
          </w:p>
        </w:tc>
      </w:tr>
      <w:tr w14:paraId="4D48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3F3547">
            <w:pPr>
              <w:jc w:val="center"/>
              <w:rPr>
                <w:rFonts w:hint="default"/>
                <w:highlight w:val="none"/>
                <w:vertAlign w:val="baseline"/>
                <w:lang w:val="en-US" w:eastAsia="zh-CN"/>
              </w:rPr>
            </w:pPr>
            <w:r>
              <w:rPr>
                <w:rFonts w:hint="eastAsia"/>
                <w:highlight w:val="none"/>
                <w:vertAlign w:val="baseline"/>
                <w:lang w:val="en-US" w:eastAsia="zh-CN"/>
              </w:rPr>
              <w:t>131</w:t>
            </w:r>
          </w:p>
        </w:tc>
        <w:tc>
          <w:tcPr>
            <w:tcW w:w="1690" w:type="dxa"/>
            <w:noWrap w:val="0"/>
            <w:vAlign w:val="center"/>
          </w:tcPr>
          <w:p w14:paraId="510E9B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研钵</w:t>
            </w:r>
          </w:p>
        </w:tc>
        <w:tc>
          <w:tcPr>
            <w:tcW w:w="5928" w:type="dxa"/>
            <w:noWrap w:val="0"/>
            <w:vAlign w:val="center"/>
          </w:tcPr>
          <w:p w14:paraId="3E76B40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100 mm 瓷制，配有研杵</w:t>
            </w:r>
          </w:p>
        </w:tc>
        <w:tc>
          <w:tcPr>
            <w:tcW w:w="736" w:type="dxa"/>
            <w:noWrap w:val="0"/>
            <w:vAlign w:val="center"/>
          </w:tcPr>
          <w:p w14:paraId="5206CA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321A1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5F824E27">
            <w:pPr>
              <w:jc w:val="center"/>
              <w:rPr>
                <w:highlight w:val="none"/>
              </w:rPr>
            </w:pPr>
          </w:p>
        </w:tc>
        <w:tc>
          <w:tcPr>
            <w:tcW w:w="710" w:type="dxa"/>
            <w:gridSpan w:val="2"/>
            <w:noWrap w:val="0"/>
            <w:vAlign w:val="center"/>
          </w:tcPr>
          <w:p w14:paraId="4BE3041C">
            <w:pPr>
              <w:jc w:val="both"/>
              <w:rPr>
                <w:highlight w:val="none"/>
                <w:vertAlign w:val="baseline"/>
              </w:rPr>
            </w:pPr>
          </w:p>
        </w:tc>
      </w:tr>
      <w:tr w14:paraId="279A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1E3977C">
            <w:pPr>
              <w:jc w:val="center"/>
              <w:rPr>
                <w:rFonts w:hint="default"/>
                <w:highlight w:val="none"/>
                <w:vertAlign w:val="baseline"/>
                <w:lang w:val="en-US" w:eastAsia="zh-CN"/>
              </w:rPr>
            </w:pPr>
            <w:r>
              <w:rPr>
                <w:rFonts w:hint="eastAsia"/>
                <w:highlight w:val="none"/>
                <w:vertAlign w:val="baseline"/>
                <w:lang w:val="en-US" w:eastAsia="zh-CN"/>
              </w:rPr>
              <w:t>132</w:t>
            </w:r>
          </w:p>
        </w:tc>
        <w:tc>
          <w:tcPr>
            <w:tcW w:w="1690" w:type="dxa"/>
            <w:noWrap w:val="0"/>
            <w:vAlign w:val="center"/>
          </w:tcPr>
          <w:p w14:paraId="142CD5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记数载玻片（记数板）</w:t>
            </w:r>
          </w:p>
        </w:tc>
        <w:tc>
          <w:tcPr>
            <w:tcW w:w="5928" w:type="dxa"/>
            <w:noWrap w:val="0"/>
            <w:vAlign w:val="center"/>
          </w:tcPr>
          <w:p w14:paraId="178D54E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计数区边长为 1 mm，由 400 个小方格组成</w:t>
            </w:r>
          </w:p>
        </w:tc>
        <w:tc>
          <w:tcPr>
            <w:tcW w:w="736" w:type="dxa"/>
            <w:noWrap w:val="0"/>
            <w:vAlign w:val="center"/>
          </w:tcPr>
          <w:p w14:paraId="2A75AE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E4AB7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2C29668A">
            <w:pPr>
              <w:jc w:val="center"/>
              <w:rPr>
                <w:highlight w:val="none"/>
              </w:rPr>
            </w:pPr>
          </w:p>
        </w:tc>
        <w:tc>
          <w:tcPr>
            <w:tcW w:w="710" w:type="dxa"/>
            <w:gridSpan w:val="2"/>
            <w:noWrap w:val="0"/>
            <w:vAlign w:val="center"/>
          </w:tcPr>
          <w:p w14:paraId="5055D28E">
            <w:pPr>
              <w:jc w:val="both"/>
              <w:rPr>
                <w:highlight w:val="none"/>
                <w:vertAlign w:val="baseline"/>
              </w:rPr>
            </w:pPr>
          </w:p>
        </w:tc>
      </w:tr>
      <w:tr w14:paraId="1799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28F7F75">
            <w:pPr>
              <w:jc w:val="center"/>
              <w:rPr>
                <w:rFonts w:hint="default"/>
                <w:highlight w:val="none"/>
                <w:vertAlign w:val="baseline"/>
                <w:lang w:val="en-US" w:eastAsia="zh-CN"/>
              </w:rPr>
            </w:pPr>
            <w:r>
              <w:rPr>
                <w:rFonts w:hint="eastAsia"/>
                <w:highlight w:val="none"/>
                <w:vertAlign w:val="baseline"/>
                <w:lang w:val="en-US" w:eastAsia="zh-CN"/>
              </w:rPr>
              <w:t>133</w:t>
            </w:r>
          </w:p>
        </w:tc>
        <w:tc>
          <w:tcPr>
            <w:tcW w:w="1690" w:type="dxa"/>
            <w:noWrap w:val="0"/>
            <w:vAlign w:val="center"/>
          </w:tcPr>
          <w:p w14:paraId="5F9883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枝剪</w:t>
            </w:r>
          </w:p>
        </w:tc>
        <w:tc>
          <w:tcPr>
            <w:tcW w:w="5928" w:type="dxa"/>
            <w:noWrap w:val="0"/>
            <w:vAlign w:val="center"/>
          </w:tcPr>
          <w:p w14:paraId="1840F15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金属制</w:t>
            </w:r>
          </w:p>
        </w:tc>
        <w:tc>
          <w:tcPr>
            <w:tcW w:w="736" w:type="dxa"/>
            <w:noWrap w:val="0"/>
            <w:vAlign w:val="center"/>
          </w:tcPr>
          <w:p w14:paraId="283ED9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07E9C2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A10B4E7">
            <w:pPr>
              <w:jc w:val="center"/>
              <w:rPr>
                <w:highlight w:val="none"/>
              </w:rPr>
            </w:pPr>
          </w:p>
        </w:tc>
        <w:tc>
          <w:tcPr>
            <w:tcW w:w="710" w:type="dxa"/>
            <w:gridSpan w:val="2"/>
            <w:noWrap w:val="0"/>
            <w:vAlign w:val="center"/>
          </w:tcPr>
          <w:p w14:paraId="182349D4">
            <w:pPr>
              <w:jc w:val="both"/>
              <w:rPr>
                <w:highlight w:val="none"/>
                <w:vertAlign w:val="baseline"/>
              </w:rPr>
            </w:pPr>
          </w:p>
        </w:tc>
      </w:tr>
      <w:tr w14:paraId="27CC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821480">
            <w:pPr>
              <w:jc w:val="center"/>
              <w:rPr>
                <w:rFonts w:hint="default"/>
                <w:highlight w:val="none"/>
                <w:vertAlign w:val="baseline"/>
                <w:lang w:val="en-US" w:eastAsia="zh-CN"/>
              </w:rPr>
            </w:pPr>
            <w:r>
              <w:rPr>
                <w:rFonts w:hint="eastAsia"/>
                <w:highlight w:val="none"/>
                <w:vertAlign w:val="baseline"/>
                <w:lang w:val="en-US" w:eastAsia="zh-CN"/>
              </w:rPr>
              <w:t>134</w:t>
            </w:r>
          </w:p>
        </w:tc>
        <w:tc>
          <w:tcPr>
            <w:tcW w:w="1690" w:type="dxa"/>
            <w:noWrap w:val="0"/>
            <w:vAlign w:val="center"/>
          </w:tcPr>
          <w:p w14:paraId="7A460A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花盆</w:t>
            </w:r>
          </w:p>
        </w:tc>
        <w:tc>
          <w:tcPr>
            <w:tcW w:w="5928" w:type="dxa"/>
            <w:noWrap w:val="0"/>
            <w:vAlign w:val="center"/>
          </w:tcPr>
          <w:p w14:paraId="0B9720B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塑料材质</w:t>
            </w:r>
          </w:p>
        </w:tc>
        <w:tc>
          <w:tcPr>
            <w:tcW w:w="736" w:type="dxa"/>
            <w:noWrap w:val="0"/>
            <w:vAlign w:val="center"/>
          </w:tcPr>
          <w:p w14:paraId="70BDE45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97F5F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7A0D11FA">
            <w:pPr>
              <w:jc w:val="center"/>
              <w:rPr>
                <w:highlight w:val="none"/>
              </w:rPr>
            </w:pPr>
          </w:p>
        </w:tc>
        <w:tc>
          <w:tcPr>
            <w:tcW w:w="710" w:type="dxa"/>
            <w:gridSpan w:val="2"/>
            <w:noWrap w:val="0"/>
            <w:vAlign w:val="center"/>
          </w:tcPr>
          <w:p w14:paraId="6C14D30F">
            <w:pPr>
              <w:jc w:val="both"/>
              <w:rPr>
                <w:highlight w:val="none"/>
                <w:vertAlign w:val="baseline"/>
              </w:rPr>
            </w:pPr>
          </w:p>
        </w:tc>
      </w:tr>
      <w:tr w14:paraId="25CE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4E8C71">
            <w:pPr>
              <w:jc w:val="center"/>
              <w:rPr>
                <w:rFonts w:hint="default"/>
                <w:highlight w:val="none"/>
                <w:vertAlign w:val="baseline"/>
                <w:lang w:val="en-US" w:eastAsia="zh-CN"/>
              </w:rPr>
            </w:pPr>
            <w:r>
              <w:rPr>
                <w:rFonts w:hint="eastAsia"/>
                <w:highlight w:val="none"/>
                <w:vertAlign w:val="baseline"/>
                <w:lang w:val="en-US" w:eastAsia="zh-CN"/>
              </w:rPr>
              <w:t>135</w:t>
            </w:r>
          </w:p>
        </w:tc>
        <w:tc>
          <w:tcPr>
            <w:tcW w:w="1690" w:type="dxa"/>
            <w:noWrap w:val="0"/>
            <w:vAlign w:val="center"/>
          </w:tcPr>
          <w:p w14:paraId="720A40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种植工具包</w:t>
            </w:r>
          </w:p>
        </w:tc>
        <w:tc>
          <w:tcPr>
            <w:tcW w:w="5928" w:type="dxa"/>
            <w:noWrap w:val="0"/>
            <w:vAlign w:val="center"/>
          </w:tcPr>
          <w:p w14:paraId="6A50212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含铲子、耙子,铁质，软橡胶手柄</w:t>
            </w:r>
          </w:p>
        </w:tc>
        <w:tc>
          <w:tcPr>
            <w:tcW w:w="736" w:type="dxa"/>
            <w:noWrap w:val="0"/>
            <w:vAlign w:val="center"/>
          </w:tcPr>
          <w:p w14:paraId="0312620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0F36C0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166088F9">
            <w:pPr>
              <w:jc w:val="center"/>
              <w:rPr>
                <w:highlight w:val="none"/>
              </w:rPr>
            </w:pPr>
          </w:p>
        </w:tc>
        <w:tc>
          <w:tcPr>
            <w:tcW w:w="710" w:type="dxa"/>
            <w:gridSpan w:val="2"/>
            <w:noWrap w:val="0"/>
            <w:vAlign w:val="center"/>
          </w:tcPr>
          <w:p w14:paraId="577C56E6">
            <w:pPr>
              <w:jc w:val="both"/>
              <w:rPr>
                <w:highlight w:val="none"/>
                <w:vertAlign w:val="baseline"/>
              </w:rPr>
            </w:pPr>
          </w:p>
        </w:tc>
      </w:tr>
      <w:tr w14:paraId="78F8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85B0DF">
            <w:pPr>
              <w:jc w:val="center"/>
              <w:rPr>
                <w:rFonts w:hint="default"/>
                <w:highlight w:val="none"/>
                <w:vertAlign w:val="baseline"/>
                <w:lang w:val="en-US" w:eastAsia="zh-CN"/>
              </w:rPr>
            </w:pPr>
            <w:r>
              <w:rPr>
                <w:rFonts w:hint="eastAsia"/>
                <w:highlight w:val="none"/>
                <w:vertAlign w:val="baseline"/>
                <w:lang w:val="en-US" w:eastAsia="zh-CN"/>
              </w:rPr>
              <w:t>136</w:t>
            </w:r>
          </w:p>
        </w:tc>
        <w:tc>
          <w:tcPr>
            <w:tcW w:w="1690" w:type="dxa"/>
            <w:noWrap w:val="0"/>
            <w:vAlign w:val="center"/>
          </w:tcPr>
          <w:p w14:paraId="408398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种植辅助材料</w:t>
            </w:r>
          </w:p>
        </w:tc>
        <w:tc>
          <w:tcPr>
            <w:tcW w:w="5928" w:type="dxa"/>
            <w:noWrap w:val="0"/>
            <w:vAlign w:val="center"/>
          </w:tcPr>
          <w:p w14:paraId="597E00B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砾石、珍珠岩、腐殖土等</w:t>
            </w:r>
          </w:p>
        </w:tc>
        <w:tc>
          <w:tcPr>
            <w:tcW w:w="736" w:type="dxa"/>
            <w:noWrap w:val="0"/>
            <w:vAlign w:val="center"/>
          </w:tcPr>
          <w:p w14:paraId="69627A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kg </w:t>
            </w:r>
          </w:p>
        </w:tc>
        <w:tc>
          <w:tcPr>
            <w:tcW w:w="834" w:type="dxa"/>
            <w:noWrap w:val="0"/>
            <w:vAlign w:val="center"/>
          </w:tcPr>
          <w:p w14:paraId="4CF684F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5F4022FA">
            <w:pPr>
              <w:jc w:val="center"/>
              <w:rPr>
                <w:highlight w:val="none"/>
              </w:rPr>
            </w:pPr>
          </w:p>
        </w:tc>
        <w:tc>
          <w:tcPr>
            <w:tcW w:w="710" w:type="dxa"/>
            <w:gridSpan w:val="2"/>
            <w:noWrap w:val="0"/>
            <w:vAlign w:val="center"/>
          </w:tcPr>
          <w:p w14:paraId="1324E47D">
            <w:pPr>
              <w:jc w:val="both"/>
              <w:rPr>
                <w:highlight w:val="none"/>
                <w:vertAlign w:val="baseline"/>
              </w:rPr>
            </w:pPr>
          </w:p>
        </w:tc>
      </w:tr>
      <w:tr w14:paraId="2904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287B9BA">
            <w:pPr>
              <w:jc w:val="center"/>
              <w:rPr>
                <w:rFonts w:hint="default"/>
                <w:highlight w:val="none"/>
                <w:vertAlign w:val="baseline"/>
                <w:lang w:val="en-US" w:eastAsia="zh-CN"/>
              </w:rPr>
            </w:pPr>
            <w:r>
              <w:rPr>
                <w:rFonts w:hint="eastAsia"/>
                <w:highlight w:val="none"/>
                <w:vertAlign w:val="baseline"/>
                <w:lang w:val="en-US" w:eastAsia="zh-CN"/>
              </w:rPr>
              <w:t>137</w:t>
            </w:r>
          </w:p>
        </w:tc>
        <w:tc>
          <w:tcPr>
            <w:tcW w:w="1690" w:type="dxa"/>
            <w:noWrap w:val="0"/>
            <w:vAlign w:val="center"/>
          </w:tcPr>
          <w:p w14:paraId="67AEC7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育苗盘</w:t>
            </w:r>
          </w:p>
        </w:tc>
        <w:tc>
          <w:tcPr>
            <w:tcW w:w="5928" w:type="dxa"/>
            <w:noWrap w:val="0"/>
            <w:vAlign w:val="center"/>
          </w:tcPr>
          <w:p w14:paraId="2FD60C3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塑料材质</w:t>
            </w:r>
          </w:p>
        </w:tc>
        <w:tc>
          <w:tcPr>
            <w:tcW w:w="736" w:type="dxa"/>
            <w:noWrap w:val="0"/>
            <w:vAlign w:val="center"/>
          </w:tcPr>
          <w:p w14:paraId="5565FB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85650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40DEC4FB">
            <w:pPr>
              <w:jc w:val="center"/>
              <w:rPr>
                <w:highlight w:val="none"/>
              </w:rPr>
            </w:pPr>
          </w:p>
        </w:tc>
        <w:tc>
          <w:tcPr>
            <w:tcW w:w="710" w:type="dxa"/>
            <w:gridSpan w:val="2"/>
            <w:noWrap w:val="0"/>
            <w:vAlign w:val="center"/>
          </w:tcPr>
          <w:p w14:paraId="6275A9FE">
            <w:pPr>
              <w:jc w:val="both"/>
              <w:rPr>
                <w:highlight w:val="none"/>
                <w:vertAlign w:val="baseline"/>
              </w:rPr>
            </w:pPr>
          </w:p>
        </w:tc>
      </w:tr>
      <w:tr w14:paraId="599C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F7B8DF8">
            <w:pPr>
              <w:jc w:val="center"/>
              <w:rPr>
                <w:rFonts w:hint="default"/>
                <w:highlight w:val="none"/>
                <w:vertAlign w:val="baseline"/>
                <w:lang w:val="en-US" w:eastAsia="zh-CN"/>
              </w:rPr>
            </w:pPr>
            <w:r>
              <w:rPr>
                <w:rFonts w:hint="eastAsia"/>
                <w:highlight w:val="none"/>
                <w:vertAlign w:val="baseline"/>
                <w:lang w:val="en-US" w:eastAsia="zh-CN"/>
              </w:rPr>
              <w:t>138</w:t>
            </w:r>
          </w:p>
        </w:tc>
        <w:tc>
          <w:tcPr>
            <w:tcW w:w="1690" w:type="dxa"/>
            <w:noWrap w:val="0"/>
            <w:vAlign w:val="center"/>
          </w:tcPr>
          <w:p w14:paraId="11887D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水网</w:t>
            </w:r>
          </w:p>
        </w:tc>
        <w:tc>
          <w:tcPr>
            <w:tcW w:w="5928" w:type="dxa"/>
            <w:noWrap w:val="0"/>
            <w:vAlign w:val="center"/>
          </w:tcPr>
          <w:p w14:paraId="05A475A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网口直径30CM,</w:t>
            </w:r>
          </w:p>
        </w:tc>
        <w:tc>
          <w:tcPr>
            <w:tcW w:w="736" w:type="dxa"/>
            <w:noWrap w:val="0"/>
            <w:vAlign w:val="center"/>
          </w:tcPr>
          <w:p w14:paraId="1E4083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7B7155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396" w:type="dxa"/>
            <w:gridSpan w:val="2"/>
            <w:noWrap w:val="0"/>
            <w:vAlign w:val="center"/>
          </w:tcPr>
          <w:p w14:paraId="6A47FF12">
            <w:pPr>
              <w:jc w:val="center"/>
              <w:rPr>
                <w:highlight w:val="none"/>
              </w:rPr>
            </w:pPr>
          </w:p>
        </w:tc>
        <w:tc>
          <w:tcPr>
            <w:tcW w:w="710" w:type="dxa"/>
            <w:gridSpan w:val="2"/>
            <w:noWrap w:val="0"/>
            <w:vAlign w:val="center"/>
          </w:tcPr>
          <w:p w14:paraId="36C94CBA">
            <w:pPr>
              <w:jc w:val="both"/>
              <w:rPr>
                <w:highlight w:val="none"/>
                <w:vertAlign w:val="baseline"/>
              </w:rPr>
            </w:pPr>
          </w:p>
        </w:tc>
      </w:tr>
      <w:tr w14:paraId="5919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B2CEC3A">
            <w:pPr>
              <w:jc w:val="center"/>
              <w:rPr>
                <w:rFonts w:hint="default"/>
                <w:highlight w:val="none"/>
                <w:vertAlign w:val="baseline"/>
                <w:lang w:val="en-US" w:eastAsia="zh-CN"/>
              </w:rPr>
            </w:pPr>
            <w:r>
              <w:rPr>
                <w:rFonts w:hint="eastAsia"/>
                <w:highlight w:val="none"/>
                <w:vertAlign w:val="baseline"/>
                <w:lang w:val="en-US" w:eastAsia="zh-CN"/>
              </w:rPr>
              <w:t>139</w:t>
            </w:r>
          </w:p>
        </w:tc>
        <w:tc>
          <w:tcPr>
            <w:tcW w:w="1690" w:type="dxa"/>
            <w:noWrap w:val="0"/>
            <w:vAlign w:val="center"/>
          </w:tcPr>
          <w:p w14:paraId="0A18DF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保温桶</w:t>
            </w:r>
          </w:p>
        </w:tc>
        <w:tc>
          <w:tcPr>
            <w:tcW w:w="5928" w:type="dxa"/>
            <w:noWrap w:val="0"/>
            <w:vAlign w:val="center"/>
          </w:tcPr>
          <w:p w14:paraId="139E10F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1L-2L</w:t>
            </w:r>
          </w:p>
        </w:tc>
        <w:tc>
          <w:tcPr>
            <w:tcW w:w="736" w:type="dxa"/>
            <w:noWrap w:val="0"/>
            <w:vAlign w:val="center"/>
          </w:tcPr>
          <w:p w14:paraId="38DEFC8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12712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68D5FED">
            <w:pPr>
              <w:jc w:val="center"/>
              <w:rPr>
                <w:highlight w:val="none"/>
              </w:rPr>
            </w:pPr>
          </w:p>
        </w:tc>
        <w:tc>
          <w:tcPr>
            <w:tcW w:w="710" w:type="dxa"/>
            <w:gridSpan w:val="2"/>
            <w:noWrap w:val="0"/>
            <w:vAlign w:val="center"/>
          </w:tcPr>
          <w:p w14:paraId="2EE7DF7B">
            <w:pPr>
              <w:jc w:val="both"/>
              <w:rPr>
                <w:highlight w:val="none"/>
                <w:vertAlign w:val="baseline"/>
              </w:rPr>
            </w:pPr>
          </w:p>
        </w:tc>
      </w:tr>
      <w:tr w14:paraId="252F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502253E">
            <w:pPr>
              <w:jc w:val="center"/>
              <w:rPr>
                <w:rFonts w:hint="default"/>
                <w:highlight w:val="none"/>
                <w:vertAlign w:val="baseline"/>
                <w:lang w:val="en-US" w:eastAsia="zh-CN"/>
              </w:rPr>
            </w:pPr>
            <w:r>
              <w:rPr>
                <w:rFonts w:hint="eastAsia"/>
                <w:highlight w:val="none"/>
                <w:vertAlign w:val="baseline"/>
                <w:lang w:val="en-US" w:eastAsia="zh-CN"/>
              </w:rPr>
              <w:t>140</w:t>
            </w:r>
          </w:p>
        </w:tc>
        <w:tc>
          <w:tcPr>
            <w:tcW w:w="1690" w:type="dxa"/>
            <w:noWrap w:val="0"/>
            <w:vAlign w:val="center"/>
          </w:tcPr>
          <w:p w14:paraId="5D57B1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动物饲养笼</w:t>
            </w:r>
          </w:p>
        </w:tc>
        <w:tc>
          <w:tcPr>
            <w:tcW w:w="5928" w:type="dxa"/>
            <w:noWrap w:val="0"/>
            <w:vAlign w:val="center"/>
          </w:tcPr>
          <w:p w14:paraId="3DAC6C1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金属材质，底盘塑料材质，内配食盒和饮水器</w:t>
            </w:r>
          </w:p>
        </w:tc>
        <w:tc>
          <w:tcPr>
            <w:tcW w:w="736" w:type="dxa"/>
            <w:noWrap w:val="0"/>
            <w:vAlign w:val="center"/>
          </w:tcPr>
          <w:p w14:paraId="074FE1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D1819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19380AE">
            <w:pPr>
              <w:jc w:val="center"/>
              <w:rPr>
                <w:highlight w:val="none"/>
              </w:rPr>
            </w:pPr>
          </w:p>
        </w:tc>
        <w:tc>
          <w:tcPr>
            <w:tcW w:w="710" w:type="dxa"/>
            <w:gridSpan w:val="2"/>
            <w:noWrap w:val="0"/>
            <w:vAlign w:val="center"/>
          </w:tcPr>
          <w:p w14:paraId="771B3408">
            <w:pPr>
              <w:jc w:val="both"/>
              <w:rPr>
                <w:highlight w:val="none"/>
                <w:vertAlign w:val="baseline"/>
              </w:rPr>
            </w:pPr>
          </w:p>
        </w:tc>
      </w:tr>
      <w:tr w14:paraId="3AC1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74514E6">
            <w:pPr>
              <w:jc w:val="center"/>
              <w:rPr>
                <w:rFonts w:hint="default"/>
                <w:highlight w:val="none"/>
                <w:vertAlign w:val="baseline"/>
                <w:lang w:val="en-US" w:eastAsia="zh-CN"/>
              </w:rPr>
            </w:pPr>
            <w:r>
              <w:rPr>
                <w:rFonts w:hint="eastAsia"/>
                <w:highlight w:val="none"/>
                <w:vertAlign w:val="baseline"/>
                <w:lang w:val="en-US" w:eastAsia="zh-CN"/>
              </w:rPr>
              <w:t>141</w:t>
            </w:r>
          </w:p>
        </w:tc>
        <w:tc>
          <w:tcPr>
            <w:tcW w:w="1690" w:type="dxa"/>
            <w:noWrap w:val="0"/>
            <w:vAlign w:val="center"/>
          </w:tcPr>
          <w:p w14:paraId="7314AD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鱼缸</w:t>
            </w:r>
          </w:p>
        </w:tc>
        <w:tc>
          <w:tcPr>
            <w:tcW w:w="5928" w:type="dxa"/>
            <w:noWrap w:val="0"/>
            <w:vAlign w:val="center"/>
          </w:tcPr>
          <w:p w14:paraId="0BB108A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玻璃制,一大一小</w:t>
            </w:r>
          </w:p>
        </w:tc>
        <w:tc>
          <w:tcPr>
            <w:tcW w:w="736" w:type="dxa"/>
            <w:noWrap w:val="0"/>
            <w:vAlign w:val="center"/>
          </w:tcPr>
          <w:p w14:paraId="26505E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3D29D7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00BAED1">
            <w:pPr>
              <w:jc w:val="center"/>
              <w:rPr>
                <w:highlight w:val="none"/>
              </w:rPr>
            </w:pPr>
          </w:p>
        </w:tc>
        <w:tc>
          <w:tcPr>
            <w:tcW w:w="710" w:type="dxa"/>
            <w:gridSpan w:val="2"/>
            <w:noWrap w:val="0"/>
            <w:vAlign w:val="center"/>
          </w:tcPr>
          <w:p w14:paraId="2C0F0288">
            <w:pPr>
              <w:jc w:val="both"/>
              <w:rPr>
                <w:highlight w:val="none"/>
                <w:vertAlign w:val="baseline"/>
              </w:rPr>
            </w:pPr>
          </w:p>
        </w:tc>
      </w:tr>
      <w:tr w14:paraId="5842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ED3C8C">
            <w:pPr>
              <w:jc w:val="center"/>
              <w:rPr>
                <w:rFonts w:hint="default"/>
                <w:highlight w:val="none"/>
                <w:vertAlign w:val="baseline"/>
                <w:lang w:val="en-US" w:eastAsia="zh-CN"/>
              </w:rPr>
            </w:pPr>
            <w:r>
              <w:rPr>
                <w:rFonts w:hint="eastAsia"/>
                <w:highlight w:val="none"/>
                <w:vertAlign w:val="baseline"/>
                <w:lang w:val="en-US" w:eastAsia="zh-CN"/>
              </w:rPr>
              <w:t>142</w:t>
            </w:r>
          </w:p>
        </w:tc>
        <w:tc>
          <w:tcPr>
            <w:tcW w:w="1690" w:type="dxa"/>
            <w:noWrap w:val="0"/>
            <w:vAlign w:val="center"/>
          </w:tcPr>
          <w:p w14:paraId="21B191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昆虫针</w:t>
            </w:r>
          </w:p>
        </w:tc>
        <w:tc>
          <w:tcPr>
            <w:tcW w:w="5928" w:type="dxa"/>
            <w:noWrap w:val="0"/>
            <w:vAlign w:val="center"/>
          </w:tcPr>
          <w:p w14:paraId="3E9C43B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七种</w:t>
            </w:r>
          </w:p>
        </w:tc>
        <w:tc>
          <w:tcPr>
            <w:tcW w:w="736" w:type="dxa"/>
            <w:noWrap w:val="0"/>
            <w:vAlign w:val="center"/>
          </w:tcPr>
          <w:p w14:paraId="0A9B21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4587DE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1BC6EB3F">
            <w:pPr>
              <w:jc w:val="center"/>
              <w:rPr>
                <w:highlight w:val="none"/>
              </w:rPr>
            </w:pPr>
          </w:p>
        </w:tc>
        <w:tc>
          <w:tcPr>
            <w:tcW w:w="710" w:type="dxa"/>
            <w:gridSpan w:val="2"/>
            <w:noWrap w:val="0"/>
            <w:vAlign w:val="center"/>
          </w:tcPr>
          <w:p w14:paraId="5EDDCA20">
            <w:pPr>
              <w:jc w:val="both"/>
              <w:rPr>
                <w:highlight w:val="none"/>
                <w:vertAlign w:val="baseline"/>
              </w:rPr>
            </w:pPr>
          </w:p>
        </w:tc>
      </w:tr>
      <w:tr w14:paraId="2853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E53DC3">
            <w:pPr>
              <w:jc w:val="center"/>
              <w:rPr>
                <w:rFonts w:hint="default"/>
                <w:highlight w:val="none"/>
                <w:vertAlign w:val="baseline"/>
                <w:lang w:val="en-US" w:eastAsia="zh-CN"/>
              </w:rPr>
            </w:pPr>
            <w:r>
              <w:rPr>
                <w:rFonts w:hint="eastAsia"/>
                <w:highlight w:val="none"/>
                <w:vertAlign w:val="baseline"/>
                <w:lang w:val="en-US" w:eastAsia="zh-CN"/>
              </w:rPr>
              <w:t>143</w:t>
            </w:r>
          </w:p>
        </w:tc>
        <w:tc>
          <w:tcPr>
            <w:tcW w:w="1690" w:type="dxa"/>
            <w:noWrap w:val="0"/>
            <w:vAlign w:val="center"/>
          </w:tcPr>
          <w:p w14:paraId="72D3F1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昆虫网</w:t>
            </w:r>
          </w:p>
        </w:tc>
        <w:tc>
          <w:tcPr>
            <w:tcW w:w="5928" w:type="dxa"/>
            <w:noWrap w:val="0"/>
            <w:vAlign w:val="center"/>
          </w:tcPr>
          <w:p w14:paraId="1FFAFED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网兜直径 30 cm</w:t>
            </w:r>
          </w:p>
        </w:tc>
        <w:tc>
          <w:tcPr>
            <w:tcW w:w="736" w:type="dxa"/>
            <w:noWrap w:val="0"/>
            <w:vAlign w:val="center"/>
          </w:tcPr>
          <w:p w14:paraId="34D9F2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642E9C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09575AC3">
            <w:pPr>
              <w:jc w:val="center"/>
              <w:rPr>
                <w:highlight w:val="none"/>
              </w:rPr>
            </w:pPr>
          </w:p>
        </w:tc>
        <w:tc>
          <w:tcPr>
            <w:tcW w:w="710" w:type="dxa"/>
            <w:gridSpan w:val="2"/>
            <w:noWrap w:val="0"/>
            <w:vAlign w:val="center"/>
          </w:tcPr>
          <w:p w14:paraId="5FC8E193">
            <w:pPr>
              <w:jc w:val="both"/>
              <w:rPr>
                <w:highlight w:val="none"/>
                <w:vertAlign w:val="baseline"/>
              </w:rPr>
            </w:pPr>
          </w:p>
        </w:tc>
      </w:tr>
      <w:tr w14:paraId="0D0C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4C873F">
            <w:pPr>
              <w:jc w:val="center"/>
              <w:rPr>
                <w:rFonts w:hint="default"/>
                <w:highlight w:val="none"/>
                <w:vertAlign w:val="baseline"/>
                <w:lang w:val="en-US" w:eastAsia="zh-CN"/>
              </w:rPr>
            </w:pPr>
            <w:r>
              <w:rPr>
                <w:rFonts w:hint="eastAsia"/>
                <w:highlight w:val="none"/>
                <w:vertAlign w:val="baseline"/>
                <w:lang w:val="en-US" w:eastAsia="zh-CN"/>
              </w:rPr>
              <w:t>144</w:t>
            </w:r>
          </w:p>
        </w:tc>
        <w:tc>
          <w:tcPr>
            <w:tcW w:w="1690" w:type="dxa"/>
            <w:noWrap w:val="0"/>
            <w:vAlign w:val="center"/>
          </w:tcPr>
          <w:p w14:paraId="0F4C4B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昆虫盒</w:t>
            </w:r>
          </w:p>
        </w:tc>
        <w:tc>
          <w:tcPr>
            <w:tcW w:w="5928" w:type="dxa"/>
            <w:noWrap w:val="0"/>
            <w:vAlign w:val="center"/>
          </w:tcPr>
          <w:p w14:paraId="6C4E0DA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带透气孔，盒盖可配放大镜</w:t>
            </w:r>
          </w:p>
        </w:tc>
        <w:tc>
          <w:tcPr>
            <w:tcW w:w="736" w:type="dxa"/>
            <w:noWrap w:val="0"/>
            <w:vAlign w:val="center"/>
          </w:tcPr>
          <w:p w14:paraId="27942C0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5504CC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1DA36A81">
            <w:pPr>
              <w:jc w:val="center"/>
              <w:rPr>
                <w:highlight w:val="none"/>
              </w:rPr>
            </w:pPr>
          </w:p>
        </w:tc>
        <w:tc>
          <w:tcPr>
            <w:tcW w:w="710" w:type="dxa"/>
            <w:gridSpan w:val="2"/>
            <w:noWrap w:val="0"/>
            <w:vAlign w:val="center"/>
          </w:tcPr>
          <w:p w14:paraId="17EA8714">
            <w:pPr>
              <w:jc w:val="both"/>
              <w:rPr>
                <w:highlight w:val="none"/>
                <w:vertAlign w:val="baseline"/>
              </w:rPr>
            </w:pPr>
          </w:p>
        </w:tc>
      </w:tr>
      <w:tr w14:paraId="09ED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9AFDFDC">
            <w:pPr>
              <w:jc w:val="center"/>
              <w:rPr>
                <w:rFonts w:hint="default"/>
                <w:highlight w:val="none"/>
                <w:vertAlign w:val="baseline"/>
                <w:lang w:val="en-US" w:eastAsia="zh-CN"/>
              </w:rPr>
            </w:pPr>
            <w:r>
              <w:rPr>
                <w:rFonts w:hint="eastAsia"/>
                <w:highlight w:val="none"/>
                <w:vertAlign w:val="baseline"/>
                <w:lang w:val="en-US" w:eastAsia="zh-CN"/>
              </w:rPr>
              <w:t>145</w:t>
            </w:r>
          </w:p>
        </w:tc>
        <w:tc>
          <w:tcPr>
            <w:tcW w:w="1690" w:type="dxa"/>
            <w:noWrap w:val="0"/>
            <w:vAlign w:val="center"/>
          </w:tcPr>
          <w:p w14:paraId="62AADF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展翅板</w:t>
            </w:r>
          </w:p>
        </w:tc>
        <w:tc>
          <w:tcPr>
            <w:tcW w:w="5928" w:type="dxa"/>
            <w:noWrap w:val="0"/>
            <w:vAlign w:val="center"/>
          </w:tcPr>
          <w:p w14:paraId="7C381EB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木制</w:t>
            </w:r>
          </w:p>
        </w:tc>
        <w:tc>
          <w:tcPr>
            <w:tcW w:w="736" w:type="dxa"/>
            <w:noWrap w:val="0"/>
            <w:vAlign w:val="center"/>
          </w:tcPr>
          <w:p w14:paraId="08C66A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w:t>
            </w:r>
          </w:p>
        </w:tc>
        <w:tc>
          <w:tcPr>
            <w:tcW w:w="834" w:type="dxa"/>
            <w:noWrap w:val="0"/>
            <w:vAlign w:val="center"/>
          </w:tcPr>
          <w:p w14:paraId="7CBC37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5AA0488D">
            <w:pPr>
              <w:jc w:val="center"/>
              <w:rPr>
                <w:highlight w:val="none"/>
              </w:rPr>
            </w:pPr>
          </w:p>
        </w:tc>
        <w:tc>
          <w:tcPr>
            <w:tcW w:w="710" w:type="dxa"/>
            <w:gridSpan w:val="2"/>
            <w:noWrap w:val="0"/>
            <w:vAlign w:val="center"/>
          </w:tcPr>
          <w:p w14:paraId="6A95837D">
            <w:pPr>
              <w:jc w:val="both"/>
              <w:rPr>
                <w:highlight w:val="none"/>
                <w:vertAlign w:val="baseline"/>
              </w:rPr>
            </w:pPr>
          </w:p>
        </w:tc>
      </w:tr>
      <w:tr w14:paraId="2742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8D389C8">
            <w:pPr>
              <w:jc w:val="center"/>
              <w:rPr>
                <w:rFonts w:hint="default"/>
                <w:highlight w:val="none"/>
                <w:vertAlign w:val="baseline"/>
                <w:lang w:val="en-US" w:eastAsia="zh-CN"/>
              </w:rPr>
            </w:pPr>
            <w:r>
              <w:rPr>
                <w:rFonts w:hint="eastAsia"/>
                <w:highlight w:val="none"/>
                <w:vertAlign w:val="baseline"/>
                <w:lang w:val="en-US" w:eastAsia="zh-CN"/>
              </w:rPr>
              <w:t>146</w:t>
            </w:r>
          </w:p>
        </w:tc>
        <w:tc>
          <w:tcPr>
            <w:tcW w:w="1690" w:type="dxa"/>
            <w:noWrap w:val="0"/>
            <w:vAlign w:val="center"/>
          </w:tcPr>
          <w:p w14:paraId="27F03A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标记笔</w:t>
            </w:r>
          </w:p>
        </w:tc>
        <w:tc>
          <w:tcPr>
            <w:tcW w:w="5928" w:type="dxa"/>
            <w:noWrap w:val="0"/>
            <w:vAlign w:val="center"/>
          </w:tcPr>
          <w:p w14:paraId="1E049A9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油性墨水</w:t>
            </w:r>
          </w:p>
        </w:tc>
        <w:tc>
          <w:tcPr>
            <w:tcW w:w="736" w:type="dxa"/>
            <w:noWrap w:val="0"/>
            <w:vAlign w:val="center"/>
          </w:tcPr>
          <w:p w14:paraId="7FA0A5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0917C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30</w:t>
            </w:r>
          </w:p>
        </w:tc>
        <w:tc>
          <w:tcPr>
            <w:tcW w:w="3396" w:type="dxa"/>
            <w:gridSpan w:val="2"/>
            <w:noWrap w:val="0"/>
            <w:vAlign w:val="center"/>
          </w:tcPr>
          <w:p w14:paraId="4C048357">
            <w:pPr>
              <w:jc w:val="center"/>
              <w:rPr>
                <w:highlight w:val="none"/>
              </w:rPr>
            </w:pPr>
          </w:p>
        </w:tc>
        <w:tc>
          <w:tcPr>
            <w:tcW w:w="710" w:type="dxa"/>
            <w:gridSpan w:val="2"/>
            <w:noWrap w:val="0"/>
            <w:vAlign w:val="center"/>
          </w:tcPr>
          <w:p w14:paraId="7F9118F8">
            <w:pPr>
              <w:jc w:val="both"/>
              <w:rPr>
                <w:highlight w:val="none"/>
                <w:vertAlign w:val="baseline"/>
              </w:rPr>
            </w:pPr>
          </w:p>
        </w:tc>
      </w:tr>
      <w:tr w14:paraId="6B03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11E8B2">
            <w:pPr>
              <w:jc w:val="center"/>
              <w:rPr>
                <w:rFonts w:hint="default"/>
                <w:highlight w:val="none"/>
                <w:vertAlign w:val="baseline"/>
                <w:lang w:val="en-US" w:eastAsia="zh-CN"/>
              </w:rPr>
            </w:pPr>
            <w:r>
              <w:rPr>
                <w:rFonts w:hint="eastAsia"/>
                <w:highlight w:val="none"/>
                <w:vertAlign w:val="baseline"/>
                <w:lang w:val="en-US" w:eastAsia="zh-CN"/>
              </w:rPr>
              <w:t>147</w:t>
            </w:r>
          </w:p>
        </w:tc>
        <w:tc>
          <w:tcPr>
            <w:tcW w:w="1690" w:type="dxa"/>
            <w:noWrap w:val="0"/>
            <w:vAlign w:val="center"/>
          </w:tcPr>
          <w:p w14:paraId="4D2EAF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组织培养基试剂盒</w:t>
            </w:r>
          </w:p>
        </w:tc>
        <w:tc>
          <w:tcPr>
            <w:tcW w:w="5928" w:type="dxa"/>
            <w:noWrap w:val="0"/>
            <w:vAlign w:val="center"/>
          </w:tcPr>
          <w:p w14:paraId="6E11AD8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包含 MS 培养基和其他植物生长调节激素</w:t>
            </w:r>
          </w:p>
        </w:tc>
        <w:tc>
          <w:tcPr>
            <w:tcW w:w="736" w:type="dxa"/>
            <w:noWrap w:val="0"/>
            <w:vAlign w:val="center"/>
          </w:tcPr>
          <w:p w14:paraId="29CFC9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23C21F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394FE13D">
            <w:pPr>
              <w:jc w:val="center"/>
              <w:rPr>
                <w:highlight w:val="none"/>
              </w:rPr>
            </w:pPr>
          </w:p>
        </w:tc>
        <w:tc>
          <w:tcPr>
            <w:tcW w:w="710" w:type="dxa"/>
            <w:gridSpan w:val="2"/>
            <w:noWrap w:val="0"/>
            <w:vAlign w:val="center"/>
          </w:tcPr>
          <w:p w14:paraId="45972D59">
            <w:pPr>
              <w:jc w:val="both"/>
              <w:rPr>
                <w:highlight w:val="none"/>
                <w:vertAlign w:val="baseline"/>
              </w:rPr>
            </w:pPr>
          </w:p>
        </w:tc>
      </w:tr>
      <w:tr w14:paraId="6FB5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EBCDFB">
            <w:pPr>
              <w:jc w:val="center"/>
              <w:rPr>
                <w:rFonts w:hint="default"/>
                <w:highlight w:val="none"/>
                <w:vertAlign w:val="baseline"/>
                <w:lang w:val="en-US" w:eastAsia="zh-CN"/>
              </w:rPr>
            </w:pPr>
            <w:r>
              <w:rPr>
                <w:rFonts w:hint="eastAsia"/>
                <w:highlight w:val="none"/>
                <w:vertAlign w:val="baseline"/>
                <w:lang w:val="en-US" w:eastAsia="zh-CN"/>
              </w:rPr>
              <w:t>148</w:t>
            </w:r>
          </w:p>
        </w:tc>
        <w:tc>
          <w:tcPr>
            <w:tcW w:w="1690" w:type="dxa"/>
            <w:noWrap w:val="0"/>
            <w:vAlign w:val="center"/>
          </w:tcPr>
          <w:p w14:paraId="08A4D1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ABO血型实验盒</w:t>
            </w:r>
          </w:p>
        </w:tc>
        <w:tc>
          <w:tcPr>
            <w:tcW w:w="5928" w:type="dxa"/>
            <w:noWrap w:val="0"/>
            <w:vAlign w:val="center"/>
          </w:tcPr>
          <w:p w14:paraId="420C1BA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A 型、B 型、AB 型、O型</w:t>
            </w:r>
          </w:p>
        </w:tc>
        <w:tc>
          <w:tcPr>
            <w:tcW w:w="736" w:type="dxa"/>
            <w:noWrap w:val="0"/>
            <w:vAlign w:val="center"/>
          </w:tcPr>
          <w:p w14:paraId="06D7EF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3632A3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3396" w:type="dxa"/>
            <w:gridSpan w:val="2"/>
            <w:noWrap w:val="0"/>
            <w:vAlign w:val="center"/>
          </w:tcPr>
          <w:p w14:paraId="6A0AC13E">
            <w:pPr>
              <w:jc w:val="center"/>
              <w:rPr>
                <w:highlight w:val="none"/>
              </w:rPr>
            </w:pPr>
          </w:p>
        </w:tc>
        <w:tc>
          <w:tcPr>
            <w:tcW w:w="710" w:type="dxa"/>
            <w:gridSpan w:val="2"/>
            <w:noWrap w:val="0"/>
            <w:vAlign w:val="center"/>
          </w:tcPr>
          <w:p w14:paraId="1E952AC6">
            <w:pPr>
              <w:jc w:val="both"/>
              <w:rPr>
                <w:highlight w:val="none"/>
                <w:vertAlign w:val="baseline"/>
              </w:rPr>
            </w:pPr>
          </w:p>
        </w:tc>
      </w:tr>
      <w:tr w14:paraId="42E1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53928A">
            <w:pPr>
              <w:jc w:val="center"/>
              <w:rPr>
                <w:rFonts w:hint="default"/>
                <w:highlight w:val="none"/>
                <w:vertAlign w:val="baseline"/>
                <w:lang w:val="en-US" w:eastAsia="zh-CN"/>
              </w:rPr>
            </w:pPr>
            <w:r>
              <w:rPr>
                <w:rFonts w:hint="eastAsia"/>
                <w:highlight w:val="none"/>
                <w:vertAlign w:val="baseline"/>
                <w:lang w:val="en-US" w:eastAsia="zh-CN"/>
              </w:rPr>
              <w:t>149</w:t>
            </w:r>
          </w:p>
        </w:tc>
        <w:tc>
          <w:tcPr>
            <w:tcW w:w="1690" w:type="dxa"/>
            <w:noWrap w:val="0"/>
            <w:vAlign w:val="center"/>
          </w:tcPr>
          <w:p w14:paraId="7BA288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生物显微镜</w:t>
            </w:r>
          </w:p>
        </w:tc>
        <w:tc>
          <w:tcPr>
            <w:tcW w:w="5928" w:type="dxa"/>
            <w:noWrap w:val="0"/>
            <w:vAlign w:val="center"/>
          </w:tcPr>
          <w:p w14:paraId="614A372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XSP-36-1000X （同轴）(新课标分类代码：30199004008）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总放大倍数：40X-1000X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目      镜：广角WF10X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消色差物镜：195#型 4X、10X、40X（弹）、100X（油、弹）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机 械筒 长：160mm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镜      筒：铰链式双目45度斜筒，可360度旋转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聚  光  镜：阿贝式NA1.25，带可变光栏及滤光镜座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调 焦 机构：粗、微调同轴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粗 调范 围：22mm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微 调范 围：1.3mm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载  物  台：双层机械平台，尺寸125mm×115mm，移动范围60mm×30mm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照 明形 式：LED冷光源，亮度可调，可充电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      装：泡沫+纸箱</w:t>
            </w:r>
          </w:p>
        </w:tc>
        <w:tc>
          <w:tcPr>
            <w:tcW w:w="736" w:type="dxa"/>
            <w:noWrap w:val="0"/>
            <w:vAlign w:val="center"/>
          </w:tcPr>
          <w:p w14:paraId="7D198E2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752ECC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662FE970">
            <w:pPr>
              <w:jc w:val="center"/>
              <w:rPr>
                <w:highlight w:val="none"/>
              </w:rPr>
            </w:pPr>
          </w:p>
        </w:tc>
        <w:tc>
          <w:tcPr>
            <w:tcW w:w="710" w:type="dxa"/>
            <w:gridSpan w:val="2"/>
            <w:noWrap w:val="0"/>
            <w:vAlign w:val="center"/>
          </w:tcPr>
          <w:p w14:paraId="5CD8BE47">
            <w:pPr>
              <w:jc w:val="both"/>
              <w:rPr>
                <w:highlight w:val="none"/>
                <w:vertAlign w:val="baseline"/>
              </w:rPr>
            </w:pPr>
          </w:p>
        </w:tc>
      </w:tr>
      <w:tr w14:paraId="319B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9D16D8">
            <w:pPr>
              <w:jc w:val="center"/>
              <w:rPr>
                <w:rFonts w:hint="default"/>
                <w:highlight w:val="none"/>
                <w:vertAlign w:val="baseline"/>
                <w:lang w:val="en-US" w:eastAsia="zh-CN"/>
              </w:rPr>
            </w:pPr>
            <w:r>
              <w:rPr>
                <w:rFonts w:hint="eastAsia"/>
                <w:highlight w:val="none"/>
                <w:vertAlign w:val="baseline"/>
                <w:lang w:val="en-US" w:eastAsia="zh-CN"/>
              </w:rPr>
              <w:t>150</w:t>
            </w:r>
          </w:p>
        </w:tc>
        <w:tc>
          <w:tcPr>
            <w:tcW w:w="1690" w:type="dxa"/>
            <w:noWrap w:val="0"/>
            <w:vAlign w:val="center"/>
          </w:tcPr>
          <w:p w14:paraId="194F30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数码液晶显微镜</w:t>
            </w:r>
          </w:p>
        </w:tc>
        <w:tc>
          <w:tcPr>
            <w:tcW w:w="5928" w:type="dxa"/>
            <w:noWrap w:val="0"/>
            <w:vAlign w:val="center"/>
          </w:tcPr>
          <w:p w14:paraId="290FC0C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液晶显示屏：便携一体式智能平板电脑输出，10.5 英寸点触式液晶显示屏；</w:t>
            </w:r>
          </w:p>
          <w:p w14:paraId="201567C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2.操作系统：Android11操作系统或其他操作系统；</w:t>
            </w:r>
          </w:p>
          <w:p w14:paraId="289133A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3.数码成像系统：一体化数码成像系统： 10.5英寸彩色LCD高清液晶屏，真实色彩还原，CPU: 等于或优于1.8GHz 四核，内存：2G（DDR3），硬盘：32G；屏幕分辨率：2048*1536，拍照像素：800万像素,录像分辨率1080P/30FPS，超高清成像装置，画面无拖尾延迟现象，1080P HDMI高清数字信号输出，USB2.0,SS OTG,LAN网络输出接口</w:t>
            </w:r>
          </w:p>
          <w:p w14:paraId="64A6585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4.数 据 接 口 ： HDMI/Bluetooth/Wi-Fi，支持可扩充 32SD 卡5.显微镜及显示屏为一体的电源，电源适配器规格：DC12V 2A</w:t>
            </w:r>
          </w:p>
          <w:p w14:paraId="58C589B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6.可外接 10000mAh 以上电池供电，可连续使用 5-8 小时</w:t>
            </w:r>
          </w:p>
          <w:p w14:paraId="5013239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7、双目镜筒，三目倾斜 30°，视度可调节，双目瞳距：48-75 mm，可 360 度旋转观察，0.5X 带光学玻璃摄像接筒；</w:t>
            </w:r>
          </w:p>
          <w:p w14:paraId="3F3D6DB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8、目镜：WF10X；目镜可锁紧在目镜筒上，目镜目镜放大率准确度不超过± 1.02%。</w:t>
            </w:r>
          </w:p>
          <w:p w14:paraId="01DBCE9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9、PH 无限远平场消色差物镜：4X 平场消色差物镜（成像直径圆≥15.80mm）；10X 平场消色差物镜（成像直径圆≥ 15.80mm）；40X 平场消色差弹簧物镜（成像直径圆≥15.90mm）；100X 平场消色差物镜（弹簧，油镜）（成像直径圆≥ 16.20mm），10 倍→4 倍齐焦不超过0.012mm,所 10 倍→40 倍齐焦不超过0.009mm,40 倍→100 倍齐焦不超过0.015mm,所有物镜均保证齐焦；</w:t>
            </w:r>
          </w:p>
          <w:p w14:paraId="3B78D4D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10、物镜转换器：内倾式四孔转换器，转动舒适，响声定位明晰可靠；</w:t>
            </w:r>
          </w:p>
          <w:p w14:paraId="1D50829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11、粗微调：共轴粗微调（带上限位及松紧调节环），三角导轨，交叉滚柱导向机构，粗调范围：28mm，微调每转：0.2 mm，微调最小格值：2μm，具有过载保护自动卸力装置；人机工程学设计：调焦手轮与载物台移动手柄位置较低，位于同一水平高度可单手舒适操作，且两者离操作者距离相同，使操作者无需扭曲身体即可用单手以自然姿态轻松操作，微调机构空回≤0.006mm；</w:t>
            </w:r>
          </w:p>
          <w:p w14:paraId="6D61D7D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12、圆弧型机械载物台：面积：140³140 mm 以上，行程为 76mm³52mm，右手控制， 游标刻度为 0.1mm；载物台受 5N 水平方向作用力最大位移≤0.006mm；不重复性≤ 0.001mm；</w:t>
            </w:r>
          </w:p>
          <w:p w14:paraId="6907101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13、阿贝式聚光镜：垂直移动范围 10 mm， NA=1.25 带孔径光栏；14、显微镜主机上带数据显示窗，可以显示 ECO 红外感应状态，电池容量、侧光 源、透射光源亮度等信息；</w:t>
            </w:r>
          </w:p>
          <w:p w14:paraId="29FEC87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15、透射光源：长寿命、高亮度复眼透镜3W LED 灯，内置 18650 镍氢可充电电池， 节能、绿色、环保；</w:t>
            </w:r>
          </w:p>
          <w:p w14:paraId="5685769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16、USB 侧光源：USB 接口插拔安装，鹅颈式高功率 LED 万向侧照明光源，可以调节照射角度，可以观察实体标本并具有辅助照明功能，可以作为体视显微镜使用； </w:t>
            </w:r>
          </w:p>
          <w:p w14:paraId="19B0714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17、双灯感应切换旋钮：通过内置的压力传感器切换侧光源和透射光源，并旋转旋钮能无极调节上、下光源的亮度；</w:t>
            </w:r>
          </w:p>
          <w:p w14:paraId="71C5066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18、ACT 色温连续可调功能，显微镜光源集成 LED 和卤素光源，可旋转转子从黄光调节至纯白光，便于观察不同显色指数的标本切片；</w:t>
            </w:r>
          </w:p>
          <w:p w14:paraId="3C45D2B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19、ECO 节能保护功能，显微镜内集成工业级高敏感温度传感器，当实验人员离开显微镜 30 分钟以后，自动熄灭光源，起到节约能源及保护实验室用电安全的功能； </w:t>
            </w:r>
          </w:p>
          <w:p w14:paraId="43F9E54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▲20、提供2020年以来关于该产品的由“国家光学仪器质量监督检验中心”出具的检测报告复印件加盖公章，以验证产品参数的真实性。</w:t>
            </w:r>
          </w:p>
        </w:tc>
        <w:tc>
          <w:tcPr>
            <w:tcW w:w="736" w:type="dxa"/>
            <w:noWrap w:val="0"/>
            <w:vAlign w:val="center"/>
          </w:tcPr>
          <w:p w14:paraId="0FE9C7F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0BEA8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C269DB3">
            <w:pPr>
              <w:jc w:val="center"/>
              <w:rPr>
                <w:highlight w:val="none"/>
              </w:rPr>
            </w:pPr>
          </w:p>
        </w:tc>
        <w:tc>
          <w:tcPr>
            <w:tcW w:w="710" w:type="dxa"/>
            <w:gridSpan w:val="2"/>
            <w:noWrap w:val="0"/>
            <w:vAlign w:val="center"/>
          </w:tcPr>
          <w:p w14:paraId="74D6CEA9">
            <w:pPr>
              <w:jc w:val="both"/>
              <w:rPr>
                <w:highlight w:val="none"/>
                <w:vertAlign w:val="baseline"/>
              </w:rPr>
            </w:pPr>
          </w:p>
        </w:tc>
      </w:tr>
      <w:tr w14:paraId="0AC3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13942243">
            <w:pPr>
              <w:jc w:val="center"/>
              <w:rPr>
                <w:rFonts w:hint="default"/>
                <w:highlight w:val="none"/>
                <w:vertAlign w:val="baseline"/>
                <w:lang w:val="en-US" w:eastAsia="zh-CN"/>
              </w:rPr>
            </w:pPr>
            <w:r>
              <w:rPr>
                <w:rFonts w:hint="eastAsia"/>
                <w:highlight w:val="none"/>
                <w:vertAlign w:val="baseline"/>
                <w:lang w:val="en-US" w:eastAsia="zh-CN"/>
              </w:rPr>
              <w:t>151</w:t>
            </w:r>
          </w:p>
        </w:tc>
        <w:tc>
          <w:tcPr>
            <w:tcW w:w="1690" w:type="dxa"/>
            <w:noWrap w:val="0"/>
            <w:vAlign w:val="center"/>
          </w:tcPr>
          <w:p w14:paraId="730618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字母“e”装片</w:t>
            </w:r>
          </w:p>
        </w:tc>
        <w:tc>
          <w:tcPr>
            <w:tcW w:w="5928" w:type="dxa"/>
            <w:noWrap w:val="0"/>
            <w:vAlign w:val="center"/>
          </w:tcPr>
          <w:p w14:paraId="68CF04A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“e”或“b”，多重染色</w:t>
            </w:r>
          </w:p>
        </w:tc>
        <w:tc>
          <w:tcPr>
            <w:tcW w:w="736" w:type="dxa"/>
            <w:noWrap w:val="0"/>
            <w:vAlign w:val="center"/>
          </w:tcPr>
          <w:p w14:paraId="5DD648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A1751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416D2BDE">
            <w:pPr>
              <w:jc w:val="center"/>
              <w:rPr>
                <w:highlight w:val="none"/>
              </w:rPr>
            </w:pPr>
          </w:p>
        </w:tc>
        <w:tc>
          <w:tcPr>
            <w:tcW w:w="710" w:type="dxa"/>
            <w:gridSpan w:val="2"/>
            <w:noWrap w:val="0"/>
            <w:vAlign w:val="center"/>
          </w:tcPr>
          <w:p w14:paraId="7F1D2B7C">
            <w:pPr>
              <w:jc w:val="both"/>
              <w:rPr>
                <w:highlight w:val="none"/>
                <w:vertAlign w:val="baseline"/>
              </w:rPr>
            </w:pPr>
          </w:p>
        </w:tc>
      </w:tr>
      <w:tr w14:paraId="3D67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C75863C">
            <w:pPr>
              <w:jc w:val="center"/>
              <w:rPr>
                <w:rFonts w:hint="default"/>
                <w:highlight w:val="none"/>
                <w:vertAlign w:val="baseline"/>
                <w:lang w:val="en-US" w:eastAsia="zh-CN"/>
              </w:rPr>
            </w:pPr>
            <w:r>
              <w:rPr>
                <w:rFonts w:hint="eastAsia"/>
                <w:highlight w:val="none"/>
                <w:vertAlign w:val="baseline"/>
                <w:lang w:val="en-US" w:eastAsia="zh-CN"/>
              </w:rPr>
              <w:t>152</w:t>
            </w:r>
          </w:p>
        </w:tc>
        <w:tc>
          <w:tcPr>
            <w:tcW w:w="1690" w:type="dxa"/>
            <w:noWrap w:val="0"/>
            <w:vAlign w:val="center"/>
          </w:tcPr>
          <w:p w14:paraId="11578BA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双目立体显微镜</w:t>
            </w:r>
          </w:p>
        </w:tc>
        <w:tc>
          <w:tcPr>
            <w:tcW w:w="5928" w:type="dxa"/>
            <w:noWrap w:val="0"/>
            <w:vAlign w:val="center"/>
          </w:tcPr>
          <w:p w14:paraId="6AE9536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XT-II-40X(直筒)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1、放大倍数：40X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2、目    镜：广角WF10X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3、物    镜：4X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4、镜    筒：双目直筒， 瞳间距55-75mm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5、屈 光 度：视度调节范围±6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6、视场范围：φ5-φ28mm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7、工作距离：53.5mm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8、调节机构：立柱支架，升降范围40mm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9、照    明：反光板（自然光）</w:t>
            </w:r>
          </w:p>
        </w:tc>
        <w:tc>
          <w:tcPr>
            <w:tcW w:w="736" w:type="dxa"/>
            <w:noWrap w:val="0"/>
            <w:vAlign w:val="center"/>
          </w:tcPr>
          <w:p w14:paraId="6FC39D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3F2132F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09A6AB41">
            <w:pPr>
              <w:jc w:val="center"/>
              <w:rPr>
                <w:highlight w:val="none"/>
              </w:rPr>
            </w:pPr>
          </w:p>
        </w:tc>
        <w:tc>
          <w:tcPr>
            <w:tcW w:w="710" w:type="dxa"/>
            <w:gridSpan w:val="2"/>
            <w:noWrap w:val="0"/>
            <w:vAlign w:val="center"/>
          </w:tcPr>
          <w:p w14:paraId="758BBF45">
            <w:pPr>
              <w:jc w:val="both"/>
              <w:rPr>
                <w:highlight w:val="none"/>
                <w:vertAlign w:val="baseline"/>
              </w:rPr>
            </w:pPr>
          </w:p>
        </w:tc>
      </w:tr>
      <w:tr w14:paraId="1BE8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489A0D">
            <w:pPr>
              <w:jc w:val="center"/>
              <w:rPr>
                <w:rFonts w:hint="default"/>
                <w:highlight w:val="none"/>
                <w:vertAlign w:val="baseline"/>
                <w:lang w:val="en-US" w:eastAsia="zh-CN"/>
              </w:rPr>
            </w:pPr>
            <w:r>
              <w:rPr>
                <w:rFonts w:hint="eastAsia"/>
                <w:highlight w:val="none"/>
                <w:vertAlign w:val="baseline"/>
                <w:lang w:val="en-US" w:eastAsia="zh-CN"/>
              </w:rPr>
              <w:t>153</w:t>
            </w:r>
          </w:p>
        </w:tc>
        <w:tc>
          <w:tcPr>
            <w:tcW w:w="1690" w:type="dxa"/>
            <w:noWrap w:val="0"/>
            <w:vAlign w:val="center"/>
          </w:tcPr>
          <w:p w14:paraId="6833103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放大镜</w:t>
            </w:r>
          </w:p>
        </w:tc>
        <w:tc>
          <w:tcPr>
            <w:tcW w:w="5928" w:type="dxa"/>
            <w:noWrap w:val="0"/>
            <w:vAlign w:val="center"/>
          </w:tcPr>
          <w:p w14:paraId="74CF4D3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手持式 ,5 倍</w:t>
            </w:r>
          </w:p>
        </w:tc>
        <w:tc>
          <w:tcPr>
            <w:tcW w:w="736" w:type="dxa"/>
            <w:noWrap w:val="0"/>
            <w:vAlign w:val="center"/>
          </w:tcPr>
          <w:p w14:paraId="054F43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216E9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w:t>
            </w:r>
          </w:p>
        </w:tc>
        <w:tc>
          <w:tcPr>
            <w:tcW w:w="3396" w:type="dxa"/>
            <w:gridSpan w:val="2"/>
            <w:noWrap w:val="0"/>
            <w:vAlign w:val="center"/>
          </w:tcPr>
          <w:p w14:paraId="4D376F30">
            <w:pPr>
              <w:jc w:val="center"/>
              <w:rPr>
                <w:highlight w:val="none"/>
              </w:rPr>
            </w:pPr>
          </w:p>
        </w:tc>
        <w:tc>
          <w:tcPr>
            <w:tcW w:w="710" w:type="dxa"/>
            <w:gridSpan w:val="2"/>
            <w:noWrap w:val="0"/>
            <w:vAlign w:val="center"/>
          </w:tcPr>
          <w:p w14:paraId="21F54A4F">
            <w:pPr>
              <w:jc w:val="both"/>
              <w:rPr>
                <w:highlight w:val="none"/>
                <w:vertAlign w:val="baseline"/>
              </w:rPr>
            </w:pPr>
          </w:p>
        </w:tc>
      </w:tr>
      <w:tr w14:paraId="3BD0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5762C7">
            <w:pPr>
              <w:jc w:val="center"/>
              <w:rPr>
                <w:rFonts w:hint="default"/>
                <w:highlight w:val="none"/>
                <w:vertAlign w:val="baseline"/>
                <w:lang w:val="en-US" w:eastAsia="zh-CN"/>
              </w:rPr>
            </w:pPr>
            <w:r>
              <w:rPr>
                <w:rFonts w:hint="eastAsia"/>
                <w:highlight w:val="none"/>
                <w:vertAlign w:val="baseline"/>
                <w:lang w:val="en-US" w:eastAsia="zh-CN"/>
              </w:rPr>
              <w:t>154</w:t>
            </w:r>
          </w:p>
        </w:tc>
        <w:tc>
          <w:tcPr>
            <w:tcW w:w="1690" w:type="dxa"/>
            <w:noWrap w:val="0"/>
            <w:vAlign w:val="center"/>
          </w:tcPr>
          <w:p w14:paraId="7A7751E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望远镜</w:t>
            </w:r>
          </w:p>
        </w:tc>
        <w:tc>
          <w:tcPr>
            <w:tcW w:w="5928" w:type="dxa"/>
            <w:noWrap w:val="0"/>
            <w:vAlign w:val="center"/>
          </w:tcPr>
          <w:p w14:paraId="785100D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双筒 7*35</w:t>
            </w:r>
          </w:p>
        </w:tc>
        <w:tc>
          <w:tcPr>
            <w:tcW w:w="736" w:type="dxa"/>
            <w:noWrap w:val="0"/>
            <w:vAlign w:val="center"/>
          </w:tcPr>
          <w:p w14:paraId="2061922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0D8401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15A7E517">
            <w:pPr>
              <w:jc w:val="center"/>
              <w:rPr>
                <w:highlight w:val="none"/>
              </w:rPr>
            </w:pPr>
          </w:p>
        </w:tc>
        <w:tc>
          <w:tcPr>
            <w:tcW w:w="710" w:type="dxa"/>
            <w:gridSpan w:val="2"/>
            <w:noWrap w:val="0"/>
            <w:vAlign w:val="center"/>
          </w:tcPr>
          <w:p w14:paraId="26DF86C5">
            <w:pPr>
              <w:jc w:val="both"/>
              <w:rPr>
                <w:highlight w:val="none"/>
                <w:vertAlign w:val="baseline"/>
              </w:rPr>
            </w:pPr>
          </w:p>
        </w:tc>
      </w:tr>
      <w:tr w14:paraId="43C7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1A15D3">
            <w:pPr>
              <w:jc w:val="center"/>
              <w:rPr>
                <w:rFonts w:hint="default"/>
                <w:highlight w:val="none"/>
                <w:vertAlign w:val="baseline"/>
                <w:lang w:val="en-US" w:eastAsia="zh-CN"/>
              </w:rPr>
            </w:pPr>
            <w:r>
              <w:rPr>
                <w:rFonts w:hint="eastAsia"/>
                <w:highlight w:val="none"/>
                <w:vertAlign w:val="baseline"/>
                <w:lang w:val="en-US" w:eastAsia="zh-CN"/>
              </w:rPr>
              <w:t>155</w:t>
            </w:r>
          </w:p>
        </w:tc>
        <w:tc>
          <w:tcPr>
            <w:tcW w:w="1690" w:type="dxa"/>
            <w:noWrap w:val="0"/>
            <w:vAlign w:val="center"/>
          </w:tcPr>
          <w:p w14:paraId="5F7CB57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口腔上皮细胞装片</w:t>
            </w:r>
          </w:p>
        </w:tc>
        <w:tc>
          <w:tcPr>
            <w:tcW w:w="5928" w:type="dxa"/>
            <w:noWrap w:val="0"/>
            <w:vAlign w:val="center"/>
          </w:tcPr>
          <w:p w14:paraId="4D3FBB0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40C34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4667CF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4D40DFCE">
            <w:pPr>
              <w:jc w:val="center"/>
              <w:rPr>
                <w:highlight w:val="none"/>
              </w:rPr>
            </w:pPr>
          </w:p>
        </w:tc>
        <w:tc>
          <w:tcPr>
            <w:tcW w:w="710" w:type="dxa"/>
            <w:gridSpan w:val="2"/>
            <w:noWrap w:val="0"/>
            <w:vAlign w:val="center"/>
          </w:tcPr>
          <w:p w14:paraId="7B41BBB9">
            <w:pPr>
              <w:jc w:val="both"/>
              <w:rPr>
                <w:highlight w:val="none"/>
                <w:vertAlign w:val="baseline"/>
              </w:rPr>
            </w:pPr>
          </w:p>
        </w:tc>
      </w:tr>
      <w:tr w14:paraId="4146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F65E27">
            <w:pPr>
              <w:jc w:val="center"/>
              <w:rPr>
                <w:rFonts w:hint="default"/>
                <w:highlight w:val="none"/>
                <w:vertAlign w:val="baseline"/>
                <w:lang w:val="en-US" w:eastAsia="zh-CN"/>
              </w:rPr>
            </w:pPr>
            <w:r>
              <w:rPr>
                <w:rFonts w:hint="eastAsia"/>
                <w:highlight w:val="none"/>
                <w:vertAlign w:val="baseline"/>
                <w:lang w:val="en-US" w:eastAsia="zh-CN"/>
              </w:rPr>
              <w:t>156</w:t>
            </w:r>
          </w:p>
        </w:tc>
        <w:tc>
          <w:tcPr>
            <w:tcW w:w="1690" w:type="dxa"/>
            <w:noWrap w:val="0"/>
            <w:vAlign w:val="center"/>
          </w:tcPr>
          <w:p w14:paraId="00A76C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洋葱鳞片叶表皮装片</w:t>
            </w:r>
          </w:p>
        </w:tc>
        <w:tc>
          <w:tcPr>
            <w:tcW w:w="5928" w:type="dxa"/>
            <w:noWrap w:val="0"/>
            <w:vAlign w:val="center"/>
          </w:tcPr>
          <w:p w14:paraId="2183D8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55C8BF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AB1DC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0D8012A0">
            <w:pPr>
              <w:jc w:val="center"/>
              <w:rPr>
                <w:highlight w:val="none"/>
              </w:rPr>
            </w:pPr>
          </w:p>
        </w:tc>
        <w:tc>
          <w:tcPr>
            <w:tcW w:w="710" w:type="dxa"/>
            <w:gridSpan w:val="2"/>
            <w:noWrap w:val="0"/>
            <w:vAlign w:val="center"/>
          </w:tcPr>
          <w:p w14:paraId="3E57358C">
            <w:pPr>
              <w:jc w:val="both"/>
              <w:rPr>
                <w:highlight w:val="none"/>
                <w:vertAlign w:val="baseline"/>
              </w:rPr>
            </w:pPr>
          </w:p>
        </w:tc>
      </w:tr>
      <w:tr w14:paraId="0659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C416087">
            <w:pPr>
              <w:jc w:val="center"/>
              <w:rPr>
                <w:rFonts w:hint="default"/>
                <w:highlight w:val="none"/>
                <w:vertAlign w:val="baseline"/>
                <w:lang w:val="en-US" w:eastAsia="zh-CN"/>
              </w:rPr>
            </w:pPr>
            <w:r>
              <w:rPr>
                <w:rFonts w:hint="eastAsia"/>
                <w:highlight w:val="none"/>
                <w:vertAlign w:val="baseline"/>
                <w:lang w:val="en-US" w:eastAsia="zh-CN"/>
              </w:rPr>
              <w:t>157</w:t>
            </w:r>
          </w:p>
        </w:tc>
        <w:tc>
          <w:tcPr>
            <w:tcW w:w="1690" w:type="dxa"/>
            <w:noWrap w:val="0"/>
            <w:vAlign w:val="center"/>
          </w:tcPr>
          <w:p w14:paraId="41C4A4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蚕豆叶下表皮装片</w:t>
            </w:r>
          </w:p>
        </w:tc>
        <w:tc>
          <w:tcPr>
            <w:tcW w:w="5928" w:type="dxa"/>
            <w:noWrap w:val="0"/>
            <w:vAlign w:val="center"/>
          </w:tcPr>
          <w:p w14:paraId="5657D7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528FD6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27B278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532232D7">
            <w:pPr>
              <w:jc w:val="center"/>
              <w:rPr>
                <w:highlight w:val="none"/>
              </w:rPr>
            </w:pPr>
          </w:p>
        </w:tc>
        <w:tc>
          <w:tcPr>
            <w:tcW w:w="710" w:type="dxa"/>
            <w:gridSpan w:val="2"/>
            <w:noWrap w:val="0"/>
            <w:vAlign w:val="center"/>
          </w:tcPr>
          <w:p w14:paraId="22EA6D42">
            <w:pPr>
              <w:jc w:val="both"/>
              <w:rPr>
                <w:highlight w:val="none"/>
                <w:vertAlign w:val="baseline"/>
              </w:rPr>
            </w:pPr>
          </w:p>
        </w:tc>
      </w:tr>
      <w:tr w14:paraId="52FF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6BC780">
            <w:pPr>
              <w:jc w:val="center"/>
              <w:rPr>
                <w:rFonts w:hint="default"/>
                <w:highlight w:val="none"/>
                <w:vertAlign w:val="baseline"/>
                <w:lang w:val="en-US" w:eastAsia="zh-CN"/>
              </w:rPr>
            </w:pPr>
            <w:r>
              <w:rPr>
                <w:rFonts w:hint="eastAsia"/>
                <w:highlight w:val="none"/>
                <w:vertAlign w:val="baseline"/>
                <w:lang w:val="en-US" w:eastAsia="zh-CN"/>
              </w:rPr>
              <w:t>158</w:t>
            </w:r>
          </w:p>
        </w:tc>
        <w:tc>
          <w:tcPr>
            <w:tcW w:w="1690" w:type="dxa"/>
            <w:noWrap w:val="0"/>
            <w:vAlign w:val="center"/>
          </w:tcPr>
          <w:p w14:paraId="403E55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草履虫结合生殖装片</w:t>
            </w:r>
          </w:p>
        </w:tc>
        <w:tc>
          <w:tcPr>
            <w:tcW w:w="5928" w:type="dxa"/>
            <w:noWrap w:val="0"/>
            <w:vAlign w:val="center"/>
          </w:tcPr>
          <w:p w14:paraId="10CA8D8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74DBC81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FA0D3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7309F14">
            <w:pPr>
              <w:jc w:val="center"/>
              <w:rPr>
                <w:highlight w:val="none"/>
              </w:rPr>
            </w:pPr>
          </w:p>
        </w:tc>
        <w:tc>
          <w:tcPr>
            <w:tcW w:w="710" w:type="dxa"/>
            <w:gridSpan w:val="2"/>
            <w:noWrap w:val="0"/>
            <w:vAlign w:val="center"/>
          </w:tcPr>
          <w:p w14:paraId="4B35383F">
            <w:pPr>
              <w:jc w:val="both"/>
              <w:rPr>
                <w:highlight w:val="none"/>
                <w:vertAlign w:val="baseline"/>
              </w:rPr>
            </w:pPr>
          </w:p>
        </w:tc>
      </w:tr>
      <w:tr w14:paraId="6266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053BBF">
            <w:pPr>
              <w:jc w:val="center"/>
              <w:rPr>
                <w:rFonts w:hint="default"/>
                <w:highlight w:val="none"/>
                <w:vertAlign w:val="baseline"/>
                <w:lang w:val="en-US" w:eastAsia="zh-CN"/>
              </w:rPr>
            </w:pPr>
            <w:r>
              <w:rPr>
                <w:rFonts w:hint="eastAsia"/>
                <w:highlight w:val="none"/>
                <w:vertAlign w:val="baseline"/>
                <w:lang w:val="en-US" w:eastAsia="zh-CN"/>
              </w:rPr>
              <w:t>159</w:t>
            </w:r>
          </w:p>
        </w:tc>
        <w:tc>
          <w:tcPr>
            <w:tcW w:w="1690" w:type="dxa"/>
            <w:noWrap w:val="0"/>
            <w:vAlign w:val="center"/>
          </w:tcPr>
          <w:p w14:paraId="40AC54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草履虫分裂生殖装片</w:t>
            </w:r>
          </w:p>
        </w:tc>
        <w:tc>
          <w:tcPr>
            <w:tcW w:w="5928" w:type="dxa"/>
            <w:noWrap w:val="0"/>
            <w:vAlign w:val="center"/>
          </w:tcPr>
          <w:p w14:paraId="0D46A42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86E9F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D3A73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3B6A499">
            <w:pPr>
              <w:jc w:val="center"/>
              <w:rPr>
                <w:highlight w:val="none"/>
              </w:rPr>
            </w:pPr>
          </w:p>
        </w:tc>
        <w:tc>
          <w:tcPr>
            <w:tcW w:w="710" w:type="dxa"/>
            <w:gridSpan w:val="2"/>
            <w:noWrap w:val="0"/>
            <w:vAlign w:val="center"/>
          </w:tcPr>
          <w:p w14:paraId="02AED3B2">
            <w:pPr>
              <w:jc w:val="both"/>
              <w:rPr>
                <w:highlight w:val="none"/>
                <w:vertAlign w:val="baseline"/>
              </w:rPr>
            </w:pPr>
          </w:p>
        </w:tc>
      </w:tr>
      <w:tr w14:paraId="78D3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9D59FD">
            <w:pPr>
              <w:jc w:val="center"/>
              <w:rPr>
                <w:rFonts w:hint="default"/>
                <w:highlight w:val="none"/>
                <w:vertAlign w:val="baseline"/>
                <w:lang w:val="en-US" w:eastAsia="zh-CN"/>
              </w:rPr>
            </w:pPr>
            <w:r>
              <w:rPr>
                <w:rFonts w:hint="eastAsia"/>
                <w:highlight w:val="none"/>
                <w:vertAlign w:val="baseline"/>
                <w:lang w:val="en-US" w:eastAsia="zh-CN"/>
              </w:rPr>
              <w:t>160</w:t>
            </w:r>
          </w:p>
        </w:tc>
        <w:tc>
          <w:tcPr>
            <w:tcW w:w="1690" w:type="dxa"/>
            <w:noWrap w:val="0"/>
            <w:vAlign w:val="center"/>
          </w:tcPr>
          <w:p w14:paraId="1CA5D6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动物细胞有丝分裂</w:t>
            </w:r>
          </w:p>
        </w:tc>
        <w:tc>
          <w:tcPr>
            <w:tcW w:w="5928" w:type="dxa"/>
            <w:noWrap w:val="0"/>
            <w:vAlign w:val="center"/>
          </w:tcPr>
          <w:p w14:paraId="263223C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马蛔虫受精卵切片，玻璃制</w:t>
            </w:r>
          </w:p>
        </w:tc>
        <w:tc>
          <w:tcPr>
            <w:tcW w:w="736" w:type="dxa"/>
            <w:noWrap w:val="0"/>
            <w:vAlign w:val="center"/>
          </w:tcPr>
          <w:p w14:paraId="5C030C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FFC9B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438CAED">
            <w:pPr>
              <w:jc w:val="center"/>
              <w:rPr>
                <w:highlight w:val="none"/>
              </w:rPr>
            </w:pPr>
          </w:p>
        </w:tc>
        <w:tc>
          <w:tcPr>
            <w:tcW w:w="710" w:type="dxa"/>
            <w:gridSpan w:val="2"/>
            <w:noWrap w:val="0"/>
            <w:vAlign w:val="center"/>
          </w:tcPr>
          <w:p w14:paraId="73129E79">
            <w:pPr>
              <w:jc w:val="both"/>
              <w:rPr>
                <w:highlight w:val="none"/>
                <w:vertAlign w:val="baseline"/>
              </w:rPr>
            </w:pPr>
          </w:p>
        </w:tc>
      </w:tr>
      <w:tr w14:paraId="37F3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38489B">
            <w:pPr>
              <w:jc w:val="center"/>
              <w:rPr>
                <w:rFonts w:hint="default"/>
                <w:highlight w:val="none"/>
                <w:vertAlign w:val="baseline"/>
                <w:lang w:val="en-US" w:eastAsia="zh-CN"/>
              </w:rPr>
            </w:pPr>
            <w:r>
              <w:rPr>
                <w:rFonts w:hint="eastAsia"/>
                <w:highlight w:val="none"/>
                <w:vertAlign w:val="baseline"/>
                <w:lang w:val="en-US" w:eastAsia="zh-CN"/>
              </w:rPr>
              <w:t>161</w:t>
            </w:r>
          </w:p>
        </w:tc>
        <w:tc>
          <w:tcPr>
            <w:tcW w:w="1690" w:type="dxa"/>
            <w:noWrap w:val="0"/>
            <w:vAlign w:val="center"/>
          </w:tcPr>
          <w:p w14:paraId="3305B8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植物细胞模型</w:t>
            </w:r>
          </w:p>
        </w:tc>
        <w:tc>
          <w:tcPr>
            <w:tcW w:w="5928" w:type="dxa"/>
            <w:noWrap w:val="0"/>
            <w:vAlign w:val="center"/>
          </w:tcPr>
          <w:p w14:paraId="7590E06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示细胞壁、细胞膜、细胞质、细胞核、核仁和液泡等</w:t>
            </w:r>
          </w:p>
        </w:tc>
        <w:tc>
          <w:tcPr>
            <w:tcW w:w="736" w:type="dxa"/>
            <w:noWrap w:val="0"/>
            <w:vAlign w:val="center"/>
          </w:tcPr>
          <w:p w14:paraId="7C1A94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0B6F78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E3A48F3">
            <w:pPr>
              <w:jc w:val="center"/>
              <w:rPr>
                <w:highlight w:val="none"/>
              </w:rPr>
            </w:pPr>
          </w:p>
        </w:tc>
        <w:tc>
          <w:tcPr>
            <w:tcW w:w="710" w:type="dxa"/>
            <w:gridSpan w:val="2"/>
            <w:noWrap w:val="0"/>
            <w:vAlign w:val="center"/>
          </w:tcPr>
          <w:p w14:paraId="4A9B5911">
            <w:pPr>
              <w:jc w:val="both"/>
              <w:rPr>
                <w:highlight w:val="none"/>
                <w:vertAlign w:val="baseline"/>
              </w:rPr>
            </w:pPr>
          </w:p>
        </w:tc>
      </w:tr>
      <w:tr w14:paraId="27A9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D97279">
            <w:pPr>
              <w:jc w:val="center"/>
              <w:rPr>
                <w:rFonts w:hint="default"/>
                <w:highlight w:val="none"/>
                <w:vertAlign w:val="baseline"/>
                <w:lang w:val="en-US" w:eastAsia="zh-CN"/>
              </w:rPr>
            </w:pPr>
            <w:r>
              <w:rPr>
                <w:rFonts w:hint="eastAsia"/>
                <w:highlight w:val="none"/>
                <w:vertAlign w:val="baseline"/>
                <w:lang w:val="en-US" w:eastAsia="zh-CN"/>
              </w:rPr>
              <w:t>162</w:t>
            </w:r>
          </w:p>
        </w:tc>
        <w:tc>
          <w:tcPr>
            <w:tcW w:w="1690" w:type="dxa"/>
            <w:noWrap w:val="0"/>
            <w:vAlign w:val="center"/>
          </w:tcPr>
          <w:p w14:paraId="6D9245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动物细胞模型</w:t>
            </w:r>
          </w:p>
        </w:tc>
        <w:tc>
          <w:tcPr>
            <w:tcW w:w="5928" w:type="dxa"/>
            <w:noWrap w:val="0"/>
            <w:vAlign w:val="center"/>
          </w:tcPr>
          <w:p w14:paraId="20CD3A3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示细胞膜、细胞质、细胞核、核仁等结构</w:t>
            </w:r>
          </w:p>
        </w:tc>
        <w:tc>
          <w:tcPr>
            <w:tcW w:w="736" w:type="dxa"/>
            <w:noWrap w:val="0"/>
            <w:vAlign w:val="center"/>
          </w:tcPr>
          <w:p w14:paraId="0D3E9D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4BDD6E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08EBB76">
            <w:pPr>
              <w:jc w:val="center"/>
              <w:rPr>
                <w:highlight w:val="none"/>
              </w:rPr>
            </w:pPr>
          </w:p>
        </w:tc>
        <w:tc>
          <w:tcPr>
            <w:tcW w:w="710" w:type="dxa"/>
            <w:gridSpan w:val="2"/>
            <w:noWrap w:val="0"/>
            <w:vAlign w:val="center"/>
          </w:tcPr>
          <w:p w14:paraId="7CACAA4B">
            <w:pPr>
              <w:jc w:val="both"/>
              <w:rPr>
                <w:highlight w:val="none"/>
                <w:vertAlign w:val="baseline"/>
              </w:rPr>
            </w:pPr>
          </w:p>
        </w:tc>
      </w:tr>
      <w:tr w14:paraId="7117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44EDDDF">
            <w:pPr>
              <w:jc w:val="center"/>
              <w:rPr>
                <w:rFonts w:hint="default"/>
                <w:highlight w:val="none"/>
                <w:vertAlign w:val="baseline"/>
                <w:lang w:val="en-US" w:eastAsia="zh-CN"/>
              </w:rPr>
            </w:pPr>
            <w:r>
              <w:rPr>
                <w:rFonts w:hint="eastAsia"/>
                <w:highlight w:val="none"/>
                <w:vertAlign w:val="baseline"/>
                <w:lang w:val="en-US" w:eastAsia="zh-CN"/>
              </w:rPr>
              <w:t>163</w:t>
            </w:r>
          </w:p>
        </w:tc>
        <w:tc>
          <w:tcPr>
            <w:tcW w:w="1690" w:type="dxa"/>
            <w:noWrap w:val="0"/>
            <w:vAlign w:val="center"/>
          </w:tcPr>
          <w:p w14:paraId="0C8EBE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草履虫模型</w:t>
            </w:r>
          </w:p>
        </w:tc>
        <w:tc>
          <w:tcPr>
            <w:tcW w:w="5928" w:type="dxa"/>
            <w:noWrap w:val="0"/>
            <w:vAlign w:val="center"/>
          </w:tcPr>
          <w:p w14:paraId="3CC5592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纵剖模型，各部着色协调，能相互区分</w:t>
            </w:r>
          </w:p>
        </w:tc>
        <w:tc>
          <w:tcPr>
            <w:tcW w:w="736" w:type="dxa"/>
            <w:noWrap w:val="0"/>
            <w:vAlign w:val="center"/>
          </w:tcPr>
          <w:p w14:paraId="1DD202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42C7D6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9FB4554">
            <w:pPr>
              <w:jc w:val="center"/>
              <w:rPr>
                <w:highlight w:val="none"/>
              </w:rPr>
            </w:pPr>
          </w:p>
        </w:tc>
        <w:tc>
          <w:tcPr>
            <w:tcW w:w="710" w:type="dxa"/>
            <w:gridSpan w:val="2"/>
            <w:noWrap w:val="0"/>
            <w:vAlign w:val="center"/>
          </w:tcPr>
          <w:p w14:paraId="1CD32CD1">
            <w:pPr>
              <w:jc w:val="both"/>
              <w:rPr>
                <w:highlight w:val="none"/>
                <w:vertAlign w:val="baseline"/>
              </w:rPr>
            </w:pPr>
          </w:p>
        </w:tc>
      </w:tr>
      <w:tr w14:paraId="1F9F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E870C2">
            <w:pPr>
              <w:jc w:val="center"/>
              <w:rPr>
                <w:rFonts w:hint="default"/>
                <w:highlight w:val="none"/>
                <w:vertAlign w:val="baseline"/>
                <w:lang w:val="en-US" w:eastAsia="zh-CN"/>
              </w:rPr>
            </w:pPr>
            <w:r>
              <w:rPr>
                <w:rFonts w:hint="eastAsia"/>
                <w:highlight w:val="none"/>
                <w:vertAlign w:val="baseline"/>
                <w:lang w:val="en-US" w:eastAsia="zh-CN"/>
              </w:rPr>
              <w:t>164</w:t>
            </w:r>
          </w:p>
        </w:tc>
        <w:tc>
          <w:tcPr>
            <w:tcW w:w="1690" w:type="dxa"/>
            <w:noWrap w:val="0"/>
            <w:vAlign w:val="center"/>
          </w:tcPr>
          <w:p w14:paraId="75A8F5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植物细胞有丝分裂</w:t>
            </w:r>
          </w:p>
        </w:tc>
        <w:tc>
          <w:tcPr>
            <w:tcW w:w="5928" w:type="dxa"/>
            <w:noWrap w:val="0"/>
            <w:vAlign w:val="center"/>
          </w:tcPr>
          <w:p w14:paraId="1310EBA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7998B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6AAEC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53013444">
            <w:pPr>
              <w:jc w:val="center"/>
              <w:rPr>
                <w:highlight w:val="none"/>
              </w:rPr>
            </w:pPr>
          </w:p>
        </w:tc>
        <w:tc>
          <w:tcPr>
            <w:tcW w:w="710" w:type="dxa"/>
            <w:gridSpan w:val="2"/>
            <w:noWrap w:val="0"/>
            <w:vAlign w:val="center"/>
          </w:tcPr>
          <w:p w14:paraId="12176869">
            <w:pPr>
              <w:jc w:val="both"/>
              <w:rPr>
                <w:highlight w:val="none"/>
                <w:vertAlign w:val="baseline"/>
              </w:rPr>
            </w:pPr>
          </w:p>
        </w:tc>
      </w:tr>
      <w:tr w14:paraId="5195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AB1F86">
            <w:pPr>
              <w:jc w:val="center"/>
              <w:rPr>
                <w:rFonts w:hint="default"/>
                <w:highlight w:val="none"/>
                <w:vertAlign w:val="baseline"/>
                <w:lang w:val="en-US" w:eastAsia="zh-CN"/>
              </w:rPr>
            </w:pPr>
            <w:r>
              <w:rPr>
                <w:rFonts w:hint="eastAsia"/>
                <w:highlight w:val="none"/>
                <w:vertAlign w:val="baseline"/>
                <w:lang w:val="en-US" w:eastAsia="zh-CN"/>
              </w:rPr>
              <w:t>165</w:t>
            </w:r>
          </w:p>
        </w:tc>
        <w:tc>
          <w:tcPr>
            <w:tcW w:w="1690" w:type="dxa"/>
            <w:noWrap w:val="0"/>
            <w:vAlign w:val="center"/>
          </w:tcPr>
          <w:p w14:paraId="162395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单层扁平上皮装片</w:t>
            </w:r>
          </w:p>
        </w:tc>
        <w:tc>
          <w:tcPr>
            <w:tcW w:w="5928" w:type="dxa"/>
            <w:noWrap w:val="0"/>
            <w:vAlign w:val="center"/>
          </w:tcPr>
          <w:p w14:paraId="06CE5ED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34CDD7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522385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6AC3F274">
            <w:pPr>
              <w:jc w:val="center"/>
              <w:rPr>
                <w:highlight w:val="none"/>
              </w:rPr>
            </w:pPr>
          </w:p>
        </w:tc>
        <w:tc>
          <w:tcPr>
            <w:tcW w:w="710" w:type="dxa"/>
            <w:gridSpan w:val="2"/>
            <w:noWrap w:val="0"/>
            <w:vAlign w:val="center"/>
          </w:tcPr>
          <w:p w14:paraId="3EE13EE6">
            <w:pPr>
              <w:jc w:val="both"/>
              <w:rPr>
                <w:highlight w:val="none"/>
                <w:vertAlign w:val="baseline"/>
              </w:rPr>
            </w:pPr>
          </w:p>
        </w:tc>
      </w:tr>
      <w:tr w14:paraId="3453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D1C3BA">
            <w:pPr>
              <w:jc w:val="center"/>
              <w:rPr>
                <w:rFonts w:hint="default"/>
                <w:highlight w:val="none"/>
                <w:vertAlign w:val="baseline"/>
                <w:lang w:val="en-US" w:eastAsia="zh-CN"/>
              </w:rPr>
            </w:pPr>
            <w:r>
              <w:rPr>
                <w:rFonts w:hint="eastAsia"/>
                <w:highlight w:val="none"/>
                <w:vertAlign w:val="baseline"/>
                <w:lang w:val="en-US" w:eastAsia="zh-CN"/>
              </w:rPr>
              <w:t>166</w:t>
            </w:r>
          </w:p>
        </w:tc>
        <w:tc>
          <w:tcPr>
            <w:tcW w:w="1690" w:type="dxa"/>
            <w:noWrap w:val="0"/>
            <w:vAlign w:val="center"/>
          </w:tcPr>
          <w:p w14:paraId="7D96F8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复层扁平上皮装片</w:t>
            </w:r>
          </w:p>
        </w:tc>
        <w:tc>
          <w:tcPr>
            <w:tcW w:w="5928" w:type="dxa"/>
            <w:noWrap w:val="0"/>
            <w:vAlign w:val="center"/>
          </w:tcPr>
          <w:p w14:paraId="73E98CC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34B09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0517A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A739535">
            <w:pPr>
              <w:jc w:val="center"/>
              <w:rPr>
                <w:highlight w:val="none"/>
              </w:rPr>
            </w:pPr>
          </w:p>
        </w:tc>
        <w:tc>
          <w:tcPr>
            <w:tcW w:w="710" w:type="dxa"/>
            <w:gridSpan w:val="2"/>
            <w:noWrap w:val="0"/>
            <w:vAlign w:val="center"/>
          </w:tcPr>
          <w:p w14:paraId="3AC31240">
            <w:pPr>
              <w:jc w:val="both"/>
              <w:rPr>
                <w:highlight w:val="none"/>
                <w:vertAlign w:val="baseline"/>
              </w:rPr>
            </w:pPr>
          </w:p>
        </w:tc>
      </w:tr>
      <w:tr w14:paraId="44BB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A5F13A">
            <w:pPr>
              <w:jc w:val="center"/>
              <w:rPr>
                <w:rFonts w:hint="default"/>
                <w:highlight w:val="none"/>
                <w:vertAlign w:val="baseline"/>
                <w:lang w:val="en-US" w:eastAsia="zh-CN"/>
              </w:rPr>
            </w:pPr>
            <w:r>
              <w:rPr>
                <w:rFonts w:hint="eastAsia"/>
                <w:highlight w:val="none"/>
                <w:vertAlign w:val="baseline"/>
                <w:lang w:val="en-US" w:eastAsia="zh-CN"/>
              </w:rPr>
              <w:t>167</w:t>
            </w:r>
          </w:p>
        </w:tc>
        <w:tc>
          <w:tcPr>
            <w:tcW w:w="1690" w:type="dxa"/>
            <w:noWrap w:val="0"/>
            <w:vAlign w:val="center"/>
          </w:tcPr>
          <w:p w14:paraId="3E894F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纤维结缔组织装片</w:t>
            </w:r>
          </w:p>
        </w:tc>
        <w:tc>
          <w:tcPr>
            <w:tcW w:w="5928" w:type="dxa"/>
            <w:noWrap w:val="0"/>
            <w:vAlign w:val="center"/>
          </w:tcPr>
          <w:p w14:paraId="47D1F4F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B2D9D9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261120E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3CDFB16B">
            <w:pPr>
              <w:jc w:val="center"/>
              <w:rPr>
                <w:highlight w:val="none"/>
              </w:rPr>
            </w:pPr>
          </w:p>
        </w:tc>
        <w:tc>
          <w:tcPr>
            <w:tcW w:w="710" w:type="dxa"/>
            <w:gridSpan w:val="2"/>
            <w:noWrap w:val="0"/>
            <w:vAlign w:val="center"/>
          </w:tcPr>
          <w:p w14:paraId="711C7EA2">
            <w:pPr>
              <w:jc w:val="both"/>
              <w:rPr>
                <w:highlight w:val="none"/>
                <w:vertAlign w:val="baseline"/>
              </w:rPr>
            </w:pPr>
          </w:p>
        </w:tc>
      </w:tr>
      <w:tr w14:paraId="7C20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358B65">
            <w:pPr>
              <w:jc w:val="center"/>
              <w:rPr>
                <w:rFonts w:hint="default"/>
                <w:highlight w:val="none"/>
                <w:vertAlign w:val="baseline"/>
                <w:lang w:val="en-US" w:eastAsia="zh-CN"/>
              </w:rPr>
            </w:pPr>
            <w:r>
              <w:rPr>
                <w:rFonts w:hint="eastAsia"/>
                <w:highlight w:val="none"/>
                <w:vertAlign w:val="baseline"/>
                <w:lang w:val="en-US" w:eastAsia="zh-CN"/>
              </w:rPr>
              <w:t>168</w:t>
            </w:r>
          </w:p>
        </w:tc>
        <w:tc>
          <w:tcPr>
            <w:tcW w:w="1690" w:type="dxa"/>
            <w:noWrap w:val="0"/>
            <w:vAlign w:val="center"/>
          </w:tcPr>
          <w:p w14:paraId="3ED06F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疏松结缔组织装片</w:t>
            </w:r>
          </w:p>
        </w:tc>
        <w:tc>
          <w:tcPr>
            <w:tcW w:w="5928" w:type="dxa"/>
            <w:noWrap w:val="0"/>
            <w:vAlign w:val="center"/>
          </w:tcPr>
          <w:p w14:paraId="40494E1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A6F42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41D54D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15F39F80">
            <w:pPr>
              <w:jc w:val="center"/>
              <w:rPr>
                <w:highlight w:val="none"/>
              </w:rPr>
            </w:pPr>
          </w:p>
        </w:tc>
        <w:tc>
          <w:tcPr>
            <w:tcW w:w="710" w:type="dxa"/>
            <w:gridSpan w:val="2"/>
            <w:noWrap w:val="0"/>
            <w:vAlign w:val="center"/>
          </w:tcPr>
          <w:p w14:paraId="5EB962FD">
            <w:pPr>
              <w:jc w:val="both"/>
              <w:rPr>
                <w:highlight w:val="none"/>
                <w:vertAlign w:val="baseline"/>
              </w:rPr>
            </w:pPr>
          </w:p>
        </w:tc>
      </w:tr>
      <w:tr w14:paraId="3148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27C2E6">
            <w:pPr>
              <w:jc w:val="center"/>
              <w:rPr>
                <w:rFonts w:hint="default"/>
                <w:highlight w:val="none"/>
                <w:vertAlign w:val="baseline"/>
                <w:lang w:val="en-US" w:eastAsia="zh-CN"/>
              </w:rPr>
            </w:pPr>
            <w:r>
              <w:rPr>
                <w:rFonts w:hint="eastAsia"/>
                <w:highlight w:val="none"/>
                <w:vertAlign w:val="baseline"/>
                <w:lang w:val="en-US" w:eastAsia="zh-CN"/>
              </w:rPr>
              <w:t>169</w:t>
            </w:r>
          </w:p>
        </w:tc>
        <w:tc>
          <w:tcPr>
            <w:tcW w:w="1690" w:type="dxa"/>
            <w:noWrap w:val="0"/>
            <w:vAlign w:val="center"/>
          </w:tcPr>
          <w:p w14:paraId="6E913B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骨骼肌纵横切</w:t>
            </w:r>
          </w:p>
        </w:tc>
        <w:tc>
          <w:tcPr>
            <w:tcW w:w="5928" w:type="dxa"/>
            <w:noWrap w:val="0"/>
            <w:vAlign w:val="center"/>
          </w:tcPr>
          <w:p w14:paraId="74AAB5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08F43F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2FB76F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7DFF18F1">
            <w:pPr>
              <w:jc w:val="center"/>
              <w:rPr>
                <w:highlight w:val="none"/>
              </w:rPr>
            </w:pPr>
          </w:p>
        </w:tc>
        <w:tc>
          <w:tcPr>
            <w:tcW w:w="710" w:type="dxa"/>
            <w:gridSpan w:val="2"/>
            <w:noWrap w:val="0"/>
            <w:vAlign w:val="center"/>
          </w:tcPr>
          <w:p w14:paraId="088DD17D">
            <w:pPr>
              <w:jc w:val="both"/>
              <w:rPr>
                <w:highlight w:val="none"/>
                <w:vertAlign w:val="baseline"/>
              </w:rPr>
            </w:pPr>
          </w:p>
        </w:tc>
      </w:tr>
      <w:tr w14:paraId="2A20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EB6CC17">
            <w:pPr>
              <w:jc w:val="center"/>
              <w:rPr>
                <w:rFonts w:hint="default"/>
                <w:highlight w:val="none"/>
                <w:vertAlign w:val="baseline"/>
                <w:lang w:val="en-US" w:eastAsia="zh-CN"/>
              </w:rPr>
            </w:pPr>
            <w:r>
              <w:rPr>
                <w:rFonts w:hint="eastAsia"/>
                <w:highlight w:val="none"/>
                <w:vertAlign w:val="baseline"/>
                <w:lang w:val="en-US" w:eastAsia="zh-CN"/>
              </w:rPr>
              <w:t>170</w:t>
            </w:r>
          </w:p>
        </w:tc>
        <w:tc>
          <w:tcPr>
            <w:tcW w:w="1690" w:type="dxa"/>
            <w:noWrap w:val="0"/>
            <w:vAlign w:val="center"/>
          </w:tcPr>
          <w:p w14:paraId="2AF24C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平滑肌分离装片</w:t>
            </w:r>
          </w:p>
        </w:tc>
        <w:tc>
          <w:tcPr>
            <w:tcW w:w="5928" w:type="dxa"/>
            <w:noWrap w:val="0"/>
            <w:vAlign w:val="center"/>
          </w:tcPr>
          <w:p w14:paraId="2CD2B97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042BA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51572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7B3EEF67">
            <w:pPr>
              <w:jc w:val="center"/>
              <w:rPr>
                <w:highlight w:val="none"/>
              </w:rPr>
            </w:pPr>
          </w:p>
        </w:tc>
        <w:tc>
          <w:tcPr>
            <w:tcW w:w="710" w:type="dxa"/>
            <w:gridSpan w:val="2"/>
            <w:noWrap w:val="0"/>
            <w:vAlign w:val="center"/>
          </w:tcPr>
          <w:p w14:paraId="52833074">
            <w:pPr>
              <w:jc w:val="both"/>
              <w:rPr>
                <w:highlight w:val="none"/>
                <w:vertAlign w:val="baseline"/>
              </w:rPr>
            </w:pPr>
          </w:p>
        </w:tc>
      </w:tr>
      <w:tr w14:paraId="7E7B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14376E">
            <w:pPr>
              <w:jc w:val="center"/>
              <w:rPr>
                <w:rFonts w:hint="default"/>
                <w:highlight w:val="none"/>
                <w:vertAlign w:val="baseline"/>
                <w:lang w:val="en-US" w:eastAsia="zh-CN"/>
              </w:rPr>
            </w:pPr>
            <w:r>
              <w:rPr>
                <w:rFonts w:hint="eastAsia"/>
                <w:highlight w:val="none"/>
                <w:vertAlign w:val="baseline"/>
                <w:lang w:val="en-US" w:eastAsia="zh-CN"/>
              </w:rPr>
              <w:t>171</w:t>
            </w:r>
          </w:p>
        </w:tc>
        <w:tc>
          <w:tcPr>
            <w:tcW w:w="1690" w:type="dxa"/>
            <w:noWrap w:val="0"/>
            <w:vAlign w:val="center"/>
          </w:tcPr>
          <w:p w14:paraId="5E859E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心肌切片</w:t>
            </w:r>
          </w:p>
        </w:tc>
        <w:tc>
          <w:tcPr>
            <w:tcW w:w="5928" w:type="dxa"/>
            <w:noWrap w:val="0"/>
            <w:vAlign w:val="center"/>
          </w:tcPr>
          <w:p w14:paraId="32555C5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77473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C89BB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3F567E6D">
            <w:pPr>
              <w:jc w:val="center"/>
              <w:rPr>
                <w:highlight w:val="none"/>
              </w:rPr>
            </w:pPr>
          </w:p>
        </w:tc>
        <w:tc>
          <w:tcPr>
            <w:tcW w:w="710" w:type="dxa"/>
            <w:gridSpan w:val="2"/>
            <w:noWrap w:val="0"/>
            <w:vAlign w:val="center"/>
          </w:tcPr>
          <w:p w14:paraId="58231036">
            <w:pPr>
              <w:jc w:val="both"/>
              <w:rPr>
                <w:highlight w:val="none"/>
                <w:vertAlign w:val="baseline"/>
              </w:rPr>
            </w:pPr>
          </w:p>
        </w:tc>
      </w:tr>
      <w:tr w14:paraId="3E78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51F5BE">
            <w:pPr>
              <w:jc w:val="center"/>
              <w:rPr>
                <w:rFonts w:hint="default"/>
                <w:highlight w:val="none"/>
                <w:vertAlign w:val="baseline"/>
                <w:lang w:val="en-US" w:eastAsia="zh-CN"/>
              </w:rPr>
            </w:pPr>
            <w:r>
              <w:rPr>
                <w:rFonts w:hint="eastAsia"/>
                <w:highlight w:val="none"/>
                <w:vertAlign w:val="baseline"/>
                <w:lang w:val="en-US" w:eastAsia="zh-CN"/>
              </w:rPr>
              <w:t>172</w:t>
            </w:r>
          </w:p>
        </w:tc>
        <w:tc>
          <w:tcPr>
            <w:tcW w:w="1690" w:type="dxa"/>
            <w:noWrap w:val="0"/>
            <w:vAlign w:val="center"/>
          </w:tcPr>
          <w:p w14:paraId="36CC118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运动神经元装片</w:t>
            </w:r>
          </w:p>
        </w:tc>
        <w:tc>
          <w:tcPr>
            <w:tcW w:w="5928" w:type="dxa"/>
            <w:noWrap w:val="0"/>
            <w:vAlign w:val="center"/>
          </w:tcPr>
          <w:p w14:paraId="42BE38A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78E8857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13F2E2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7A3CB905">
            <w:pPr>
              <w:jc w:val="center"/>
              <w:rPr>
                <w:highlight w:val="none"/>
              </w:rPr>
            </w:pPr>
          </w:p>
        </w:tc>
        <w:tc>
          <w:tcPr>
            <w:tcW w:w="710" w:type="dxa"/>
            <w:gridSpan w:val="2"/>
            <w:noWrap w:val="0"/>
            <w:vAlign w:val="center"/>
          </w:tcPr>
          <w:p w14:paraId="113918EF">
            <w:pPr>
              <w:jc w:val="both"/>
              <w:rPr>
                <w:highlight w:val="none"/>
                <w:vertAlign w:val="baseline"/>
              </w:rPr>
            </w:pPr>
          </w:p>
        </w:tc>
      </w:tr>
      <w:tr w14:paraId="6B9D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E6E2215">
            <w:pPr>
              <w:jc w:val="center"/>
              <w:rPr>
                <w:rFonts w:hint="default"/>
                <w:highlight w:val="none"/>
                <w:vertAlign w:val="baseline"/>
                <w:lang w:val="en-US" w:eastAsia="zh-CN"/>
              </w:rPr>
            </w:pPr>
            <w:r>
              <w:rPr>
                <w:rFonts w:hint="eastAsia"/>
                <w:highlight w:val="none"/>
                <w:vertAlign w:val="baseline"/>
                <w:lang w:val="en-US" w:eastAsia="zh-CN"/>
              </w:rPr>
              <w:t>173</w:t>
            </w:r>
          </w:p>
        </w:tc>
        <w:tc>
          <w:tcPr>
            <w:tcW w:w="1690" w:type="dxa"/>
            <w:noWrap w:val="0"/>
            <w:vAlign w:val="center"/>
          </w:tcPr>
          <w:p w14:paraId="3BCECB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竹节虫拟态标本</w:t>
            </w:r>
          </w:p>
        </w:tc>
        <w:tc>
          <w:tcPr>
            <w:tcW w:w="5928" w:type="dxa"/>
            <w:noWrap w:val="0"/>
            <w:vAlign w:val="center"/>
          </w:tcPr>
          <w:p w14:paraId="48DC58E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47C9F8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F0DD8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A94753B">
            <w:pPr>
              <w:jc w:val="center"/>
              <w:rPr>
                <w:highlight w:val="none"/>
              </w:rPr>
            </w:pPr>
          </w:p>
        </w:tc>
        <w:tc>
          <w:tcPr>
            <w:tcW w:w="710" w:type="dxa"/>
            <w:gridSpan w:val="2"/>
            <w:noWrap w:val="0"/>
            <w:vAlign w:val="center"/>
          </w:tcPr>
          <w:p w14:paraId="2BEEF58C">
            <w:pPr>
              <w:jc w:val="both"/>
              <w:rPr>
                <w:highlight w:val="none"/>
                <w:vertAlign w:val="baseline"/>
              </w:rPr>
            </w:pPr>
          </w:p>
        </w:tc>
      </w:tr>
      <w:tr w14:paraId="6C4C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5470F07">
            <w:pPr>
              <w:jc w:val="center"/>
              <w:rPr>
                <w:rFonts w:hint="default"/>
                <w:highlight w:val="none"/>
                <w:vertAlign w:val="baseline"/>
                <w:lang w:val="en-US" w:eastAsia="zh-CN"/>
              </w:rPr>
            </w:pPr>
            <w:r>
              <w:rPr>
                <w:rFonts w:hint="eastAsia"/>
                <w:highlight w:val="none"/>
                <w:vertAlign w:val="baseline"/>
                <w:lang w:val="en-US" w:eastAsia="zh-CN"/>
              </w:rPr>
              <w:t>174</w:t>
            </w:r>
          </w:p>
        </w:tc>
        <w:tc>
          <w:tcPr>
            <w:tcW w:w="1690" w:type="dxa"/>
            <w:noWrap w:val="0"/>
            <w:vAlign w:val="center"/>
          </w:tcPr>
          <w:p w14:paraId="46B4DC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水质检测工具箱</w:t>
            </w:r>
          </w:p>
        </w:tc>
        <w:tc>
          <w:tcPr>
            <w:tcW w:w="5928" w:type="dxa"/>
            <w:noWrap w:val="0"/>
            <w:vAlign w:val="center"/>
          </w:tcPr>
          <w:p w14:paraId="3382968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水质测试笔和试剂</w:t>
            </w:r>
          </w:p>
        </w:tc>
        <w:tc>
          <w:tcPr>
            <w:tcW w:w="736" w:type="dxa"/>
            <w:noWrap w:val="0"/>
            <w:vAlign w:val="center"/>
          </w:tcPr>
          <w:p w14:paraId="66B5746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4395B8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B38D218">
            <w:pPr>
              <w:jc w:val="center"/>
              <w:rPr>
                <w:highlight w:val="none"/>
              </w:rPr>
            </w:pPr>
          </w:p>
        </w:tc>
        <w:tc>
          <w:tcPr>
            <w:tcW w:w="710" w:type="dxa"/>
            <w:gridSpan w:val="2"/>
            <w:noWrap w:val="0"/>
            <w:vAlign w:val="center"/>
          </w:tcPr>
          <w:p w14:paraId="54538F68">
            <w:pPr>
              <w:jc w:val="both"/>
              <w:rPr>
                <w:highlight w:val="none"/>
                <w:vertAlign w:val="baseline"/>
              </w:rPr>
            </w:pPr>
          </w:p>
        </w:tc>
      </w:tr>
      <w:tr w14:paraId="0536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392B41">
            <w:pPr>
              <w:jc w:val="center"/>
              <w:rPr>
                <w:rFonts w:hint="default"/>
                <w:highlight w:val="none"/>
                <w:vertAlign w:val="baseline"/>
                <w:lang w:val="en-US" w:eastAsia="zh-CN"/>
              </w:rPr>
            </w:pPr>
            <w:r>
              <w:rPr>
                <w:rFonts w:hint="eastAsia"/>
                <w:highlight w:val="none"/>
                <w:vertAlign w:val="baseline"/>
                <w:lang w:val="en-US" w:eastAsia="zh-CN"/>
              </w:rPr>
              <w:t>175</w:t>
            </w:r>
          </w:p>
        </w:tc>
        <w:tc>
          <w:tcPr>
            <w:tcW w:w="1690" w:type="dxa"/>
            <w:noWrap w:val="0"/>
            <w:vAlign w:val="center"/>
          </w:tcPr>
          <w:p w14:paraId="322A06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空气质量检测仪</w:t>
            </w:r>
          </w:p>
        </w:tc>
        <w:tc>
          <w:tcPr>
            <w:tcW w:w="5928" w:type="dxa"/>
            <w:noWrap w:val="0"/>
            <w:vAlign w:val="center"/>
          </w:tcPr>
          <w:p w14:paraId="06A0158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可检测甲醛、PM2.5 等</w:t>
            </w:r>
          </w:p>
        </w:tc>
        <w:tc>
          <w:tcPr>
            <w:tcW w:w="736" w:type="dxa"/>
            <w:noWrap w:val="0"/>
            <w:vAlign w:val="center"/>
          </w:tcPr>
          <w:p w14:paraId="42A7B6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1D27DC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29E4970">
            <w:pPr>
              <w:jc w:val="center"/>
              <w:rPr>
                <w:highlight w:val="none"/>
              </w:rPr>
            </w:pPr>
          </w:p>
        </w:tc>
        <w:tc>
          <w:tcPr>
            <w:tcW w:w="710" w:type="dxa"/>
            <w:gridSpan w:val="2"/>
            <w:noWrap w:val="0"/>
            <w:vAlign w:val="center"/>
          </w:tcPr>
          <w:p w14:paraId="162072FD">
            <w:pPr>
              <w:jc w:val="both"/>
              <w:rPr>
                <w:highlight w:val="none"/>
                <w:vertAlign w:val="baseline"/>
              </w:rPr>
            </w:pPr>
          </w:p>
        </w:tc>
      </w:tr>
      <w:tr w14:paraId="2F3D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5F4D104">
            <w:pPr>
              <w:jc w:val="center"/>
              <w:rPr>
                <w:rFonts w:hint="default"/>
                <w:highlight w:val="none"/>
                <w:vertAlign w:val="baseline"/>
                <w:lang w:val="en-US" w:eastAsia="zh-CN"/>
              </w:rPr>
            </w:pPr>
            <w:r>
              <w:rPr>
                <w:rFonts w:hint="eastAsia"/>
                <w:highlight w:val="none"/>
                <w:vertAlign w:val="baseline"/>
                <w:lang w:val="en-US" w:eastAsia="zh-CN"/>
              </w:rPr>
              <w:t>176</w:t>
            </w:r>
          </w:p>
        </w:tc>
        <w:tc>
          <w:tcPr>
            <w:tcW w:w="1690" w:type="dxa"/>
            <w:noWrap w:val="0"/>
            <w:vAlign w:val="center"/>
          </w:tcPr>
          <w:p w14:paraId="7B918C3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声级计</w:t>
            </w:r>
          </w:p>
        </w:tc>
        <w:tc>
          <w:tcPr>
            <w:tcW w:w="5928" w:type="dxa"/>
            <w:noWrap w:val="0"/>
            <w:vAlign w:val="center"/>
          </w:tcPr>
          <w:p w14:paraId="18A5E11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(原来的噪声测定仪)手持式，数显</w:t>
            </w:r>
          </w:p>
        </w:tc>
        <w:tc>
          <w:tcPr>
            <w:tcW w:w="736" w:type="dxa"/>
            <w:noWrap w:val="0"/>
            <w:vAlign w:val="center"/>
          </w:tcPr>
          <w:p w14:paraId="32D3A3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0679663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4C93094">
            <w:pPr>
              <w:jc w:val="center"/>
              <w:rPr>
                <w:highlight w:val="none"/>
              </w:rPr>
            </w:pPr>
          </w:p>
        </w:tc>
        <w:tc>
          <w:tcPr>
            <w:tcW w:w="710" w:type="dxa"/>
            <w:gridSpan w:val="2"/>
            <w:noWrap w:val="0"/>
            <w:vAlign w:val="center"/>
          </w:tcPr>
          <w:p w14:paraId="2FE8C773">
            <w:pPr>
              <w:jc w:val="both"/>
              <w:rPr>
                <w:highlight w:val="none"/>
                <w:vertAlign w:val="baseline"/>
              </w:rPr>
            </w:pPr>
          </w:p>
        </w:tc>
      </w:tr>
      <w:tr w14:paraId="0DD5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5FEF2FD3">
            <w:pPr>
              <w:jc w:val="center"/>
              <w:rPr>
                <w:rFonts w:hint="default"/>
                <w:highlight w:val="none"/>
                <w:vertAlign w:val="baseline"/>
                <w:lang w:val="en-US" w:eastAsia="zh-CN"/>
              </w:rPr>
            </w:pPr>
            <w:r>
              <w:rPr>
                <w:rFonts w:hint="eastAsia"/>
                <w:highlight w:val="none"/>
                <w:vertAlign w:val="baseline"/>
                <w:lang w:val="en-US" w:eastAsia="zh-CN"/>
              </w:rPr>
              <w:t>177</w:t>
            </w:r>
          </w:p>
        </w:tc>
        <w:tc>
          <w:tcPr>
            <w:tcW w:w="1690" w:type="dxa"/>
            <w:noWrap w:val="0"/>
            <w:vAlign w:val="center"/>
          </w:tcPr>
          <w:p w14:paraId="33190B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玉米种子纵切</w:t>
            </w:r>
          </w:p>
        </w:tc>
        <w:tc>
          <w:tcPr>
            <w:tcW w:w="5928" w:type="dxa"/>
            <w:noWrap w:val="0"/>
            <w:vAlign w:val="center"/>
          </w:tcPr>
          <w:p w14:paraId="556E3FF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53DDFB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241FA4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25</w:t>
            </w:r>
          </w:p>
        </w:tc>
        <w:tc>
          <w:tcPr>
            <w:tcW w:w="3396" w:type="dxa"/>
            <w:gridSpan w:val="2"/>
            <w:noWrap w:val="0"/>
            <w:vAlign w:val="center"/>
          </w:tcPr>
          <w:p w14:paraId="35F11BB9">
            <w:pPr>
              <w:jc w:val="center"/>
              <w:rPr>
                <w:highlight w:val="none"/>
              </w:rPr>
            </w:pPr>
          </w:p>
        </w:tc>
        <w:tc>
          <w:tcPr>
            <w:tcW w:w="710" w:type="dxa"/>
            <w:gridSpan w:val="2"/>
            <w:noWrap w:val="0"/>
            <w:vAlign w:val="center"/>
          </w:tcPr>
          <w:p w14:paraId="37981C27">
            <w:pPr>
              <w:jc w:val="both"/>
              <w:rPr>
                <w:highlight w:val="none"/>
                <w:vertAlign w:val="baseline"/>
              </w:rPr>
            </w:pPr>
          </w:p>
        </w:tc>
      </w:tr>
      <w:tr w14:paraId="5E12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26FA83">
            <w:pPr>
              <w:jc w:val="center"/>
              <w:rPr>
                <w:rFonts w:hint="default"/>
                <w:highlight w:val="none"/>
                <w:vertAlign w:val="baseline"/>
                <w:lang w:val="en-US" w:eastAsia="zh-CN"/>
              </w:rPr>
            </w:pPr>
            <w:r>
              <w:rPr>
                <w:rFonts w:hint="eastAsia"/>
                <w:highlight w:val="none"/>
                <w:vertAlign w:val="baseline"/>
                <w:lang w:val="en-US" w:eastAsia="zh-CN"/>
              </w:rPr>
              <w:t>178</w:t>
            </w:r>
          </w:p>
        </w:tc>
        <w:tc>
          <w:tcPr>
            <w:tcW w:w="1690" w:type="dxa"/>
            <w:noWrap w:val="0"/>
            <w:vAlign w:val="center"/>
          </w:tcPr>
          <w:p w14:paraId="578877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根纵剖模型</w:t>
            </w:r>
          </w:p>
        </w:tc>
        <w:tc>
          <w:tcPr>
            <w:tcW w:w="5928" w:type="dxa"/>
            <w:noWrap w:val="0"/>
            <w:vAlign w:val="center"/>
          </w:tcPr>
          <w:p w14:paraId="12FCBB0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塑料制</w:t>
            </w:r>
          </w:p>
        </w:tc>
        <w:tc>
          <w:tcPr>
            <w:tcW w:w="736" w:type="dxa"/>
            <w:noWrap w:val="0"/>
            <w:vAlign w:val="center"/>
          </w:tcPr>
          <w:p w14:paraId="3C4C9B7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71DA96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411068">
            <w:pPr>
              <w:jc w:val="center"/>
              <w:rPr>
                <w:highlight w:val="none"/>
              </w:rPr>
            </w:pPr>
          </w:p>
        </w:tc>
        <w:tc>
          <w:tcPr>
            <w:tcW w:w="710" w:type="dxa"/>
            <w:gridSpan w:val="2"/>
            <w:noWrap w:val="0"/>
            <w:vAlign w:val="center"/>
          </w:tcPr>
          <w:p w14:paraId="704336D0">
            <w:pPr>
              <w:jc w:val="both"/>
              <w:rPr>
                <w:highlight w:val="none"/>
                <w:vertAlign w:val="baseline"/>
              </w:rPr>
            </w:pPr>
          </w:p>
        </w:tc>
      </w:tr>
      <w:tr w14:paraId="5B47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347100">
            <w:pPr>
              <w:jc w:val="center"/>
              <w:rPr>
                <w:rFonts w:hint="default"/>
                <w:highlight w:val="none"/>
                <w:vertAlign w:val="baseline"/>
                <w:lang w:val="en-US" w:eastAsia="zh-CN"/>
              </w:rPr>
            </w:pPr>
            <w:r>
              <w:rPr>
                <w:rFonts w:hint="eastAsia"/>
                <w:highlight w:val="none"/>
                <w:vertAlign w:val="baseline"/>
                <w:lang w:val="en-US" w:eastAsia="zh-CN"/>
              </w:rPr>
              <w:t>179</w:t>
            </w:r>
          </w:p>
        </w:tc>
        <w:tc>
          <w:tcPr>
            <w:tcW w:w="1690" w:type="dxa"/>
            <w:noWrap w:val="0"/>
            <w:vAlign w:val="center"/>
          </w:tcPr>
          <w:p w14:paraId="006524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植物根尖纵切</w:t>
            </w:r>
          </w:p>
        </w:tc>
        <w:tc>
          <w:tcPr>
            <w:tcW w:w="5928" w:type="dxa"/>
            <w:noWrap w:val="0"/>
            <w:vAlign w:val="center"/>
          </w:tcPr>
          <w:p w14:paraId="740A122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792CE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B773F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1FAAE610">
            <w:pPr>
              <w:jc w:val="center"/>
              <w:rPr>
                <w:highlight w:val="none"/>
              </w:rPr>
            </w:pPr>
          </w:p>
        </w:tc>
        <w:tc>
          <w:tcPr>
            <w:tcW w:w="710" w:type="dxa"/>
            <w:gridSpan w:val="2"/>
            <w:noWrap w:val="0"/>
            <w:vAlign w:val="center"/>
          </w:tcPr>
          <w:p w14:paraId="1559481C">
            <w:pPr>
              <w:jc w:val="both"/>
              <w:rPr>
                <w:highlight w:val="none"/>
                <w:vertAlign w:val="baseline"/>
              </w:rPr>
            </w:pPr>
          </w:p>
        </w:tc>
      </w:tr>
      <w:tr w14:paraId="4045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0F1F08">
            <w:pPr>
              <w:jc w:val="center"/>
              <w:rPr>
                <w:rFonts w:hint="default"/>
                <w:highlight w:val="none"/>
                <w:vertAlign w:val="baseline"/>
                <w:lang w:val="en-US" w:eastAsia="zh-CN"/>
              </w:rPr>
            </w:pPr>
            <w:r>
              <w:rPr>
                <w:rFonts w:hint="eastAsia"/>
                <w:highlight w:val="none"/>
                <w:vertAlign w:val="baseline"/>
                <w:lang w:val="en-US" w:eastAsia="zh-CN"/>
              </w:rPr>
              <w:t>180</w:t>
            </w:r>
          </w:p>
        </w:tc>
        <w:tc>
          <w:tcPr>
            <w:tcW w:w="1690" w:type="dxa"/>
            <w:noWrap w:val="0"/>
            <w:vAlign w:val="center"/>
          </w:tcPr>
          <w:p w14:paraId="1B5BD3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顶芽纵切</w:t>
            </w:r>
          </w:p>
        </w:tc>
        <w:tc>
          <w:tcPr>
            <w:tcW w:w="5928" w:type="dxa"/>
            <w:noWrap w:val="0"/>
            <w:vAlign w:val="center"/>
          </w:tcPr>
          <w:p w14:paraId="273BBFB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C455D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C552E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4C36C49A">
            <w:pPr>
              <w:jc w:val="center"/>
              <w:rPr>
                <w:highlight w:val="none"/>
              </w:rPr>
            </w:pPr>
          </w:p>
        </w:tc>
        <w:tc>
          <w:tcPr>
            <w:tcW w:w="710" w:type="dxa"/>
            <w:gridSpan w:val="2"/>
            <w:noWrap w:val="0"/>
            <w:vAlign w:val="center"/>
          </w:tcPr>
          <w:p w14:paraId="2F501E18">
            <w:pPr>
              <w:jc w:val="both"/>
              <w:rPr>
                <w:highlight w:val="none"/>
                <w:vertAlign w:val="baseline"/>
              </w:rPr>
            </w:pPr>
          </w:p>
        </w:tc>
      </w:tr>
      <w:tr w14:paraId="7CB1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4C1B63C">
            <w:pPr>
              <w:jc w:val="center"/>
              <w:rPr>
                <w:rFonts w:hint="default"/>
                <w:highlight w:val="none"/>
                <w:vertAlign w:val="baseline"/>
                <w:lang w:val="en-US" w:eastAsia="zh-CN"/>
              </w:rPr>
            </w:pPr>
            <w:r>
              <w:rPr>
                <w:rFonts w:hint="eastAsia"/>
                <w:highlight w:val="none"/>
                <w:vertAlign w:val="baseline"/>
                <w:lang w:val="en-US" w:eastAsia="zh-CN"/>
              </w:rPr>
              <w:t>181</w:t>
            </w:r>
          </w:p>
        </w:tc>
        <w:tc>
          <w:tcPr>
            <w:tcW w:w="1690" w:type="dxa"/>
            <w:noWrap w:val="0"/>
            <w:vAlign w:val="center"/>
          </w:tcPr>
          <w:p w14:paraId="774DBF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桃花模型</w:t>
            </w:r>
          </w:p>
        </w:tc>
        <w:tc>
          <w:tcPr>
            <w:tcW w:w="5928" w:type="dxa"/>
            <w:noWrap w:val="0"/>
            <w:vAlign w:val="center"/>
          </w:tcPr>
          <w:p w14:paraId="40EA78F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塑料材质</w:t>
            </w:r>
          </w:p>
        </w:tc>
        <w:tc>
          <w:tcPr>
            <w:tcW w:w="736" w:type="dxa"/>
            <w:noWrap w:val="0"/>
            <w:vAlign w:val="center"/>
          </w:tcPr>
          <w:p w14:paraId="45939D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66B311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3396" w:type="dxa"/>
            <w:gridSpan w:val="2"/>
            <w:noWrap w:val="0"/>
            <w:vAlign w:val="center"/>
          </w:tcPr>
          <w:p w14:paraId="33B8638A">
            <w:pPr>
              <w:jc w:val="center"/>
              <w:rPr>
                <w:highlight w:val="none"/>
              </w:rPr>
            </w:pPr>
          </w:p>
        </w:tc>
        <w:tc>
          <w:tcPr>
            <w:tcW w:w="710" w:type="dxa"/>
            <w:gridSpan w:val="2"/>
            <w:noWrap w:val="0"/>
            <w:vAlign w:val="center"/>
          </w:tcPr>
          <w:p w14:paraId="15EBC425">
            <w:pPr>
              <w:jc w:val="both"/>
              <w:rPr>
                <w:highlight w:val="none"/>
                <w:vertAlign w:val="baseline"/>
              </w:rPr>
            </w:pPr>
          </w:p>
        </w:tc>
      </w:tr>
      <w:tr w14:paraId="348E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8700D1">
            <w:pPr>
              <w:jc w:val="center"/>
              <w:rPr>
                <w:rFonts w:hint="default"/>
                <w:highlight w:val="none"/>
                <w:vertAlign w:val="baseline"/>
                <w:lang w:val="en-US" w:eastAsia="zh-CN"/>
              </w:rPr>
            </w:pPr>
            <w:r>
              <w:rPr>
                <w:rFonts w:hint="eastAsia"/>
                <w:highlight w:val="none"/>
                <w:vertAlign w:val="baseline"/>
                <w:lang w:val="en-US" w:eastAsia="zh-CN"/>
              </w:rPr>
              <w:t>182</w:t>
            </w:r>
          </w:p>
        </w:tc>
        <w:tc>
          <w:tcPr>
            <w:tcW w:w="1690" w:type="dxa"/>
            <w:noWrap w:val="0"/>
            <w:vAlign w:val="center"/>
          </w:tcPr>
          <w:p w14:paraId="4536DB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小麦花模型</w:t>
            </w:r>
          </w:p>
        </w:tc>
        <w:tc>
          <w:tcPr>
            <w:tcW w:w="5928" w:type="dxa"/>
            <w:noWrap w:val="0"/>
            <w:vAlign w:val="center"/>
          </w:tcPr>
          <w:p w14:paraId="4C023B1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放大的小麦花模型</w:t>
            </w:r>
          </w:p>
        </w:tc>
        <w:tc>
          <w:tcPr>
            <w:tcW w:w="736" w:type="dxa"/>
            <w:noWrap w:val="0"/>
            <w:vAlign w:val="center"/>
          </w:tcPr>
          <w:p w14:paraId="768C49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74635C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14B16AF">
            <w:pPr>
              <w:jc w:val="center"/>
              <w:rPr>
                <w:highlight w:val="none"/>
              </w:rPr>
            </w:pPr>
          </w:p>
        </w:tc>
        <w:tc>
          <w:tcPr>
            <w:tcW w:w="710" w:type="dxa"/>
            <w:gridSpan w:val="2"/>
            <w:noWrap w:val="0"/>
            <w:vAlign w:val="center"/>
          </w:tcPr>
          <w:p w14:paraId="5540BF36">
            <w:pPr>
              <w:jc w:val="both"/>
              <w:rPr>
                <w:highlight w:val="none"/>
                <w:vertAlign w:val="baseline"/>
              </w:rPr>
            </w:pPr>
          </w:p>
        </w:tc>
      </w:tr>
      <w:tr w14:paraId="5565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0BBC8B">
            <w:pPr>
              <w:jc w:val="center"/>
              <w:rPr>
                <w:rFonts w:hint="default"/>
                <w:highlight w:val="none"/>
                <w:vertAlign w:val="baseline"/>
                <w:lang w:val="en-US" w:eastAsia="zh-CN"/>
              </w:rPr>
            </w:pPr>
            <w:r>
              <w:rPr>
                <w:rFonts w:hint="eastAsia"/>
                <w:highlight w:val="none"/>
                <w:vertAlign w:val="baseline"/>
                <w:lang w:val="en-US" w:eastAsia="zh-CN"/>
              </w:rPr>
              <w:t>183</w:t>
            </w:r>
          </w:p>
        </w:tc>
        <w:tc>
          <w:tcPr>
            <w:tcW w:w="1690" w:type="dxa"/>
            <w:noWrap w:val="0"/>
            <w:vAlign w:val="center"/>
          </w:tcPr>
          <w:p w14:paraId="583486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花粉萌发装片</w:t>
            </w:r>
          </w:p>
        </w:tc>
        <w:tc>
          <w:tcPr>
            <w:tcW w:w="5928" w:type="dxa"/>
            <w:noWrap w:val="0"/>
            <w:vAlign w:val="center"/>
          </w:tcPr>
          <w:p w14:paraId="3751EB4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154B59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F7A35F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76FF335">
            <w:pPr>
              <w:jc w:val="center"/>
              <w:rPr>
                <w:highlight w:val="none"/>
              </w:rPr>
            </w:pPr>
          </w:p>
        </w:tc>
        <w:tc>
          <w:tcPr>
            <w:tcW w:w="710" w:type="dxa"/>
            <w:gridSpan w:val="2"/>
            <w:noWrap w:val="0"/>
            <w:vAlign w:val="center"/>
          </w:tcPr>
          <w:p w14:paraId="5EE2C14F">
            <w:pPr>
              <w:jc w:val="both"/>
              <w:rPr>
                <w:highlight w:val="none"/>
                <w:vertAlign w:val="baseline"/>
              </w:rPr>
            </w:pPr>
          </w:p>
        </w:tc>
      </w:tr>
      <w:tr w14:paraId="7585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08CBE0D">
            <w:pPr>
              <w:jc w:val="center"/>
              <w:rPr>
                <w:rFonts w:hint="default"/>
                <w:highlight w:val="none"/>
                <w:vertAlign w:val="baseline"/>
                <w:lang w:val="en-US" w:eastAsia="zh-CN"/>
              </w:rPr>
            </w:pPr>
            <w:r>
              <w:rPr>
                <w:rFonts w:hint="eastAsia"/>
                <w:highlight w:val="none"/>
                <w:vertAlign w:val="baseline"/>
                <w:lang w:val="en-US" w:eastAsia="zh-CN"/>
              </w:rPr>
              <w:t>184</w:t>
            </w:r>
          </w:p>
        </w:tc>
        <w:tc>
          <w:tcPr>
            <w:tcW w:w="1690" w:type="dxa"/>
            <w:noWrap w:val="0"/>
            <w:vAlign w:val="center"/>
          </w:tcPr>
          <w:p w14:paraId="27C65D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百合子房切片</w:t>
            </w:r>
          </w:p>
        </w:tc>
        <w:tc>
          <w:tcPr>
            <w:tcW w:w="5928" w:type="dxa"/>
            <w:noWrap w:val="0"/>
            <w:vAlign w:val="center"/>
          </w:tcPr>
          <w:p w14:paraId="3E6535B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E5CC1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9939D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93F7514">
            <w:pPr>
              <w:jc w:val="center"/>
              <w:rPr>
                <w:highlight w:val="none"/>
              </w:rPr>
            </w:pPr>
          </w:p>
        </w:tc>
        <w:tc>
          <w:tcPr>
            <w:tcW w:w="710" w:type="dxa"/>
            <w:gridSpan w:val="2"/>
            <w:noWrap w:val="0"/>
            <w:vAlign w:val="center"/>
          </w:tcPr>
          <w:p w14:paraId="252FC240">
            <w:pPr>
              <w:jc w:val="both"/>
              <w:rPr>
                <w:highlight w:val="none"/>
                <w:vertAlign w:val="baseline"/>
              </w:rPr>
            </w:pPr>
          </w:p>
        </w:tc>
      </w:tr>
      <w:tr w14:paraId="7E9D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F21A80D">
            <w:pPr>
              <w:jc w:val="center"/>
              <w:rPr>
                <w:rFonts w:hint="default"/>
                <w:highlight w:val="none"/>
                <w:vertAlign w:val="baseline"/>
                <w:lang w:val="en-US" w:eastAsia="zh-CN"/>
              </w:rPr>
            </w:pPr>
            <w:r>
              <w:rPr>
                <w:rFonts w:hint="eastAsia"/>
                <w:highlight w:val="none"/>
                <w:vertAlign w:val="baseline"/>
                <w:lang w:val="en-US" w:eastAsia="zh-CN"/>
              </w:rPr>
              <w:t>185</w:t>
            </w:r>
          </w:p>
        </w:tc>
        <w:tc>
          <w:tcPr>
            <w:tcW w:w="1690" w:type="dxa"/>
            <w:noWrap w:val="0"/>
            <w:vAlign w:val="center"/>
          </w:tcPr>
          <w:p w14:paraId="7DD5D8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百合花药切片</w:t>
            </w:r>
          </w:p>
        </w:tc>
        <w:tc>
          <w:tcPr>
            <w:tcW w:w="5928" w:type="dxa"/>
            <w:noWrap w:val="0"/>
            <w:vAlign w:val="center"/>
          </w:tcPr>
          <w:p w14:paraId="22564D3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7F073D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5CEA2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46EFDAC">
            <w:pPr>
              <w:jc w:val="center"/>
              <w:rPr>
                <w:highlight w:val="none"/>
              </w:rPr>
            </w:pPr>
          </w:p>
        </w:tc>
        <w:tc>
          <w:tcPr>
            <w:tcW w:w="710" w:type="dxa"/>
            <w:gridSpan w:val="2"/>
            <w:noWrap w:val="0"/>
            <w:vAlign w:val="center"/>
          </w:tcPr>
          <w:p w14:paraId="63D84B3B">
            <w:pPr>
              <w:jc w:val="both"/>
              <w:rPr>
                <w:highlight w:val="none"/>
                <w:vertAlign w:val="baseline"/>
              </w:rPr>
            </w:pPr>
          </w:p>
        </w:tc>
      </w:tr>
      <w:tr w14:paraId="1ABA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671885A1">
            <w:pPr>
              <w:jc w:val="center"/>
              <w:rPr>
                <w:rFonts w:hint="default"/>
                <w:highlight w:val="none"/>
                <w:vertAlign w:val="baseline"/>
                <w:lang w:val="en-US" w:eastAsia="zh-CN"/>
              </w:rPr>
            </w:pPr>
            <w:r>
              <w:rPr>
                <w:rFonts w:hint="eastAsia"/>
                <w:highlight w:val="none"/>
                <w:vertAlign w:val="baseline"/>
                <w:lang w:val="en-US" w:eastAsia="zh-CN"/>
              </w:rPr>
              <w:t>186</w:t>
            </w:r>
          </w:p>
        </w:tc>
        <w:tc>
          <w:tcPr>
            <w:tcW w:w="1690" w:type="dxa"/>
            <w:noWrap w:val="0"/>
            <w:vAlign w:val="center"/>
          </w:tcPr>
          <w:p w14:paraId="442A29A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荠菜幼胚切片</w:t>
            </w:r>
          </w:p>
        </w:tc>
        <w:tc>
          <w:tcPr>
            <w:tcW w:w="5928" w:type="dxa"/>
            <w:noWrap w:val="0"/>
            <w:vAlign w:val="center"/>
          </w:tcPr>
          <w:p w14:paraId="3FA6596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71A232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6F61E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32AE8C9">
            <w:pPr>
              <w:jc w:val="center"/>
              <w:rPr>
                <w:highlight w:val="none"/>
              </w:rPr>
            </w:pPr>
          </w:p>
        </w:tc>
        <w:tc>
          <w:tcPr>
            <w:tcW w:w="710" w:type="dxa"/>
            <w:gridSpan w:val="2"/>
            <w:noWrap w:val="0"/>
            <w:vAlign w:val="center"/>
          </w:tcPr>
          <w:p w14:paraId="71895600">
            <w:pPr>
              <w:jc w:val="both"/>
              <w:rPr>
                <w:highlight w:val="none"/>
                <w:vertAlign w:val="baseline"/>
              </w:rPr>
            </w:pPr>
          </w:p>
        </w:tc>
      </w:tr>
      <w:tr w14:paraId="3922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FD68E0">
            <w:pPr>
              <w:jc w:val="center"/>
              <w:rPr>
                <w:rFonts w:hint="default"/>
                <w:highlight w:val="none"/>
                <w:vertAlign w:val="baseline"/>
                <w:lang w:val="en-US" w:eastAsia="zh-CN"/>
              </w:rPr>
            </w:pPr>
            <w:r>
              <w:rPr>
                <w:rFonts w:hint="eastAsia"/>
                <w:highlight w:val="none"/>
                <w:vertAlign w:val="baseline"/>
                <w:lang w:val="en-US" w:eastAsia="zh-CN"/>
              </w:rPr>
              <w:t>187</w:t>
            </w:r>
          </w:p>
        </w:tc>
        <w:tc>
          <w:tcPr>
            <w:tcW w:w="1690" w:type="dxa"/>
            <w:noWrap w:val="0"/>
            <w:vAlign w:val="center"/>
          </w:tcPr>
          <w:p w14:paraId="494CCC9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荠菜老胚切片</w:t>
            </w:r>
          </w:p>
        </w:tc>
        <w:tc>
          <w:tcPr>
            <w:tcW w:w="5928" w:type="dxa"/>
            <w:noWrap w:val="0"/>
            <w:vAlign w:val="center"/>
          </w:tcPr>
          <w:p w14:paraId="6510F3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521BAB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298CA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9147FB2">
            <w:pPr>
              <w:jc w:val="center"/>
              <w:rPr>
                <w:highlight w:val="none"/>
              </w:rPr>
            </w:pPr>
          </w:p>
        </w:tc>
        <w:tc>
          <w:tcPr>
            <w:tcW w:w="710" w:type="dxa"/>
            <w:gridSpan w:val="2"/>
            <w:noWrap w:val="0"/>
            <w:vAlign w:val="center"/>
          </w:tcPr>
          <w:p w14:paraId="4196C5D5">
            <w:pPr>
              <w:jc w:val="both"/>
              <w:rPr>
                <w:highlight w:val="none"/>
                <w:vertAlign w:val="baseline"/>
              </w:rPr>
            </w:pPr>
          </w:p>
        </w:tc>
      </w:tr>
      <w:tr w14:paraId="1DB9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CE0558">
            <w:pPr>
              <w:jc w:val="center"/>
              <w:rPr>
                <w:rFonts w:hint="default"/>
                <w:highlight w:val="none"/>
                <w:vertAlign w:val="baseline"/>
                <w:lang w:val="en-US" w:eastAsia="zh-CN"/>
              </w:rPr>
            </w:pPr>
            <w:r>
              <w:rPr>
                <w:rFonts w:hint="eastAsia"/>
                <w:highlight w:val="none"/>
                <w:vertAlign w:val="baseline"/>
                <w:lang w:val="en-US" w:eastAsia="zh-CN"/>
              </w:rPr>
              <w:t>188</w:t>
            </w:r>
          </w:p>
        </w:tc>
        <w:tc>
          <w:tcPr>
            <w:tcW w:w="1690" w:type="dxa"/>
            <w:noWrap w:val="0"/>
            <w:vAlign w:val="center"/>
          </w:tcPr>
          <w:p w14:paraId="14907D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单子叶植物茎模型</w:t>
            </w:r>
          </w:p>
        </w:tc>
        <w:tc>
          <w:tcPr>
            <w:tcW w:w="5928" w:type="dxa"/>
            <w:noWrap w:val="0"/>
            <w:vAlign w:val="center"/>
          </w:tcPr>
          <w:p w14:paraId="2DB7627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显示表皮、机械组织、薄壁细胞等</w:t>
            </w:r>
          </w:p>
        </w:tc>
        <w:tc>
          <w:tcPr>
            <w:tcW w:w="736" w:type="dxa"/>
            <w:noWrap w:val="0"/>
            <w:vAlign w:val="center"/>
          </w:tcPr>
          <w:p w14:paraId="333C78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15E0A7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B8BC425">
            <w:pPr>
              <w:jc w:val="center"/>
              <w:rPr>
                <w:highlight w:val="none"/>
              </w:rPr>
            </w:pPr>
          </w:p>
        </w:tc>
        <w:tc>
          <w:tcPr>
            <w:tcW w:w="710" w:type="dxa"/>
            <w:gridSpan w:val="2"/>
            <w:noWrap w:val="0"/>
            <w:vAlign w:val="center"/>
          </w:tcPr>
          <w:p w14:paraId="4FC267E8">
            <w:pPr>
              <w:jc w:val="both"/>
              <w:rPr>
                <w:highlight w:val="none"/>
                <w:vertAlign w:val="baseline"/>
              </w:rPr>
            </w:pPr>
          </w:p>
        </w:tc>
      </w:tr>
      <w:tr w14:paraId="0C43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8FBD323">
            <w:pPr>
              <w:jc w:val="center"/>
              <w:rPr>
                <w:rFonts w:hint="default"/>
                <w:highlight w:val="none"/>
                <w:vertAlign w:val="baseline"/>
                <w:lang w:val="en-US" w:eastAsia="zh-CN"/>
              </w:rPr>
            </w:pPr>
            <w:r>
              <w:rPr>
                <w:rFonts w:hint="eastAsia"/>
                <w:highlight w:val="none"/>
                <w:vertAlign w:val="baseline"/>
                <w:lang w:val="en-US" w:eastAsia="zh-CN"/>
              </w:rPr>
              <w:t>189</w:t>
            </w:r>
          </w:p>
        </w:tc>
        <w:tc>
          <w:tcPr>
            <w:tcW w:w="1690" w:type="dxa"/>
            <w:noWrap w:val="0"/>
            <w:vAlign w:val="center"/>
          </w:tcPr>
          <w:p w14:paraId="2011A0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双子叶草本植物茎模型</w:t>
            </w:r>
          </w:p>
        </w:tc>
        <w:tc>
          <w:tcPr>
            <w:tcW w:w="5928" w:type="dxa"/>
            <w:noWrap w:val="0"/>
            <w:vAlign w:val="center"/>
          </w:tcPr>
          <w:p w14:paraId="4F8E34E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示双子叶草本植物茎纵、横切面的结构</w:t>
            </w:r>
          </w:p>
        </w:tc>
        <w:tc>
          <w:tcPr>
            <w:tcW w:w="736" w:type="dxa"/>
            <w:noWrap w:val="0"/>
            <w:vAlign w:val="center"/>
          </w:tcPr>
          <w:p w14:paraId="1FFD21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27F679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A377D23">
            <w:pPr>
              <w:jc w:val="center"/>
              <w:rPr>
                <w:highlight w:val="none"/>
              </w:rPr>
            </w:pPr>
          </w:p>
        </w:tc>
        <w:tc>
          <w:tcPr>
            <w:tcW w:w="710" w:type="dxa"/>
            <w:gridSpan w:val="2"/>
            <w:noWrap w:val="0"/>
            <w:vAlign w:val="center"/>
          </w:tcPr>
          <w:p w14:paraId="3992A072">
            <w:pPr>
              <w:jc w:val="both"/>
              <w:rPr>
                <w:highlight w:val="none"/>
                <w:vertAlign w:val="baseline"/>
              </w:rPr>
            </w:pPr>
          </w:p>
        </w:tc>
      </w:tr>
      <w:tr w14:paraId="7E9A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D5FD58">
            <w:pPr>
              <w:jc w:val="center"/>
              <w:rPr>
                <w:rFonts w:hint="default"/>
                <w:highlight w:val="none"/>
                <w:vertAlign w:val="baseline"/>
                <w:lang w:val="en-US" w:eastAsia="zh-CN"/>
              </w:rPr>
            </w:pPr>
            <w:r>
              <w:rPr>
                <w:rFonts w:hint="eastAsia"/>
                <w:highlight w:val="none"/>
                <w:vertAlign w:val="baseline"/>
                <w:lang w:val="en-US" w:eastAsia="zh-CN"/>
              </w:rPr>
              <w:t>190</w:t>
            </w:r>
          </w:p>
        </w:tc>
        <w:tc>
          <w:tcPr>
            <w:tcW w:w="1690" w:type="dxa"/>
            <w:noWrap w:val="0"/>
            <w:vAlign w:val="center"/>
          </w:tcPr>
          <w:p w14:paraId="6C47BB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导管、筛管结构模型</w:t>
            </w:r>
          </w:p>
        </w:tc>
        <w:tc>
          <w:tcPr>
            <w:tcW w:w="5928" w:type="dxa"/>
            <w:noWrap w:val="0"/>
            <w:vAlign w:val="center"/>
          </w:tcPr>
          <w:p w14:paraId="5520C65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环纹导管、螺纹导管、网纹导管、孔纹导管及筛管</w:t>
            </w:r>
          </w:p>
        </w:tc>
        <w:tc>
          <w:tcPr>
            <w:tcW w:w="736" w:type="dxa"/>
            <w:noWrap w:val="0"/>
            <w:vAlign w:val="center"/>
          </w:tcPr>
          <w:p w14:paraId="1DB450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43B201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3C0F087">
            <w:pPr>
              <w:jc w:val="center"/>
              <w:rPr>
                <w:highlight w:val="none"/>
              </w:rPr>
            </w:pPr>
          </w:p>
        </w:tc>
        <w:tc>
          <w:tcPr>
            <w:tcW w:w="710" w:type="dxa"/>
            <w:gridSpan w:val="2"/>
            <w:noWrap w:val="0"/>
            <w:vAlign w:val="center"/>
          </w:tcPr>
          <w:p w14:paraId="64A82063">
            <w:pPr>
              <w:jc w:val="both"/>
              <w:rPr>
                <w:highlight w:val="none"/>
                <w:vertAlign w:val="baseline"/>
              </w:rPr>
            </w:pPr>
          </w:p>
        </w:tc>
      </w:tr>
      <w:tr w14:paraId="6D53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EA63ED8">
            <w:pPr>
              <w:jc w:val="center"/>
              <w:rPr>
                <w:rFonts w:hint="default"/>
                <w:highlight w:val="none"/>
                <w:vertAlign w:val="baseline"/>
                <w:lang w:val="en-US" w:eastAsia="zh-CN"/>
              </w:rPr>
            </w:pPr>
            <w:r>
              <w:rPr>
                <w:rFonts w:hint="eastAsia"/>
                <w:highlight w:val="none"/>
                <w:vertAlign w:val="baseline"/>
                <w:lang w:val="en-US" w:eastAsia="zh-CN"/>
              </w:rPr>
              <w:t>191</w:t>
            </w:r>
          </w:p>
        </w:tc>
        <w:tc>
          <w:tcPr>
            <w:tcW w:w="1690" w:type="dxa"/>
            <w:noWrap w:val="0"/>
            <w:vAlign w:val="center"/>
          </w:tcPr>
          <w:p w14:paraId="55A6DE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单子叶植物茎横切</w:t>
            </w:r>
          </w:p>
        </w:tc>
        <w:tc>
          <w:tcPr>
            <w:tcW w:w="5928" w:type="dxa"/>
            <w:noWrap w:val="0"/>
            <w:vAlign w:val="center"/>
          </w:tcPr>
          <w:p w14:paraId="78B11B8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54A0A17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5D6DC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D70D801">
            <w:pPr>
              <w:jc w:val="center"/>
              <w:rPr>
                <w:highlight w:val="none"/>
              </w:rPr>
            </w:pPr>
          </w:p>
        </w:tc>
        <w:tc>
          <w:tcPr>
            <w:tcW w:w="710" w:type="dxa"/>
            <w:gridSpan w:val="2"/>
            <w:noWrap w:val="0"/>
            <w:vAlign w:val="center"/>
          </w:tcPr>
          <w:p w14:paraId="36697767">
            <w:pPr>
              <w:jc w:val="both"/>
              <w:rPr>
                <w:highlight w:val="none"/>
                <w:vertAlign w:val="baseline"/>
              </w:rPr>
            </w:pPr>
          </w:p>
        </w:tc>
      </w:tr>
      <w:tr w14:paraId="2F34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359A2A">
            <w:pPr>
              <w:jc w:val="center"/>
              <w:rPr>
                <w:rFonts w:hint="default"/>
                <w:highlight w:val="none"/>
                <w:vertAlign w:val="baseline"/>
                <w:lang w:val="en-US" w:eastAsia="zh-CN"/>
              </w:rPr>
            </w:pPr>
            <w:r>
              <w:rPr>
                <w:rFonts w:hint="eastAsia"/>
                <w:highlight w:val="none"/>
                <w:vertAlign w:val="baseline"/>
                <w:lang w:val="en-US" w:eastAsia="zh-CN"/>
              </w:rPr>
              <w:t>192</w:t>
            </w:r>
          </w:p>
        </w:tc>
        <w:tc>
          <w:tcPr>
            <w:tcW w:w="1690" w:type="dxa"/>
            <w:noWrap w:val="0"/>
            <w:vAlign w:val="center"/>
          </w:tcPr>
          <w:p w14:paraId="509E9A5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双子叶植物茎横切</w:t>
            </w:r>
          </w:p>
        </w:tc>
        <w:tc>
          <w:tcPr>
            <w:tcW w:w="5928" w:type="dxa"/>
            <w:noWrap w:val="0"/>
            <w:vAlign w:val="center"/>
          </w:tcPr>
          <w:p w14:paraId="20C33C9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5934DB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6E868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95DF7DA">
            <w:pPr>
              <w:jc w:val="center"/>
              <w:rPr>
                <w:highlight w:val="none"/>
              </w:rPr>
            </w:pPr>
          </w:p>
        </w:tc>
        <w:tc>
          <w:tcPr>
            <w:tcW w:w="710" w:type="dxa"/>
            <w:gridSpan w:val="2"/>
            <w:noWrap w:val="0"/>
            <w:vAlign w:val="center"/>
          </w:tcPr>
          <w:p w14:paraId="0916AE40">
            <w:pPr>
              <w:jc w:val="both"/>
              <w:rPr>
                <w:highlight w:val="none"/>
                <w:vertAlign w:val="baseline"/>
              </w:rPr>
            </w:pPr>
          </w:p>
        </w:tc>
      </w:tr>
      <w:tr w14:paraId="083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77E26F2">
            <w:pPr>
              <w:jc w:val="center"/>
              <w:rPr>
                <w:rFonts w:hint="default"/>
                <w:highlight w:val="none"/>
                <w:vertAlign w:val="baseline"/>
                <w:lang w:val="en-US" w:eastAsia="zh-CN"/>
              </w:rPr>
            </w:pPr>
            <w:r>
              <w:rPr>
                <w:rFonts w:hint="eastAsia"/>
                <w:highlight w:val="none"/>
                <w:vertAlign w:val="baseline"/>
                <w:lang w:val="en-US" w:eastAsia="zh-CN"/>
              </w:rPr>
              <w:t>193</w:t>
            </w:r>
          </w:p>
        </w:tc>
        <w:tc>
          <w:tcPr>
            <w:tcW w:w="1690" w:type="dxa"/>
            <w:noWrap w:val="0"/>
            <w:vAlign w:val="center"/>
          </w:tcPr>
          <w:p w14:paraId="60F8C6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木本双子叶植物茎横切</w:t>
            </w:r>
          </w:p>
        </w:tc>
        <w:tc>
          <w:tcPr>
            <w:tcW w:w="5928" w:type="dxa"/>
            <w:noWrap w:val="0"/>
            <w:vAlign w:val="center"/>
          </w:tcPr>
          <w:p w14:paraId="14BCBEC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CAE62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31AB2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7EB405F0">
            <w:pPr>
              <w:jc w:val="center"/>
              <w:rPr>
                <w:highlight w:val="none"/>
              </w:rPr>
            </w:pPr>
          </w:p>
        </w:tc>
        <w:tc>
          <w:tcPr>
            <w:tcW w:w="710" w:type="dxa"/>
            <w:gridSpan w:val="2"/>
            <w:noWrap w:val="0"/>
            <w:vAlign w:val="center"/>
          </w:tcPr>
          <w:p w14:paraId="60F0A855">
            <w:pPr>
              <w:jc w:val="both"/>
              <w:rPr>
                <w:highlight w:val="none"/>
                <w:vertAlign w:val="baseline"/>
              </w:rPr>
            </w:pPr>
          </w:p>
        </w:tc>
      </w:tr>
      <w:tr w14:paraId="458C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7C01BF">
            <w:pPr>
              <w:jc w:val="center"/>
              <w:rPr>
                <w:rFonts w:hint="default"/>
                <w:highlight w:val="none"/>
                <w:vertAlign w:val="baseline"/>
                <w:lang w:val="en-US" w:eastAsia="zh-CN"/>
              </w:rPr>
            </w:pPr>
            <w:r>
              <w:rPr>
                <w:rFonts w:hint="eastAsia"/>
                <w:highlight w:val="none"/>
                <w:vertAlign w:val="baseline"/>
                <w:lang w:val="en-US" w:eastAsia="zh-CN"/>
              </w:rPr>
              <w:t>194</w:t>
            </w:r>
          </w:p>
        </w:tc>
        <w:tc>
          <w:tcPr>
            <w:tcW w:w="1690" w:type="dxa"/>
            <w:noWrap w:val="0"/>
            <w:vAlign w:val="center"/>
          </w:tcPr>
          <w:p w14:paraId="372C20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南瓜茎纵切</w:t>
            </w:r>
          </w:p>
        </w:tc>
        <w:tc>
          <w:tcPr>
            <w:tcW w:w="5928" w:type="dxa"/>
            <w:noWrap w:val="0"/>
            <w:vAlign w:val="center"/>
          </w:tcPr>
          <w:p w14:paraId="52F89D4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123186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4AB98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2D90989C">
            <w:pPr>
              <w:jc w:val="center"/>
              <w:rPr>
                <w:highlight w:val="none"/>
              </w:rPr>
            </w:pPr>
          </w:p>
        </w:tc>
        <w:tc>
          <w:tcPr>
            <w:tcW w:w="710" w:type="dxa"/>
            <w:gridSpan w:val="2"/>
            <w:noWrap w:val="0"/>
            <w:vAlign w:val="center"/>
          </w:tcPr>
          <w:p w14:paraId="20B7A1DF">
            <w:pPr>
              <w:jc w:val="both"/>
              <w:rPr>
                <w:highlight w:val="none"/>
                <w:vertAlign w:val="baseline"/>
              </w:rPr>
            </w:pPr>
          </w:p>
        </w:tc>
      </w:tr>
      <w:tr w14:paraId="4E1A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838429">
            <w:pPr>
              <w:jc w:val="center"/>
              <w:rPr>
                <w:rFonts w:hint="default"/>
                <w:highlight w:val="none"/>
                <w:vertAlign w:val="baseline"/>
                <w:lang w:val="en-US" w:eastAsia="zh-CN"/>
              </w:rPr>
            </w:pPr>
            <w:r>
              <w:rPr>
                <w:rFonts w:hint="eastAsia"/>
                <w:highlight w:val="none"/>
                <w:vertAlign w:val="baseline"/>
                <w:lang w:val="en-US" w:eastAsia="zh-CN"/>
              </w:rPr>
              <w:t>195</w:t>
            </w:r>
          </w:p>
        </w:tc>
        <w:tc>
          <w:tcPr>
            <w:tcW w:w="1690" w:type="dxa"/>
            <w:noWrap w:val="0"/>
            <w:vAlign w:val="center"/>
          </w:tcPr>
          <w:p w14:paraId="019221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叶构造模型</w:t>
            </w:r>
          </w:p>
        </w:tc>
        <w:tc>
          <w:tcPr>
            <w:tcW w:w="5928" w:type="dxa"/>
            <w:noWrap w:val="0"/>
            <w:vAlign w:val="center"/>
          </w:tcPr>
          <w:p w14:paraId="3D91A3C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以蚕豆叶为参考材料，示双子叶植物叶的构造</w:t>
            </w:r>
          </w:p>
        </w:tc>
        <w:tc>
          <w:tcPr>
            <w:tcW w:w="736" w:type="dxa"/>
            <w:noWrap w:val="0"/>
            <w:vAlign w:val="center"/>
          </w:tcPr>
          <w:p w14:paraId="4E69FA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7A3FB8C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2F5DA5D">
            <w:pPr>
              <w:jc w:val="center"/>
              <w:rPr>
                <w:highlight w:val="none"/>
              </w:rPr>
            </w:pPr>
          </w:p>
        </w:tc>
        <w:tc>
          <w:tcPr>
            <w:tcW w:w="710" w:type="dxa"/>
            <w:gridSpan w:val="2"/>
            <w:noWrap w:val="0"/>
            <w:vAlign w:val="center"/>
          </w:tcPr>
          <w:p w14:paraId="50B1F5F2">
            <w:pPr>
              <w:jc w:val="both"/>
              <w:rPr>
                <w:highlight w:val="none"/>
                <w:vertAlign w:val="baseline"/>
              </w:rPr>
            </w:pPr>
          </w:p>
        </w:tc>
      </w:tr>
      <w:tr w14:paraId="4A06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3E2D8D8">
            <w:pPr>
              <w:jc w:val="center"/>
              <w:rPr>
                <w:rFonts w:hint="default"/>
                <w:highlight w:val="none"/>
                <w:vertAlign w:val="baseline"/>
                <w:lang w:val="en-US" w:eastAsia="zh-CN"/>
              </w:rPr>
            </w:pPr>
            <w:r>
              <w:rPr>
                <w:rFonts w:hint="eastAsia"/>
                <w:highlight w:val="none"/>
                <w:vertAlign w:val="baseline"/>
                <w:lang w:val="en-US" w:eastAsia="zh-CN"/>
              </w:rPr>
              <w:t>196</w:t>
            </w:r>
          </w:p>
        </w:tc>
        <w:tc>
          <w:tcPr>
            <w:tcW w:w="1690" w:type="dxa"/>
            <w:noWrap w:val="0"/>
            <w:vAlign w:val="center"/>
          </w:tcPr>
          <w:p w14:paraId="23830A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松叶横切</w:t>
            </w:r>
          </w:p>
        </w:tc>
        <w:tc>
          <w:tcPr>
            <w:tcW w:w="5928" w:type="dxa"/>
            <w:noWrap w:val="0"/>
            <w:vAlign w:val="center"/>
          </w:tcPr>
          <w:p w14:paraId="07FBC36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379CA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80643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5BAAEB4">
            <w:pPr>
              <w:jc w:val="center"/>
              <w:rPr>
                <w:highlight w:val="none"/>
              </w:rPr>
            </w:pPr>
          </w:p>
        </w:tc>
        <w:tc>
          <w:tcPr>
            <w:tcW w:w="710" w:type="dxa"/>
            <w:gridSpan w:val="2"/>
            <w:noWrap w:val="0"/>
            <w:vAlign w:val="center"/>
          </w:tcPr>
          <w:p w14:paraId="339406DA">
            <w:pPr>
              <w:jc w:val="both"/>
              <w:rPr>
                <w:highlight w:val="none"/>
                <w:vertAlign w:val="baseline"/>
              </w:rPr>
            </w:pPr>
          </w:p>
        </w:tc>
      </w:tr>
      <w:tr w14:paraId="149D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3CAB19">
            <w:pPr>
              <w:jc w:val="center"/>
              <w:rPr>
                <w:rFonts w:hint="default"/>
                <w:highlight w:val="none"/>
                <w:vertAlign w:val="baseline"/>
                <w:lang w:val="en-US" w:eastAsia="zh-CN"/>
              </w:rPr>
            </w:pPr>
            <w:r>
              <w:rPr>
                <w:rFonts w:hint="eastAsia"/>
                <w:highlight w:val="none"/>
                <w:vertAlign w:val="baseline"/>
                <w:lang w:val="en-US" w:eastAsia="zh-CN"/>
              </w:rPr>
              <w:t>197</w:t>
            </w:r>
          </w:p>
        </w:tc>
        <w:tc>
          <w:tcPr>
            <w:tcW w:w="1690" w:type="dxa"/>
            <w:noWrap w:val="0"/>
            <w:vAlign w:val="center"/>
          </w:tcPr>
          <w:p w14:paraId="340ABB5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蕨叶切片</w:t>
            </w:r>
          </w:p>
        </w:tc>
        <w:tc>
          <w:tcPr>
            <w:tcW w:w="5928" w:type="dxa"/>
            <w:noWrap w:val="0"/>
            <w:vAlign w:val="center"/>
          </w:tcPr>
          <w:p w14:paraId="5DF26C9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E28ED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F4A31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5582D06">
            <w:pPr>
              <w:jc w:val="center"/>
              <w:rPr>
                <w:highlight w:val="none"/>
              </w:rPr>
            </w:pPr>
          </w:p>
        </w:tc>
        <w:tc>
          <w:tcPr>
            <w:tcW w:w="710" w:type="dxa"/>
            <w:gridSpan w:val="2"/>
            <w:noWrap w:val="0"/>
            <w:vAlign w:val="center"/>
          </w:tcPr>
          <w:p w14:paraId="212A880F">
            <w:pPr>
              <w:jc w:val="both"/>
              <w:rPr>
                <w:highlight w:val="none"/>
                <w:vertAlign w:val="baseline"/>
              </w:rPr>
            </w:pPr>
          </w:p>
        </w:tc>
      </w:tr>
      <w:tr w14:paraId="5D05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216867">
            <w:pPr>
              <w:jc w:val="center"/>
              <w:rPr>
                <w:rFonts w:hint="default"/>
                <w:highlight w:val="none"/>
                <w:vertAlign w:val="baseline"/>
                <w:lang w:val="en-US" w:eastAsia="zh-CN"/>
              </w:rPr>
            </w:pPr>
            <w:r>
              <w:rPr>
                <w:rFonts w:hint="eastAsia"/>
                <w:highlight w:val="none"/>
                <w:vertAlign w:val="baseline"/>
                <w:lang w:val="en-US" w:eastAsia="zh-CN"/>
              </w:rPr>
              <w:t>198</w:t>
            </w:r>
          </w:p>
        </w:tc>
        <w:tc>
          <w:tcPr>
            <w:tcW w:w="1690" w:type="dxa"/>
            <w:noWrap w:val="0"/>
            <w:vAlign w:val="center"/>
          </w:tcPr>
          <w:p w14:paraId="1FB37B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迎春叶横切</w:t>
            </w:r>
          </w:p>
        </w:tc>
        <w:tc>
          <w:tcPr>
            <w:tcW w:w="5928" w:type="dxa"/>
            <w:noWrap w:val="0"/>
            <w:vAlign w:val="center"/>
          </w:tcPr>
          <w:p w14:paraId="7E1D4E4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04CD0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CBAB2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90</w:t>
            </w:r>
          </w:p>
        </w:tc>
        <w:tc>
          <w:tcPr>
            <w:tcW w:w="3396" w:type="dxa"/>
            <w:gridSpan w:val="2"/>
            <w:noWrap w:val="0"/>
            <w:vAlign w:val="center"/>
          </w:tcPr>
          <w:p w14:paraId="56CEA04B">
            <w:pPr>
              <w:jc w:val="center"/>
              <w:rPr>
                <w:highlight w:val="none"/>
              </w:rPr>
            </w:pPr>
          </w:p>
        </w:tc>
        <w:tc>
          <w:tcPr>
            <w:tcW w:w="710" w:type="dxa"/>
            <w:gridSpan w:val="2"/>
            <w:noWrap w:val="0"/>
            <w:vAlign w:val="center"/>
          </w:tcPr>
          <w:p w14:paraId="316EAA90">
            <w:pPr>
              <w:jc w:val="both"/>
              <w:rPr>
                <w:highlight w:val="none"/>
                <w:vertAlign w:val="baseline"/>
              </w:rPr>
            </w:pPr>
          </w:p>
        </w:tc>
      </w:tr>
      <w:tr w14:paraId="70E2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38B09A">
            <w:pPr>
              <w:jc w:val="center"/>
              <w:rPr>
                <w:rFonts w:hint="default"/>
                <w:highlight w:val="none"/>
                <w:vertAlign w:val="baseline"/>
                <w:lang w:val="en-US" w:eastAsia="zh-CN"/>
              </w:rPr>
            </w:pPr>
            <w:r>
              <w:rPr>
                <w:rFonts w:hint="eastAsia"/>
                <w:highlight w:val="none"/>
                <w:vertAlign w:val="baseline"/>
                <w:lang w:val="en-US" w:eastAsia="zh-CN"/>
              </w:rPr>
              <w:t>199</w:t>
            </w:r>
          </w:p>
        </w:tc>
        <w:tc>
          <w:tcPr>
            <w:tcW w:w="1690" w:type="dxa"/>
            <w:noWrap w:val="0"/>
            <w:vAlign w:val="center"/>
          </w:tcPr>
          <w:p w14:paraId="4DD073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植物光合作用、呼吸作用、蒸腾作用演示器</w:t>
            </w:r>
          </w:p>
        </w:tc>
        <w:tc>
          <w:tcPr>
            <w:tcW w:w="5928" w:type="dxa"/>
            <w:noWrap w:val="0"/>
            <w:vAlign w:val="center"/>
          </w:tcPr>
          <w:p w14:paraId="5E5407B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由透明的有机透明容器，漏斗、上盖板、试管及试管架组合而成</w:t>
            </w:r>
          </w:p>
        </w:tc>
        <w:tc>
          <w:tcPr>
            <w:tcW w:w="736" w:type="dxa"/>
            <w:noWrap w:val="0"/>
            <w:vAlign w:val="center"/>
          </w:tcPr>
          <w:p w14:paraId="530DCF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5BA31F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3396" w:type="dxa"/>
            <w:gridSpan w:val="2"/>
            <w:noWrap w:val="0"/>
            <w:vAlign w:val="center"/>
          </w:tcPr>
          <w:p w14:paraId="0785AA3A">
            <w:pPr>
              <w:jc w:val="center"/>
              <w:rPr>
                <w:highlight w:val="none"/>
              </w:rPr>
            </w:pPr>
          </w:p>
        </w:tc>
        <w:tc>
          <w:tcPr>
            <w:tcW w:w="710" w:type="dxa"/>
            <w:gridSpan w:val="2"/>
            <w:noWrap w:val="0"/>
            <w:vAlign w:val="center"/>
          </w:tcPr>
          <w:p w14:paraId="7CE765F1">
            <w:pPr>
              <w:jc w:val="both"/>
              <w:rPr>
                <w:highlight w:val="none"/>
                <w:vertAlign w:val="baseline"/>
              </w:rPr>
            </w:pPr>
          </w:p>
        </w:tc>
      </w:tr>
      <w:tr w14:paraId="0C84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874185">
            <w:pPr>
              <w:jc w:val="center"/>
              <w:rPr>
                <w:rFonts w:hint="default"/>
                <w:highlight w:val="none"/>
                <w:vertAlign w:val="baseline"/>
                <w:lang w:val="en-US" w:eastAsia="zh-CN"/>
              </w:rPr>
            </w:pPr>
            <w:r>
              <w:rPr>
                <w:rFonts w:hint="eastAsia"/>
                <w:highlight w:val="none"/>
                <w:vertAlign w:val="baseline"/>
                <w:lang w:val="en-US" w:eastAsia="zh-CN"/>
              </w:rPr>
              <w:t>200</w:t>
            </w:r>
          </w:p>
        </w:tc>
        <w:tc>
          <w:tcPr>
            <w:tcW w:w="1690" w:type="dxa"/>
            <w:noWrap w:val="0"/>
            <w:vAlign w:val="center"/>
          </w:tcPr>
          <w:p w14:paraId="5464C2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人体半身躯干模型</w:t>
            </w:r>
          </w:p>
        </w:tc>
        <w:tc>
          <w:tcPr>
            <w:tcW w:w="5928" w:type="dxa"/>
            <w:noWrap w:val="0"/>
            <w:vAlign w:val="center"/>
          </w:tcPr>
          <w:p w14:paraId="6673607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65cm</w:t>
            </w:r>
          </w:p>
        </w:tc>
        <w:tc>
          <w:tcPr>
            <w:tcW w:w="736" w:type="dxa"/>
            <w:noWrap w:val="0"/>
            <w:vAlign w:val="center"/>
          </w:tcPr>
          <w:p w14:paraId="0453EF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44140D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A4A6AF">
            <w:pPr>
              <w:jc w:val="center"/>
              <w:rPr>
                <w:highlight w:val="none"/>
              </w:rPr>
            </w:pPr>
          </w:p>
        </w:tc>
        <w:tc>
          <w:tcPr>
            <w:tcW w:w="710" w:type="dxa"/>
            <w:gridSpan w:val="2"/>
            <w:noWrap w:val="0"/>
            <w:vAlign w:val="center"/>
          </w:tcPr>
          <w:p w14:paraId="64670C98">
            <w:pPr>
              <w:jc w:val="both"/>
              <w:rPr>
                <w:highlight w:val="none"/>
                <w:vertAlign w:val="baseline"/>
              </w:rPr>
            </w:pPr>
          </w:p>
        </w:tc>
      </w:tr>
      <w:tr w14:paraId="5730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3550E4A1">
            <w:pPr>
              <w:jc w:val="center"/>
              <w:rPr>
                <w:rFonts w:hint="default"/>
                <w:highlight w:val="none"/>
                <w:vertAlign w:val="baseline"/>
                <w:lang w:val="en-US" w:eastAsia="zh-CN"/>
              </w:rPr>
            </w:pPr>
            <w:r>
              <w:rPr>
                <w:rFonts w:hint="eastAsia"/>
                <w:highlight w:val="none"/>
                <w:vertAlign w:val="baseline"/>
                <w:lang w:val="en-US" w:eastAsia="zh-CN"/>
              </w:rPr>
              <w:t>201</w:t>
            </w:r>
          </w:p>
        </w:tc>
        <w:tc>
          <w:tcPr>
            <w:tcW w:w="1690" w:type="dxa"/>
            <w:noWrap w:val="0"/>
            <w:vAlign w:val="center"/>
          </w:tcPr>
          <w:p w14:paraId="168015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胃壁切片</w:t>
            </w:r>
          </w:p>
        </w:tc>
        <w:tc>
          <w:tcPr>
            <w:tcW w:w="5928" w:type="dxa"/>
            <w:noWrap w:val="0"/>
            <w:vAlign w:val="center"/>
          </w:tcPr>
          <w:p w14:paraId="3F7B351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58622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6D7E5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657A4A4">
            <w:pPr>
              <w:jc w:val="center"/>
              <w:rPr>
                <w:highlight w:val="none"/>
              </w:rPr>
            </w:pPr>
          </w:p>
        </w:tc>
        <w:tc>
          <w:tcPr>
            <w:tcW w:w="710" w:type="dxa"/>
            <w:gridSpan w:val="2"/>
            <w:noWrap w:val="0"/>
            <w:vAlign w:val="center"/>
          </w:tcPr>
          <w:p w14:paraId="2AD8FFED">
            <w:pPr>
              <w:jc w:val="both"/>
              <w:rPr>
                <w:highlight w:val="none"/>
                <w:vertAlign w:val="baseline"/>
              </w:rPr>
            </w:pPr>
          </w:p>
        </w:tc>
      </w:tr>
      <w:tr w14:paraId="0B36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80C612">
            <w:pPr>
              <w:jc w:val="center"/>
              <w:rPr>
                <w:rFonts w:hint="default"/>
                <w:highlight w:val="none"/>
                <w:vertAlign w:val="baseline"/>
                <w:lang w:val="en-US" w:eastAsia="zh-CN"/>
              </w:rPr>
            </w:pPr>
            <w:r>
              <w:rPr>
                <w:rFonts w:hint="eastAsia"/>
                <w:highlight w:val="none"/>
                <w:vertAlign w:val="baseline"/>
                <w:lang w:val="en-US" w:eastAsia="zh-CN"/>
              </w:rPr>
              <w:t>202</w:t>
            </w:r>
          </w:p>
        </w:tc>
        <w:tc>
          <w:tcPr>
            <w:tcW w:w="1690" w:type="dxa"/>
            <w:noWrap w:val="0"/>
            <w:vAlign w:val="center"/>
          </w:tcPr>
          <w:p w14:paraId="58C9AE6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小肠切片</w:t>
            </w:r>
          </w:p>
        </w:tc>
        <w:tc>
          <w:tcPr>
            <w:tcW w:w="5928" w:type="dxa"/>
            <w:noWrap w:val="0"/>
            <w:vAlign w:val="center"/>
          </w:tcPr>
          <w:p w14:paraId="1AF4421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1BFB98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E4548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2CBC4A29">
            <w:pPr>
              <w:jc w:val="center"/>
              <w:rPr>
                <w:highlight w:val="none"/>
              </w:rPr>
            </w:pPr>
          </w:p>
        </w:tc>
        <w:tc>
          <w:tcPr>
            <w:tcW w:w="710" w:type="dxa"/>
            <w:gridSpan w:val="2"/>
            <w:noWrap w:val="0"/>
            <w:vAlign w:val="center"/>
          </w:tcPr>
          <w:p w14:paraId="3E2DDEC8">
            <w:pPr>
              <w:jc w:val="both"/>
              <w:rPr>
                <w:highlight w:val="none"/>
                <w:vertAlign w:val="baseline"/>
              </w:rPr>
            </w:pPr>
          </w:p>
        </w:tc>
      </w:tr>
      <w:tr w14:paraId="73F2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A09063F">
            <w:pPr>
              <w:jc w:val="center"/>
              <w:rPr>
                <w:rFonts w:hint="default"/>
                <w:highlight w:val="none"/>
                <w:vertAlign w:val="baseline"/>
                <w:lang w:val="en-US" w:eastAsia="zh-CN"/>
              </w:rPr>
            </w:pPr>
            <w:r>
              <w:rPr>
                <w:rFonts w:hint="eastAsia"/>
                <w:highlight w:val="none"/>
                <w:vertAlign w:val="baseline"/>
                <w:lang w:val="en-US" w:eastAsia="zh-CN"/>
              </w:rPr>
              <w:t>203</w:t>
            </w:r>
          </w:p>
        </w:tc>
        <w:tc>
          <w:tcPr>
            <w:tcW w:w="1690" w:type="dxa"/>
            <w:noWrap w:val="0"/>
            <w:vAlign w:val="center"/>
          </w:tcPr>
          <w:p w14:paraId="751A5C1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喉解剖模型</w:t>
            </w:r>
          </w:p>
        </w:tc>
        <w:tc>
          <w:tcPr>
            <w:tcW w:w="5928" w:type="dxa"/>
            <w:noWrap w:val="0"/>
            <w:vAlign w:val="center"/>
          </w:tcPr>
          <w:p w14:paraId="753B20A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应正确显示喉软骨、喉肌、喉腔、喉口等结构特征</w:t>
            </w:r>
          </w:p>
        </w:tc>
        <w:tc>
          <w:tcPr>
            <w:tcW w:w="736" w:type="dxa"/>
            <w:noWrap w:val="0"/>
            <w:vAlign w:val="center"/>
          </w:tcPr>
          <w:p w14:paraId="24A8DA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229D6A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9E680DB">
            <w:pPr>
              <w:jc w:val="center"/>
              <w:rPr>
                <w:highlight w:val="none"/>
              </w:rPr>
            </w:pPr>
          </w:p>
        </w:tc>
        <w:tc>
          <w:tcPr>
            <w:tcW w:w="710" w:type="dxa"/>
            <w:gridSpan w:val="2"/>
            <w:noWrap w:val="0"/>
            <w:vAlign w:val="center"/>
          </w:tcPr>
          <w:p w14:paraId="05782AC1">
            <w:pPr>
              <w:jc w:val="both"/>
              <w:rPr>
                <w:highlight w:val="none"/>
                <w:vertAlign w:val="baseline"/>
              </w:rPr>
            </w:pPr>
          </w:p>
        </w:tc>
      </w:tr>
      <w:tr w14:paraId="223E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3B81C0">
            <w:pPr>
              <w:jc w:val="center"/>
              <w:rPr>
                <w:rFonts w:hint="default"/>
                <w:highlight w:val="none"/>
                <w:vertAlign w:val="baseline"/>
                <w:lang w:val="en-US" w:eastAsia="zh-CN"/>
              </w:rPr>
            </w:pPr>
            <w:r>
              <w:rPr>
                <w:rFonts w:hint="eastAsia"/>
                <w:highlight w:val="none"/>
                <w:vertAlign w:val="baseline"/>
                <w:lang w:val="en-US" w:eastAsia="zh-CN"/>
              </w:rPr>
              <w:t>204</w:t>
            </w:r>
          </w:p>
        </w:tc>
        <w:tc>
          <w:tcPr>
            <w:tcW w:w="1690" w:type="dxa"/>
            <w:noWrap w:val="0"/>
            <w:vAlign w:val="center"/>
          </w:tcPr>
          <w:p w14:paraId="4D3C4F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肺泡模型</w:t>
            </w:r>
          </w:p>
        </w:tc>
        <w:tc>
          <w:tcPr>
            <w:tcW w:w="5928" w:type="dxa"/>
            <w:noWrap w:val="0"/>
            <w:vAlign w:val="center"/>
          </w:tcPr>
          <w:p w14:paraId="40562A2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显示细支气管、呼吸性细支气管、肺泡管等</w:t>
            </w:r>
          </w:p>
        </w:tc>
        <w:tc>
          <w:tcPr>
            <w:tcW w:w="736" w:type="dxa"/>
            <w:noWrap w:val="0"/>
            <w:vAlign w:val="center"/>
          </w:tcPr>
          <w:p w14:paraId="2AFBA0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5F0EBC4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5379741">
            <w:pPr>
              <w:jc w:val="center"/>
              <w:rPr>
                <w:highlight w:val="none"/>
              </w:rPr>
            </w:pPr>
          </w:p>
        </w:tc>
        <w:tc>
          <w:tcPr>
            <w:tcW w:w="710" w:type="dxa"/>
            <w:gridSpan w:val="2"/>
            <w:noWrap w:val="0"/>
            <w:vAlign w:val="center"/>
          </w:tcPr>
          <w:p w14:paraId="739E6B8D">
            <w:pPr>
              <w:jc w:val="both"/>
              <w:rPr>
                <w:highlight w:val="none"/>
                <w:vertAlign w:val="baseline"/>
              </w:rPr>
            </w:pPr>
          </w:p>
        </w:tc>
      </w:tr>
      <w:tr w14:paraId="11CF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B2A074">
            <w:pPr>
              <w:jc w:val="center"/>
              <w:rPr>
                <w:rFonts w:hint="default"/>
                <w:highlight w:val="none"/>
                <w:vertAlign w:val="baseline"/>
                <w:lang w:val="en-US" w:eastAsia="zh-CN"/>
              </w:rPr>
            </w:pPr>
            <w:r>
              <w:rPr>
                <w:rFonts w:hint="eastAsia"/>
                <w:highlight w:val="none"/>
                <w:vertAlign w:val="baseline"/>
                <w:lang w:val="en-US" w:eastAsia="zh-CN"/>
              </w:rPr>
              <w:t>205</w:t>
            </w:r>
          </w:p>
        </w:tc>
        <w:tc>
          <w:tcPr>
            <w:tcW w:w="1690" w:type="dxa"/>
            <w:noWrap w:val="0"/>
            <w:vAlign w:val="center"/>
          </w:tcPr>
          <w:p w14:paraId="2F1624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人体呼吸运动模型</w:t>
            </w:r>
          </w:p>
        </w:tc>
        <w:tc>
          <w:tcPr>
            <w:tcW w:w="5928" w:type="dxa"/>
            <w:noWrap w:val="0"/>
            <w:vAlign w:val="center"/>
          </w:tcPr>
          <w:p w14:paraId="2DB9BA4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电动式，应能模拟人体呼吸运动过程</w:t>
            </w:r>
          </w:p>
        </w:tc>
        <w:tc>
          <w:tcPr>
            <w:tcW w:w="736" w:type="dxa"/>
            <w:noWrap w:val="0"/>
            <w:vAlign w:val="center"/>
          </w:tcPr>
          <w:p w14:paraId="0E786B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5FD322D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518B96F">
            <w:pPr>
              <w:jc w:val="center"/>
              <w:rPr>
                <w:highlight w:val="none"/>
              </w:rPr>
            </w:pPr>
          </w:p>
        </w:tc>
        <w:tc>
          <w:tcPr>
            <w:tcW w:w="710" w:type="dxa"/>
            <w:gridSpan w:val="2"/>
            <w:noWrap w:val="0"/>
            <w:vAlign w:val="center"/>
          </w:tcPr>
          <w:p w14:paraId="58631FD8">
            <w:pPr>
              <w:jc w:val="both"/>
              <w:rPr>
                <w:highlight w:val="none"/>
                <w:vertAlign w:val="baseline"/>
              </w:rPr>
            </w:pPr>
          </w:p>
        </w:tc>
      </w:tr>
      <w:tr w14:paraId="6666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3BC31E">
            <w:pPr>
              <w:jc w:val="center"/>
              <w:rPr>
                <w:rFonts w:hint="default"/>
                <w:highlight w:val="none"/>
                <w:vertAlign w:val="baseline"/>
                <w:lang w:val="en-US" w:eastAsia="zh-CN"/>
              </w:rPr>
            </w:pPr>
            <w:r>
              <w:rPr>
                <w:rFonts w:hint="eastAsia"/>
                <w:highlight w:val="none"/>
                <w:vertAlign w:val="baseline"/>
                <w:lang w:val="en-US" w:eastAsia="zh-CN"/>
              </w:rPr>
              <w:t>206</w:t>
            </w:r>
          </w:p>
        </w:tc>
        <w:tc>
          <w:tcPr>
            <w:tcW w:w="1690" w:type="dxa"/>
            <w:noWrap w:val="0"/>
            <w:vAlign w:val="center"/>
          </w:tcPr>
          <w:p w14:paraId="2C95F24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膈肌运动模拟器</w:t>
            </w:r>
          </w:p>
        </w:tc>
        <w:tc>
          <w:tcPr>
            <w:tcW w:w="5928" w:type="dxa"/>
            <w:noWrap w:val="0"/>
            <w:vAlign w:val="center"/>
          </w:tcPr>
          <w:p w14:paraId="50FF53F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高度250 mm±15 mm，宽度或直径220 mm±15 mm，膈的直径（或长径）≥170 mm；应模拟显示胸腔、膈、气管、支气管、肺（或肺泡）等结构</w:t>
            </w:r>
          </w:p>
        </w:tc>
        <w:tc>
          <w:tcPr>
            <w:tcW w:w="736" w:type="dxa"/>
            <w:noWrap w:val="0"/>
            <w:vAlign w:val="center"/>
          </w:tcPr>
          <w:p w14:paraId="6F0231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0263EA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F5EC54C">
            <w:pPr>
              <w:jc w:val="center"/>
              <w:rPr>
                <w:highlight w:val="none"/>
              </w:rPr>
            </w:pPr>
          </w:p>
        </w:tc>
        <w:tc>
          <w:tcPr>
            <w:tcW w:w="710" w:type="dxa"/>
            <w:gridSpan w:val="2"/>
            <w:noWrap w:val="0"/>
            <w:vAlign w:val="center"/>
          </w:tcPr>
          <w:p w14:paraId="18A1F971">
            <w:pPr>
              <w:jc w:val="both"/>
              <w:rPr>
                <w:highlight w:val="none"/>
                <w:vertAlign w:val="baseline"/>
              </w:rPr>
            </w:pPr>
          </w:p>
        </w:tc>
      </w:tr>
      <w:tr w14:paraId="556B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AB78CC6">
            <w:pPr>
              <w:jc w:val="center"/>
              <w:rPr>
                <w:rFonts w:hint="default"/>
                <w:highlight w:val="none"/>
                <w:vertAlign w:val="baseline"/>
                <w:lang w:val="en-US" w:eastAsia="zh-CN"/>
              </w:rPr>
            </w:pPr>
            <w:r>
              <w:rPr>
                <w:rFonts w:hint="eastAsia"/>
                <w:highlight w:val="none"/>
                <w:vertAlign w:val="baseline"/>
                <w:lang w:val="en-US" w:eastAsia="zh-CN"/>
              </w:rPr>
              <w:t>207</w:t>
            </w:r>
          </w:p>
        </w:tc>
        <w:tc>
          <w:tcPr>
            <w:tcW w:w="1690" w:type="dxa"/>
            <w:noWrap w:val="0"/>
            <w:vAlign w:val="center"/>
          </w:tcPr>
          <w:p w14:paraId="70F20D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肺活量计</w:t>
            </w:r>
          </w:p>
        </w:tc>
        <w:tc>
          <w:tcPr>
            <w:tcW w:w="5928" w:type="dxa"/>
            <w:noWrap w:val="0"/>
            <w:vAlign w:val="center"/>
          </w:tcPr>
          <w:p w14:paraId="5658E7E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电子式，量程 0 mL～9999 mL，</w:t>
            </w:r>
          </w:p>
        </w:tc>
        <w:tc>
          <w:tcPr>
            <w:tcW w:w="736" w:type="dxa"/>
            <w:noWrap w:val="0"/>
            <w:vAlign w:val="center"/>
          </w:tcPr>
          <w:p w14:paraId="545C9C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834" w:type="dxa"/>
            <w:noWrap w:val="0"/>
            <w:vAlign w:val="center"/>
          </w:tcPr>
          <w:p w14:paraId="40805A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F70640">
            <w:pPr>
              <w:jc w:val="center"/>
              <w:rPr>
                <w:highlight w:val="none"/>
              </w:rPr>
            </w:pPr>
          </w:p>
        </w:tc>
        <w:tc>
          <w:tcPr>
            <w:tcW w:w="710" w:type="dxa"/>
            <w:gridSpan w:val="2"/>
            <w:noWrap w:val="0"/>
            <w:vAlign w:val="center"/>
          </w:tcPr>
          <w:p w14:paraId="4FBEE2F7">
            <w:pPr>
              <w:jc w:val="both"/>
              <w:rPr>
                <w:highlight w:val="none"/>
                <w:vertAlign w:val="baseline"/>
              </w:rPr>
            </w:pPr>
          </w:p>
        </w:tc>
      </w:tr>
      <w:tr w14:paraId="53D4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AFA3E8">
            <w:pPr>
              <w:jc w:val="center"/>
              <w:rPr>
                <w:rFonts w:hint="default"/>
                <w:highlight w:val="none"/>
                <w:vertAlign w:val="baseline"/>
                <w:lang w:val="en-US" w:eastAsia="zh-CN"/>
              </w:rPr>
            </w:pPr>
            <w:r>
              <w:rPr>
                <w:rFonts w:hint="eastAsia"/>
                <w:highlight w:val="none"/>
                <w:vertAlign w:val="baseline"/>
                <w:lang w:val="en-US" w:eastAsia="zh-CN"/>
              </w:rPr>
              <w:t>208</w:t>
            </w:r>
          </w:p>
        </w:tc>
        <w:tc>
          <w:tcPr>
            <w:tcW w:w="1690" w:type="dxa"/>
            <w:noWrap w:val="0"/>
            <w:vAlign w:val="center"/>
          </w:tcPr>
          <w:p w14:paraId="06F23C2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人血涂片</w:t>
            </w:r>
          </w:p>
        </w:tc>
        <w:tc>
          <w:tcPr>
            <w:tcW w:w="5928" w:type="dxa"/>
            <w:noWrap w:val="0"/>
            <w:vAlign w:val="center"/>
          </w:tcPr>
          <w:p w14:paraId="76F68BA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4D66E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60BB17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1D9B3D3B">
            <w:pPr>
              <w:jc w:val="center"/>
              <w:rPr>
                <w:highlight w:val="none"/>
              </w:rPr>
            </w:pPr>
          </w:p>
        </w:tc>
        <w:tc>
          <w:tcPr>
            <w:tcW w:w="710" w:type="dxa"/>
            <w:gridSpan w:val="2"/>
            <w:noWrap w:val="0"/>
            <w:vAlign w:val="center"/>
          </w:tcPr>
          <w:p w14:paraId="28D1FB83">
            <w:pPr>
              <w:jc w:val="both"/>
              <w:rPr>
                <w:highlight w:val="none"/>
                <w:vertAlign w:val="baseline"/>
              </w:rPr>
            </w:pPr>
          </w:p>
        </w:tc>
      </w:tr>
      <w:tr w14:paraId="136D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A94E5FC">
            <w:pPr>
              <w:jc w:val="center"/>
              <w:rPr>
                <w:rFonts w:hint="default"/>
                <w:highlight w:val="none"/>
                <w:vertAlign w:val="baseline"/>
                <w:lang w:val="en-US" w:eastAsia="zh-CN"/>
              </w:rPr>
            </w:pPr>
            <w:r>
              <w:rPr>
                <w:rFonts w:hint="eastAsia"/>
                <w:highlight w:val="none"/>
                <w:vertAlign w:val="baseline"/>
                <w:lang w:val="en-US" w:eastAsia="zh-CN"/>
              </w:rPr>
              <w:t>209</w:t>
            </w:r>
          </w:p>
        </w:tc>
        <w:tc>
          <w:tcPr>
            <w:tcW w:w="1690" w:type="dxa"/>
            <w:noWrap w:val="0"/>
            <w:vAlign w:val="center"/>
          </w:tcPr>
          <w:p w14:paraId="44B637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动静脉血管横切</w:t>
            </w:r>
          </w:p>
        </w:tc>
        <w:tc>
          <w:tcPr>
            <w:tcW w:w="5928" w:type="dxa"/>
            <w:noWrap w:val="0"/>
            <w:vAlign w:val="center"/>
          </w:tcPr>
          <w:p w14:paraId="772672F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DC939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CD2CF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55216995">
            <w:pPr>
              <w:jc w:val="center"/>
              <w:rPr>
                <w:highlight w:val="none"/>
              </w:rPr>
            </w:pPr>
          </w:p>
        </w:tc>
        <w:tc>
          <w:tcPr>
            <w:tcW w:w="710" w:type="dxa"/>
            <w:gridSpan w:val="2"/>
            <w:noWrap w:val="0"/>
            <w:vAlign w:val="center"/>
          </w:tcPr>
          <w:p w14:paraId="5671A748">
            <w:pPr>
              <w:jc w:val="both"/>
              <w:rPr>
                <w:highlight w:val="none"/>
                <w:vertAlign w:val="baseline"/>
              </w:rPr>
            </w:pPr>
          </w:p>
        </w:tc>
      </w:tr>
      <w:tr w14:paraId="4E7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21D459">
            <w:pPr>
              <w:jc w:val="center"/>
              <w:rPr>
                <w:rFonts w:hint="default"/>
                <w:highlight w:val="none"/>
                <w:vertAlign w:val="baseline"/>
                <w:lang w:val="en-US" w:eastAsia="zh-CN"/>
              </w:rPr>
            </w:pPr>
            <w:r>
              <w:rPr>
                <w:rFonts w:hint="eastAsia"/>
                <w:highlight w:val="none"/>
                <w:vertAlign w:val="baseline"/>
                <w:lang w:val="en-US" w:eastAsia="zh-CN"/>
              </w:rPr>
              <w:t>210</w:t>
            </w:r>
          </w:p>
        </w:tc>
        <w:tc>
          <w:tcPr>
            <w:tcW w:w="1690" w:type="dxa"/>
            <w:noWrap w:val="0"/>
            <w:vAlign w:val="center"/>
          </w:tcPr>
          <w:p w14:paraId="4B2F2B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肺血管注射切片</w:t>
            </w:r>
          </w:p>
        </w:tc>
        <w:tc>
          <w:tcPr>
            <w:tcW w:w="5928" w:type="dxa"/>
            <w:noWrap w:val="0"/>
            <w:vAlign w:val="center"/>
          </w:tcPr>
          <w:p w14:paraId="7EA0C87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6C4721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828B0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93FB4A0">
            <w:pPr>
              <w:jc w:val="center"/>
              <w:rPr>
                <w:highlight w:val="none"/>
              </w:rPr>
            </w:pPr>
          </w:p>
        </w:tc>
        <w:tc>
          <w:tcPr>
            <w:tcW w:w="710" w:type="dxa"/>
            <w:gridSpan w:val="2"/>
            <w:noWrap w:val="0"/>
            <w:vAlign w:val="center"/>
          </w:tcPr>
          <w:p w14:paraId="41E4E3A1">
            <w:pPr>
              <w:jc w:val="both"/>
              <w:rPr>
                <w:highlight w:val="none"/>
                <w:vertAlign w:val="baseline"/>
              </w:rPr>
            </w:pPr>
          </w:p>
        </w:tc>
      </w:tr>
      <w:tr w14:paraId="5CAD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8E5CFF">
            <w:pPr>
              <w:jc w:val="center"/>
              <w:rPr>
                <w:rFonts w:hint="default"/>
                <w:highlight w:val="none"/>
                <w:vertAlign w:val="baseline"/>
                <w:lang w:val="en-US" w:eastAsia="zh-CN"/>
              </w:rPr>
            </w:pPr>
            <w:r>
              <w:rPr>
                <w:rFonts w:hint="eastAsia"/>
                <w:highlight w:val="none"/>
                <w:vertAlign w:val="baseline"/>
                <w:lang w:val="en-US" w:eastAsia="zh-CN"/>
              </w:rPr>
              <w:t>211</w:t>
            </w:r>
          </w:p>
        </w:tc>
        <w:tc>
          <w:tcPr>
            <w:tcW w:w="1690" w:type="dxa"/>
            <w:noWrap w:val="0"/>
            <w:vAlign w:val="center"/>
          </w:tcPr>
          <w:p w14:paraId="57280A4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肾血管注射切片</w:t>
            </w:r>
          </w:p>
        </w:tc>
        <w:tc>
          <w:tcPr>
            <w:tcW w:w="5928" w:type="dxa"/>
            <w:noWrap w:val="0"/>
            <w:vAlign w:val="center"/>
          </w:tcPr>
          <w:p w14:paraId="71F0BB9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A6848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4FF665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6865194">
            <w:pPr>
              <w:jc w:val="center"/>
              <w:rPr>
                <w:highlight w:val="none"/>
              </w:rPr>
            </w:pPr>
          </w:p>
        </w:tc>
        <w:tc>
          <w:tcPr>
            <w:tcW w:w="710" w:type="dxa"/>
            <w:gridSpan w:val="2"/>
            <w:noWrap w:val="0"/>
            <w:vAlign w:val="center"/>
          </w:tcPr>
          <w:p w14:paraId="3DA53511">
            <w:pPr>
              <w:jc w:val="both"/>
              <w:rPr>
                <w:highlight w:val="none"/>
                <w:vertAlign w:val="baseline"/>
              </w:rPr>
            </w:pPr>
          </w:p>
        </w:tc>
      </w:tr>
      <w:tr w14:paraId="11C6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A0011A">
            <w:pPr>
              <w:jc w:val="center"/>
              <w:rPr>
                <w:rFonts w:hint="default"/>
                <w:highlight w:val="none"/>
                <w:vertAlign w:val="baseline"/>
                <w:lang w:val="en-US" w:eastAsia="zh-CN"/>
              </w:rPr>
            </w:pPr>
            <w:r>
              <w:rPr>
                <w:rFonts w:hint="eastAsia"/>
                <w:highlight w:val="none"/>
                <w:vertAlign w:val="baseline"/>
                <w:lang w:val="en-US" w:eastAsia="zh-CN"/>
              </w:rPr>
              <w:t>212</w:t>
            </w:r>
          </w:p>
        </w:tc>
        <w:tc>
          <w:tcPr>
            <w:tcW w:w="1690" w:type="dxa"/>
            <w:noWrap w:val="0"/>
            <w:vAlign w:val="center"/>
          </w:tcPr>
          <w:p w14:paraId="681212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心脏解剖放大模型</w:t>
            </w:r>
          </w:p>
        </w:tc>
        <w:tc>
          <w:tcPr>
            <w:tcW w:w="5928" w:type="dxa"/>
            <w:noWrap w:val="0"/>
            <w:vAlign w:val="center"/>
          </w:tcPr>
          <w:p w14:paraId="7CB7B53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三倍自然大，示上腔静脉、下腔静脉、主动脉、肺动脉、动脉韧带、左冠状动脉、右冠状动脉、冠状窦，左心房、右心房、左心室、右心室、二尖瓣、三尖瓣、主动脉瓣、肺动脉瓣、卵圆窝、冠状窦口</w:t>
            </w:r>
          </w:p>
        </w:tc>
        <w:tc>
          <w:tcPr>
            <w:tcW w:w="736" w:type="dxa"/>
            <w:noWrap w:val="0"/>
            <w:vAlign w:val="center"/>
          </w:tcPr>
          <w:p w14:paraId="067053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007764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B01AB15">
            <w:pPr>
              <w:jc w:val="center"/>
              <w:rPr>
                <w:highlight w:val="none"/>
              </w:rPr>
            </w:pPr>
          </w:p>
        </w:tc>
        <w:tc>
          <w:tcPr>
            <w:tcW w:w="710" w:type="dxa"/>
            <w:gridSpan w:val="2"/>
            <w:noWrap w:val="0"/>
            <w:vAlign w:val="center"/>
          </w:tcPr>
          <w:p w14:paraId="69D8CE9D">
            <w:pPr>
              <w:jc w:val="both"/>
              <w:rPr>
                <w:highlight w:val="none"/>
                <w:vertAlign w:val="baseline"/>
              </w:rPr>
            </w:pPr>
          </w:p>
        </w:tc>
      </w:tr>
      <w:tr w14:paraId="43AB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67C4841">
            <w:pPr>
              <w:jc w:val="center"/>
              <w:rPr>
                <w:rFonts w:hint="default"/>
                <w:highlight w:val="none"/>
                <w:vertAlign w:val="baseline"/>
                <w:lang w:val="en-US" w:eastAsia="zh-CN"/>
              </w:rPr>
            </w:pPr>
            <w:r>
              <w:rPr>
                <w:rFonts w:hint="eastAsia"/>
                <w:highlight w:val="none"/>
                <w:vertAlign w:val="baseline"/>
                <w:lang w:val="en-US" w:eastAsia="zh-CN"/>
              </w:rPr>
              <w:t>213</w:t>
            </w:r>
          </w:p>
        </w:tc>
        <w:tc>
          <w:tcPr>
            <w:tcW w:w="1690" w:type="dxa"/>
            <w:noWrap w:val="0"/>
            <w:vAlign w:val="center"/>
          </w:tcPr>
          <w:p w14:paraId="18404A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心脏解剖模型</w:t>
            </w:r>
          </w:p>
        </w:tc>
        <w:tc>
          <w:tcPr>
            <w:tcW w:w="5928" w:type="dxa"/>
            <w:noWrap w:val="0"/>
            <w:vAlign w:val="center"/>
          </w:tcPr>
          <w:p w14:paraId="2C88430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自然大，示上腔静脉、下腔静脉、主动脉、肺动脉、左心房、右心房、左心室、右心室</w:t>
            </w:r>
          </w:p>
        </w:tc>
        <w:tc>
          <w:tcPr>
            <w:tcW w:w="736" w:type="dxa"/>
            <w:noWrap w:val="0"/>
            <w:vAlign w:val="center"/>
          </w:tcPr>
          <w:p w14:paraId="03BACA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00C4015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3396" w:type="dxa"/>
            <w:gridSpan w:val="2"/>
            <w:noWrap w:val="0"/>
            <w:vAlign w:val="center"/>
          </w:tcPr>
          <w:p w14:paraId="560AD9C7">
            <w:pPr>
              <w:jc w:val="center"/>
              <w:rPr>
                <w:highlight w:val="none"/>
              </w:rPr>
            </w:pPr>
          </w:p>
        </w:tc>
        <w:tc>
          <w:tcPr>
            <w:tcW w:w="710" w:type="dxa"/>
            <w:gridSpan w:val="2"/>
            <w:noWrap w:val="0"/>
            <w:vAlign w:val="center"/>
          </w:tcPr>
          <w:p w14:paraId="77AFEF35">
            <w:pPr>
              <w:jc w:val="both"/>
              <w:rPr>
                <w:highlight w:val="none"/>
                <w:vertAlign w:val="baseline"/>
              </w:rPr>
            </w:pPr>
          </w:p>
        </w:tc>
      </w:tr>
      <w:tr w14:paraId="352D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FD0DAF7">
            <w:pPr>
              <w:jc w:val="center"/>
              <w:rPr>
                <w:rFonts w:hint="default"/>
                <w:highlight w:val="none"/>
                <w:vertAlign w:val="baseline"/>
                <w:lang w:val="en-US" w:eastAsia="zh-CN"/>
              </w:rPr>
            </w:pPr>
            <w:r>
              <w:rPr>
                <w:rFonts w:hint="eastAsia"/>
                <w:highlight w:val="none"/>
                <w:vertAlign w:val="baseline"/>
                <w:lang w:val="en-US" w:eastAsia="zh-CN"/>
              </w:rPr>
              <w:t>214</w:t>
            </w:r>
          </w:p>
        </w:tc>
        <w:tc>
          <w:tcPr>
            <w:tcW w:w="1690" w:type="dxa"/>
            <w:noWrap w:val="0"/>
            <w:vAlign w:val="center"/>
          </w:tcPr>
          <w:p w14:paraId="1242D4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心搏与血液循环模型</w:t>
            </w:r>
          </w:p>
        </w:tc>
        <w:tc>
          <w:tcPr>
            <w:tcW w:w="5928" w:type="dxa"/>
            <w:noWrap w:val="0"/>
            <w:vAlign w:val="center"/>
          </w:tcPr>
          <w:p w14:paraId="0E263AE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动态演示心动周期及大小循环，心壁可收缩及瓣膜可启闭</w:t>
            </w:r>
          </w:p>
        </w:tc>
        <w:tc>
          <w:tcPr>
            <w:tcW w:w="736" w:type="dxa"/>
            <w:noWrap w:val="0"/>
            <w:vAlign w:val="center"/>
          </w:tcPr>
          <w:p w14:paraId="3F834D4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25919A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5E7B03E">
            <w:pPr>
              <w:jc w:val="center"/>
              <w:rPr>
                <w:highlight w:val="none"/>
              </w:rPr>
            </w:pPr>
          </w:p>
        </w:tc>
        <w:tc>
          <w:tcPr>
            <w:tcW w:w="710" w:type="dxa"/>
            <w:gridSpan w:val="2"/>
            <w:noWrap w:val="0"/>
            <w:vAlign w:val="center"/>
          </w:tcPr>
          <w:p w14:paraId="12EE873C">
            <w:pPr>
              <w:jc w:val="both"/>
              <w:rPr>
                <w:highlight w:val="none"/>
                <w:vertAlign w:val="baseline"/>
              </w:rPr>
            </w:pPr>
          </w:p>
        </w:tc>
      </w:tr>
      <w:tr w14:paraId="15EC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44B90B">
            <w:pPr>
              <w:jc w:val="center"/>
              <w:rPr>
                <w:rFonts w:hint="default"/>
                <w:highlight w:val="none"/>
                <w:vertAlign w:val="baseline"/>
                <w:lang w:val="en-US" w:eastAsia="zh-CN"/>
              </w:rPr>
            </w:pPr>
            <w:r>
              <w:rPr>
                <w:rFonts w:hint="eastAsia"/>
                <w:highlight w:val="none"/>
                <w:vertAlign w:val="baseline"/>
                <w:lang w:val="en-US" w:eastAsia="zh-CN"/>
              </w:rPr>
              <w:t>215</w:t>
            </w:r>
          </w:p>
        </w:tc>
        <w:tc>
          <w:tcPr>
            <w:tcW w:w="1690" w:type="dxa"/>
            <w:noWrap w:val="0"/>
            <w:vAlign w:val="center"/>
          </w:tcPr>
          <w:p w14:paraId="0F6E4A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听诊器</w:t>
            </w:r>
          </w:p>
        </w:tc>
        <w:tc>
          <w:tcPr>
            <w:tcW w:w="5928" w:type="dxa"/>
            <w:noWrap w:val="0"/>
            <w:vAlign w:val="center"/>
          </w:tcPr>
          <w:p w14:paraId="6B0C01C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插入式单用听诊器</w:t>
            </w:r>
          </w:p>
        </w:tc>
        <w:tc>
          <w:tcPr>
            <w:tcW w:w="736" w:type="dxa"/>
            <w:noWrap w:val="0"/>
            <w:vAlign w:val="center"/>
          </w:tcPr>
          <w:p w14:paraId="26848D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460F81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61EFBFF6">
            <w:pPr>
              <w:jc w:val="center"/>
              <w:rPr>
                <w:highlight w:val="none"/>
              </w:rPr>
            </w:pPr>
          </w:p>
        </w:tc>
        <w:tc>
          <w:tcPr>
            <w:tcW w:w="710" w:type="dxa"/>
            <w:gridSpan w:val="2"/>
            <w:noWrap w:val="0"/>
            <w:vAlign w:val="center"/>
          </w:tcPr>
          <w:p w14:paraId="56CFA9A1">
            <w:pPr>
              <w:jc w:val="both"/>
              <w:rPr>
                <w:highlight w:val="none"/>
                <w:vertAlign w:val="baseline"/>
              </w:rPr>
            </w:pPr>
          </w:p>
        </w:tc>
      </w:tr>
      <w:tr w14:paraId="2266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2EE955">
            <w:pPr>
              <w:jc w:val="center"/>
              <w:rPr>
                <w:rFonts w:hint="default"/>
                <w:highlight w:val="none"/>
                <w:vertAlign w:val="baseline"/>
                <w:lang w:val="en-US" w:eastAsia="zh-CN"/>
              </w:rPr>
            </w:pPr>
            <w:r>
              <w:rPr>
                <w:rFonts w:hint="eastAsia"/>
                <w:highlight w:val="none"/>
                <w:vertAlign w:val="baseline"/>
                <w:lang w:val="en-US" w:eastAsia="zh-CN"/>
              </w:rPr>
              <w:t>216</w:t>
            </w:r>
          </w:p>
        </w:tc>
        <w:tc>
          <w:tcPr>
            <w:tcW w:w="1690" w:type="dxa"/>
            <w:noWrap w:val="0"/>
            <w:vAlign w:val="center"/>
          </w:tcPr>
          <w:p w14:paraId="51A6B7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血压计</w:t>
            </w:r>
          </w:p>
        </w:tc>
        <w:tc>
          <w:tcPr>
            <w:tcW w:w="5928" w:type="dxa"/>
            <w:noWrap w:val="0"/>
            <w:vAlign w:val="center"/>
          </w:tcPr>
          <w:p w14:paraId="4F1359D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汞柱式</w:t>
            </w:r>
          </w:p>
        </w:tc>
        <w:tc>
          <w:tcPr>
            <w:tcW w:w="736" w:type="dxa"/>
            <w:noWrap w:val="0"/>
            <w:vAlign w:val="center"/>
          </w:tcPr>
          <w:p w14:paraId="5DF04C7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1376F8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396" w:type="dxa"/>
            <w:gridSpan w:val="2"/>
            <w:noWrap w:val="0"/>
            <w:vAlign w:val="center"/>
          </w:tcPr>
          <w:p w14:paraId="04130FB9">
            <w:pPr>
              <w:jc w:val="center"/>
              <w:rPr>
                <w:highlight w:val="none"/>
              </w:rPr>
            </w:pPr>
          </w:p>
        </w:tc>
        <w:tc>
          <w:tcPr>
            <w:tcW w:w="710" w:type="dxa"/>
            <w:gridSpan w:val="2"/>
            <w:noWrap w:val="0"/>
            <w:vAlign w:val="center"/>
          </w:tcPr>
          <w:p w14:paraId="7A260CFF">
            <w:pPr>
              <w:jc w:val="both"/>
              <w:rPr>
                <w:highlight w:val="none"/>
                <w:vertAlign w:val="baseline"/>
              </w:rPr>
            </w:pPr>
          </w:p>
        </w:tc>
      </w:tr>
      <w:tr w14:paraId="24BE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027CDA">
            <w:pPr>
              <w:jc w:val="center"/>
              <w:rPr>
                <w:rFonts w:hint="default"/>
                <w:highlight w:val="none"/>
                <w:vertAlign w:val="baseline"/>
                <w:lang w:val="en-US" w:eastAsia="zh-CN"/>
              </w:rPr>
            </w:pPr>
            <w:r>
              <w:rPr>
                <w:rFonts w:hint="eastAsia"/>
                <w:highlight w:val="none"/>
                <w:vertAlign w:val="baseline"/>
                <w:lang w:val="en-US" w:eastAsia="zh-CN"/>
              </w:rPr>
              <w:t>217</w:t>
            </w:r>
          </w:p>
        </w:tc>
        <w:tc>
          <w:tcPr>
            <w:tcW w:w="1690" w:type="dxa"/>
            <w:noWrap w:val="0"/>
            <w:vAlign w:val="center"/>
          </w:tcPr>
          <w:p w14:paraId="304F87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电子血压计</w:t>
            </w:r>
          </w:p>
        </w:tc>
        <w:tc>
          <w:tcPr>
            <w:tcW w:w="5928" w:type="dxa"/>
            <w:noWrap w:val="0"/>
            <w:vAlign w:val="center"/>
          </w:tcPr>
          <w:p w14:paraId="58605C1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数显，量程 0 mmHg～299 mmHg，分辨力 3 mmHg</w:t>
            </w:r>
          </w:p>
        </w:tc>
        <w:tc>
          <w:tcPr>
            <w:tcW w:w="736" w:type="dxa"/>
            <w:noWrap w:val="0"/>
            <w:vAlign w:val="center"/>
          </w:tcPr>
          <w:p w14:paraId="0A76996D">
            <w:pPr>
              <w:jc w:val="center"/>
              <w:rPr>
                <w:rFonts w:hint="eastAsia" w:ascii="宋体" w:hAnsi="宋体" w:eastAsia="宋体" w:cs="宋体"/>
                <w:i w:val="0"/>
                <w:iCs w:val="0"/>
                <w:color w:val="000000"/>
                <w:kern w:val="0"/>
                <w:sz w:val="20"/>
                <w:szCs w:val="20"/>
                <w:highlight w:val="none"/>
                <w:u w:val="none"/>
                <w:lang w:val="en-US" w:eastAsia="zh-CN" w:bidi="ar"/>
              </w:rPr>
            </w:pPr>
          </w:p>
        </w:tc>
        <w:tc>
          <w:tcPr>
            <w:tcW w:w="834" w:type="dxa"/>
            <w:noWrap w:val="0"/>
            <w:vAlign w:val="center"/>
          </w:tcPr>
          <w:p w14:paraId="291A6D2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F948887">
            <w:pPr>
              <w:jc w:val="center"/>
              <w:rPr>
                <w:highlight w:val="none"/>
              </w:rPr>
            </w:pPr>
          </w:p>
        </w:tc>
        <w:tc>
          <w:tcPr>
            <w:tcW w:w="710" w:type="dxa"/>
            <w:gridSpan w:val="2"/>
            <w:noWrap w:val="0"/>
            <w:vAlign w:val="center"/>
          </w:tcPr>
          <w:p w14:paraId="4FB70AEB">
            <w:pPr>
              <w:jc w:val="both"/>
              <w:rPr>
                <w:highlight w:val="none"/>
                <w:vertAlign w:val="baseline"/>
              </w:rPr>
            </w:pPr>
          </w:p>
        </w:tc>
      </w:tr>
      <w:tr w14:paraId="58C4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E220B5">
            <w:pPr>
              <w:jc w:val="center"/>
              <w:rPr>
                <w:rFonts w:hint="default"/>
                <w:highlight w:val="none"/>
                <w:vertAlign w:val="baseline"/>
                <w:lang w:val="en-US" w:eastAsia="zh-CN"/>
              </w:rPr>
            </w:pPr>
            <w:r>
              <w:rPr>
                <w:rFonts w:hint="eastAsia"/>
                <w:highlight w:val="none"/>
                <w:vertAlign w:val="baseline"/>
                <w:lang w:val="en-US" w:eastAsia="zh-CN"/>
              </w:rPr>
              <w:t>218</w:t>
            </w:r>
          </w:p>
        </w:tc>
        <w:tc>
          <w:tcPr>
            <w:tcW w:w="1690" w:type="dxa"/>
            <w:noWrap w:val="0"/>
            <w:vAlign w:val="center"/>
          </w:tcPr>
          <w:p w14:paraId="74FAA0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男性泌尿生殖系统模型</w:t>
            </w:r>
          </w:p>
        </w:tc>
        <w:tc>
          <w:tcPr>
            <w:tcW w:w="5928" w:type="dxa"/>
            <w:noWrap w:val="0"/>
            <w:vAlign w:val="center"/>
          </w:tcPr>
          <w:p w14:paraId="2B4BD45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自然大，结构清晰，位置精准，比例适宜</w:t>
            </w:r>
          </w:p>
        </w:tc>
        <w:tc>
          <w:tcPr>
            <w:tcW w:w="736" w:type="dxa"/>
            <w:noWrap w:val="0"/>
            <w:vAlign w:val="center"/>
          </w:tcPr>
          <w:p w14:paraId="0BEA20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7C69868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43573D0">
            <w:pPr>
              <w:jc w:val="center"/>
              <w:rPr>
                <w:highlight w:val="none"/>
              </w:rPr>
            </w:pPr>
          </w:p>
        </w:tc>
        <w:tc>
          <w:tcPr>
            <w:tcW w:w="710" w:type="dxa"/>
            <w:gridSpan w:val="2"/>
            <w:noWrap w:val="0"/>
            <w:vAlign w:val="center"/>
          </w:tcPr>
          <w:p w14:paraId="44407F2B">
            <w:pPr>
              <w:jc w:val="both"/>
              <w:rPr>
                <w:highlight w:val="none"/>
                <w:vertAlign w:val="baseline"/>
              </w:rPr>
            </w:pPr>
          </w:p>
        </w:tc>
      </w:tr>
      <w:tr w14:paraId="6C1A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19F4D6">
            <w:pPr>
              <w:jc w:val="center"/>
              <w:rPr>
                <w:rFonts w:hint="default"/>
                <w:highlight w:val="none"/>
                <w:vertAlign w:val="baseline"/>
                <w:lang w:val="en-US" w:eastAsia="zh-CN"/>
              </w:rPr>
            </w:pPr>
            <w:r>
              <w:rPr>
                <w:rFonts w:hint="eastAsia"/>
                <w:highlight w:val="none"/>
                <w:vertAlign w:val="baseline"/>
                <w:lang w:val="en-US" w:eastAsia="zh-CN"/>
              </w:rPr>
              <w:t>219</w:t>
            </w:r>
          </w:p>
        </w:tc>
        <w:tc>
          <w:tcPr>
            <w:tcW w:w="1690" w:type="dxa"/>
            <w:noWrap w:val="0"/>
            <w:vAlign w:val="center"/>
          </w:tcPr>
          <w:p w14:paraId="397B5A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女性泌尿生殖系统模型</w:t>
            </w:r>
          </w:p>
        </w:tc>
        <w:tc>
          <w:tcPr>
            <w:tcW w:w="5928" w:type="dxa"/>
            <w:noWrap w:val="0"/>
            <w:vAlign w:val="center"/>
          </w:tcPr>
          <w:p w14:paraId="2662AFA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自然大，结构清晰，位置精准，比例适宜</w:t>
            </w:r>
          </w:p>
        </w:tc>
        <w:tc>
          <w:tcPr>
            <w:tcW w:w="736" w:type="dxa"/>
            <w:noWrap w:val="0"/>
            <w:vAlign w:val="center"/>
          </w:tcPr>
          <w:p w14:paraId="226E78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36ABDC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5D9963D">
            <w:pPr>
              <w:jc w:val="center"/>
              <w:rPr>
                <w:highlight w:val="none"/>
              </w:rPr>
            </w:pPr>
          </w:p>
        </w:tc>
        <w:tc>
          <w:tcPr>
            <w:tcW w:w="710" w:type="dxa"/>
            <w:gridSpan w:val="2"/>
            <w:noWrap w:val="0"/>
            <w:vAlign w:val="center"/>
          </w:tcPr>
          <w:p w14:paraId="23314F1D">
            <w:pPr>
              <w:jc w:val="both"/>
              <w:rPr>
                <w:highlight w:val="none"/>
                <w:vertAlign w:val="baseline"/>
              </w:rPr>
            </w:pPr>
          </w:p>
        </w:tc>
      </w:tr>
      <w:tr w14:paraId="6532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41C9F3">
            <w:pPr>
              <w:jc w:val="center"/>
              <w:rPr>
                <w:rFonts w:hint="default"/>
                <w:highlight w:val="none"/>
                <w:vertAlign w:val="baseline"/>
                <w:lang w:val="en-US" w:eastAsia="zh-CN"/>
              </w:rPr>
            </w:pPr>
            <w:r>
              <w:rPr>
                <w:rFonts w:hint="eastAsia"/>
                <w:highlight w:val="none"/>
                <w:vertAlign w:val="baseline"/>
                <w:lang w:val="en-US" w:eastAsia="zh-CN"/>
              </w:rPr>
              <w:t>220</w:t>
            </w:r>
          </w:p>
        </w:tc>
        <w:tc>
          <w:tcPr>
            <w:tcW w:w="1690" w:type="dxa"/>
            <w:noWrap w:val="0"/>
            <w:vAlign w:val="center"/>
          </w:tcPr>
          <w:p w14:paraId="75570E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肾单位、肾小体模型</w:t>
            </w:r>
          </w:p>
        </w:tc>
        <w:tc>
          <w:tcPr>
            <w:tcW w:w="5928" w:type="dxa"/>
            <w:noWrap w:val="0"/>
            <w:vAlign w:val="center"/>
          </w:tcPr>
          <w:p w14:paraId="0B24374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肾单位模型≥400 mm×240 mm</w:t>
            </w:r>
          </w:p>
        </w:tc>
        <w:tc>
          <w:tcPr>
            <w:tcW w:w="736" w:type="dxa"/>
            <w:noWrap w:val="0"/>
            <w:vAlign w:val="center"/>
          </w:tcPr>
          <w:p w14:paraId="7524B1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20E63A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AF8E1A0">
            <w:pPr>
              <w:jc w:val="center"/>
              <w:rPr>
                <w:highlight w:val="none"/>
              </w:rPr>
            </w:pPr>
          </w:p>
        </w:tc>
        <w:tc>
          <w:tcPr>
            <w:tcW w:w="710" w:type="dxa"/>
            <w:gridSpan w:val="2"/>
            <w:noWrap w:val="0"/>
            <w:vAlign w:val="center"/>
          </w:tcPr>
          <w:p w14:paraId="2D9E470B">
            <w:pPr>
              <w:jc w:val="both"/>
              <w:rPr>
                <w:highlight w:val="none"/>
                <w:vertAlign w:val="baseline"/>
              </w:rPr>
            </w:pPr>
          </w:p>
        </w:tc>
      </w:tr>
      <w:tr w14:paraId="56B8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F2F8014">
            <w:pPr>
              <w:jc w:val="center"/>
              <w:rPr>
                <w:rFonts w:hint="default"/>
                <w:highlight w:val="none"/>
                <w:vertAlign w:val="baseline"/>
                <w:lang w:val="en-US" w:eastAsia="zh-CN"/>
              </w:rPr>
            </w:pPr>
            <w:r>
              <w:rPr>
                <w:rFonts w:hint="eastAsia"/>
                <w:highlight w:val="none"/>
                <w:vertAlign w:val="baseline"/>
                <w:lang w:val="en-US" w:eastAsia="zh-CN"/>
              </w:rPr>
              <w:t>221</w:t>
            </w:r>
          </w:p>
        </w:tc>
        <w:tc>
          <w:tcPr>
            <w:tcW w:w="1690" w:type="dxa"/>
            <w:noWrap w:val="0"/>
            <w:vAlign w:val="center"/>
          </w:tcPr>
          <w:p w14:paraId="2A24A6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肾脏纵切</w:t>
            </w:r>
          </w:p>
        </w:tc>
        <w:tc>
          <w:tcPr>
            <w:tcW w:w="5928" w:type="dxa"/>
            <w:noWrap w:val="0"/>
            <w:vAlign w:val="center"/>
          </w:tcPr>
          <w:p w14:paraId="66798C1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50E2D5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02953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15C63FE">
            <w:pPr>
              <w:jc w:val="center"/>
              <w:rPr>
                <w:highlight w:val="none"/>
              </w:rPr>
            </w:pPr>
          </w:p>
        </w:tc>
        <w:tc>
          <w:tcPr>
            <w:tcW w:w="710" w:type="dxa"/>
            <w:gridSpan w:val="2"/>
            <w:noWrap w:val="0"/>
            <w:vAlign w:val="center"/>
          </w:tcPr>
          <w:p w14:paraId="39E8E130">
            <w:pPr>
              <w:jc w:val="both"/>
              <w:rPr>
                <w:highlight w:val="none"/>
                <w:vertAlign w:val="baseline"/>
              </w:rPr>
            </w:pPr>
          </w:p>
        </w:tc>
      </w:tr>
      <w:tr w14:paraId="2D5B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3D69F6">
            <w:pPr>
              <w:jc w:val="center"/>
              <w:rPr>
                <w:rFonts w:hint="default"/>
                <w:highlight w:val="none"/>
                <w:vertAlign w:val="baseline"/>
                <w:lang w:val="en-US" w:eastAsia="zh-CN"/>
              </w:rPr>
            </w:pPr>
            <w:r>
              <w:rPr>
                <w:rFonts w:hint="eastAsia"/>
                <w:highlight w:val="none"/>
                <w:vertAlign w:val="baseline"/>
                <w:lang w:val="en-US" w:eastAsia="zh-CN"/>
              </w:rPr>
              <w:t>222</w:t>
            </w:r>
          </w:p>
        </w:tc>
        <w:tc>
          <w:tcPr>
            <w:tcW w:w="1690" w:type="dxa"/>
            <w:noWrap w:val="0"/>
            <w:vAlign w:val="center"/>
          </w:tcPr>
          <w:p w14:paraId="61F51F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尿的形成动态模型</w:t>
            </w:r>
          </w:p>
        </w:tc>
        <w:tc>
          <w:tcPr>
            <w:tcW w:w="5928" w:type="dxa"/>
            <w:noWrap w:val="0"/>
            <w:vAlign w:val="center"/>
          </w:tcPr>
          <w:p w14:paraId="3CF99C4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能动态显示滤过和重吸收的过程</w:t>
            </w:r>
          </w:p>
        </w:tc>
        <w:tc>
          <w:tcPr>
            <w:tcW w:w="736" w:type="dxa"/>
            <w:noWrap w:val="0"/>
            <w:vAlign w:val="center"/>
          </w:tcPr>
          <w:p w14:paraId="6E389B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074FEE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1A530C2">
            <w:pPr>
              <w:jc w:val="center"/>
              <w:rPr>
                <w:highlight w:val="none"/>
              </w:rPr>
            </w:pPr>
          </w:p>
        </w:tc>
        <w:tc>
          <w:tcPr>
            <w:tcW w:w="710" w:type="dxa"/>
            <w:gridSpan w:val="2"/>
            <w:noWrap w:val="0"/>
            <w:vAlign w:val="center"/>
          </w:tcPr>
          <w:p w14:paraId="5DAD6902">
            <w:pPr>
              <w:jc w:val="both"/>
              <w:rPr>
                <w:highlight w:val="none"/>
                <w:vertAlign w:val="baseline"/>
              </w:rPr>
            </w:pPr>
          </w:p>
        </w:tc>
      </w:tr>
      <w:tr w14:paraId="271F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D181272">
            <w:pPr>
              <w:jc w:val="center"/>
              <w:rPr>
                <w:rFonts w:hint="default"/>
                <w:highlight w:val="none"/>
                <w:vertAlign w:val="baseline"/>
                <w:lang w:val="en-US" w:eastAsia="zh-CN"/>
              </w:rPr>
            </w:pPr>
            <w:r>
              <w:rPr>
                <w:rFonts w:hint="eastAsia"/>
                <w:highlight w:val="none"/>
                <w:vertAlign w:val="baseline"/>
                <w:lang w:val="en-US" w:eastAsia="zh-CN"/>
              </w:rPr>
              <w:t>223</w:t>
            </w:r>
          </w:p>
        </w:tc>
        <w:tc>
          <w:tcPr>
            <w:tcW w:w="1690" w:type="dxa"/>
            <w:noWrap w:val="0"/>
            <w:vAlign w:val="center"/>
          </w:tcPr>
          <w:p w14:paraId="750C2C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皮肤结构模型</w:t>
            </w:r>
          </w:p>
        </w:tc>
        <w:tc>
          <w:tcPr>
            <w:tcW w:w="5928" w:type="dxa"/>
            <w:noWrap w:val="0"/>
            <w:vAlign w:val="center"/>
          </w:tcPr>
          <w:p w14:paraId="21127E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可看到表皮层、真皮层、汗腺及毛囊等</w:t>
            </w:r>
          </w:p>
        </w:tc>
        <w:tc>
          <w:tcPr>
            <w:tcW w:w="736" w:type="dxa"/>
            <w:noWrap w:val="0"/>
            <w:vAlign w:val="center"/>
          </w:tcPr>
          <w:p w14:paraId="2AF38E8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41DAD0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DDE39EC">
            <w:pPr>
              <w:jc w:val="center"/>
              <w:rPr>
                <w:highlight w:val="none"/>
              </w:rPr>
            </w:pPr>
          </w:p>
        </w:tc>
        <w:tc>
          <w:tcPr>
            <w:tcW w:w="710" w:type="dxa"/>
            <w:gridSpan w:val="2"/>
            <w:noWrap w:val="0"/>
            <w:vAlign w:val="center"/>
          </w:tcPr>
          <w:p w14:paraId="7A138492">
            <w:pPr>
              <w:jc w:val="both"/>
              <w:rPr>
                <w:highlight w:val="none"/>
                <w:vertAlign w:val="baseline"/>
              </w:rPr>
            </w:pPr>
          </w:p>
        </w:tc>
      </w:tr>
      <w:tr w14:paraId="6D3B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04CAF7">
            <w:pPr>
              <w:jc w:val="center"/>
              <w:rPr>
                <w:rFonts w:hint="default"/>
                <w:highlight w:val="none"/>
                <w:vertAlign w:val="baseline"/>
                <w:lang w:val="en-US" w:eastAsia="zh-CN"/>
              </w:rPr>
            </w:pPr>
            <w:r>
              <w:rPr>
                <w:rFonts w:hint="eastAsia"/>
                <w:highlight w:val="none"/>
                <w:vertAlign w:val="baseline"/>
                <w:lang w:val="en-US" w:eastAsia="zh-CN"/>
              </w:rPr>
              <w:t>224</w:t>
            </w:r>
          </w:p>
        </w:tc>
        <w:tc>
          <w:tcPr>
            <w:tcW w:w="1690" w:type="dxa"/>
            <w:noWrap w:val="0"/>
            <w:vAlign w:val="center"/>
          </w:tcPr>
          <w:p w14:paraId="775934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人皮过毛囊切片</w:t>
            </w:r>
          </w:p>
        </w:tc>
        <w:tc>
          <w:tcPr>
            <w:tcW w:w="5928" w:type="dxa"/>
            <w:noWrap w:val="0"/>
            <w:vAlign w:val="center"/>
          </w:tcPr>
          <w:p w14:paraId="55BCB64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7BD519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41264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EF99A64">
            <w:pPr>
              <w:jc w:val="center"/>
              <w:rPr>
                <w:highlight w:val="none"/>
              </w:rPr>
            </w:pPr>
          </w:p>
        </w:tc>
        <w:tc>
          <w:tcPr>
            <w:tcW w:w="710" w:type="dxa"/>
            <w:gridSpan w:val="2"/>
            <w:noWrap w:val="0"/>
            <w:vAlign w:val="center"/>
          </w:tcPr>
          <w:p w14:paraId="6098013C">
            <w:pPr>
              <w:jc w:val="both"/>
              <w:rPr>
                <w:highlight w:val="none"/>
                <w:vertAlign w:val="baseline"/>
              </w:rPr>
            </w:pPr>
          </w:p>
        </w:tc>
      </w:tr>
      <w:tr w14:paraId="409E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40D75F">
            <w:pPr>
              <w:jc w:val="center"/>
              <w:rPr>
                <w:rFonts w:hint="default"/>
                <w:highlight w:val="none"/>
                <w:vertAlign w:val="baseline"/>
                <w:lang w:val="en-US" w:eastAsia="zh-CN"/>
              </w:rPr>
            </w:pPr>
            <w:r>
              <w:rPr>
                <w:rFonts w:hint="eastAsia"/>
                <w:highlight w:val="none"/>
                <w:vertAlign w:val="baseline"/>
                <w:lang w:val="en-US" w:eastAsia="zh-CN"/>
              </w:rPr>
              <w:t>225</w:t>
            </w:r>
          </w:p>
        </w:tc>
        <w:tc>
          <w:tcPr>
            <w:tcW w:w="1690" w:type="dxa"/>
            <w:noWrap w:val="0"/>
            <w:vAlign w:val="center"/>
          </w:tcPr>
          <w:p w14:paraId="24E340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人皮过汗腺切片</w:t>
            </w:r>
          </w:p>
        </w:tc>
        <w:tc>
          <w:tcPr>
            <w:tcW w:w="5928" w:type="dxa"/>
            <w:noWrap w:val="0"/>
            <w:vAlign w:val="center"/>
          </w:tcPr>
          <w:p w14:paraId="40C7FD6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7D4215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855B9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369A652">
            <w:pPr>
              <w:jc w:val="center"/>
              <w:rPr>
                <w:highlight w:val="none"/>
              </w:rPr>
            </w:pPr>
          </w:p>
        </w:tc>
        <w:tc>
          <w:tcPr>
            <w:tcW w:w="710" w:type="dxa"/>
            <w:gridSpan w:val="2"/>
            <w:noWrap w:val="0"/>
            <w:vAlign w:val="center"/>
          </w:tcPr>
          <w:p w14:paraId="18F4930B">
            <w:pPr>
              <w:jc w:val="both"/>
              <w:rPr>
                <w:highlight w:val="none"/>
                <w:vertAlign w:val="baseline"/>
              </w:rPr>
            </w:pPr>
          </w:p>
        </w:tc>
      </w:tr>
      <w:tr w14:paraId="5FA7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14FAC6">
            <w:pPr>
              <w:jc w:val="center"/>
              <w:rPr>
                <w:rFonts w:hint="default"/>
                <w:highlight w:val="none"/>
                <w:vertAlign w:val="baseline"/>
                <w:lang w:val="en-US" w:eastAsia="zh-CN"/>
              </w:rPr>
            </w:pPr>
            <w:r>
              <w:rPr>
                <w:rFonts w:hint="eastAsia"/>
                <w:highlight w:val="none"/>
                <w:vertAlign w:val="baseline"/>
                <w:lang w:val="en-US" w:eastAsia="zh-CN"/>
              </w:rPr>
              <w:t>226</w:t>
            </w:r>
          </w:p>
        </w:tc>
        <w:tc>
          <w:tcPr>
            <w:tcW w:w="1690" w:type="dxa"/>
            <w:noWrap w:val="0"/>
            <w:vAlign w:val="center"/>
          </w:tcPr>
          <w:p w14:paraId="2064C3C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眼球解剖模型</w:t>
            </w:r>
          </w:p>
        </w:tc>
        <w:tc>
          <w:tcPr>
            <w:tcW w:w="5928" w:type="dxa"/>
            <w:noWrap w:val="0"/>
            <w:vAlign w:val="center"/>
          </w:tcPr>
          <w:p w14:paraId="16994F2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 倍自然大</w:t>
            </w:r>
          </w:p>
        </w:tc>
        <w:tc>
          <w:tcPr>
            <w:tcW w:w="736" w:type="dxa"/>
            <w:noWrap w:val="0"/>
            <w:vAlign w:val="center"/>
          </w:tcPr>
          <w:p w14:paraId="352B534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7CD42C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3396" w:type="dxa"/>
            <w:gridSpan w:val="2"/>
            <w:noWrap w:val="0"/>
            <w:vAlign w:val="center"/>
          </w:tcPr>
          <w:p w14:paraId="063B69AB">
            <w:pPr>
              <w:jc w:val="center"/>
              <w:rPr>
                <w:highlight w:val="none"/>
              </w:rPr>
            </w:pPr>
          </w:p>
        </w:tc>
        <w:tc>
          <w:tcPr>
            <w:tcW w:w="710" w:type="dxa"/>
            <w:gridSpan w:val="2"/>
            <w:noWrap w:val="0"/>
            <w:vAlign w:val="center"/>
          </w:tcPr>
          <w:p w14:paraId="214B6BEF">
            <w:pPr>
              <w:jc w:val="both"/>
              <w:rPr>
                <w:highlight w:val="none"/>
                <w:vertAlign w:val="baseline"/>
              </w:rPr>
            </w:pPr>
          </w:p>
        </w:tc>
      </w:tr>
      <w:tr w14:paraId="051B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D52F79">
            <w:pPr>
              <w:jc w:val="center"/>
              <w:rPr>
                <w:rFonts w:hint="default"/>
                <w:highlight w:val="none"/>
                <w:vertAlign w:val="baseline"/>
                <w:lang w:val="en-US" w:eastAsia="zh-CN"/>
              </w:rPr>
            </w:pPr>
            <w:r>
              <w:rPr>
                <w:rFonts w:hint="eastAsia"/>
                <w:highlight w:val="none"/>
                <w:vertAlign w:val="baseline"/>
                <w:lang w:val="en-US" w:eastAsia="zh-CN"/>
              </w:rPr>
              <w:t>227</w:t>
            </w:r>
          </w:p>
        </w:tc>
        <w:tc>
          <w:tcPr>
            <w:tcW w:w="1690" w:type="dxa"/>
            <w:noWrap w:val="0"/>
            <w:vAlign w:val="center"/>
          </w:tcPr>
          <w:p w14:paraId="1CF681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眼球仪</w:t>
            </w:r>
          </w:p>
        </w:tc>
        <w:tc>
          <w:tcPr>
            <w:tcW w:w="5928" w:type="dxa"/>
            <w:noWrap w:val="0"/>
            <w:vAlign w:val="center"/>
          </w:tcPr>
          <w:p w14:paraId="17E80F1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晶状体曲度调节器、光源、矫正镜盘</w:t>
            </w:r>
          </w:p>
        </w:tc>
        <w:tc>
          <w:tcPr>
            <w:tcW w:w="736" w:type="dxa"/>
            <w:noWrap w:val="0"/>
            <w:vAlign w:val="center"/>
          </w:tcPr>
          <w:p w14:paraId="2E8FDD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834" w:type="dxa"/>
            <w:noWrap w:val="0"/>
            <w:vAlign w:val="center"/>
          </w:tcPr>
          <w:p w14:paraId="3B6C7D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D484933">
            <w:pPr>
              <w:jc w:val="center"/>
              <w:rPr>
                <w:highlight w:val="none"/>
              </w:rPr>
            </w:pPr>
          </w:p>
        </w:tc>
        <w:tc>
          <w:tcPr>
            <w:tcW w:w="710" w:type="dxa"/>
            <w:gridSpan w:val="2"/>
            <w:noWrap w:val="0"/>
            <w:vAlign w:val="center"/>
          </w:tcPr>
          <w:p w14:paraId="476EE5B3">
            <w:pPr>
              <w:jc w:val="both"/>
              <w:rPr>
                <w:highlight w:val="none"/>
                <w:vertAlign w:val="baseline"/>
              </w:rPr>
            </w:pPr>
          </w:p>
        </w:tc>
      </w:tr>
      <w:tr w14:paraId="3F0E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6C5A43">
            <w:pPr>
              <w:jc w:val="center"/>
              <w:rPr>
                <w:rFonts w:hint="default"/>
                <w:highlight w:val="none"/>
                <w:vertAlign w:val="baseline"/>
                <w:lang w:val="en-US" w:eastAsia="zh-CN"/>
              </w:rPr>
            </w:pPr>
            <w:r>
              <w:rPr>
                <w:rFonts w:hint="eastAsia"/>
                <w:highlight w:val="none"/>
                <w:vertAlign w:val="baseline"/>
                <w:lang w:val="en-US" w:eastAsia="zh-CN"/>
              </w:rPr>
              <w:t>228</w:t>
            </w:r>
          </w:p>
        </w:tc>
        <w:tc>
          <w:tcPr>
            <w:tcW w:w="1690" w:type="dxa"/>
            <w:noWrap w:val="0"/>
            <w:vAlign w:val="center"/>
          </w:tcPr>
          <w:p w14:paraId="39F5E3F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耳解剖放大模型</w:t>
            </w:r>
          </w:p>
        </w:tc>
        <w:tc>
          <w:tcPr>
            <w:tcW w:w="5928" w:type="dxa"/>
            <w:noWrap w:val="0"/>
            <w:vAlign w:val="center"/>
          </w:tcPr>
          <w:p w14:paraId="5004B26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 倍自然大</w:t>
            </w:r>
          </w:p>
        </w:tc>
        <w:tc>
          <w:tcPr>
            <w:tcW w:w="736" w:type="dxa"/>
            <w:noWrap w:val="0"/>
            <w:vAlign w:val="center"/>
          </w:tcPr>
          <w:p w14:paraId="4B4840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4DA764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7909F28">
            <w:pPr>
              <w:jc w:val="center"/>
              <w:rPr>
                <w:highlight w:val="none"/>
              </w:rPr>
            </w:pPr>
          </w:p>
        </w:tc>
        <w:tc>
          <w:tcPr>
            <w:tcW w:w="710" w:type="dxa"/>
            <w:gridSpan w:val="2"/>
            <w:noWrap w:val="0"/>
            <w:vAlign w:val="center"/>
          </w:tcPr>
          <w:p w14:paraId="124BE8E4">
            <w:pPr>
              <w:jc w:val="both"/>
              <w:rPr>
                <w:highlight w:val="none"/>
                <w:vertAlign w:val="baseline"/>
              </w:rPr>
            </w:pPr>
          </w:p>
        </w:tc>
      </w:tr>
      <w:tr w14:paraId="4E08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AF7506">
            <w:pPr>
              <w:jc w:val="center"/>
              <w:rPr>
                <w:rFonts w:hint="default"/>
                <w:highlight w:val="none"/>
                <w:vertAlign w:val="baseline"/>
                <w:lang w:val="en-US" w:eastAsia="zh-CN"/>
              </w:rPr>
            </w:pPr>
            <w:r>
              <w:rPr>
                <w:rFonts w:hint="eastAsia"/>
                <w:highlight w:val="none"/>
                <w:vertAlign w:val="baseline"/>
                <w:lang w:val="en-US" w:eastAsia="zh-CN"/>
              </w:rPr>
              <w:t>229</w:t>
            </w:r>
          </w:p>
        </w:tc>
        <w:tc>
          <w:tcPr>
            <w:tcW w:w="1690" w:type="dxa"/>
            <w:noWrap w:val="0"/>
            <w:vAlign w:val="center"/>
          </w:tcPr>
          <w:p w14:paraId="6FB183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脑解剖模型</w:t>
            </w:r>
          </w:p>
        </w:tc>
        <w:tc>
          <w:tcPr>
            <w:tcW w:w="5928" w:type="dxa"/>
            <w:noWrap w:val="0"/>
            <w:vAlign w:val="center"/>
          </w:tcPr>
          <w:p w14:paraId="1A06164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自然大</w:t>
            </w:r>
          </w:p>
        </w:tc>
        <w:tc>
          <w:tcPr>
            <w:tcW w:w="736" w:type="dxa"/>
            <w:noWrap w:val="0"/>
            <w:vAlign w:val="center"/>
          </w:tcPr>
          <w:p w14:paraId="46DA87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76E4BB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5735AA9">
            <w:pPr>
              <w:jc w:val="center"/>
              <w:rPr>
                <w:highlight w:val="none"/>
              </w:rPr>
            </w:pPr>
          </w:p>
        </w:tc>
        <w:tc>
          <w:tcPr>
            <w:tcW w:w="710" w:type="dxa"/>
            <w:gridSpan w:val="2"/>
            <w:noWrap w:val="0"/>
            <w:vAlign w:val="center"/>
          </w:tcPr>
          <w:p w14:paraId="1BBEBC2E">
            <w:pPr>
              <w:jc w:val="both"/>
              <w:rPr>
                <w:highlight w:val="none"/>
                <w:vertAlign w:val="baseline"/>
              </w:rPr>
            </w:pPr>
          </w:p>
        </w:tc>
      </w:tr>
      <w:tr w14:paraId="3BC6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5521DBD">
            <w:pPr>
              <w:jc w:val="center"/>
              <w:rPr>
                <w:rFonts w:hint="default"/>
                <w:highlight w:val="none"/>
                <w:vertAlign w:val="baseline"/>
                <w:lang w:val="en-US" w:eastAsia="zh-CN"/>
              </w:rPr>
            </w:pPr>
            <w:r>
              <w:rPr>
                <w:rFonts w:hint="eastAsia"/>
                <w:highlight w:val="none"/>
                <w:vertAlign w:val="baseline"/>
                <w:lang w:val="en-US" w:eastAsia="zh-CN"/>
              </w:rPr>
              <w:t>230</w:t>
            </w:r>
          </w:p>
        </w:tc>
        <w:tc>
          <w:tcPr>
            <w:tcW w:w="1690" w:type="dxa"/>
            <w:noWrap w:val="0"/>
            <w:vAlign w:val="center"/>
          </w:tcPr>
          <w:p w14:paraId="3C4E0D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脊髓横切</w:t>
            </w:r>
          </w:p>
        </w:tc>
        <w:tc>
          <w:tcPr>
            <w:tcW w:w="5928" w:type="dxa"/>
            <w:noWrap w:val="0"/>
            <w:vAlign w:val="center"/>
          </w:tcPr>
          <w:p w14:paraId="64A1769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084EB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片  </w:t>
            </w:r>
          </w:p>
        </w:tc>
        <w:tc>
          <w:tcPr>
            <w:tcW w:w="834" w:type="dxa"/>
            <w:noWrap w:val="0"/>
            <w:vAlign w:val="center"/>
          </w:tcPr>
          <w:p w14:paraId="312A0F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158C7C90">
            <w:pPr>
              <w:jc w:val="center"/>
              <w:rPr>
                <w:highlight w:val="none"/>
              </w:rPr>
            </w:pPr>
          </w:p>
        </w:tc>
        <w:tc>
          <w:tcPr>
            <w:tcW w:w="710" w:type="dxa"/>
            <w:gridSpan w:val="2"/>
            <w:noWrap w:val="0"/>
            <w:vAlign w:val="center"/>
          </w:tcPr>
          <w:p w14:paraId="5EC1E9B1">
            <w:pPr>
              <w:jc w:val="both"/>
              <w:rPr>
                <w:highlight w:val="none"/>
                <w:vertAlign w:val="baseline"/>
              </w:rPr>
            </w:pPr>
          </w:p>
        </w:tc>
      </w:tr>
      <w:tr w14:paraId="0188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BD534E2">
            <w:pPr>
              <w:jc w:val="center"/>
              <w:rPr>
                <w:rFonts w:hint="default"/>
                <w:highlight w:val="none"/>
                <w:vertAlign w:val="baseline"/>
                <w:lang w:val="en-US" w:eastAsia="zh-CN"/>
              </w:rPr>
            </w:pPr>
            <w:r>
              <w:rPr>
                <w:rFonts w:hint="eastAsia"/>
                <w:highlight w:val="none"/>
                <w:vertAlign w:val="baseline"/>
                <w:lang w:val="en-US" w:eastAsia="zh-CN"/>
              </w:rPr>
              <w:t>231</w:t>
            </w:r>
          </w:p>
        </w:tc>
        <w:tc>
          <w:tcPr>
            <w:tcW w:w="1690" w:type="dxa"/>
            <w:noWrap w:val="0"/>
            <w:vAlign w:val="center"/>
          </w:tcPr>
          <w:p w14:paraId="45BB681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运动神经末梢装片</w:t>
            </w:r>
          </w:p>
        </w:tc>
        <w:tc>
          <w:tcPr>
            <w:tcW w:w="5928" w:type="dxa"/>
            <w:noWrap w:val="0"/>
            <w:vAlign w:val="center"/>
          </w:tcPr>
          <w:p w14:paraId="54D5F93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A5ADD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片  </w:t>
            </w:r>
          </w:p>
        </w:tc>
        <w:tc>
          <w:tcPr>
            <w:tcW w:w="834" w:type="dxa"/>
            <w:noWrap w:val="0"/>
            <w:vAlign w:val="center"/>
          </w:tcPr>
          <w:p w14:paraId="4B9187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7877D9F7">
            <w:pPr>
              <w:jc w:val="center"/>
              <w:rPr>
                <w:highlight w:val="none"/>
              </w:rPr>
            </w:pPr>
          </w:p>
        </w:tc>
        <w:tc>
          <w:tcPr>
            <w:tcW w:w="710" w:type="dxa"/>
            <w:gridSpan w:val="2"/>
            <w:noWrap w:val="0"/>
            <w:vAlign w:val="center"/>
          </w:tcPr>
          <w:p w14:paraId="39ED2452">
            <w:pPr>
              <w:jc w:val="both"/>
              <w:rPr>
                <w:highlight w:val="none"/>
                <w:vertAlign w:val="baseline"/>
              </w:rPr>
            </w:pPr>
          </w:p>
        </w:tc>
      </w:tr>
      <w:tr w14:paraId="0A34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EEFF9B">
            <w:pPr>
              <w:jc w:val="center"/>
              <w:rPr>
                <w:rFonts w:hint="default"/>
                <w:highlight w:val="none"/>
                <w:vertAlign w:val="baseline"/>
                <w:lang w:val="en-US" w:eastAsia="zh-CN"/>
              </w:rPr>
            </w:pPr>
            <w:r>
              <w:rPr>
                <w:rFonts w:hint="eastAsia"/>
                <w:highlight w:val="none"/>
                <w:vertAlign w:val="baseline"/>
                <w:lang w:val="en-US" w:eastAsia="zh-CN"/>
              </w:rPr>
              <w:t>232</w:t>
            </w:r>
          </w:p>
        </w:tc>
        <w:tc>
          <w:tcPr>
            <w:tcW w:w="1690" w:type="dxa"/>
            <w:noWrap w:val="0"/>
            <w:vAlign w:val="center"/>
          </w:tcPr>
          <w:p w14:paraId="3450BF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橡皮锤</w:t>
            </w:r>
          </w:p>
        </w:tc>
        <w:tc>
          <w:tcPr>
            <w:tcW w:w="5928" w:type="dxa"/>
            <w:noWrap w:val="0"/>
            <w:vAlign w:val="center"/>
          </w:tcPr>
          <w:p w14:paraId="3492EA7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膝跳反射用</w:t>
            </w:r>
          </w:p>
        </w:tc>
        <w:tc>
          <w:tcPr>
            <w:tcW w:w="736" w:type="dxa"/>
            <w:noWrap w:val="0"/>
            <w:vAlign w:val="center"/>
          </w:tcPr>
          <w:p w14:paraId="3A1A06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把</w:t>
            </w:r>
          </w:p>
        </w:tc>
        <w:tc>
          <w:tcPr>
            <w:tcW w:w="834" w:type="dxa"/>
            <w:noWrap w:val="0"/>
            <w:vAlign w:val="center"/>
          </w:tcPr>
          <w:p w14:paraId="138E77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3396" w:type="dxa"/>
            <w:gridSpan w:val="2"/>
            <w:noWrap w:val="0"/>
            <w:vAlign w:val="center"/>
          </w:tcPr>
          <w:p w14:paraId="23FC3E5C">
            <w:pPr>
              <w:jc w:val="center"/>
              <w:rPr>
                <w:highlight w:val="none"/>
              </w:rPr>
            </w:pPr>
          </w:p>
        </w:tc>
        <w:tc>
          <w:tcPr>
            <w:tcW w:w="710" w:type="dxa"/>
            <w:gridSpan w:val="2"/>
            <w:noWrap w:val="0"/>
            <w:vAlign w:val="center"/>
          </w:tcPr>
          <w:p w14:paraId="751DEBF5">
            <w:pPr>
              <w:jc w:val="both"/>
              <w:rPr>
                <w:highlight w:val="none"/>
                <w:vertAlign w:val="baseline"/>
              </w:rPr>
            </w:pPr>
          </w:p>
        </w:tc>
      </w:tr>
      <w:tr w14:paraId="137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9A09A7">
            <w:pPr>
              <w:jc w:val="center"/>
              <w:rPr>
                <w:rFonts w:hint="default"/>
                <w:highlight w:val="none"/>
                <w:vertAlign w:val="baseline"/>
                <w:lang w:val="en-US" w:eastAsia="zh-CN"/>
              </w:rPr>
            </w:pPr>
            <w:r>
              <w:rPr>
                <w:rFonts w:hint="eastAsia"/>
                <w:highlight w:val="none"/>
                <w:vertAlign w:val="baseline"/>
                <w:lang w:val="en-US" w:eastAsia="zh-CN"/>
              </w:rPr>
              <w:t>233</w:t>
            </w:r>
          </w:p>
        </w:tc>
        <w:tc>
          <w:tcPr>
            <w:tcW w:w="1690" w:type="dxa"/>
            <w:noWrap w:val="0"/>
            <w:vAlign w:val="center"/>
          </w:tcPr>
          <w:p w14:paraId="2472A8B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人体骨骼模型</w:t>
            </w:r>
          </w:p>
        </w:tc>
        <w:tc>
          <w:tcPr>
            <w:tcW w:w="5928" w:type="dxa"/>
            <w:noWrap w:val="0"/>
            <w:vAlign w:val="center"/>
          </w:tcPr>
          <w:p w14:paraId="737B71D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85CM</w:t>
            </w:r>
          </w:p>
        </w:tc>
        <w:tc>
          <w:tcPr>
            <w:tcW w:w="736" w:type="dxa"/>
            <w:noWrap w:val="0"/>
            <w:vAlign w:val="center"/>
          </w:tcPr>
          <w:p w14:paraId="17B5E1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6A3E74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7437691">
            <w:pPr>
              <w:jc w:val="center"/>
              <w:rPr>
                <w:highlight w:val="none"/>
              </w:rPr>
            </w:pPr>
          </w:p>
        </w:tc>
        <w:tc>
          <w:tcPr>
            <w:tcW w:w="710" w:type="dxa"/>
            <w:gridSpan w:val="2"/>
            <w:noWrap w:val="0"/>
            <w:vAlign w:val="center"/>
          </w:tcPr>
          <w:p w14:paraId="05C571FF">
            <w:pPr>
              <w:jc w:val="both"/>
              <w:rPr>
                <w:highlight w:val="none"/>
                <w:vertAlign w:val="baseline"/>
              </w:rPr>
            </w:pPr>
          </w:p>
        </w:tc>
      </w:tr>
      <w:tr w14:paraId="37E7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E8A92B">
            <w:pPr>
              <w:jc w:val="center"/>
              <w:rPr>
                <w:rFonts w:hint="default"/>
                <w:highlight w:val="none"/>
                <w:vertAlign w:val="baseline"/>
                <w:lang w:val="en-US" w:eastAsia="zh-CN"/>
              </w:rPr>
            </w:pPr>
            <w:r>
              <w:rPr>
                <w:rFonts w:hint="eastAsia"/>
                <w:highlight w:val="none"/>
                <w:vertAlign w:val="baseline"/>
                <w:lang w:val="en-US" w:eastAsia="zh-CN"/>
              </w:rPr>
              <w:t>234</w:t>
            </w:r>
          </w:p>
        </w:tc>
        <w:tc>
          <w:tcPr>
            <w:tcW w:w="1690" w:type="dxa"/>
            <w:noWrap w:val="0"/>
            <w:vAlign w:val="center"/>
          </w:tcPr>
          <w:p w14:paraId="2A049B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人体骨骼模型</w:t>
            </w:r>
          </w:p>
        </w:tc>
        <w:tc>
          <w:tcPr>
            <w:tcW w:w="5928" w:type="dxa"/>
            <w:noWrap w:val="0"/>
            <w:vAlign w:val="center"/>
          </w:tcPr>
          <w:p w14:paraId="16FA664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170cm</w:t>
            </w:r>
          </w:p>
        </w:tc>
        <w:tc>
          <w:tcPr>
            <w:tcW w:w="736" w:type="dxa"/>
            <w:noWrap w:val="0"/>
            <w:vAlign w:val="center"/>
          </w:tcPr>
          <w:p w14:paraId="3B40BB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58DEE60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E47071F">
            <w:pPr>
              <w:jc w:val="center"/>
              <w:rPr>
                <w:highlight w:val="none"/>
              </w:rPr>
            </w:pPr>
          </w:p>
        </w:tc>
        <w:tc>
          <w:tcPr>
            <w:tcW w:w="710" w:type="dxa"/>
            <w:gridSpan w:val="2"/>
            <w:noWrap w:val="0"/>
            <w:vAlign w:val="center"/>
          </w:tcPr>
          <w:p w14:paraId="30CD62FD">
            <w:pPr>
              <w:jc w:val="both"/>
              <w:rPr>
                <w:highlight w:val="none"/>
                <w:vertAlign w:val="baseline"/>
              </w:rPr>
            </w:pPr>
          </w:p>
        </w:tc>
      </w:tr>
      <w:tr w14:paraId="1925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97D7016">
            <w:pPr>
              <w:jc w:val="center"/>
              <w:rPr>
                <w:rFonts w:hint="default"/>
                <w:highlight w:val="none"/>
                <w:vertAlign w:val="baseline"/>
                <w:lang w:val="en-US" w:eastAsia="zh-CN"/>
              </w:rPr>
            </w:pPr>
            <w:r>
              <w:rPr>
                <w:rFonts w:hint="eastAsia"/>
                <w:highlight w:val="none"/>
                <w:vertAlign w:val="baseline"/>
                <w:lang w:val="en-US" w:eastAsia="zh-CN"/>
              </w:rPr>
              <w:t>235</w:t>
            </w:r>
          </w:p>
        </w:tc>
        <w:tc>
          <w:tcPr>
            <w:tcW w:w="1690" w:type="dxa"/>
            <w:noWrap w:val="0"/>
            <w:vAlign w:val="center"/>
          </w:tcPr>
          <w:p w14:paraId="586430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人体肌肉模型</w:t>
            </w:r>
          </w:p>
        </w:tc>
        <w:tc>
          <w:tcPr>
            <w:tcW w:w="5928" w:type="dxa"/>
            <w:noWrap w:val="0"/>
            <w:vAlign w:val="center"/>
          </w:tcPr>
          <w:p w14:paraId="102CFF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85CM高，示浅层肌及部分深层肌</w:t>
            </w:r>
          </w:p>
        </w:tc>
        <w:tc>
          <w:tcPr>
            <w:tcW w:w="736" w:type="dxa"/>
            <w:noWrap w:val="0"/>
            <w:vAlign w:val="center"/>
          </w:tcPr>
          <w:p w14:paraId="3CA297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55D977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2AD1236">
            <w:pPr>
              <w:jc w:val="center"/>
              <w:rPr>
                <w:highlight w:val="none"/>
              </w:rPr>
            </w:pPr>
          </w:p>
        </w:tc>
        <w:tc>
          <w:tcPr>
            <w:tcW w:w="710" w:type="dxa"/>
            <w:gridSpan w:val="2"/>
            <w:noWrap w:val="0"/>
            <w:vAlign w:val="center"/>
          </w:tcPr>
          <w:p w14:paraId="4CF821EA">
            <w:pPr>
              <w:jc w:val="both"/>
              <w:rPr>
                <w:highlight w:val="none"/>
                <w:vertAlign w:val="baseline"/>
              </w:rPr>
            </w:pPr>
          </w:p>
        </w:tc>
      </w:tr>
      <w:tr w14:paraId="1708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5A7D1D4">
            <w:pPr>
              <w:jc w:val="center"/>
              <w:rPr>
                <w:rFonts w:hint="default"/>
                <w:highlight w:val="none"/>
                <w:vertAlign w:val="baseline"/>
                <w:lang w:val="en-US" w:eastAsia="zh-CN"/>
              </w:rPr>
            </w:pPr>
            <w:r>
              <w:rPr>
                <w:rFonts w:hint="eastAsia"/>
                <w:highlight w:val="none"/>
                <w:vertAlign w:val="baseline"/>
                <w:lang w:val="en-US" w:eastAsia="zh-CN"/>
              </w:rPr>
              <w:t>236</w:t>
            </w:r>
          </w:p>
        </w:tc>
        <w:tc>
          <w:tcPr>
            <w:tcW w:w="1690" w:type="dxa"/>
            <w:noWrap w:val="0"/>
            <w:vAlign w:val="center"/>
          </w:tcPr>
          <w:p w14:paraId="325B52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肘关节活动模型</w:t>
            </w:r>
          </w:p>
        </w:tc>
        <w:tc>
          <w:tcPr>
            <w:tcW w:w="5928" w:type="dxa"/>
            <w:noWrap w:val="0"/>
            <w:vAlign w:val="center"/>
          </w:tcPr>
          <w:p w14:paraId="2B9D36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附肩胛骨</w:t>
            </w:r>
          </w:p>
        </w:tc>
        <w:tc>
          <w:tcPr>
            <w:tcW w:w="736" w:type="dxa"/>
            <w:noWrap w:val="0"/>
            <w:vAlign w:val="center"/>
          </w:tcPr>
          <w:p w14:paraId="26D6F2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1A2F97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213C4E6">
            <w:pPr>
              <w:jc w:val="center"/>
              <w:rPr>
                <w:highlight w:val="none"/>
              </w:rPr>
            </w:pPr>
          </w:p>
        </w:tc>
        <w:tc>
          <w:tcPr>
            <w:tcW w:w="710" w:type="dxa"/>
            <w:gridSpan w:val="2"/>
            <w:noWrap w:val="0"/>
            <w:vAlign w:val="center"/>
          </w:tcPr>
          <w:p w14:paraId="48BAA195">
            <w:pPr>
              <w:jc w:val="both"/>
              <w:rPr>
                <w:highlight w:val="none"/>
                <w:vertAlign w:val="baseline"/>
              </w:rPr>
            </w:pPr>
          </w:p>
        </w:tc>
      </w:tr>
      <w:tr w14:paraId="1CB2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D6EA4D">
            <w:pPr>
              <w:jc w:val="center"/>
              <w:rPr>
                <w:rFonts w:hint="default"/>
                <w:highlight w:val="none"/>
                <w:vertAlign w:val="baseline"/>
                <w:lang w:val="en-US" w:eastAsia="zh-CN"/>
              </w:rPr>
            </w:pPr>
            <w:r>
              <w:rPr>
                <w:rFonts w:hint="eastAsia"/>
                <w:highlight w:val="none"/>
                <w:vertAlign w:val="baseline"/>
                <w:lang w:val="en-US" w:eastAsia="zh-CN"/>
              </w:rPr>
              <w:t>237</w:t>
            </w:r>
          </w:p>
        </w:tc>
        <w:tc>
          <w:tcPr>
            <w:tcW w:w="1690" w:type="dxa"/>
            <w:noWrap w:val="0"/>
            <w:vAlign w:val="center"/>
          </w:tcPr>
          <w:p w14:paraId="13D551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兔骨骼标本</w:t>
            </w:r>
          </w:p>
        </w:tc>
        <w:tc>
          <w:tcPr>
            <w:tcW w:w="5928" w:type="dxa"/>
            <w:noWrap w:val="0"/>
            <w:vAlign w:val="center"/>
          </w:tcPr>
          <w:p w14:paraId="0ABE576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3FDA461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51FA18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35D7F10">
            <w:pPr>
              <w:jc w:val="center"/>
              <w:rPr>
                <w:highlight w:val="none"/>
              </w:rPr>
            </w:pPr>
          </w:p>
        </w:tc>
        <w:tc>
          <w:tcPr>
            <w:tcW w:w="710" w:type="dxa"/>
            <w:gridSpan w:val="2"/>
            <w:noWrap w:val="0"/>
            <w:vAlign w:val="center"/>
          </w:tcPr>
          <w:p w14:paraId="7E44C827">
            <w:pPr>
              <w:jc w:val="both"/>
              <w:rPr>
                <w:highlight w:val="none"/>
                <w:vertAlign w:val="baseline"/>
              </w:rPr>
            </w:pPr>
          </w:p>
        </w:tc>
      </w:tr>
      <w:tr w14:paraId="3D09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0AB7553A">
            <w:pPr>
              <w:jc w:val="center"/>
              <w:rPr>
                <w:rFonts w:hint="default"/>
                <w:highlight w:val="none"/>
                <w:vertAlign w:val="baseline"/>
                <w:lang w:val="en-US" w:eastAsia="zh-CN"/>
              </w:rPr>
            </w:pPr>
            <w:r>
              <w:rPr>
                <w:rFonts w:hint="eastAsia"/>
                <w:highlight w:val="none"/>
                <w:vertAlign w:val="baseline"/>
                <w:lang w:val="en-US" w:eastAsia="zh-CN"/>
              </w:rPr>
              <w:t>238</w:t>
            </w:r>
          </w:p>
        </w:tc>
        <w:tc>
          <w:tcPr>
            <w:tcW w:w="1690" w:type="dxa"/>
            <w:noWrap w:val="0"/>
            <w:vAlign w:val="center"/>
          </w:tcPr>
          <w:p w14:paraId="4F4FB8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鱼骨骼标本</w:t>
            </w:r>
          </w:p>
        </w:tc>
        <w:tc>
          <w:tcPr>
            <w:tcW w:w="5928" w:type="dxa"/>
            <w:noWrap w:val="0"/>
            <w:vAlign w:val="center"/>
          </w:tcPr>
          <w:p w14:paraId="68BF859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2300C89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6DC9F2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DD4784C">
            <w:pPr>
              <w:jc w:val="center"/>
              <w:rPr>
                <w:highlight w:val="none"/>
              </w:rPr>
            </w:pPr>
          </w:p>
        </w:tc>
        <w:tc>
          <w:tcPr>
            <w:tcW w:w="710" w:type="dxa"/>
            <w:gridSpan w:val="2"/>
            <w:noWrap w:val="0"/>
            <w:vAlign w:val="center"/>
          </w:tcPr>
          <w:p w14:paraId="527155AB">
            <w:pPr>
              <w:jc w:val="both"/>
              <w:rPr>
                <w:highlight w:val="none"/>
                <w:vertAlign w:val="baseline"/>
              </w:rPr>
            </w:pPr>
          </w:p>
        </w:tc>
      </w:tr>
      <w:tr w14:paraId="385D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E6C82F">
            <w:pPr>
              <w:jc w:val="center"/>
              <w:rPr>
                <w:rFonts w:hint="default"/>
                <w:highlight w:val="none"/>
                <w:vertAlign w:val="baseline"/>
                <w:lang w:val="en-US" w:eastAsia="zh-CN"/>
              </w:rPr>
            </w:pPr>
            <w:r>
              <w:rPr>
                <w:rFonts w:hint="eastAsia"/>
                <w:highlight w:val="none"/>
                <w:vertAlign w:val="baseline"/>
                <w:lang w:val="en-US" w:eastAsia="zh-CN"/>
              </w:rPr>
              <w:t>239</w:t>
            </w:r>
          </w:p>
        </w:tc>
        <w:tc>
          <w:tcPr>
            <w:tcW w:w="1690" w:type="dxa"/>
            <w:noWrap w:val="0"/>
            <w:vAlign w:val="center"/>
          </w:tcPr>
          <w:p w14:paraId="137C2D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蛙骨骼标本</w:t>
            </w:r>
          </w:p>
        </w:tc>
        <w:tc>
          <w:tcPr>
            <w:tcW w:w="5928" w:type="dxa"/>
            <w:noWrap w:val="0"/>
            <w:vAlign w:val="center"/>
          </w:tcPr>
          <w:p w14:paraId="4837A49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0C17A9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2AF6C3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21A5858">
            <w:pPr>
              <w:jc w:val="center"/>
              <w:rPr>
                <w:highlight w:val="none"/>
              </w:rPr>
            </w:pPr>
          </w:p>
        </w:tc>
        <w:tc>
          <w:tcPr>
            <w:tcW w:w="710" w:type="dxa"/>
            <w:gridSpan w:val="2"/>
            <w:noWrap w:val="0"/>
            <w:vAlign w:val="center"/>
          </w:tcPr>
          <w:p w14:paraId="6F99C050">
            <w:pPr>
              <w:jc w:val="both"/>
              <w:rPr>
                <w:highlight w:val="none"/>
                <w:vertAlign w:val="baseline"/>
              </w:rPr>
            </w:pPr>
          </w:p>
        </w:tc>
      </w:tr>
      <w:tr w14:paraId="7E7C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B7E5596">
            <w:pPr>
              <w:jc w:val="center"/>
              <w:rPr>
                <w:rFonts w:hint="default"/>
                <w:highlight w:val="none"/>
                <w:vertAlign w:val="baseline"/>
                <w:lang w:val="en-US" w:eastAsia="zh-CN"/>
              </w:rPr>
            </w:pPr>
            <w:r>
              <w:rPr>
                <w:rFonts w:hint="eastAsia"/>
                <w:highlight w:val="none"/>
                <w:vertAlign w:val="baseline"/>
                <w:lang w:val="en-US" w:eastAsia="zh-CN"/>
              </w:rPr>
              <w:t>240</w:t>
            </w:r>
          </w:p>
        </w:tc>
        <w:tc>
          <w:tcPr>
            <w:tcW w:w="1690" w:type="dxa"/>
            <w:noWrap w:val="0"/>
            <w:vAlign w:val="center"/>
          </w:tcPr>
          <w:p w14:paraId="78AED3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鸽骨骼标本</w:t>
            </w:r>
          </w:p>
        </w:tc>
        <w:tc>
          <w:tcPr>
            <w:tcW w:w="5928" w:type="dxa"/>
            <w:noWrap w:val="0"/>
            <w:vAlign w:val="center"/>
          </w:tcPr>
          <w:p w14:paraId="098A82E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088A166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389FB6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499FC7F">
            <w:pPr>
              <w:jc w:val="center"/>
              <w:rPr>
                <w:highlight w:val="none"/>
              </w:rPr>
            </w:pPr>
          </w:p>
        </w:tc>
        <w:tc>
          <w:tcPr>
            <w:tcW w:w="710" w:type="dxa"/>
            <w:gridSpan w:val="2"/>
            <w:noWrap w:val="0"/>
            <w:vAlign w:val="center"/>
          </w:tcPr>
          <w:p w14:paraId="1039F6EE">
            <w:pPr>
              <w:jc w:val="both"/>
              <w:rPr>
                <w:highlight w:val="none"/>
                <w:vertAlign w:val="baseline"/>
              </w:rPr>
            </w:pPr>
          </w:p>
        </w:tc>
      </w:tr>
      <w:tr w14:paraId="4CBD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DF27D0">
            <w:pPr>
              <w:jc w:val="center"/>
              <w:rPr>
                <w:rFonts w:hint="default"/>
                <w:highlight w:val="none"/>
                <w:vertAlign w:val="baseline"/>
                <w:lang w:val="en-US" w:eastAsia="zh-CN"/>
              </w:rPr>
            </w:pPr>
            <w:r>
              <w:rPr>
                <w:rFonts w:hint="eastAsia"/>
                <w:highlight w:val="none"/>
                <w:vertAlign w:val="baseline"/>
                <w:lang w:val="en-US" w:eastAsia="zh-CN"/>
              </w:rPr>
              <w:t>241</w:t>
            </w:r>
          </w:p>
        </w:tc>
        <w:tc>
          <w:tcPr>
            <w:tcW w:w="1690" w:type="dxa"/>
            <w:noWrap w:val="0"/>
            <w:vAlign w:val="center"/>
          </w:tcPr>
          <w:p w14:paraId="565363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卵巢切片</w:t>
            </w:r>
          </w:p>
        </w:tc>
        <w:tc>
          <w:tcPr>
            <w:tcW w:w="5928" w:type="dxa"/>
            <w:noWrap w:val="0"/>
            <w:vAlign w:val="center"/>
          </w:tcPr>
          <w:p w14:paraId="533B8D9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14C66A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17523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6DAA973">
            <w:pPr>
              <w:jc w:val="center"/>
              <w:rPr>
                <w:highlight w:val="none"/>
              </w:rPr>
            </w:pPr>
          </w:p>
        </w:tc>
        <w:tc>
          <w:tcPr>
            <w:tcW w:w="710" w:type="dxa"/>
            <w:gridSpan w:val="2"/>
            <w:noWrap w:val="0"/>
            <w:vAlign w:val="center"/>
          </w:tcPr>
          <w:p w14:paraId="41F899FB">
            <w:pPr>
              <w:jc w:val="both"/>
              <w:rPr>
                <w:highlight w:val="none"/>
                <w:vertAlign w:val="baseline"/>
              </w:rPr>
            </w:pPr>
          </w:p>
        </w:tc>
      </w:tr>
      <w:tr w14:paraId="2C28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4DC6D6">
            <w:pPr>
              <w:jc w:val="center"/>
              <w:rPr>
                <w:rFonts w:hint="default"/>
                <w:highlight w:val="none"/>
                <w:vertAlign w:val="baseline"/>
                <w:lang w:val="en-US" w:eastAsia="zh-CN"/>
              </w:rPr>
            </w:pPr>
            <w:r>
              <w:rPr>
                <w:rFonts w:hint="eastAsia"/>
                <w:highlight w:val="none"/>
                <w:vertAlign w:val="baseline"/>
                <w:lang w:val="en-US" w:eastAsia="zh-CN"/>
              </w:rPr>
              <w:t>242</w:t>
            </w:r>
          </w:p>
        </w:tc>
        <w:tc>
          <w:tcPr>
            <w:tcW w:w="1690" w:type="dxa"/>
            <w:noWrap w:val="0"/>
            <w:vAlign w:val="center"/>
          </w:tcPr>
          <w:p w14:paraId="416FD4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精巢切片</w:t>
            </w:r>
          </w:p>
        </w:tc>
        <w:tc>
          <w:tcPr>
            <w:tcW w:w="5928" w:type="dxa"/>
            <w:noWrap w:val="0"/>
            <w:vAlign w:val="center"/>
          </w:tcPr>
          <w:p w14:paraId="5653EC2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247C5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9F1293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B8C01B1">
            <w:pPr>
              <w:jc w:val="center"/>
              <w:rPr>
                <w:highlight w:val="none"/>
              </w:rPr>
            </w:pPr>
          </w:p>
        </w:tc>
        <w:tc>
          <w:tcPr>
            <w:tcW w:w="710" w:type="dxa"/>
            <w:gridSpan w:val="2"/>
            <w:noWrap w:val="0"/>
            <w:vAlign w:val="center"/>
          </w:tcPr>
          <w:p w14:paraId="74858CE3">
            <w:pPr>
              <w:jc w:val="both"/>
              <w:rPr>
                <w:highlight w:val="none"/>
                <w:vertAlign w:val="baseline"/>
              </w:rPr>
            </w:pPr>
          </w:p>
        </w:tc>
      </w:tr>
      <w:tr w14:paraId="32D9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D80F4FD">
            <w:pPr>
              <w:jc w:val="center"/>
              <w:rPr>
                <w:rFonts w:hint="default"/>
                <w:highlight w:val="none"/>
                <w:vertAlign w:val="baseline"/>
                <w:lang w:val="en-US" w:eastAsia="zh-CN"/>
              </w:rPr>
            </w:pPr>
            <w:r>
              <w:rPr>
                <w:rFonts w:hint="eastAsia"/>
                <w:highlight w:val="none"/>
                <w:vertAlign w:val="baseline"/>
                <w:lang w:val="en-US" w:eastAsia="zh-CN"/>
              </w:rPr>
              <w:t>243</w:t>
            </w:r>
          </w:p>
        </w:tc>
        <w:tc>
          <w:tcPr>
            <w:tcW w:w="1690" w:type="dxa"/>
            <w:noWrap w:val="0"/>
            <w:vAlign w:val="center"/>
          </w:tcPr>
          <w:p w14:paraId="251866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精子涂片</w:t>
            </w:r>
          </w:p>
        </w:tc>
        <w:tc>
          <w:tcPr>
            <w:tcW w:w="5928" w:type="dxa"/>
            <w:noWrap w:val="0"/>
            <w:vAlign w:val="center"/>
          </w:tcPr>
          <w:p w14:paraId="2015A88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63B7A1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B809C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FF5A7DB">
            <w:pPr>
              <w:jc w:val="center"/>
              <w:rPr>
                <w:highlight w:val="none"/>
              </w:rPr>
            </w:pPr>
          </w:p>
        </w:tc>
        <w:tc>
          <w:tcPr>
            <w:tcW w:w="710" w:type="dxa"/>
            <w:gridSpan w:val="2"/>
            <w:noWrap w:val="0"/>
            <w:vAlign w:val="center"/>
          </w:tcPr>
          <w:p w14:paraId="48A5321D">
            <w:pPr>
              <w:jc w:val="both"/>
              <w:rPr>
                <w:highlight w:val="none"/>
                <w:vertAlign w:val="baseline"/>
              </w:rPr>
            </w:pPr>
          </w:p>
        </w:tc>
      </w:tr>
      <w:tr w14:paraId="35D8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A69CA3E">
            <w:pPr>
              <w:jc w:val="center"/>
              <w:rPr>
                <w:rFonts w:hint="default"/>
                <w:highlight w:val="none"/>
                <w:vertAlign w:val="baseline"/>
                <w:lang w:val="en-US" w:eastAsia="zh-CN"/>
              </w:rPr>
            </w:pPr>
            <w:r>
              <w:rPr>
                <w:rFonts w:hint="eastAsia"/>
                <w:highlight w:val="none"/>
                <w:vertAlign w:val="baseline"/>
                <w:lang w:val="en-US" w:eastAsia="zh-CN"/>
              </w:rPr>
              <w:t>244</w:t>
            </w:r>
          </w:p>
        </w:tc>
        <w:tc>
          <w:tcPr>
            <w:tcW w:w="1690" w:type="dxa"/>
            <w:noWrap w:val="0"/>
            <w:vAlign w:val="center"/>
          </w:tcPr>
          <w:p w14:paraId="571B10C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家蚕生活史标本</w:t>
            </w:r>
          </w:p>
        </w:tc>
        <w:tc>
          <w:tcPr>
            <w:tcW w:w="5928" w:type="dxa"/>
            <w:noWrap w:val="0"/>
            <w:vAlign w:val="center"/>
          </w:tcPr>
          <w:p w14:paraId="3382752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32A924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3875ED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6985868">
            <w:pPr>
              <w:jc w:val="center"/>
              <w:rPr>
                <w:highlight w:val="none"/>
              </w:rPr>
            </w:pPr>
          </w:p>
        </w:tc>
        <w:tc>
          <w:tcPr>
            <w:tcW w:w="710" w:type="dxa"/>
            <w:gridSpan w:val="2"/>
            <w:noWrap w:val="0"/>
            <w:vAlign w:val="center"/>
          </w:tcPr>
          <w:p w14:paraId="642AC1A7">
            <w:pPr>
              <w:jc w:val="both"/>
              <w:rPr>
                <w:highlight w:val="none"/>
                <w:vertAlign w:val="baseline"/>
              </w:rPr>
            </w:pPr>
          </w:p>
        </w:tc>
      </w:tr>
      <w:tr w14:paraId="3BBE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2E4F09C5">
            <w:pPr>
              <w:jc w:val="center"/>
              <w:rPr>
                <w:rFonts w:hint="default"/>
                <w:highlight w:val="none"/>
                <w:vertAlign w:val="baseline"/>
                <w:lang w:val="en-US" w:eastAsia="zh-CN"/>
              </w:rPr>
            </w:pPr>
            <w:r>
              <w:rPr>
                <w:rFonts w:hint="eastAsia"/>
                <w:highlight w:val="none"/>
                <w:vertAlign w:val="baseline"/>
                <w:lang w:val="en-US" w:eastAsia="zh-CN"/>
              </w:rPr>
              <w:t>245</w:t>
            </w:r>
          </w:p>
        </w:tc>
        <w:tc>
          <w:tcPr>
            <w:tcW w:w="1690" w:type="dxa"/>
            <w:noWrap w:val="0"/>
            <w:vAlign w:val="center"/>
          </w:tcPr>
          <w:p w14:paraId="6197A2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蝗虫生活史标本</w:t>
            </w:r>
          </w:p>
        </w:tc>
        <w:tc>
          <w:tcPr>
            <w:tcW w:w="5928" w:type="dxa"/>
            <w:noWrap w:val="0"/>
            <w:vAlign w:val="center"/>
          </w:tcPr>
          <w:p w14:paraId="56B22E8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40E396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盒 </w:t>
            </w:r>
          </w:p>
        </w:tc>
        <w:tc>
          <w:tcPr>
            <w:tcW w:w="834" w:type="dxa"/>
            <w:noWrap w:val="0"/>
            <w:vAlign w:val="center"/>
          </w:tcPr>
          <w:p w14:paraId="2EBF74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1106972">
            <w:pPr>
              <w:jc w:val="center"/>
              <w:rPr>
                <w:highlight w:val="none"/>
              </w:rPr>
            </w:pPr>
          </w:p>
        </w:tc>
        <w:tc>
          <w:tcPr>
            <w:tcW w:w="710" w:type="dxa"/>
            <w:gridSpan w:val="2"/>
            <w:noWrap w:val="0"/>
            <w:vAlign w:val="center"/>
          </w:tcPr>
          <w:p w14:paraId="2993715C">
            <w:pPr>
              <w:jc w:val="both"/>
              <w:rPr>
                <w:highlight w:val="none"/>
                <w:vertAlign w:val="baseline"/>
              </w:rPr>
            </w:pPr>
          </w:p>
        </w:tc>
      </w:tr>
      <w:tr w14:paraId="38C0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A012577">
            <w:pPr>
              <w:jc w:val="center"/>
              <w:rPr>
                <w:rFonts w:hint="default"/>
                <w:highlight w:val="none"/>
                <w:vertAlign w:val="baseline"/>
                <w:lang w:val="en-US" w:eastAsia="zh-CN"/>
              </w:rPr>
            </w:pPr>
            <w:r>
              <w:rPr>
                <w:rFonts w:hint="eastAsia"/>
                <w:highlight w:val="none"/>
                <w:vertAlign w:val="baseline"/>
                <w:lang w:val="en-US" w:eastAsia="zh-CN"/>
              </w:rPr>
              <w:t>246</w:t>
            </w:r>
          </w:p>
        </w:tc>
        <w:tc>
          <w:tcPr>
            <w:tcW w:w="1690" w:type="dxa"/>
            <w:noWrap w:val="0"/>
            <w:vAlign w:val="center"/>
          </w:tcPr>
          <w:p w14:paraId="6D789F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蜜蜂生活史标本</w:t>
            </w:r>
          </w:p>
        </w:tc>
        <w:tc>
          <w:tcPr>
            <w:tcW w:w="5928" w:type="dxa"/>
            <w:noWrap w:val="0"/>
            <w:vAlign w:val="center"/>
          </w:tcPr>
          <w:p w14:paraId="207782C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34C847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盒 </w:t>
            </w:r>
          </w:p>
        </w:tc>
        <w:tc>
          <w:tcPr>
            <w:tcW w:w="834" w:type="dxa"/>
            <w:noWrap w:val="0"/>
            <w:vAlign w:val="center"/>
          </w:tcPr>
          <w:p w14:paraId="144570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1A5AA2C">
            <w:pPr>
              <w:jc w:val="center"/>
              <w:rPr>
                <w:highlight w:val="none"/>
              </w:rPr>
            </w:pPr>
          </w:p>
        </w:tc>
        <w:tc>
          <w:tcPr>
            <w:tcW w:w="710" w:type="dxa"/>
            <w:gridSpan w:val="2"/>
            <w:noWrap w:val="0"/>
            <w:vAlign w:val="center"/>
          </w:tcPr>
          <w:p w14:paraId="7E5E0690">
            <w:pPr>
              <w:jc w:val="both"/>
              <w:rPr>
                <w:highlight w:val="none"/>
                <w:vertAlign w:val="baseline"/>
              </w:rPr>
            </w:pPr>
          </w:p>
        </w:tc>
      </w:tr>
      <w:tr w14:paraId="1E1E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07C58C">
            <w:pPr>
              <w:jc w:val="center"/>
              <w:rPr>
                <w:rFonts w:hint="default"/>
                <w:highlight w:val="none"/>
                <w:vertAlign w:val="baseline"/>
                <w:lang w:val="en-US" w:eastAsia="zh-CN"/>
              </w:rPr>
            </w:pPr>
            <w:r>
              <w:rPr>
                <w:rFonts w:hint="eastAsia"/>
                <w:highlight w:val="none"/>
                <w:vertAlign w:val="baseline"/>
                <w:lang w:val="en-US" w:eastAsia="zh-CN"/>
              </w:rPr>
              <w:t>247</w:t>
            </w:r>
          </w:p>
        </w:tc>
        <w:tc>
          <w:tcPr>
            <w:tcW w:w="1690" w:type="dxa"/>
            <w:noWrap w:val="0"/>
            <w:vAlign w:val="center"/>
          </w:tcPr>
          <w:p w14:paraId="45346A9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菜粉蝶生活史标本</w:t>
            </w:r>
          </w:p>
        </w:tc>
        <w:tc>
          <w:tcPr>
            <w:tcW w:w="5928" w:type="dxa"/>
            <w:noWrap w:val="0"/>
            <w:vAlign w:val="center"/>
          </w:tcPr>
          <w:p w14:paraId="47E3C78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41C01FD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6F8B3D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3E4FF95">
            <w:pPr>
              <w:jc w:val="center"/>
              <w:rPr>
                <w:highlight w:val="none"/>
              </w:rPr>
            </w:pPr>
          </w:p>
        </w:tc>
        <w:tc>
          <w:tcPr>
            <w:tcW w:w="710" w:type="dxa"/>
            <w:gridSpan w:val="2"/>
            <w:noWrap w:val="0"/>
            <w:vAlign w:val="center"/>
          </w:tcPr>
          <w:p w14:paraId="00EA8280">
            <w:pPr>
              <w:jc w:val="both"/>
              <w:rPr>
                <w:highlight w:val="none"/>
                <w:vertAlign w:val="baseline"/>
              </w:rPr>
            </w:pPr>
          </w:p>
        </w:tc>
      </w:tr>
      <w:tr w14:paraId="2A2D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B587E9">
            <w:pPr>
              <w:jc w:val="center"/>
              <w:rPr>
                <w:rFonts w:hint="default"/>
                <w:highlight w:val="none"/>
                <w:vertAlign w:val="baseline"/>
                <w:lang w:val="en-US" w:eastAsia="zh-CN"/>
              </w:rPr>
            </w:pPr>
            <w:r>
              <w:rPr>
                <w:rFonts w:hint="eastAsia"/>
                <w:highlight w:val="none"/>
                <w:vertAlign w:val="baseline"/>
                <w:lang w:val="en-US" w:eastAsia="zh-CN"/>
              </w:rPr>
              <w:t>248</w:t>
            </w:r>
          </w:p>
        </w:tc>
        <w:tc>
          <w:tcPr>
            <w:tcW w:w="1690" w:type="dxa"/>
            <w:noWrap w:val="0"/>
            <w:vAlign w:val="center"/>
          </w:tcPr>
          <w:p w14:paraId="729031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蛙发育顺序标本</w:t>
            </w:r>
          </w:p>
        </w:tc>
        <w:tc>
          <w:tcPr>
            <w:tcW w:w="5928" w:type="dxa"/>
            <w:noWrap w:val="0"/>
            <w:vAlign w:val="center"/>
          </w:tcPr>
          <w:p w14:paraId="2942264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7BB3CE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740CD7F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80380CB">
            <w:pPr>
              <w:jc w:val="center"/>
              <w:rPr>
                <w:highlight w:val="none"/>
              </w:rPr>
            </w:pPr>
          </w:p>
        </w:tc>
        <w:tc>
          <w:tcPr>
            <w:tcW w:w="710" w:type="dxa"/>
            <w:gridSpan w:val="2"/>
            <w:noWrap w:val="0"/>
            <w:vAlign w:val="center"/>
          </w:tcPr>
          <w:p w14:paraId="46D946F5">
            <w:pPr>
              <w:jc w:val="both"/>
              <w:rPr>
                <w:highlight w:val="none"/>
                <w:vertAlign w:val="baseline"/>
              </w:rPr>
            </w:pPr>
          </w:p>
        </w:tc>
      </w:tr>
      <w:tr w14:paraId="21EA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5BFBB4A">
            <w:pPr>
              <w:jc w:val="center"/>
              <w:rPr>
                <w:rFonts w:hint="default"/>
                <w:highlight w:val="none"/>
                <w:vertAlign w:val="baseline"/>
                <w:lang w:val="en-US" w:eastAsia="zh-CN"/>
              </w:rPr>
            </w:pPr>
            <w:r>
              <w:rPr>
                <w:rFonts w:hint="eastAsia"/>
                <w:highlight w:val="none"/>
                <w:vertAlign w:val="baseline"/>
                <w:lang w:val="en-US" w:eastAsia="zh-CN"/>
              </w:rPr>
              <w:t>249</w:t>
            </w:r>
          </w:p>
        </w:tc>
        <w:tc>
          <w:tcPr>
            <w:tcW w:w="1690" w:type="dxa"/>
            <w:noWrap w:val="0"/>
            <w:vAlign w:val="center"/>
          </w:tcPr>
          <w:p w14:paraId="05D0C0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正常人染色体装片</w:t>
            </w:r>
          </w:p>
        </w:tc>
        <w:tc>
          <w:tcPr>
            <w:tcW w:w="5928" w:type="dxa"/>
            <w:noWrap w:val="0"/>
            <w:vAlign w:val="center"/>
          </w:tcPr>
          <w:p w14:paraId="0C77511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DE9B8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BAE29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3F9481BC">
            <w:pPr>
              <w:jc w:val="center"/>
              <w:rPr>
                <w:highlight w:val="none"/>
              </w:rPr>
            </w:pPr>
          </w:p>
        </w:tc>
        <w:tc>
          <w:tcPr>
            <w:tcW w:w="710" w:type="dxa"/>
            <w:gridSpan w:val="2"/>
            <w:noWrap w:val="0"/>
            <w:vAlign w:val="center"/>
          </w:tcPr>
          <w:p w14:paraId="66994546">
            <w:pPr>
              <w:jc w:val="both"/>
              <w:rPr>
                <w:highlight w:val="none"/>
                <w:vertAlign w:val="baseline"/>
              </w:rPr>
            </w:pPr>
          </w:p>
        </w:tc>
      </w:tr>
      <w:tr w14:paraId="2B70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00217111">
            <w:pPr>
              <w:jc w:val="center"/>
              <w:rPr>
                <w:rFonts w:hint="default"/>
                <w:highlight w:val="none"/>
                <w:vertAlign w:val="baseline"/>
                <w:lang w:val="en-US" w:eastAsia="zh-CN"/>
              </w:rPr>
            </w:pPr>
            <w:r>
              <w:rPr>
                <w:rFonts w:hint="eastAsia"/>
                <w:highlight w:val="none"/>
                <w:vertAlign w:val="baseline"/>
                <w:lang w:val="en-US" w:eastAsia="zh-CN"/>
              </w:rPr>
              <w:t>250</w:t>
            </w:r>
          </w:p>
        </w:tc>
        <w:tc>
          <w:tcPr>
            <w:tcW w:w="1690" w:type="dxa"/>
            <w:noWrap w:val="0"/>
            <w:vAlign w:val="center"/>
          </w:tcPr>
          <w:p w14:paraId="3FEB73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验证基因分离规律玉米标本</w:t>
            </w:r>
          </w:p>
        </w:tc>
        <w:tc>
          <w:tcPr>
            <w:tcW w:w="5928" w:type="dxa"/>
            <w:noWrap w:val="0"/>
            <w:vAlign w:val="center"/>
          </w:tcPr>
          <w:p w14:paraId="51A63C1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4F0121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套 </w:t>
            </w:r>
          </w:p>
        </w:tc>
        <w:tc>
          <w:tcPr>
            <w:tcW w:w="834" w:type="dxa"/>
            <w:noWrap w:val="0"/>
            <w:vAlign w:val="center"/>
          </w:tcPr>
          <w:p w14:paraId="2AB260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0183138B">
            <w:pPr>
              <w:jc w:val="center"/>
              <w:rPr>
                <w:highlight w:val="none"/>
              </w:rPr>
            </w:pPr>
          </w:p>
        </w:tc>
        <w:tc>
          <w:tcPr>
            <w:tcW w:w="710" w:type="dxa"/>
            <w:gridSpan w:val="2"/>
            <w:noWrap w:val="0"/>
            <w:vAlign w:val="center"/>
          </w:tcPr>
          <w:p w14:paraId="713BC123">
            <w:pPr>
              <w:jc w:val="both"/>
              <w:rPr>
                <w:highlight w:val="none"/>
                <w:vertAlign w:val="baseline"/>
              </w:rPr>
            </w:pPr>
          </w:p>
        </w:tc>
      </w:tr>
      <w:tr w14:paraId="6086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FE12353">
            <w:pPr>
              <w:jc w:val="center"/>
              <w:rPr>
                <w:rFonts w:hint="default"/>
                <w:highlight w:val="none"/>
                <w:vertAlign w:val="baseline"/>
                <w:lang w:val="en-US" w:eastAsia="zh-CN"/>
              </w:rPr>
            </w:pPr>
            <w:r>
              <w:rPr>
                <w:rFonts w:hint="eastAsia"/>
                <w:highlight w:val="none"/>
                <w:vertAlign w:val="baseline"/>
                <w:lang w:val="en-US" w:eastAsia="zh-CN"/>
              </w:rPr>
              <w:t>251</w:t>
            </w:r>
          </w:p>
        </w:tc>
        <w:tc>
          <w:tcPr>
            <w:tcW w:w="1690" w:type="dxa"/>
            <w:noWrap w:val="0"/>
            <w:vAlign w:val="center"/>
          </w:tcPr>
          <w:p w14:paraId="5932BBD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海葵标本</w:t>
            </w:r>
          </w:p>
        </w:tc>
        <w:tc>
          <w:tcPr>
            <w:tcW w:w="5928" w:type="dxa"/>
            <w:noWrap w:val="0"/>
            <w:vAlign w:val="center"/>
          </w:tcPr>
          <w:p w14:paraId="2FD3133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217B62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1489F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150F2F1">
            <w:pPr>
              <w:jc w:val="center"/>
              <w:rPr>
                <w:highlight w:val="none"/>
              </w:rPr>
            </w:pPr>
          </w:p>
        </w:tc>
        <w:tc>
          <w:tcPr>
            <w:tcW w:w="710" w:type="dxa"/>
            <w:gridSpan w:val="2"/>
            <w:noWrap w:val="0"/>
            <w:vAlign w:val="center"/>
          </w:tcPr>
          <w:p w14:paraId="1461C2AD">
            <w:pPr>
              <w:jc w:val="both"/>
              <w:rPr>
                <w:highlight w:val="none"/>
                <w:vertAlign w:val="baseline"/>
              </w:rPr>
            </w:pPr>
          </w:p>
        </w:tc>
      </w:tr>
      <w:tr w14:paraId="4C81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88F845">
            <w:pPr>
              <w:jc w:val="center"/>
              <w:rPr>
                <w:rFonts w:hint="default"/>
                <w:highlight w:val="none"/>
                <w:vertAlign w:val="baseline"/>
                <w:lang w:val="en-US" w:eastAsia="zh-CN"/>
              </w:rPr>
            </w:pPr>
            <w:r>
              <w:rPr>
                <w:rFonts w:hint="eastAsia"/>
                <w:highlight w:val="none"/>
                <w:vertAlign w:val="baseline"/>
                <w:lang w:val="en-US" w:eastAsia="zh-CN"/>
              </w:rPr>
              <w:t>252</w:t>
            </w:r>
          </w:p>
        </w:tc>
        <w:tc>
          <w:tcPr>
            <w:tcW w:w="1690" w:type="dxa"/>
            <w:noWrap w:val="0"/>
            <w:vAlign w:val="center"/>
          </w:tcPr>
          <w:p w14:paraId="10719C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海蛰标本</w:t>
            </w:r>
          </w:p>
        </w:tc>
        <w:tc>
          <w:tcPr>
            <w:tcW w:w="5928" w:type="dxa"/>
            <w:noWrap w:val="0"/>
            <w:vAlign w:val="center"/>
          </w:tcPr>
          <w:p w14:paraId="53E4F7B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06726A2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BB2BED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F14781E">
            <w:pPr>
              <w:jc w:val="center"/>
              <w:rPr>
                <w:highlight w:val="none"/>
              </w:rPr>
            </w:pPr>
          </w:p>
        </w:tc>
        <w:tc>
          <w:tcPr>
            <w:tcW w:w="710" w:type="dxa"/>
            <w:gridSpan w:val="2"/>
            <w:noWrap w:val="0"/>
            <w:vAlign w:val="center"/>
          </w:tcPr>
          <w:p w14:paraId="3F91CDA7">
            <w:pPr>
              <w:jc w:val="both"/>
              <w:rPr>
                <w:highlight w:val="none"/>
                <w:vertAlign w:val="baseline"/>
              </w:rPr>
            </w:pPr>
          </w:p>
        </w:tc>
      </w:tr>
      <w:tr w14:paraId="0E8B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77335C">
            <w:pPr>
              <w:jc w:val="center"/>
              <w:rPr>
                <w:rFonts w:hint="default"/>
                <w:highlight w:val="none"/>
                <w:vertAlign w:val="baseline"/>
                <w:lang w:val="en-US" w:eastAsia="zh-CN"/>
              </w:rPr>
            </w:pPr>
            <w:r>
              <w:rPr>
                <w:rFonts w:hint="eastAsia"/>
                <w:highlight w:val="none"/>
                <w:vertAlign w:val="baseline"/>
                <w:lang w:val="en-US" w:eastAsia="zh-CN"/>
              </w:rPr>
              <w:t>253</w:t>
            </w:r>
          </w:p>
        </w:tc>
        <w:tc>
          <w:tcPr>
            <w:tcW w:w="1690" w:type="dxa"/>
            <w:noWrap w:val="0"/>
            <w:vAlign w:val="center"/>
          </w:tcPr>
          <w:p w14:paraId="13558DB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珊瑚标本</w:t>
            </w:r>
          </w:p>
        </w:tc>
        <w:tc>
          <w:tcPr>
            <w:tcW w:w="5928" w:type="dxa"/>
            <w:noWrap w:val="0"/>
            <w:vAlign w:val="center"/>
          </w:tcPr>
          <w:p w14:paraId="5EAECBA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001AD0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834" w:type="dxa"/>
            <w:noWrap w:val="0"/>
            <w:vAlign w:val="center"/>
          </w:tcPr>
          <w:p w14:paraId="71DA73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F495634">
            <w:pPr>
              <w:jc w:val="center"/>
              <w:rPr>
                <w:highlight w:val="none"/>
              </w:rPr>
            </w:pPr>
          </w:p>
        </w:tc>
        <w:tc>
          <w:tcPr>
            <w:tcW w:w="710" w:type="dxa"/>
            <w:gridSpan w:val="2"/>
            <w:noWrap w:val="0"/>
            <w:vAlign w:val="center"/>
          </w:tcPr>
          <w:p w14:paraId="21225AEF">
            <w:pPr>
              <w:jc w:val="both"/>
              <w:rPr>
                <w:highlight w:val="none"/>
                <w:vertAlign w:val="baseline"/>
              </w:rPr>
            </w:pPr>
          </w:p>
        </w:tc>
      </w:tr>
      <w:tr w14:paraId="38F3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EAB555">
            <w:pPr>
              <w:jc w:val="center"/>
              <w:rPr>
                <w:rFonts w:hint="default"/>
                <w:highlight w:val="none"/>
                <w:vertAlign w:val="baseline"/>
                <w:lang w:val="en-US" w:eastAsia="zh-CN"/>
              </w:rPr>
            </w:pPr>
            <w:r>
              <w:rPr>
                <w:rFonts w:hint="eastAsia"/>
                <w:highlight w:val="none"/>
                <w:vertAlign w:val="baseline"/>
                <w:lang w:val="en-US" w:eastAsia="zh-CN"/>
              </w:rPr>
              <w:t>254</w:t>
            </w:r>
          </w:p>
        </w:tc>
        <w:tc>
          <w:tcPr>
            <w:tcW w:w="1690" w:type="dxa"/>
            <w:noWrap w:val="0"/>
            <w:vAlign w:val="center"/>
          </w:tcPr>
          <w:p w14:paraId="0E42749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水螅带芽整体装片</w:t>
            </w:r>
          </w:p>
        </w:tc>
        <w:tc>
          <w:tcPr>
            <w:tcW w:w="5928" w:type="dxa"/>
            <w:noWrap w:val="0"/>
            <w:vAlign w:val="center"/>
          </w:tcPr>
          <w:p w14:paraId="7E20BE2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809D4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587895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677DC27">
            <w:pPr>
              <w:jc w:val="center"/>
              <w:rPr>
                <w:highlight w:val="none"/>
              </w:rPr>
            </w:pPr>
          </w:p>
        </w:tc>
        <w:tc>
          <w:tcPr>
            <w:tcW w:w="710" w:type="dxa"/>
            <w:gridSpan w:val="2"/>
            <w:noWrap w:val="0"/>
            <w:vAlign w:val="center"/>
          </w:tcPr>
          <w:p w14:paraId="653B5385">
            <w:pPr>
              <w:jc w:val="both"/>
              <w:rPr>
                <w:highlight w:val="none"/>
                <w:vertAlign w:val="baseline"/>
              </w:rPr>
            </w:pPr>
          </w:p>
        </w:tc>
      </w:tr>
      <w:tr w14:paraId="4E25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60DE32">
            <w:pPr>
              <w:jc w:val="center"/>
              <w:rPr>
                <w:rFonts w:hint="default"/>
                <w:highlight w:val="none"/>
                <w:vertAlign w:val="baseline"/>
                <w:lang w:val="en-US" w:eastAsia="zh-CN"/>
              </w:rPr>
            </w:pPr>
            <w:r>
              <w:rPr>
                <w:rFonts w:hint="eastAsia"/>
                <w:highlight w:val="none"/>
                <w:vertAlign w:val="baseline"/>
                <w:lang w:val="en-US" w:eastAsia="zh-CN"/>
              </w:rPr>
              <w:t>255</w:t>
            </w:r>
          </w:p>
        </w:tc>
        <w:tc>
          <w:tcPr>
            <w:tcW w:w="1690" w:type="dxa"/>
            <w:noWrap w:val="0"/>
            <w:vAlign w:val="center"/>
          </w:tcPr>
          <w:p w14:paraId="25BA63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水螅纵切</w:t>
            </w:r>
          </w:p>
        </w:tc>
        <w:tc>
          <w:tcPr>
            <w:tcW w:w="5928" w:type="dxa"/>
            <w:noWrap w:val="0"/>
            <w:vAlign w:val="center"/>
          </w:tcPr>
          <w:p w14:paraId="2162A37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A9BAF5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0C74F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CB3024F">
            <w:pPr>
              <w:jc w:val="center"/>
              <w:rPr>
                <w:highlight w:val="none"/>
              </w:rPr>
            </w:pPr>
          </w:p>
        </w:tc>
        <w:tc>
          <w:tcPr>
            <w:tcW w:w="710" w:type="dxa"/>
            <w:gridSpan w:val="2"/>
            <w:noWrap w:val="0"/>
            <w:vAlign w:val="center"/>
          </w:tcPr>
          <w:p w14:paraId="7DFDE30B">
            <w:pPr>
              <w:jc w:val="both"/>
              <w:rPr>
                <w:highlight w:val="none"/>
                <w:vertAlign w:val="baseline"/>
              </w:rPr>
            </w:pPr>
          </w:p>
        </w:tc>
      </w:tr>
      <w:tr w14:paraId="6F0B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F27B69">
            <w:pPr>
              <w:jc w:val="center"/>
              <w:rPr>
                <w:rFonts w:hint="default"/>
                <w:highlight w:val="none"/>
                <w:vertAlign w:val="baseline"/>
                <w:lang w:val="en-US" w:eastAsia="zh-CN"/>
              </w:rPr>
            </w:pPr>
            <w:r>
              <w:rPr>
                <w:rFonts w:hint="eastAsia"/>
                <w:highlight w:val="none"/>
                <w:vertAlign w:val="baseline"/>
                <w:lang w:val="en-US" w:eastAsia="zh-CN"/>
              </w:rPr>
              <w:t>256</w:t>
            </w:r>
          </w:p>
        </w:tc>
        <w:tc>
          <w:tcPr>
            <w:tcW w:w="1690" w:type="dxa"/>
            <w:noWrap w:val="0"/>
            <w:vAlign w:val="center"/>
          </w:tcPr>
          <w:p w14:paraId="2EF116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水螅过精巢横切</w:t>
            </w:r>
          </w:p>
        </w:tc>
        <w:tc>
          <w:tcPr>
            <w:tcW w:w="5928" w:type="dxa"/>
            <w:noWrap w:val="0"/>
            <w:vAlign w:val="center"/>
          </w:tcPr>
          <w:p w14:paraId="1CFBD77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6B17E2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1B3961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0B6A4D8">
            <w:pPr>
              <w:jc w:val="center"/>
              <w:rPr>
                <w:highlight w:val="none"/>
              </w:rPr>
            </w:pPr>
          </w:p>
        </w:tc>
        <w:tc>
          <w:tcPr>
            <w:tcW w:w="710" w:type="dxa"/>
            <w:gridSpan w:val="2"/>
            <w:noWrap w:val="0"/>
            <w:vAlign w:val="center"/>
          </w:tcPr>
          <w:p w14:paraId="695BF71C">
            <w:pPr>
              <w:jc w:val="both"/>
              <w:rPr>
                <w:highlight w:val="none"/>
                <w:vertAlign w:val="baseline"/>
              </w:rPr>
            </w:pPr>
          </w:p>
        </w:tc>
      </w:tr>
      <w:tr w14:paraId="5E58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CA7CC0">
            <w:pPr>
              <w:jc w:val="center"/>
              <w:rPr>
                <w:rFonts w:hint="default"/>
                <w:highlight w:val="none"/>
                <w:vertAlign w:val="baseline"/>
                <w:lang w:val="en-US" w:eastAsia="zh-CN"/>
              </w:rPr>
            </w:pPr>
            <w:r>
              <w:rPr>
                <w:rFonts w:hint="eastAsia"/>
                <w:highlight w:val="none"/>
                <w:vertAlign w:val="baseline"/>
                <w:lang w:val="en-US" w:eastAsia="zh-CN"/>
              </w:rPr>
              <w:t>257</w:t>
            </w:r>
          </w:p>
        </w:tc>
        <w:tc>
          <w:tcPr>
            <w:tcW w:w="1690" w:type="dxa"/>
            <w:noWrap w:val="0"/>
            <w:vAlign w:val="center"/>
          </w:tcPr>
          <w:p w14:paraId="4D0C33F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水螅过卵巢横切</w:t>
            </w:r>
          </w:p>
        </w:tc>
        <w:tc>
          <w:tcPr>
            <w:tcW w:w="5928" w:type="dxa"/>
            <w:noWrap w:val="0"/>
            <w:vAlign w:val="center"/>
          </w:tcPr>
          <w:p w14:paraId="5297392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4CDB49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9B782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F6C1BCC">
            <w:pPr>
              <w:jc w:val="center"/>
              <w:rPr>
                <w:highlight w:val="none"/>
              </w:rPr>
            </w:pPr>
          </w:p>
        </w:tc>
        <w:tc>
          <w:tcPr>
            <w:tcW w:w="710" w:type="dxa"/>
            <w:gridSpan w:val="2"/>
            <w:noWrap w:val="0"/>
            <w:vAlign w:val="center"/>
          </w:tcPr>
          <w:p w14:paraId="74376A39">
            <w:pPr>
              <w:jc w:val="both"/>
              <w:rPr>
                <w:highlight w:val="none"/>
                <w:vertAlign w:val="baseline"/>
              </w:rPr>
            </w:pPr>
          </w:p>
        </w:tc>
      </w:tr>
      <w:tr w14:paraId="1DA0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13FB10">
            <w:pPr>
              <w:jc w:val="center"/>
              <w:rPr>
                <w:rFonts w:hint="default"/>
                <w:highlight w:val="none"/>
                <w:vertAlign w:val="baseline"/>
                <w:lang w:val="en-US" w:eastAsia="zh-CN"/>
              </w:rPr>
            </w:pPr>
            <w:r>
              <w:rPr>
                <w:rFonts w:hint="eastAsia"/>
                <w:highlight w:val="none"/>
                <w:vertAlign w:val="baseline"/>
                <w:lang w:val="en-US" w:eastAsia="zh-CN"/>
              </w:rPr>
              <w:t>258</w:t>
            </w:r>
          </w:p>
        </w:tc>
        <w:tc>
          <w:tcPr>
            <w:tcW w:w="1690" w:type="dxa"/>
            <w:noWrap w:val="0"/>
            <w:vAlign w:val="center"/>
          </w:tcPr>
          <w:p w14:paraId="6C6B69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囊虫装片</w:t>
            </w:r>
          </w:p>
        </w:tc>
        <w:tc>
          <w:tcPr>
            <w:tcW w:w="5928" w:type="dxa"/>
            <w:noWrap w:val="0"/>
            <w:vAlign w:val="center"/>
          </w:tcPr>
          <w:p w14:paraId="4873B73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74D7AAD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FA1000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AC3BB9D">
            <w:pPr>
              <w:jc w:val="center"/>
              <w:rPr>
                <w:highlight w:val="none"/>
              </w:rPr>
            </w:pPr>
          </w:p>
        </w:tc>
        <w:tc>
          <w:tcPr>
            <w:tcW w:w="710" w:type="dxa"/>
            <w:gridSpan w:val="2"/>
            <w:noWrap w:val="0"/>
            <w:vAlign w:val="center"/>
          </w:tcPr>
          <w:p w14:paraId="31DBAFBD">
            <w:pPr>
              <w:jc w:val="both"/>
              <w:rPr>
                <w:highlight w:val="none"/>
                <w:vertAlign w:val="baseline"/>
              </w:rPr>
            </w:pPr>
          </w:p>
        </w:tc>
      </w:tr>
      <w:tr w14:paraId="396A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C11BD2">
            <w:pPr>
              <w:jc w:val="center"/>
              <w:rPr>
                <w:rFonts w:hint="default"/>
                <w:highlight w:val="none"/>
                <w:vertAlign w:val="baseline"/>
                <w:lang w:val="en-US" w:eastAsia="zh-CN"/>
              </w:rPr>
            </w:pPr>
            <w:r>
              <w:rPr>
                <w:rFonts w:hint="eastAsia"/>
                <w:highlight w:val="none"/>
                <w:vertAlign w:val="baseline"/>
                <w:lang w:val="en-US" w:eastAsia="zh-CN"/>
              </w:rPr>
              <w:t>259</w:t>
            </w:r>
          </w:p>
        </w:tc>
        <w:tc>
          <w:tcPr>
            <w:tcW w:w="1690" w:type="dxa"/>
            <w:noWrap w:val="0"/>
            <w:vAlign w:val="center"/>
          </w:tcPr>
          <w:p w14:paraId="3E09617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血吸虫模型</w:t>
            </w:r>
          </w:p>
        </w:tc>
        <w:tc>
          <w:tcPr>
            <w:tcW w:w="5928" w:type="dxa"/>
            <w:noWrap w:val="0"/>
            <w:vAlign w:val="center"/>
          </w:tcPr>
          <w:p w14:paraId="6541028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雌雄合抱，可拆装</w:t>
            </w:r>
          </w:p>
        </w:tc>
        <w:tc>
          <w:tcPr>
            <w:tcW w:w="736" w:type="dxa"/>
            <w:noWrap w:val="0"/>
            <w:vAlign w:val="center"/>
          </w:tcPr>
          <w:p w14:paraId="3A7D94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07D014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E3A8261">
            <w:pPr>
              <w:jc w:val="center"/>
              <w:rPr>
                <w:highlight w:val="none"/>
              </w:rPr>
            </w:pPr>
          </w:p>
        </w:tc>
        <w:tc>
          <w:tcPr>
            <w:tcW w:w="710" w:type="dxa"/>
            <w:gridSpan w:val="2"/>
            <w:noWrap w:val="0"/>
            <w:vAlign w:val="center"/>
          </w:tcPr>
          <w:p w14:paraId="78E21862">
            <w:pPr>
              <w:jc w:val="both"/>
              <w:rPr>
                <w:highlight w:val="none"/>
                <w:vertAlign w:val="baseline"/>
              </w:rPr>
            </w:pPr>
          </w:p>
        </w:tc>
      </w:tr>
      <w:tr w14:paraId="50C7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BA92C5">
            <w:pPr>
              <w:jc w:val="center"/>
              <w:rPr>
                <w:rFonts w:hint="default"/>
                <w:highlight w:val="none"/>
                <w:vertAlign w:val="baseline"/>
                <w:lang w:val="en-US" w:eastAsia="zh-CN"/>
              </w:rPr>
            </w:pPr>
            <w:r>
              <w:rPr>
                <w:rFonts w:hint="eastAsia"/>
                <w:highlight w:val="none"/>
                <w:vertAlign w:val="baseline"/>
                <w:lang w:val="en-US" w:eastAsia="zh-CN"/>
              </w:rPr>
              <w:t>260</w:t>
            </w:r>
          </w:p>
        </w:tc>
        <w:tc>
          <w:tcPr>
            <w:tcW w:w="1690" w:type="dxa"/>
            <w:noWrap w:val="0"/>
            <w:vAlign w:val="center"/>
          </w:tcPr>
          <w:p w14:paraId="5A0B75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血吸虫雌雄合抱装片</w:t>
            </w:r>
          </w:p>
        </w:tc>
        <w:tc>
          <w:tcPr>
            <w:tcW w:w="5928" w:type="dxa"/>
            <w:noWrap w:val="0"/>
            <w:vAlign w:val="center"/>
          </w:tcPr>
          <w:p w14:paraId="3A336F6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AA9DF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2C07EA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B762536">
            <w:pPr>
              <w:jc w:val="center"/>
              <w:rPr>
                <w:highlight w:val="none"/>
              </w:rPr>
            </w:pPr>
          </w:p>
        </w:tc>
        <w:tc>
          <w:tcPr>
            <w:tcW w:w="710" w:type="dxa"/>
            <w:gridSpan w:val="2"/>
            <w:noWrap w:val="0"/>
            <w:vAlign w:val="center"/>
          </w:tcPr>
          <w:p w14:paraId="24283660">
            <w:pPr>
              <w:jc w:val="both"/>
              <w:rPr>
                <w:highlight w:val="none"/>
                <w:vertAlign w:val="baseline"/>
              </w:rPr>
            </w:pPr>
          </w:p>
        </w:tc>
      </w:tr>
      <w:tr w14:paraId="7872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23BEEC5">
            <w:pPr>
              <w:jc w:val="center"/>
              <w:rPr>
                <w:rFonts w:hint="default"/>
                <w:highlight w:val="none"/>
                <w:vertAlign w:val="baseline"/>
                <w:lang w:val="en-US" w:eastAsia="zh-CN"/>
              </w:rPr>
            </w:pPr>
            <w:r>
              <w:rPr>
                <w:rFonts w:hint="eastAsia"/>
                <w:highlight w:val="none"/>
                <w:vertAlign w:val="baseline"/>
                <w:lang w:val="en-US" w:eastAsia="zh-CN"/>
              </w:rPr>
              <w:t>261</w:t>
            </w:r>
          </w:p>
        </w:tc>
        <w:tc>
          <w:tcPr>
            <w:tcW w:w="1690" w:type="dxa"/>
            <w:noWrap w:val="0"/>
            <w:vAlign w:val="center"/>
          </w:tcPr>
          <w:p w14:paraId="06AA36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血吸虫雄虫装片</w:t>
            </w:r>
          </w:p>
        </w:tc>
        <w:tc>
          <w:tcPr>
            <w:tcW w:w="5928" w:type="dxa"/>
            <w:noWrap w:val="0"/>
            <w:vAlign w:val="center"/>
          </w:tcPr>
          <w:p w14:paraId="08D99FB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1D5B02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2C869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9073C23">
            <w:pPr>
              <w:jc w:val="center"/>
              <w:rPr>
                <w:highlight w:val="none"/>
              </w:rPr>
            </w:pPr>
          </w:p>
        </w:tc>
        <w:tc>
          <w:tcPr>
            <w:tcW w:w="710" w:type="dxa"/>
            <w:gridSpan w:val="2"/>
            <w:noWrap w:val="0"/>
            <w:vAlign w:val="center"/>
          </w:tcPr>
          <w:p w14:paraId="5714C1F0">
            <w:pPr>
              <w:jc w:val="both"/>
              <w:rPr>
                <w:highlight w:val="none"/>
                <w:vertAlign w:val="baseline"/>
              </w:rPr>
            </w:pPr>
          </w:p>
        </w:tc>
      </w:tr>
      <w:tr w14:paraId="436D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CDCD187">
            <w:pPr>
              <w:jc w:val="center"/>
              <w:rPr>
                <w:rFonts w:hint="default"/>
                <w:highlight w:val="none"/>
                <w:vertAlign w:val="baseline"/>
                <w:lang w:val="en-US" w:eastAsia="zh-CN"/>
              </w:rPr>
            </w:pPr>
            <w:r>
              <w:rPr>
                <w:rFonts w:hint="eastAsia"/>
                <w:highlight w:val="none"/>
                <w:vertAlign w:val="baseline"/>
                <w:lang w:val="en-US" w:eastAsia="zh-CN"/>
              </w:rPr>
              <w:t>262</w:t>
            </w:r>
          </w:p>
        </w:tc>
        <w:tc>
          <w:tcPr>
            <w:tcW w:w="1690" w:type="dxa"/>
            <w:noWrap w:val="0"/>
            <w:vAlign w:val="center"/>
          </w:tcPr>
          <w:p w14:paraId="6B72B7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血吸虫雌虫装片</w:t>
            </w:r>
          </w:p>
        </w:tc>
        <w:tc>
          <w:tcPr>
            <w:tcW w:w="5928" w:type="dxa"/>
            <w:noWrap w:val="0"/>
            <w:vAlign w:val="center"/>
          </w:tcPr>
          <w:p w14:paraId="51D0DA0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707F05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86F7E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3222D8E">
            <w:pPr>
              <w:jc w:val="center"/>
              <w:rPr>
                <w:highlight w:val="none"/>
              </w:rPr>
            </w:pPr>
          </w:p>
        </w:tc>
        <w:tc>
          <w:tcPr>
            <w:tcW w:w="710" w:type="dxa"/>
            <w:gridSpan w:val="2"/>
            <w:noWrap w:val="0"/>
            <w:vAlign w:val="center"/>
          </w:tcPr>
          <w:p w14:paraId="4CB6B182">
            <w:pPr>
              <w:jc w:val="both"/>
              <w:rPr>
                <w:highlight w:val="none"/>
                <w:vertAlign w:val="baseline"/>
              </w:rPr>
            </w:pPr>
          </w:p>
        </w:tc>
      </w:tr>
      <w:tr w14:paraId="2EF7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1B60BD3">
            <w:pPr>
              <w:jc w:val="center"/>
              <w:rPr>
                <w:rFonts w:hint="default"/>
                <w:highlight w:val="none"/>
                <w:vertAlign w:val="baseline"/>
                <w:lang w:val="en-US" w:eastAsia="zh-CN"/>
              </w:rPr>
            </w:pPr>
            <w:r>
              <w:rPr>
                <w:rFonts w:hint="eastAsia"/>
                <w:highlight w:val="none"/>
                <w:vertAlign w:val="baseline"/>
                <w:lang w:val="en-US" w:eastAsia="zh-CN"/>
              </w:rPr>
              <w:t>263</w:t>
            </w:r>
          </w:p>
        </w:tc>
        <w:tc>
          <w:tcPr>
            <w:tcW w:w="1690" w:type="dxa"/>
            <w:noWrap w:val="0"/>
            <w:vAlign w:val="center"/>
          </w:tcPr>
          <w:p w14:paraId="7FCC24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蛔虫标本</w:t>
            </w:r>
          </w:p>
        </w:tc>
        <w:tc>
          <w:tcPr>
            <w:tcW w:w="5928" w:type="dxa"/>
            <w:noWrap w:val="0"/>
            <w:vAlign w:val="center"/>
          </w:tcPr>
          <w:p w14:paraId="00D15A5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1F899E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712A6E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411DD5D">
            <w:pPr>
              <w:jc w:val="center"/>
              <w:rPr>
                <w:highlight w:val="none"/>
              </w:rPr>
            </w:pPr>
          </w:p>
        </w:tc>
        <w:tc>
          <w:tcPr>
            <w:tcW w:w="710" w:type="dxa"/>
            <w:gridSpan w:val="2"/>
            <w:noWrap w:val="0"/>
            <w:vAlign w:val="center"/>
          </w:tcPr>
          <w:p w14:paraId="63E50245">
            <w:pPr>
              <w:jc w:val="both"/>
              <w:rPr>
                <w:highlight w:val="none"/>
                <w:vertAlign w:val="baseline"/>
              </w:rPr>
            </w:pPr>
          </w:p>
        </w:tc>
      </w:tr>
      <w:tr w14:paraId="79EE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EE46EB5">
            <w:pPr>
              <w:jc w:val="center"/>
              <w:rPr>
                <w:rFonts w:hint="default"/>
                <w:highlight w:val="none"/>
                <w:vertAlign w:val="baseline"/>
                <w:lang w:val="en-US" w:eastAsia="zh-CN"/>
              </w:rPr>
            </w:pPr>
            <w:r>
              <w:rPr>
                <w:rFonts w:hint="eastAsia"/>
                <w:highlight w:val="none"/>
                <w:vertAlign w:val="baseline"/>
                <w:lang w:val="en-US" w:eastAsia="zh-CN"/>
              </w:rPr>
              <w:t>264</w:t>
            </w:r>
          </w:p>
        </w:tc>
        <w:tc>
          <w:tcPr>
            <w:tcW w:w="1690" w:type="dxa"/>
            <w:noWrap w:val="0"/>
            <w:vAlign w:val="center"/>
          </w:tcPr>
          <w:p w14:paraId="4A78FC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蚯蚓横切</w:t>
            </w:r>
          </w:p>
        </w:tc>
        <w:tc>
          <w:tcPr>
            <w:tcW w:w="5928" w:type="dxa"/>
            <w:noWrap w:val="0"/>
            <w:vAlign w:val="center"/>
          </w:tcPr>
          <w:p w14:paraId="3BD7CA5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4D85D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D195B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F70E621">
            <w:pPr>
              <w:jc w:val="center"/>
              <w:rPr>
                <w:highlight w:val="none"/>
              </w:rPr>
            </w:pPr>
          </w:p>
        </w:tc>
        <w:tc>
          <w:tcPr>
            <w:tcW w:w="710" w:type="dxa"/>
            <w:gridSpan w:val="2"/>
            <w:noWrap w:val="0"/>
            <w:vAlign w:val="center"/>
          </w:tcPr>
          <w:p w14:paraId="5C61E458">
            <w:pPr>
              <w:jc w:val="both"/>
              <w:rPr>
                <w:highlight w:val="none"/>
                <w:vertAlign w:val="baseline"/>
              </w:rPr>
            </w:pPr>
          </w:p>
        </w:tc>
      </w:tr>
      <w:tr w14:paraId="1B93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DE8910">
            <w:pPr>
              <w:jc w:val="center"/>
              <w:rPr>
                <w:rFonts w:hint="default"/>
                <w:highlight w:val="none"/>
                <w:vertAlign w:val="baseline"/>
                <w:lang w:val="en-US" w:eastAsia="zh-CN"/>
              </w:rPr>
            </w:pPr>
            <w:r>
              <w:rPr>
                <w:rFonts w:hint="eastAsia"/>
                <w:highlight w:val="none"/>
                <w:vertAlign w:val="baseline"/>
                <w:lang w:val="en-US" w:eastAsia="zh-CN"/>
              </w:rPr>
              <w:t>265</w:t>
            </w:r>
          </w:p>
        </w:tc>
        <w:tc>
          <w:tcPr>
            <w:tcW w:w="1690" w:type="dxa"/>
            <w:noWrap w:val="0"/>
            <w:vAlign w:val="center"/>
          </w:tcPr>
          <w:p w14:paraId="75B544F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蚯蚓解剖模型</w:t>
            </w:r>
          </w:p>
        </w:tc>
        <w:tc>
          <w:tcPr>
            <w:tcW w:w="5928" w:type="dxa"/>
            <w:noWrap w:val="0"/>
            <w:vAlign w:val="center"/>
          </w:tcPr>
          <w:p w14:paraId="341726C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一半完整，可见环带；另一半剖面，示消化系统、循环系统、神经系统</w:t>
            </w:r>
          </w:p>
        </w:tc>
        <w:tc>
          <w:tcPr>
            <w:tcW w:w="736" w:type="dxa"/>
            <w:noWrap w:val="0"/>
            <w:vAlign w:val="center"/>
          </w:tcPr>
          <w:p w14:paraId="7065F19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403C59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E2A0520">
            <w:pPr>
              <w:jc w:val="center"/>
              <w:rPr>
                <w:highlight w:val="none"/>
              </w:rPr>
            </w:pPr>
          </w:p>
        </w:tc>
        <w:tc>
          <w:tcPr>
            <w:tcW w:w="710" w:type="dxa"/>
            <w:gridSpan w:val="2"/>
            <w:noWrap w:val="0"/>
            <w:vAlign w:val="center"/>
          </w:tcPr>
          <w:p w14:paraId="22483508">
            <w:pPr>
              <w:jc w:val="both"/>
              <w:rPr>
                <w:highlight w:val="none"/>
                <w:vertAlign w:val="baseline"/>
              </w:rPr>
            </w:pPr>
          </w:p>
        </w:tc>
      </w:tr>
      <w:tr w14:paraId="4745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E5310F">
            <w:pPr>
              <w:jc w:val="center"/>
              <w:rPr>
                <w:rFonts w:hint="default"/>
                <w:highlight w:val="none"/>
                <w:vertAlign w:val="baseline"/>
                <w:lang w:val="en-US" w:eastAsia="zh-CN"/>
              </w:rPr>
            </w:pPr>
            <w:r>
              <w:rPr>
                <w:rFonts w:hint="eastAsia"/>
                <w:highlight w:val="none"/>
                <w:vertAlign w:val="baseline"/>
                <w:lang w:val="en-US" w:eastAsia="zh-CN"/>
              </w:rPr>
              <w:t>266</w:t>
            </w:r>
          </w:p>
        </w:tc>
        <w:tc>
          <w:tcPr>
            <w:tcW w:w="1690" w:type="dxa"/>
            <w:noWrap w:val="0"/>
            <w:vAlign w:val="center"/>
          </w:tcPr>
          <w:p w14:paraId="4D9409E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节肢动物标本</w:t>
            </w:r>
          </w:p>
        </w:tc>
        <w:tc>
          <w:tcPr>
            <w:tcW w:w="5928" w:type="dxa"/>
            <w:noWrap w:val="0"/>
            <w:vAlign w:val="center"/>
          </w:tcPr>
          <w:p w14:paraId="0F9FF37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6AE83A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盒 </w:t>
            </w:r>
          </w:p>
        </w:tc>
        <w:tc>
          <w:tcPr>
            <w:tcW w:w="834" w:type="dxa"/>
            <w:noWrap w:val="0"/>
            <w:vAlign w:val="center"/>
          </w:tcPr>
          <w:p w14:paraId="7766D10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F672C5A">
            <w:pPr>
              <w:jc w:val="center"/>
              <w:rPr>
                <w:highlight w:val="none"/>
              </w:rPr>
            </w:pPr>
          </w:p>
        </w:tc>
        <w:tc>
          <w:tcPr>
            <w:tcW w:w="710" w:type="dxa"/>
            <w:gridSpan w:val="2"/>
            <w:noWrap w:val="0"/>
            <w:vAlign w:val="center"/>
          </w:tcPr>
          <w:p w14:paraId="61CCABEE">
            <w:pPr>
              <w:jc w:val="both"/>
              <w:rPr>
                <w:highlight w:val="none"/>
                <w:vertAlign w:val="baseline"/>
              </w:rPr>
            </w:pPr>
          </w:p>
        </w:tc>
      </w:tr>
      <w:tr w14:paraId="19FE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5E63A7">
            <w:pPr>
              <w:jc w:val="center"/>
              <w:rPr>
                <w:rFonts w:hint="default"/>
                <w:highlight w:val="none"/>
                <w:vertAlign w:val="baseline"/>
                <w:lang w:val="en-US" w:eastAsia="zh-CN"/>
              </w:rPr>
            </w:pPr>
            <w:r>
              <w:rPr>
                <w:rFonts w:hint="eastAsia"/>
                <w:highlight w:val="none"/>
                <w:vertAlign w:val="baseline"/>
                <w:lang w:val="en-US" w:eastAsia="zh-CN"/>
              </w:rPr>
              <w:t>267</w:t>
            </w:r>
          </w:p>
        </w:tc>
        <w:tc>
          <w:tcPr>
            <w:tcW w:w="1690" w:type="dxa"/>
            <w:noWrap w:val="0"/>
            <w:vAlign w:val="center"/>
          </w:tcPr>
          <w:p w14:paraId="107898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昆虫标本</w:t>
            </w:r>
          </w:p>
        </w:tc>
        <w:tc>
          <w:tcPr>
            <w:tcW w:w="5928" w:type="dxa"/>
            <w:noWrap w:val="0"/>
            <w:vAlign w:val="center"/>
          </w:tcPr>
          <w:p w14:paraId="1157C19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干制</w:t>
            </w:r>
          </w:p>
        </w:tc>
        <w:tc>
          <w:tcPr>
            <w:tcW w:w="736" w:type="dxa"/>
            <w:noWrap w:val="0"/>
            <w:vAlign w:val="center"/>
          </w:tcPr>
          <w:p w14:paraId="09D7C1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盒 </w:t>
            </w:r>
          </w:p>
        </w:tc>
        <w:tc>
          <w:tcPr>
            <w:tcW w:w="834" w:type="dxa"/>
            <w:noWrap w:val="0"/>
            <w:vAlign w:val="center"/>
          </w:tcPr>
          <w:p w14:paraId="1A0AEF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6B4A578">
            <w:pPr>
              <w:jc w:val="center"/>
              <w:rPr>
                <w:highlight w:val="none"/>
              </w:rPr>
            </w:pPr>
          </w:p>
        </w:tc>
        <w:tc>
          <w:tcPr>
            <w:tcW w:w="710" w:type="dxa"/>
            <w:gridSpan w:val="2"/>
            <w:noWrap w:val="0"/>
            <w:vAlign w:val="center"/>
          </w:tcPr>
          <w:p w14:paraId="6152DE8D">
            <w:pPr>
              <w:jc w:val="both"/>
              <w:rPr>
                <w:highlight w:val="none"/>
                <w:vertAlign w:val="baseline"/>
              </w:rPr>
            </w:pPr>
          </w:p>
        </w:tc>
      </w:tr>
      <w:tr w14:paraId="63FD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23EC1E2">
            <w:pPr>
              <w:jc w:val="center"/>
              <w:rPr>
                <w:rFonts w:hint="default"/>
                <w:highlight w:val="none"/>
                <w:vertAlign w:val="baseline"/>
                <w:lang w:val="en-US" w:eastAsia="zh-CN"/>
              </w:rPr>
            </w:pPr>
            <w:r>
              <w:rPr>
                <w:rFonts w:hint="eastAsia"/>
                <w:highlight w:val="none"/>
                <w:vertAlign w:val="baseline"/>
                <w:lang w:val="en-US" w:eastAsia="zh-CN"/>
              </w:rPr>
              <w:t>268</w:t>
            </w:r>
          </w:p>
        </w:tc>
        <w:tc>
          <w:tcPr>
            <w:tcW w:w="1690" w:type="dxa"/>
            <w:noWrap w:val="0"/>
            <w:vAlign w:val="center"/>
          </w:tcPr>
          <w:p w14:paraId="335152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家蚊(雌)口器装片</w:t>
            </w:r>
          </w:p>
        </w:tc>
        <w:tc>
          <w:tcPr>
            <w:tcW w:w="5928" w:type="dxa"/>
            <w:noWrap w:val="0"/>
            <w:vAlign w:val="center"/>
          </w:tcPr>
          <w:p w14:paraId="42BF57E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646B5C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83028D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531ECF8E">
            <w:pPr>
              <w:jc w:val="center"/>
              <w:rPr>
                <w:highlight w:val="none"/>
              </w:rPr>
            </w:pPr>
          </w:p>
        </w:tc>
        <w:tc>
          <w:tcPr>
            <w:tcW w:w="710" w:type="dxa"/>
            <w:gridSpan w:val="2"/>
            <w:noWrap w:val="0"/>
            <w:vAlign w:val="center"/>
          </w:tcPr>
          <w:p w14:paraId="5D581B0A">
            <w:pPr>
              <w:jc w:val="both"/>
              <w:rPr>
                <w:highlight w:val="none"/>
                <w:vertAlign w:val="baseline"/>
              </w:rPr>
            </w:pPr>
          </w:p>
        </w:tc>
      </w:tr>
      <w:tr w14:paraId="7631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0AFCAB">
            <w:pPr>
              <w:jc w:val="center"/>
              <w:rPr>
                <w:rFonts w:hint="default"/>
                <w:highlight w:val="none"/>
                <w:vertAlign w:val="baseline"/>
                <w:lang w:val="en-US" w:eastAsia="zh-CN"/>
              </w:rPr>
            </w:pPr>
            <w:r>
              <w:rPr>
                <w:rFonts w:hint="eastAsia"/>
                <w:highlight w:val="none"/>
                <w:vertAlign w:val="baseline"/>
                <w:lang w:val="en-US" w:eastAsia="zh-CN"/>
              </w:rPr>
              <w:t>269</w:t>
            </w:r>
          </w:p>
        </w:tc>
        <w:tc>
          <w:tcPr>
            <w:tcW w:w="1690" w:type="dxa"/>
            <w:noWrap w:val="0"/>
            <w:vAlign w:val="center"/>
          </w:tcPr>
          <w:p w14:paraId="3CAE85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蝶虹吸式口器</w:t>
            </w:r>
          </w:p>
        </w:tc>
        <w:tc>
          <w:tcPr>
            <w:tcW w:w="5928" w:type="dxa"/>
            <w:noWrap w:val="0"/>
            <w:vAlign w:val="center"/>
          </w:tcPr>
          <w:p w14:paraId="1CD9AFF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EEE9B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DC6D2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304D8188">
            <w:pPr>
              <w:jc w:val="center"/>
              <w:rPr>
                <w:highlight w:val="none"/>
              </w:rPr>
            </w:pPr>
          </w:p>
        </w:tc>
        <w:tc>
          <w:tcPr>
            <w:tcW w:w="710" w:type="dxa"/>
            <w:gridSpan w:val="2"/>
            <w:noWrap w:val="0"/>
            <w:vAlign w:val="center"/>
          </w:tcPr>
          <w:p w14:paraId="4CAC1055">
            <w:pPr>
              <w:jc w:val="both"/>
              <w:rPr>
                <w:highlight w:val="none"/>
                <w:vertAlign w:val="baseline"/>
              </w:rPr>
            </w:pPr>
          </w:p>
        </w:tc>
      </w:tr>
      <w:tr w14:paraId="714D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4F83317">
            <w:pPr>
              <w:jc w:val="center"/>
              <w:rPr>
                <w:rFonts w:hint="default"/>
                <w:highlight w:val="none"/>
                <w:vertAlign w:val="baseline"/>
                <w:lang w:val="en-US" w:eastAsia="zh-CN"/>
              </w:rPr>
            </w:pPr>
            <w:r>
              <w:rPr>
                <w:rFonts w:hint="eastAsia"/>
                <w:highlight w:val="none"/>
                <w:vertAlign w:val="baseline"/>
                <w:lang w:val="en-US" w:eastAsia="zh-CN"/>
              </w:rPr>
              <w:t>270</w:t>
            </w:r>
          </w:p>
        </w:tc>
        <w:tc>
          <w:tcPr>
            <w:tcW w:w="1690" w:type="dxa"/>
            <w:noWrap w:val="0"/>
            <w:vAlign w:val="center"/>
          </w:tcPr>
          <w:p w14:paraId="68059C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蝗虫口器装片</w:t>
            </w:r>
          </w:p>
        </w:tc>
        <w:tc>
          <w:tcPr>
            <w:tcW w:w="5928" w:type="dxa"/>
            <w:noWrap w:val="0"/>
            <w:vAlign w:val="center"/>
          </w:tcPr>
          <w:p w14:paraId="6863218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92BE9C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BD2693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0DEB7F9B">
            <w:pPr>
              <w:jc w:val="center"/>
              <w:rPr>
                <w:highlight w:val="none"/>
              </w:rPr>
            </w:pPr>
          </w:p>
        </w:tc>
        <w:tc>
          <w:tcPr>
            <w:tcW w:w="710" w:type="dxa"/>
            <w:gridSpan w:val="2"/>
            <w:noWrap w:val="0"/>
            <w:vAlign w:val="center"/>
          </w:tcPr>
          <w:p w14:paraId="09E192CC">
            <w:pPr>
              <w:jc w:val="both"/>
              <w:rPr>
                <w:highlight w:val="none"/>
                <w:vertAlign w:val="baseline"/>
              </w:rPr>
            </w:pPr>
          </w:p>
        </w:tc>
      </w:tr>
      <w:tr w14:paraId="146E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924F15">
            <w:pPr>
              <w:jc w:val="center"/>
              <w:rPr>
                <w:rFonts w:hint="default"/>
                <w:highlight w:val="none"/>
                <w:vertAlign w:val="baseline"/>
                <w:lang w:val="en-US" w:eastAsia="zh-CN"/>
              </w:rPr>
            </w:pPr>
            <w:r>
              <w:rPr>
                <w:rFonts w:hint="eastAsia"/>
                <w:highlight w:val="none"/>
                <w:vertAlign w:val="baseline"/>
                <w:lang w:val="en-US" w:eastAsia="zh-CN"/>
              </w:rPr>
              <w:t>271</w:t>
            </w:r>
          </w:p>
        </w:tc>
        <w:tc>
          <w:tcPr>
            <w:tcW w:w="1690" w:type="dxa"/>
            <w:noWrap w:val="0"/>
            <w:vAlign w:val="center"/>
          </w:tcPr>
          <w:p w14:paraId="00599FB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鱼解剖浸制标本</w:t>
            </w:r>
          </w:p>
        </w:tc>
        <w:tc>
          <w:tcPr>
            <w:tcW w:w="5928" w:type="dxa"/>
            <w:noWrap w:val="0"/>
            <w:vAlign w:val="center"/>
          </w:tcPr>
          <w:p w14:paraId="038A800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08E9FA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ECEA2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3F6A784">
            <w:pPr>
              <w:jc w:val="center"/>
              <w:rPr>
                <w:highlight w:val="none"/>
              </w:rPr>
            </w:pPr>
          </w:p>
        </w:tc>
        <w:tc>
          <w:tcPr>
            <w:tcW w:w="710" w:type="dxa"/>
            <w:gridSpan w:val="2"/>
            <w:noWrap w:val="0"/>
            <w:vAlign w:val="center"/>
          </w:tcPr>
          <w:p w14:paraId="00E0FFB8">
            <w:pPr>
              <w:jc w:val="both"/>
              <w:rPr>
                <w:highlight w:val="none"/>
                <w:vertAlign w:val="baseline"/>
              </w:rPr>
            </w:pPr>
          </w:p>
        </w:tc>
      </w:tr>
      <w:tr w14:paraId="7B98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A4F5A4">
            <w:pPr>
              <w:jc w:val="center"/>
              <w:rPr>
                <w:rFonts w:hint="default"/>
                <w:highlight w:val="none"/>
                <w:vertAlign w:val="baseline"/>
                <w:lang w:val="en-US" w:eastAsia="zh-CN"/>
              </w:rPr>
            </w:pPr>
            <w:r>
              <w:rPr>
                <w:rFonts w:hint="eastAsia"/>
                <w:highlight w:val="none"/>
                <w:vertAlign w:val="baseline"/>
                <w:lang w:val="en-US" w:eastAsia="zh-CN"/>
              </w:rPr>
              <w:t>272</w:t>
            </w:r>
          </w:p>
        </w:tc>
        <w:tc>
          <w:tcPr>
            <w:tcW w:w="1690" w:type="dxa"/>
            <w:noWrap w:val="0"/>
            <w:vAlign w:val="center"/>
          </w:tcPr>
          <w:p w14:paraId="2D6B2D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蛙解剖浸制标本</w:t>
            </w:r>
          </w:p>
        </w:tc>
        <w:tc>
          <w:tcPr>
            <w:tcW w:w="5928" w:type="dxa"/>
            <w:noWrap w:val="0"/>
            <w:vAlign w:val="center"/>
          </w:tcPr>
          <w:p w14:paraId="3CAC6BB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5E49118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558162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D6D76C1">
            <w:pPr>
              <w:jc w:val="center"/>
              <w:rPr>
                <w:highlight w:val="none"/>
              </w:rPr>
            </w:pPr>
          </w:p>
        </w:tc>
        <w:tc>
          <w:tcPr>
            <w:tcW w:w="710" w:type="dxa"/>
            <w:gridSpan w:val="2"/>
            <w:noWrap w:val="0"/>
            <w:vAlign w:val="center"/>
          </w:tcPr>
          <w:p w14:paraId="544C582C">
            <w:pPr>
              <w:jc w:val="both"/>
              <w:rPr>
                <w:highlight w:val="none"/>
                <w:vertAlign w:val="baseline"/>
              </w:rPr>
            </w:pPr>
          </w:p>
        </w:tc>
      </w:tr>
      <w:tr w14:paraId="1031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7C71772">
            <w:pPr>
              <w:jc w:val="center"/>
              <w:rPr>
                <w:rFonts w:hint="default"/>
                <w:highlight w:val="none"/>
                <w:vertAlign w:val="baseline"/>
                <w:lang w:val="en-US" w:eastAsia="zh-CN"/>
              </w:rPr>
            </w:pPr>
            <w:r>
              <w:rPr>
                <w:rFonts w:hint="eastAsia"/>
                <w:highlight w:val="none"/>
                <w:vertAlign w:val="baseline"/>
                <w:lang w:val="en-US" w:eastAsia="zh-CN"/>
              </w:rPr>
              <w:t>273</w:t>
            </w:r>
          </w:p>
        </w:tc>
        <w:tc>
          <w:tcPr>
            <w:tcW w:w="1690" w:type="dxa"/>
            <w:noWrap w:val="0"/>
            <w:vAlign w:val="center"/>
          </w:tcPr>
          <w:p w14:paraId="48A075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鸽解剖浸制标本</w:t>
            </w:r>
          </w:p>
        </w:tc>
        <w:tc>
          <w:tcPr>
            <w:tcW w:w="5928" w:type="dxa"/>
            <w:noWrap w:val="0"/>
            <w:vAlign w:val="center"/>
          </w:tcPr>
          <w:p w14:paraId="18DF422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1B9D1D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B35992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6029E77">
            <w:pPr>
              <w:jc w:val="center"/>
              <w:rPr>
                <w:highlight w:val="none"/>
              </w:rPr>
            </w:pPr>
          </w:p>
        </w:tc>
        <w:tc>
          <w:tcPr>
            <w:tcW w:w="710" w:type="dxa"/>
            <w:gridSpan w:val="2"/>
            <w:noWrap w:val="0"/>
            <w:vAlign w:val="center"/>
          </w:tcPr>
          <w:p w14:paraId="07CF0B16">
            <w:pPr>
              <w:jc w:val="both"/>
              <w:rPr>
                <w:highlight w:val="none"/>
                <w:vertAlign w:val="baseline"/>
              </w:rPr>
            </w:pPr>
          </w:p>
        </w:tc>
      </w:tr>
      <w:tr w14:paraId="0BA5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5010779">
            <w:pPr>
              <w:jc w:val="center"/>
              <w:rPr>
                <w:rFonts w:hint="default"/>
                <w:highlight w:val="none"/>
                <w:vertAlign w:val="baseline"/>
                <w:lang w:val="en-US" w:eastAsia="zh-CN"/>
              </w:rPr>
            </w:pPr>
            <w:r>
              <w:rPr>
                <w:rFonts w:hint="eastAsia"/>
                <w:highlight w:val="none"/>
                <w:vertAlign w:val="baseline"/>
                <w:lang w:val="en-US" w:eastAsia="zh-CN"/>
              </w:rPr>
              <w:t>274</w:t>
            </w:r>
          </w:p>
        </w:tc>
        <w:tc>
          <w:tcPr>
            <w:tcW w:w="1690" w:type="dxa"/>
            <w:noWrap w:val="0"/>
            <w:vAlign w:val="center"/>
          </w:tcPr>
          <w:p w14:paraId="7B41973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兔解剖浸制标本</w:t>
            </w:r>
          </w:p>
        </w:tc>
        <w:tc>
          <w:tcPr>
            <w:tcW w:w="5928" w:type="dxa"/>
            <w:noWrap w:val="0"/>
            <w:vAlign w:val="center"/>
          </w:tcPr>
          <w:p w14:paraId="7568C75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74C39E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64A846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96BD702">
            <w:pPr>
              <w:jc w:val="center"/>
              <w:rPr>
                <w:highlight w:val="none"/>
              </w:rPr>
            </w:pPr>
          </w:p>
        </w:tc>
        <w:tc>
          <w:tcPr>
            <w:tcW w:w="710" w:type="dxa"/>
            <w:gridSpan w:val="2"/>
            <w:noWrap w:val="0"/>
            <w:vAlign w:val="center"/>
          </w:tcPr>
          <w:p w14:paraId="5A63DD6B">
            <w:pPr>
              <w:jc w:val="both"/>
              <w:rPr>
                <w:highlight w:val="none"/>
                <w:vertAlign w:val="baseline"/>
              </w:rPr>
            </w:pPr>
          </w:p>
        </w:tc>
      </w:tr>
      <w:tr w14:paraId="3DA7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1CA26F">
            <w:pPr>
              <w:jc w:val="center"/>
              <w:rPr>
                <w:rFonts w:hint="default"/>
                <w:highlight w:val="none"/>
                <w:vertAlign w:val="baseline"/>
                <w:lang w:val="en-US" w:eastAsia="zh-CN"/>
              </w:rPr>
            </w:pPr>
            <w:r>
              <w:rPr>
                <w:rFonts w:hint="eastAsia"/>
                <w:highlight w:val="none"/>
                <w:vertAlign w:val="baseline"/>
                <w:lang w:val="en-US" w:eastAsia="zh-CN"/>
              </w:rPr>
              <w:t>275</w:t>
            </w:r>
          </w:p>
        </w:tc>
        <w:tc>
          <w:tcPr>
            <w:tcW w:w="1690" w:type="dxa"/>
            <w:noWrap w:val="0"/>
            <w:vAlign w:val="center"/>
          </w:tcPr>
          <w:p w14:paraId="718696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苔藓类植物标本</w:t>
            </w:r>
          </w:p>
        </w:tc>
        <w:tc>
          <w:tcPr>
            <w:tcW w:w="5928" w:type="dxa"/>
            <w:noWrap w:val="0"/>
            <w:vAlign w:val="center"/>
          </w:tcPr>
          <w:p w14:paraId="537BE10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7541E9F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519AE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AC9B433">
            <w:pPr>
              <w:jc w:val="center"/>
              <w:rPr>
                <w:highlight w:val="none"/>
              </w:rPr>
            </w:pPr>
          </w:p>
        </w:tc>
        <w:tc>
          <w:tcPr>
            <w:tcW w:w="710" w:type="dxa"/>
            <w:gridSpan w:val="2"/>
            <w:noWrap w:val="0"/>
            <w:vAlign w:val="center"/>
          </w:tcPr>
          <w:p w14:paraId="5C692311">
            <w:pPr>
              <w:jc w:val="both"/>
              <w:rPr>
                <w:highlight w:val="none"/>
                <w:vertAlign w:val="baseline"/>
              </w:rPr>
            </w:pPr>
          </w:p>
        </w:tc>
      </w:tr>
      <w:tr w14:paraId="6D8A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A60A32">
            <w:pPr>
              <w:jc w:val="center"/>
              <w:rPr>
                <w:rFonts w:hint="default"/>
                <w:highlight w:val="none"/>
                <w:vertAlign w:val="baseline"/>
                <w:lang w:val="en-US" w:eastAsia="zh-CN"/>
              </w:rPr>
            </w:pPr>
            <w:r>
              <w:rPr>
                <w:rFonts w:hint="eastAsia"/>
                <w:highlight w:val="none"/>
                <w:vertAlign w:val="baseline"/>
                <w:lang w:val="en-US" w:eastAsia="zh-CN"/>
              </w:rPr>
              <w:t>276</w:t>
            </w:r>
          </w:p>
        </w:tc>
        <w:tc>
          <w:tcPr>
            <w:tcW w:w="1690" w:type="dxa"/>
            <w:noWrap w:val="0"/>
            <w:vAlign w:val="center"/>
          </w:tcPr>
          <w:p w14:paraId="69E9CD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蕨类植物标本</w:t>
            </w:r>
          </w:p>
        </w:tc>
        <w:tc>
          <w:tcPr>
            <w:tcW w:w="5928" w:type="dxa"/>
            <w:noWrap w:val="0"/>
            <w:vAlign w:val="center"/>
          </w:tcPr>
          <w:p w14:paraId="2578B96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6C461D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05487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AB1BC20">
            <w:pPr>
              <w:jc w:val="center"/>
              <w:rPr>
                <w:highlight w:val="none"/>
              </w:rPr>
            </w:pPr>
          </w:p>
        </w:tc>
        <w:tc>
          <w:tcPr>
            <w:tcW w:w="710" w:type="dxa"/>
            <w:gridSpan w:val="2"/>
            <w:noWrap w:val="0"/>
            <w:vAlign w:val="center"/>
          </w:tcPr>
          <w:p w14:paraId="4C6D90A0">
            <w:pPr>
              <w:jc w:val="both"/>
              <w:rPr>
                <w:highlight w:val="none"/>
                <w:vertAlign w:val="baseline"/>
              </w:rPr>
            </w:pPr>
          </w:p>
        </w:tc>
      </w:tr>
      <w:tr w14:paraId="4925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7C01AE">
            <w:pPr>
              <w:jc w:val="center"/>
              <w:rPr>
                <w:rFonts w:hint="default"/>
                <w:highlight w:val="none"/>
                <w:vertAlign w:val="baseline"/>
                <w:lang w:val="en-US" w:eastAsia="zh-CN"/>
              </w:rPr>
            </w:pPr>
            <w:r>
              <w:rPr>
                <w:rFonts w:hint="eastAsia"/>
                <w:highlight w:val="none"/>
                <w:vertAlign w:val="baseline"/>
                <w:lang w:val="en-US" w:eastAsia="zh-CN"/>
              </w:rPr>
              <w:t>277</w:t>
            </w:r>
          </w:p>
        </w:tc>
        <w:tc>
          <w:tcPr>
            <w:tcW w:w="1690" w:type="dxa"/>
            <w:noWrap w:val="0"/>
            <w:vAlign w:val="center"/>
          </w:tcPr>
          <w:p w14:paraId="540D4E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裸子植物标本</w:t>
            </w:r>
          </w:p>
        </w:tc>
        <w:tc>
          <w:tcPr>
            <w:tcW w:w="5928" w:type="dxa"/>
            <w:noWrap w:val="0"/>
            <w:vAlign w:val="center"/>
          </w:tcPr>
          <w:p w14:paraId="76D3A69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包埋</w:t>
            </w:r>
          </w:p>
        </w:tc>
        <w:tc>
          <w:tcPr>
            <w:tcW w:w="736" w:type="dxa"/>
            <w:noWrap w:val="0"/>
            <w:vAlign w:val="center"/>
          </w:tcPr>
          <w:p w14:paraId="0A7D30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块 </w:t>
            </w:r>
          </w:p>
        </w:tc>
        <w:tc>
          <w:tcPr>
            <w:tcW w:w="834" w:type="dxa"/>
            <w:noWrap w:val="0"/>
            <w:vAlign w:val="center"/>
          </w:tcPr>
          <w:p w14:paraId="52E074C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78B3B4C">
            <w:pPr>
              <w:jc w:val="center"/>
              <w:rPr>
                <w:highlight w:val="none"/>
              </w:rPr>
            </w:pPr>
          </w:p>
        </w:tc>
        <w:tc>
          <w:tcPr>
            <w:tcW w:w="710" w:type="dxa"/>
            <w:gridSpan w:val="2"/>
            <w:noWrap w:val="0"/>
            <w:vAlign w:val="center"/>
          </w:tcPr>
          <w:p w14:paraId="4C67DDB4">
            <w:pPr>
              <w:jc w:val="both"/>
              <w:rPr>
                <w:highlight w:val="none"/>
                <w:vertAlign w:val="baseline"/>
              </w:rPr>
            </w:pPr>
          </w:p>
        </w:tc>
      </w:tr>
      <w:tr w14:paraId="0120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3D868C0">
            <w:pPr>
              <w:jc w:val="center"/>
              <w:rPr>
                <w:rFonts w:hint="default"/>
                <w:highlight w:val="none"/>
                <w:vertAlign w:val="baseline"/>
                <w:lang w:val="en-US" w:eastAsia="zh-CN"/>
              </w:rPr>
            </w:pPr>
            <w:r>
              <w:rPr>
                <w:rFonts w:hint="eastAsia"/>
                <w:highlight w:val="none"/>
                <w:vertAlign w:val="baseline"/>
                <w:lang w:val="en-US" w:eastAsia="zh-CN"/>
              </w:rPr>
              <w:t>278</w:t>
            </w:r>
          </w:p>
        </w:tc>
        <w:tc>
          <w:tcPr>
            <w:tcW w:w="1690" w:type="dxa"/>
            <w:noWrap w:val="0"/>
            <w:vAlign w:val="center"/>
          </w:tcPr>
          <w:p w14:paraId="658A45B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被子植物标本</w:t>
            </w:r>
          </w:p>
        </w:tc>
        <w:tc>
          <w:tcPr>
            <w:tcW w:w="5928" w:type="dxa"/>
            <w:noWrap w:val="0"/>
            <w:vAlign w:val="center"/>
          </w:tcPr>
          <w:p w14:paraId="1C08094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包埋</w:t>
            </w:r>
          </w:p>
        </w:tc>
        <w:tc>
          <w:tcPr>
            <w:tcW w:w="736" w:type="dxa"/>
            <w:noWrap w:val="0"/>
            <w:vAlign w:val="center"/>
          </w:tcPr>
          <w:p w14:paraId="354CA0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块 </w:t>
            </w:r>
          </w:p>
        </w:tc>
        <w:tc>
          <w:tcPr>
            <w:tcW w:w="834" w:type="dxa"/>
            <w:noWrap w:val="0"/>
            <w:vAlign w:val="center"/>
          </w:tcPr>
          <w:p w14:paraId="3349201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D6B34A9">
            <w:pPr>
              <w:jc w:val="center"/>
              <w:rPr>
                <w:highlight w:val="none"/>
              </w:rPr>
            </w:pPr>
          </w:p>
        </w:tc>
        <w:tc>
          <w:tcPr>
            <w:tcW w:w="710" w:type="dxa"/>
            <w:gridSpan w:val="2"/>
            <w:noWrap w:val="0"/>
            <w:vAlign w:val="center"/>
          </w:tcPr>
          <w:p w14:paraId="4BE41CB4">
            <w:pPr>
              <w:jc w:val="both"/>
              <w:rPr>
                <w:highlight w:val="none"/>
                <w:vertAlign w:val="baseline"/>
              </w:rPr>
            </w:pPr>
          </w:p>
        </w:tc>
      </w:tr>
      <w:tr w14:paraId="4B85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AB2333B">
            <w:pPr>
              <w:jc w:val="center"/>
              <w:rPr>
                <w:rFonts w:hint="default"/>
                <w:highlight w:val="none"/>
                <w:vertAlign w:val="baseline"/>
                <w:lang w:val="en-US" w:eastAsia="zh-CN"/>
              </w:rPr>
            </w:pPr>
            <w:r>
              <w:rPr>
                <w:rFonts w:hint="eastAsia"/>
                <w:highlight w:val="none"/>
                <w:vertAlign w:val="baseline"/>
                <w:lang w:val="en-US" w:eastAsia="zh-CN"/>
              </w:rPr>
              <w:t>279</w:t>
            </w:r>
          </w:p>
        </w:tc>
        <w:tc>
          <w:tcPr>
            <w:tcW w:w="1690" w:type="dxa"/>
            <w:noWrap w:val="0"/>
            <w:vAlign w:val="center"/>
          </w:tcPr>
          <w:p w14:paraId="232631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珍贵植物保色标本</w:t>
            </w:r>
          </w:p>
        </w:tc>
        <w:tc>
          <w:tcPr>
            <w:tcW w:w="5928" w:type="dxa"/>
            <w:noWrap w:val="0"/>
            <w:vAlign w:val="center"/>
          </w:tcPr>
          <w:p w14:paraId="51A976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39F254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834" w:type="dxa"/>
            <w:noWrap w:val="0"/>
            <w:vAlign w:val="center"/>
          </w:tcPr>
          <w:p w14:paraId="1B69A74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B860C07">
            <w:pPr>
              <w:jc w:val="center"/>
              <w:rPr>
                <w:highlight w:val="none"/>
              </w:rPr>
            </w:pPr>
          </w:p>
        </w:tc>
        <w:tc>
          <w:tcPr>
            <w:tcW w:w="710" w:type="dxa"/>
            <w:gridSpan w:val="2"/>
            <w:noWrap w:val="0"/>
            <w:vAlign w:val="center"/>
          </w:tcPr>
          <w:p w14:paraId="05F6C6BB">
            <w:pPr>
              <w:jc w:val="both"/>
              <w:rPr>
                <w:highlight w:val="none"/>
                <w:vertAlign w:val="baseline"/>
              </w:rPr>
            </w:pPr>
          </w:p>
        </w:tc>
      </w:tr>
      <w:tr w14:paraId="4C4F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29DC59">
            <w:pPr>
              <w:jc w:val="center"/>
              <w:rPr>
                <w:rFonts w:hint="default"/>
                <w:highlight w:val="none"/>
                <w:vertAlign w:val="baseline"/>
                <w:lang w:val="en-US" w:eastAsia="zh-CN"/>
              </w:rPr>
            </w:pPr>
            <w:r>
              <w:rPr>
                <w:rFonts w:hint="eastAsia"/>
                <w:highlight w:val="none"/>
                <w:vertAlign w:val="baseline"/>
                <w:lang w:val="en-US" w:eastAsia="zh-CN"/>
              </w:rPr>
              <w:t>280</w:t>
            </w:r>
          </w:p>
        </w:tc>
        <w:tc>
          <w:tcPr>
            <w:tcW w:w="1690" w:type="dxa"/>
            <w:noWrap w:val="0"/>
            <w:vAlign w:val="center"/>
          </w:tcPr>
          <w:p w14:paraId="08AF8A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团藻装片</w:t>
            </w:r>
          </w:p>
        </w:tc>
        <w:tc>
          <w:tcPr>
            <w:tcW w:w="5928" w:type="dxa"/>
            <w:noWrap w:val="0"/>
            <w:vAlign w:val="center"/>
          </w:tcPr>
          <w:p w14:paraId="537F1CA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C641F7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2301365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47660D9">
            <w:pPr>
              <w:jc w:val="center"/>
              <w:rPr>
                <w:highlight w:val="none"/>
              </w:rPr>
            </w:pPr>
          </w:p>
        </w:tc>
        <w:tc>
          <w:tcPr>
            <w:tcW w:w="710" w:type="dxa"/>
            <w:gridSpan w:val="2"/>
            <w:noWrap w:val="0"/>
            <w:vAlign w:val="center"/>
          </w:tcPr>
          <w:p w14:paraId="3DF34953">
            <w:pPr>
              <w:jc w:val="both"/>
              <w:rPr>
                <w:highlight w:val="none"/>
                <w:vertAlign w:val="baseline"/>
              </w:rPr>
            </w:pPr>
          </w:p>
        </w:tc>
      </w:tr>
      <w:tr w14:paraId="3AC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7532739">
            <w:pPr>
              <w:jc w:val="center"/>
              <w:rPr>
                <w:rFonts w:hint="default"/>
                <w:highlight w:val="none"/>
                <w:vertAlign w:val="baseline"/>
                <w:lang w:val="en-US" w:eastAsia="zh-CN"/>
              </w:rPr>
            </w:pPr>
            <w:r>
              <w:rPr>
                <w:rFonts w:hint="eastAsia"/>
                <w:highlight w:val="none"/>
                <w:vertAlign w:val="baseline"/>
                <w:lang w:val="en-US" w:eastAsia="zh-CN"/>
              </w:rPr>
              <w:t>281</w:t>
            </w:r>
          </w:p>
        </w:tc>
        <w:tc>
          <w:tcPr>
            <w:tcW w:w="1690" w:type="dxa"/>
            <w:noWrap w:val="0"/>
            <w:vAlign w:val="center"/>
          </w:tcPr>
          <w:p w14:paraId="16F1FB8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胞间连丝切片</w:t>
            </w:r>
          </w:p>
        </w:tc>
        <w:tc>
          <w:tcPr>
            <w:tcW w:w="5928" w:type="dxa"/>
            <w:noWrap w:val="0"/>
            <w:vAlign w:val="center"/>
          </w:tcPr>
          <w:p w14:paraId="7C44E40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6FBE9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6E655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4883A80">
            <w:pPr>
              <w:jc w:val="center"/>
              <w:rPr>
                <w:highlight w:val="none"/>
              </w:rPr>
            </w:pPr>
          </w:p>
        </w:tc>
        <w:tc>
          <w:tcPr>
            <w:tcW w:w="710" w:type="dxa"/>
            <w:gridSpan w:val="2"/>
            <w:noWrap w:val="0"/>
            <w:vAlign w:val="center"/>
          </w:tcPr>
          <w:p w14:paraId="587674A3">
            <w:pPr>
              <w:jc w:val="both"/>
              <w:rPr>
                <w:highlight w:val="none"/>
                <w:vertAlign w:val="baseline"/>
              </w:rPr>
            </w:pPr>
          </w:p>
        </w:tc>
      </w:tr>
      <w:tr w14:paraId="26AC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C4EED8">
            <w:pPr>
              <w:jc w:val="center"/>
              <w:rPr>
                <w:rFonts w:hint="default"/>
                <w:highlight w:val="none"/>
                <w:vertAlign w:val="baseline"/>
                <w:lang w:val="en-US" w:eastAsia="zh-CN"/>
              </w:rPr>
            </w:pPr>
            <w:r>
              <w:rPr>
                <w:rFonts w:hint="eastAsia"/>
                <w:highlight w:val="none"/>
                <w:vertAlign w:val="baseline"/>
                <w:lang w:val="en-US" w:eastAsia="zh-CN"/>
              </w:rPr>
              <w:t>282</w:t>
            </w:r>
          </w:p>
        </w:tc>
        <w:tc>
          <w:tcPr>
            <w:tcW w:w="1690" w:type="dxa"/>
            <w:noWrap w:val="0"/>
            <w:vAlign w:val="center"/>
          </w:tcPr>
          <w:p w14:paraId="007B18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褐藻类标本</w:t>
            </w:r>
          </w:p>
        </w:tc>
        <w:tc>
          <w:tcPr>
            <w:tcW w:w="5928" w:type="dxa"/>
            <w:noWrap w:val="0"/>
            <w:vAlign w:val="center"/>
          </w:tcPr>
          <w:p w14:paraId="31650FE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308D5C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65494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6714DDC">
            <w:pPr>
              <w:jc w:val="center"/>
              <w:rPr>
                <w:highlight w:val="none"/>
              </w:rPr>
            </w:pPr>
          </w:p>
        </w:tc>
        <w:tc>
          <w:tcPr>
            <w:tcW w:w="710" w:type="dxa"/>
            <w:gridSpan w:val="2"/>
            <w:noWrap w:val="0"/>
            <w:vAlign w:val="center"/>
          </w:tcPr>
          <w:p w14:paraId="0A1CD0FB">
            <w:pPr>
              <w:jc w:val="both"/>
              <w:rPr>
                <w:highlight w:val="none"/>
                <w:vertAlign w:val="baseline"/>
              </w:rPr>
            </w:pPr>
          </w:p>
        </w:tc>
      </w:tr>
      <w:tr w14:paraId="26B4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933987">
            <w:pPr>
              <w:jc w:val="center"/>
              <w:rPr>
                <w:rFonts w:hint="default"/>
                <w:highlight w:val="none"/>
                <w:vertAlign w:val="baseline"/>
                <w:lang w:val="en-US" w:eastAsia="zh-CN"/>
              </w:rPr>
            </w:pPr>
            <w:r>
              <w:rPr>
                <w:rFonts w:hint="eastAsia"/>
                <w:highlight w:val="none"/>
                <w:vertAlign w:val="baseline"/>
                <w:lang w:val="en-US" w:eastAsia="zh-CN"/>
              </w:rPr>
              <w:t>283</w:t>
            </w:r>
          </w:p>
        </w:tc>
        <w:tc>
          <w:tcPr>
            <w:tcW w:w="1690" w:type="dxa"/>
            <w:noWrap w:val="0"/>
            <w:vAlign w:val="center"/>
          </w:tcPr>
          <w:p w14:paraId="6C90975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红藻类标本</w:t>
            </w:r>
          </w:p>
        </w:tc>
        <w:tc>
          <w:tcPr>
            <w:tcW w:w="5928" w:type="dxa"/>
            <w:noWrap w:val="0"/>
            <w:vAlign w:val="center"/>
          </w:tcPr>
          <w:p w14:paraId="2F03B33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浸制</w:t>
            </w:r>
          </w:p>
        </w:tc>
        <w:tc>
          <w:tcPr>
            <w:tcW w:w="736" w:type="dxa"/>
            <w:noWrap w:val="0"/>
            <w:vAlign w:val="center"/>
          </w:tcPr>
          <w:p w14:paraId="1CCA04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E39713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5D018F8">
            <w:pPr>
              <w:jc w:val="center"/>
              <w:rPr>
                <w:highlight w:val="none"/>
              </w:rPr>
            </w:pPr>
          </w:p>
        </w:tc>
        <w:tc>
          <w:tcPr>
            <w:tcW w:w="710" w:type="dxa"/>
            <w:gridSpan w:val="2"/>
            <w:noWrap w:val="0"/>
            <w:vAlign w:val="center"/>
          </w:tcPr>
          <w:p w14:paraId="0A540070">
            <w:pPr>
              <w:jc w:val="both"/>
              <w:rPr>
                <w:highlight w:val="none"/>
                <w:vertAlign w:val="baseline"/>
              </w:rPr>
            </w:pPr>
          </w:p>
        </w:tc>
      </w:tr>
      <w:tr w14:paraId="291F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584F79B">
            <w:pPr>
              <w:jc w:val="center"/>
              <w:rPr>
                <w:rFonts w:hint="default"/>
                <w:highlight w:val="none"/>
                <w:vertAlign w:val="baseline"/>
                <w:lang w:val="en-US" w:eastAsia="zh-CN"/>
              </w:rPr>
            </w:pPr>
            <w:r>
              <w:rPr>
                <w:rFonts w:hint="eastAsia"/>
                <w:highlight w:val="none"/>
                <w:vertAlign w:val="baseline"/>
                <w:lang w:val="en-US" w:eastAsia="zh-CN"/>
              </w:rPr>
              <w:t>284</w:t>
            </w:r>
          </w:p>
        </w:tc>
        <w:tc>
          <w:tcPr>
            <w:tcW w:w="1690" w:type="dxa"/>
            <w:noWrap w:val="0"/>
            <w:vAlign w:val="center"/>
          </w:tcPr>
          <w:p w14:paraId="7CF9497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衣藻模型</w:t>
            </w:r>
          </w:p>
        </w:tc>
        <w:tc>
          <w:tcPr>
            <w:tcW w:w="5928" w:type="dxa"/>
            <w:noWrap w:val="0"/>
            <w:vAlign w:val="center"/>
          </w:tcPr>
          <w:p w14:paraId="29F6664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一半完整，一半为剖面展示内部结构，杯状叶绿体可以分离、拆卸</w:t>
            </w:r>
          </w:p>
        </w:tc>
        <w:tc>
          <w:tcPr>
            <w:tcW w:w="736" w:type="dxa"/>
            <w:noWrap w:val="0"/>
            <w:vAlign w:val="center"/>
          </w:tcPr>
          <w:p w14:paraId="5A6599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616EBFA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947DBDE">
            <w:pPr>
              <w:jc w:val="center"/>
              <w:rPr>
                <w:highlight w:val="none"/>
              </w:rPr>
            </w:pPr>
          </w:p>
        </w:tc>
        <w:tc>
          <w:tcPr>
            <w:tcW w:w="710" w:type="dxa"/>
            <w:gridSpan w:val="2"/>
            <w:noWrap w:val="0"/>
            <w:vAlign w:val="center"/>
          </w:tcPr>
          <w:p w14:paraId="2087A8E0">
            <w:pPr>
              <w:jc w:val="both"/>
              <w:rPr>
                <w:highlight w:val="none"/>
                <w:vertAlign w:val="baseline"/>
              </w:rPr>
            </w:pPr>
          </w:p>
        </w:tc>
      </w:tr>
      <w:tr w14:paraId="3BE0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B0770A">
            <w:pPr>
              <w:jc w:val="center"/>
              <w:rPr>
                <w:rFonts w:hint="default"/>
                <w:highlight w:val="none"/>
                <w:vertAlign w:val="baseline"/>
                <w:lang w:val="en-US" w:eastAsia="zh-CN"/>
              </w:rPr>
            </w:pPr>
            <w:r>
              <w:rPr>
                <w:rFonts w:hint="eastAsia"/>
                <w:highlight w:val="none"/>
                <w:vertAlign w:val="baseline"/>
                <w:lang w:val="en-US" w:eastAsia="zh-CN"/>
              </w:rPr>
              <w:t>285</w:t>
            </w:r>
          </w:p>
        </w:tc>
        <w:tc>
          <w:tcPr>
            <w:tcW w:w="1690" w:type="dxa"/>
            <w:noWrap w:val="0"/>
            <w:vAlign w:val="center"/>
          </w:tcPr>
          <w:p w14:paraId="5F08C96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衣藻装片</w:t>
            </w:r>
          </w:p>
        </w:tc>
        <w:tc>
          <w:tcPr>
            <w:tcW w:w="5928" w:type="dxa"/>
            <w:noWrap w:val="0"/>
            <w:vAlign w:val="center"/>
          </w:tcPr>
          <w:p w14:paraId="033DEF1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FC0F0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FA7DE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6F10FD0B">
            <w:pPr>
              <w:jc w:val="center"/>
              <w:rPr>
                <w:highlight w:val="none"/>
              </w:rPr>
            </w:pPr>
          </w:p>
        </w:tc>
        <w:tc>
          <w:tcPr>
            <w:tcW w:w="710" w:type="dxa"/>
            <w:gridSpan w:val="2"/>
            <w:noWrap w:val="0"/>
            <w:vAlign w:val="center"/>
          </w:tcPr>
          <w:p w14:paraId="19A0C980">
            <w:pPr>
              <w:jc w:val="both"/>
              <w:rPr>
                <w:highlight w:val="none"/>
                <w:vertAlign w:val="baseline"/>
              </w:rPr>
            </w:pPr>
          </w:p>
        </w:tc>
      </w:tr>
      <w:tr w14:paraId="4AF5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E7477DA">
            <w:pPr>
              <w:jc w:val="center"/>
              <w:rPr>
                <w:rFonts w:hint="default"/>
                <w:highlight w:val="none"/>
                <w:vertAlign w:val="baseline"/>
                <w:lang w:val="en-US" w:eastAsia="zh-CN"/>
              </w:rPr>
            </w:pPr>
            <w:r>
              <w:rPr>
                <w:rFonts w:hint="eastAsia"/>
                <w:highlight w:val="none"/>
                <w:vertAlign w:val="baseline"/>
                <w:lang w:val="en-US" w:eastAsia="zh-CN"/>
              </w:rPr>
              <w:t>286</w:t>
            </w:r>
          </w:p>
        </w:tc>
        <w:tc>
          <w:tcPr>
            <w:tcW w:w="1690" w:type="dxa"/>
            <w:noWrap w:val="0"/>
            <w:vAlign w:val="center"/>
          </w:tcPr>
          <w:p w14:paraId="484129B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水绵装片</w:t>
            </w:r>
          </w:p>
        </w:tc>
        <w:tc>
          <w:tcPr>
            <w:tcW w:w="5928" w:type="dxa"/>
            <w:noWrap w:val="0"/>
            <w:vAlign w:val="center"/>
          </w:tcPr>
          <w:p w14:paraId="191E4C8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67243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71D02B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3E32EB06">
            <w:pPr>
              <w:jc w:val="center"/>
              <w:rPr>
                <w:highlight w:val="none"/>
              </w:rPr>
            </w:pPr>
          </w:p>
        </w:tc>
        <w:tc>
          <w:tcPr>
            <w:tcW w:w="710" w:type="dxa"/>
            <w:gridSpan w:val="2"/>
            <w:noWrap w:val="0"/>
            <w:vAlign w:val="center"/>
          </w:tcPr>
          <w:p w14:paraId="3C2FBE8F">
            <w:pPr>
              <w:jc w:val="both"/>
              <w:rPr>
                <w:highlight w:val="none"/>
                <w:vertAlign w:val="baseline"/>
              </w:rPr>
            </w:pPr>
          </w:p>
        </w:tc>
      </w:tr>
      <w:tr w14:paraId="02BB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DC2B74C">
            <w:pPr>
              <w:jc w:val="center"/>
              <w:rPr>
                <w:rFonts w:hint="default"/>
                <w:highlight w:val="none"/>
                <w:vertAlign w:val="baseline"/>
                <w:lang w:val="en-US" w:eastAsia="zh-CN"/>
              </w:rPr>
            </w:pPr>
            <w:r>
              <w:rPr>
                <w:rFonts w:hint="eastAsia"/>
                <w:highlight w:val="none"/>
                <w:vertAlign w:val="baseline"/>
                <w:lang w:val="en-US" w:eastAsia="zh-CN"/>
              </w:rPr>
              <w:t>287</w:t>
            </w:r>
          </w:p>
        </w:tc>
        <w:tc>
          <w:tcPr>
            <w:tcW w:w="1690" w:type="dxa"/>
            <w:noWrap w:val="0"/>
            <w:vAlign w:val="center"/>
          </w:tcPr>
          <w:p w14:paraId="39249F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水绵接合生殖装片</w:t>
            </w:r>
          </w:p>
        </w:tc>
        <w:tc>
          <w:tcPr>
            <w:tcW w:w="5928" w:type="dxa"/>
            <w:noWrap w:val="0"/>
            <w:vAlign w:val="center"/>
          </w:tcPr>
          <w:p w14:paraId="7317136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6A66FF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2B772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2F86514A">
            <w:pPr>
              <w:jc w:val="center"/>
              <w:rPr>
                <w:highlight w:val="none"/>
              </w:rPr>
            </w:pPr>
          </w:p>
        </w:tc>
        <w:tc>
          <w:tcPr>
            <w:tcW w:w="710" w:type="dxa"/>
            <w:gridSpan w:val="2"/>
            <w:noWrap w:val="0"/>
            <w:vAlign w:val="center"/>
          </w:tcPr>
          <w:p w14:paraId="332D6ED4">
            <w:pPr>
              <w:jc w:val="both"/>
              <w:rPr>
                <w:highlight w:val="none"/>
                <w:vertAlign w:val="baseline"/>
              </w:rPr>
            </w:pPr>
          </w:p>
        </w:tc>
      </w:tr>
      <w:tr w14:paraId="3838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705EBA">
            <w:pPr>
              <w:jc w:val="center"/>
              <w:rPr>
                <w:rFonts w:hint="default"/>
                <w:highlight w:val="none"/>
                <w:vertAlign w:val="baseline"/>
                <w:lang w:val="en-US" w:eastAsia="zh-CN"/>
              </w:rPr>
            </w:pPr>
            <w:r>
              <w:rPr>
                <w:rFonts w:hint="eastAsia"/>
                <w:highlight w:val="none"/>
                <w:vertAlign w:val="baseline"/>
                <w:lang w:val="en-US" w:eastAsia="zh-CN"/>
              </w:rPr>
              <w:t>288</w:t>
            </w:r>
          </w:p>
        </w:tc>
        <w:tc>
          <w:tcPr>
            <w:tcW w:w="1690" w:type="dxa"/>
            <w:noWrap w:val="0"/>
            <w:vAlign w:val="center"/>
          </w:tcPr>
          <w:p w14:paraId="30DC525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病毒模型（新款）</w:t>
            </w:r>
          </w:p>
        </w:tc>
        <w:tc>
          <w:tcPr>
            <w:tcW w:w="5928" w:type="dxa"/>
            <w:noWrap w:val="0"/>
            <w:vAlign w:val="center"/>
          </w:tcPr>
          <w:p w14:paraId="341C84A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放大 100 万倍，示噬菌体的解剖结构和特征</w:t>
            </w:r>
          </w:p>
        </w:tc>
        <w:tc>
          <w:tcPr>
            <w:tcW w:w="736" w:type="dxa"/>
            <w:noWrap w:val="0"/>
            <w:vAlign w:val="center"/>
          </w:tcPr>
          <w:p w14:paraId="615D95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64F6F0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BEA26D0">
            <w:pPr>
              <w:jc w:val="center"/>
              <w:rPr>
                <w:highlight w:val="none"/>
              </w:rPr>
            </w:pPr>
          </w:p>
        </w:tc>
        <w:tc>
          <w:tcPr>
            <w:tcW w:w="710" w:type="dxa"/>
            <w:gridSpan w:val="2"/>
            <w:noWrap w:val="0"/>
            <w:vAlign w:val="center"/>
          </w:tcPr>
          <w:p w14:paraId="7C597479">
            <w:pPr>
              <w:jc w:val="both"/>
              <w:rPr>
                <w:highlight w:val="none"/>
                <w:vertAlign w:val="baseline"/>
              </w:rPr>
            </w:pPr>
          </w:p>
        </w:tc>
      </w:tr>
      <w:tr w14:paraId="5E54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228BB86">
            <w:pPr>
              <w:jc w:val="center"/>
              <w:rPr>
                <w:rFonts w:hint="default"/>
                <w:highlight w:val="none"/>
                <w:vertAlign w:val="baseline"/>
                <w:lang w:val="en-US" w:eastAsia="zh-CN"/>
              </w:rPr>
            </w:pPr>
            <w:r>
              <w:rPr>
                <w:rFonts w:hint="eastAsia"/>
                <w:highlight w:val="none"/>
                <w:vertAlign w:val="baseline"/>
                <w:lang w:val="en-US" w:eastAsia="zh-CN"/>
              </w:rPr>
              <w:t>289</w:t>
            </w:r>
          </w:p>
        </w:tc>
        <w:tc>
          <w:tcPr>
            <w:tcW w:w="1690" w:type="dxa"/>
            <w:noWrap w:val="0"/>
            <w:vAlign w:val="center"/>
          </w:tcPr>
          <w:p w14:paraId="3278232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细菌模型</w:t>
            </w:r>
          </w:p>
        </w:tc>
        <w:tc>
          <w:tcPr>
            <w:tcW w:w="5928" w:type="dxa"/>
            <w:noWrap w:val="0"/>
            <w:vAlign w:val="center"/>
          </w:tcPr>
          <w:p w14:paraId="4C7CAEC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示细菌的横截面，鞭毛、包涵体、质粒和染色体的典型构造</w:t>
            </w:r>
          </w:p>
        </w:tc>
        <w:tc>
          <w:tcPr>
            <w:tcW w:w="736" w:type="dxa"/>
            <w:noWrap w:val="0"/>
            <w:vAlign w:val="center"/>
          </w:tcPr>
          <w:p w14:paraId="07B089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件 </w:t>
            </w:r>
          </w:p>
        </w:tc>
        <w:tc>
          <w:tcPr>
            <w:tcW w:w="834" w:type="dxa"/>
            <w:noWrap w:val="0"/>
            <w:vAlign w:val="center"/>
          </w:tcPr>
          <w:p w14:paraId="02A1F3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483C94CF">
            <w:pPr>
              <w:jc w:val="center"/>
              <w:rPr>
                <w:highlight w:val="none"/>
              </w:rPr>
            </w:pPr>
          </w:p>
        </w:tc>
        <w:tc>
          <w:tcPr>
            <w:tcW w:w="710" w:type="dxa"/>
            <w:gridSpan w:val="2"/>
            <w:noWrap w:val="0"/>
            <w:vAlign w:val="center"/>
          </w:tcPr>
          <w:p w14:paraId="30B8079F">
            <w:pPr>
              <w:jc w:val="both"/>
              <w:rPr>
                <w:highlight w:val="none"/>
                <w:vertAlign w:val="baseline"/>
              </w:rPr>
            </w:pPr>
          </w:p>
        </w:tc>
      </w:tr>
      <w:tr w14:paraId="5EF7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F5C12E">
            <w:pPr>
              <w:jc w:val="center"/>
              <w:rPr>
                <w:rFonts w:hint="default"/>
                <w:highlight w:val="none"/>
                <w:vertAlign w:val="baseline"/>
                <w:lang w:val="en-US" w:eastAsia="zh-CN"/>
              </w:rPr>
            </w:pPr>
            <w:r>
              <w:rPr>
                <w:rFonts w:hint="eastAsia"/>
                <w:highlight w:val="none"/>
                <w:vertAlign w:val="baseline"/>
                <w:lang w:val="en-US" w:eastAsia="zh-CN"/>
              </w:rPr>
              <w:t>290</w:t>
            </w:r>
          </w:p>
        </w:tc>
        <w:tc>
          <w:tcPr>
            <w:tcW w:w="1690" w:type="dxa"/>
            <w:noWrap w:val="0"/>
            <w:vAlign w:val="center"/>
          </w:tcPr>
          <w:p w14:paraId="2B727D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细菌三型涂片</w:t>
            </w:r>
          </w:p>
        </w:tc>
        <w:tc>
          <w:tcPr>
            <w:tcW w:w="5928" w:type="dxa"/>
            <w:noWrap w:val="0"/>
            <w:vAlign w:val="center"/>
          </w:tcPr>
          <w:p w14:paraId="1DB653A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386127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733A9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2781384E">
            <w:pPr>
              <w:jc w:val="center"/>
              <w:rPr>
                <w:highlight w:val="none"/>
              </w:rPr>
            </w:pPr>
          </w:p>
        </w:tc>
        <w:tc>
          <w:tcPr>
            <w:tcW w:w="710" w:type="dxa"/>
            <w:gridSpan w:val="2"/>
            <w:noWrap w:val="0"/>
            <w:vAlign w:val="center"/>
          </w:tcPr>
          <w:p w14:paraId="2DDCD896">
            <w:pPr>
              <w:jc w:val="both"/>
              <w:rPr>
                <w:highlight w:val="none"/>
                <w:vertAlign w:val="baseline"/>
              </w:rPr>
            </w:pPr>
          </w:p>
        </w:tc>
      </w:tr>
      <w:tr w14:paraId="4FD9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F34880">
            <w:pPr>
              <w:jc w:val="center"/>
              <w:rPr>
                <w:rFonts w:hint="default"/>
                <w:highlight w:val="none"/>
                <w:vertAlign w:val="baseline"/>
                <w:lang w:val="en-US" w:eastAsia="zh-CN"/>
              </w:rPr>
            </w:pPr>
            <w:r>
              <w:rPr>
                <w:rFonts w:hint="eastAsia"/>
                <w:highlight w:val="none"/>
                <w:vertAlign w:val="baseline"/>
                <w:lang w:val="en-US" w:eastAsia="zh-CN"/>
              </w:rPr>
              <w:t>291</w:t>
            </w:r>
          </w:p>
        </w:tc>
        <w:tc>
          <w:tcPr>
            <w:tcW w:w="1690" w:type="dxa"/>
            <w:noWrap w:val="0"/>
            <w:vAlign w:val="center"/>
          </w:tcPr>
          <w:p w14:paraId="4193D0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酵母菌装片</w:t>
            </w:r>
          </w:p>
        </w:tc>
        <w:tc>
          <w:tcPr>
            <w:tcW w:w="5928" w:type="dxa"/>
            <w:noWrap w:val="0"/>
            <w:vAlign w:val="center"/>
          </w:tcPr>
          <w:p w14:paraId="3927329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C99DD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937809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3BF32D98">
            <w:pPr>
              <w:jc w:val="center"/>
              <w:rPr>
                <w:highlight w:val="none"/>
              </w:rPr>
            </w:pPr>
          </w:p>
        </w:tc>
        <w:tc>
          <w:tcPr>
            <w:tcW w:w="710" w:type="dxa"/>
            <w:gridSpan w:val="2"/>
            <w:noWrap w:val="0"/>
            <w:vAlign w:val="center"/>
          </w:tcPr>
          <w:p w14:paraId="463DA815">
            <w:pPr>
              <w:jc w:val="both"/>
              <w:rPr>
                <w:highlight w:val="none"/>
                <w:vertAlign w:val="baseline"/>
              </w:rPr>
            </w:pPr>
          </w:p>
        </w:tc>
      </w:tr>
      <w:tr w14:paraId="4B3A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C30B794">
            <w:pPr>
              <w:jc w:val="center"/>
              <w:rPr>
                <w:rFonts w:hint="default"/>
                <w:highlight w:val="none"/>
                <w:vertAlign w:val="baseline"/>
                <w:lang w:val="en-US" w:eastAsia="zh-CN"/>
              </w:rPr>
            </w:pPr>
            <w:r>
              <w:rPr>
                <w:rFonts w:hint="eastAsia"/>
                <w:highlight w:val="none"/>
                <w:vertAlign w:val="baseline"/>
                <w:lang w:val="en-US" w:eastAsia="zh-CN"/>
              </w:rPr>
              <w:t>292</w:t>
            </w:r>
          </w:p>
        </w:tc>
        <w:tc>
          <w:tcPr>
            <w:tcW w:w="1690" w:type="dxa"/>
            <w:noWrap w:val="0"/>
            <w:vAlign w:val="center"/>
          </w:tcPr>
          <w:p w14:paraId="6F2801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青霉装片</w:t>
            </w:r>
          </w:p>
        </w:tc>
        <w:tc>
          <w:tcPr>
            <w:tcW w:w="5928" w:type="dxa"/>
            <w:noWrap w:val="0"/>
            <w:vAlign w:val="center"/>
          </w:tcPr>
          <w:p w14:paraId="4DB33D8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23899BD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723BA0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72213576">
            <w:pPr>
              <w:jc w:val="center"/>
              <w:rPr>
                <w:highlight w:val="none"/>
              </w:rPr>
            </w:pPr>
          </w:p>
        </w:tc>
        <w:tc>
          <w:tcPr>
            <w:tcW w:w="710" w:type="dxa"/>
            <w:gridSpan w:val="2"/>
            <w:noWrap w:val="0"/>
            <w:vAlign w:val="center"/>
          </w:tcPr>
          <w:p w14:paraId="691BB6D9">
            <w:pPr>
              <w:jc w:val="both"/>
              <w:rPr>
                <w:highlight w:val="none"/>
                <w:vertAlign w:val="baseline"/>
              </w:rPr>
            </w:pPr>
          </w:p>
        </w:tc>
      </w:tr>
      <w:tr w14:paraId="5473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8075792">
            <w:pPr>
              <w:jc w:val="center"/>
              <w:rPr>
                <w:rFonts w:hint="default"/>
                <w:highlight w:val="none"/>
                <w:vertAlign w:val="baseline"/>
                <w:lang w:val="en-US" w:eastAsia="zh-CN"/>
              </w:rPr>
            </w:pPr>
            <w:r>
              <w:rPr>
                <w:rFonts w:hint="eastAsia"/>
                <w:highlight w:val="none"/>
                <w:vertAlign w:val="baseline"/>
                <w:lang w:val="en-US" w:eastAsia="zh-CN"/>
              </w:rPr>
              <w:t>293</w:t>
            </w:r>
          </w:p>
        </w:tc>
        <w:tc>
          <w:tcPr>
            <w:tcW w:w="1690" w:type="dxa"/>
            <w:noWrap w:val="0"/>
            <w:vAlign w:val="center"/>
          </w:tcPr>
          <w:p w14:paraId="7F9E82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曲霉装片</w:t>
            </w:r>
          </w:p>
        </w:tc>
        <w:tc>
          <w:tcPr>
            <w:tcW w:w="5928" w:type="dxa"/>
            <w:noWrap w:val="0"/>
            <w:vAlign w:val="center"/>
          </w:tcPr>
          <w:p w14:paraId="77E8514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1E0AC7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34AC679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w:t>
            </w:r>
          </w:p>
        </w:tc>
        <w:tc>
          <w:tcPr>
            <w:tcW w:w="3396" w:type="dxa"/>
            <w:gridSpan w:val="2"/>
            <w:noWrap w:val="0"/>
            <w:vAlign w:val="center"/>
          </w:tcPr>
          <w:p w14:paraId="216D4CF8">
            <w:pPr>
              <w:jc w:val="center"/>
              <w:rPr>
                <w:highlight w:val="none"/>
              </w:rPr>
            </w:pPr>
          </w:p>
        </w:tc>
        <w:tc>
          <w:tcPr>
            <w:tcW w:w="710" w:type="dxa"/>
            <w:gridSpan w:val="2"/>
            <w:noWrap w:val="0"/>
            <w:vAlign w:val="center"/>
          </w:tcPr>
          <w:p w14:paraId="1F7D9DB6">
            <w:pPr>
              <w:jc w:val="both"/>
              <w:rPr>
                <w:highlight w:val="none"/>
                <w:vertAlign w:val="baseline"/>
              </w:rPr>
            </w:pPr>
          </w:p>
        </w:tc>
      </w:tr>
      <w:tr w14:paraId="0DF1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435E9FD">
            <w:pPr>
              <w:jc w:val="center"/>
              <w:rPr>
                <w:rFonts w:hint="default"/>
                <w:highlight w:val="none"/>
                <w:vertAlign w:val="baseline"/>
                <w:lang w:val="en-US" w:eastAsia="zh-CN"/>
              </w:rPr>
            </w:pPr>
            <w:r>
              <w:rPr>
                <w:rFonts w:hint="eastAsia"/>
                <w:highlight w:val="none"/>
                <w:vertAlign w:val="baseline"/>
                <w:lang w:val="en-US" w:eastAsia="zh-CN"/>
              </w:rPr>
              <w:t>294</w:t>
            </w:r>
          </w:p>
        </w:tc>
        <w:tc>
          <w:tcPr>
            <w:tcW w:w="1690" w:type="dxa"/>
            <w:noWrap w:val="0"/>
            <w:vAlign w:val="center"/>
          </w:tcPr>
          <w:p w14:paraId="4D94AC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黑根霉装片</w:t>
            </w:r>
          </w:p>
        </w:tc>
        <w:tc>
          <w:tcPr>
            <w:tcW w:w="5928" w:type="dxa"/>
            <w:noWrap w:val="0"/>
            <w:vAlign w:val="center"/>
          </w:tcPr>
          <w:p w14:paraId="52F62BB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123E7B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043B03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A610F56">
            <w:pPr>
              <w:jc w:val="center"/>
              <w:rPr>
                <w:highlight w:val="none"/>
              </w:rPr>
            </w:pPr>
          </w:p>
        </w:tc>
        <w:tc>
          <w:tcPr>
            <w:tcW w:w="710" w:type="dxa"/>
            <w:gridSpan w:val="2"/>
            <w:noWrap w:val="0"/>
            <w:vAlign w:val="center"/>
          </w:tcPr>
          <w:p w14:paraId="473FC387">
            <w:pPr>
              <w:jc w:val="both"/>
              <w:rPr>
                <w:highlight w:val="none"/>
                <w:vertAlign w:val="baseline"/>
              </w:rPr>
            </w:pPr>
          </w:p>
        </w:tc>
      </w:tr>
      <w:tr w14:paraId="1045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9E2E8C0">
            <w:pPr>
              <w:jc w:val="center"/>
              <w:rPr>
                <w:rFonts w:hint="default"/>
                <w:highlight w:val="none"/>
                <w:vertAlign w:val="baseline"/>
                <w:lang w:val="en-US" w:eastAsia="zh-CN"/>
              </w:rPr>
            </w:pPr>
            <w:r>
              <w:rPr>
                <w:rFonts w:hint="eastAsia"/>
                <w:highlight w:val="none"/>
                <w:vertAlign w:val="baseline"/>
                <w:lang w:val="en-US" w:eastAsia="zh-CN"/>
              </w:rPr>
              <w:t>295</w:t>
            </w:r>
          </w:p>
        </w:tc>
        <w:tc>
          <w:tcPr>
            <w:tcW w:w="1690" w:type="dxa"/>
            <w:noWrap w:val="0"/>
            <w:vAlign w:val="center"/>
          </w:tcPr>
          <w:p w14:paraId="7CE5AA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伞蕈切片</w:t>
            </w:r>
          </w:p>
        </w:tc>
        <w:tc>
          <w:tcPr>
            <w:tcW w:w="5928" w:type="dxa"/>
            <w:noWrap w:val="0"/>
            <w:vAlign w:val="center"/>
          </w:tcPr>
          <w:p w14:paraId="777027C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36D54D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5D9B5D1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778E6486">
            <w:pPr>
              <w:jc w:val="center"/>
              <w:rPr>
                <w:highlight w:val="none"/>
              </w:rPr>
            </w:pPr>
          </w:p>
        </w:tc>
        <w:tc>
          <w:tcPr>
            <w:tcW w:w="710" w:type="dxa"/>
            <w:gridSpan w:val="2"/>
            <w:noWrap w:val="0"/>
            <w:vAlign w:val="center"/>
          </w:tcPr>
          <w:p w14:paraId="7E6840EB">
            <w:pPr>
              <w:jc w:val="both"/>
              <w:rPr>
                <w:highlight w:val="none"/>
                <w:vertAlign w:val="baseline"/>
              </w:rPr>
            </w:pPr>
          </w:p>
        </w:tc>
      </w:tr>
      <w:tr w14:paraId="06BB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501F3D">
            <w:pPr>
              <w:jc w:val="center"/>
              <w:rPr>
                <w:rFonts w:hint="default"/>
                <w:highlight w:val="none"/>
                <w:vertAlign w:val="baseline"/>
                <w:lang w:val="en-US" w:eastAsia="zh-CN"/>
              </w:rPr>
            </w:pPr>
            <w:r>
              <w:rPr>
                <w:rFonts w:hint="eastAsia"/>
                <w:highlight w:val="none"/>
                <w:vertAlign w:val="baseline"/>
                <w:lang w:val="en-US" w:eastAsia="zh-CN"/>
              </w:rPr>
              <w:t>296</w:t>
            </w:r>
          </w:p>
        </w:tc>
        <w:tc>
          <w:tcPr>
            <w:tcW w:w="1690" w:type="dxa"/>
            <w:noWrap w:val="0"/>
            <w:vAlign w:val="center"/>
          </w:tcPr>
          <w:p w14:paraId="770DA72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酸奶机</w:t>
            </w:r>
          </w:p>
        </w:tc>
        <w:tc>
          <w:tcPr>
            <w:tcW w:w="5928" w:type="dxa"/>
            <w:noWrap w:val="0"/>
            <w:vAlign w:val="center"/>
          </w:tcPr>
          <w:p w14:paraId="001410E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全自动，304 不锈钢或食品级塑料内胆</w:t>
            </w:r>
          </w:p>
        </w:tc>
        <w:tc>
          <w:tcPr>
            <w:tcW w:w="736" w:type="dxa"/>
            <w:noWrap w:val="0"/>
            <w:vAlign w:val="center"/>
          </w:tcPr>
          <w:p w14:paraId="1F01FF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台  </w:t>
            </w:r>
          </w:p>
        </w:tc>
        <w:tc>
          <w:tcPr>
            <w:tcW w:w="834" w:type="dxa"/>
            <w:noWrap w:val="0"/>
            <w:vAlign w:val="center"/>
          </w:tcPr>
          <w:p w14:paraId="0D8F7B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D77C0A3">
            <w:pPr>
              <w:jc w:val="center"/>
              <w:rPr>
                <w:highlight w:val="none"/>
              </w:rPr>
            </w:pPr>
          </w:p>
        </w:tc>
        <w:tc>
          <w:tcPr>
            <w:tcW w:w="710" w:type="dxa"/>
            <w:gridSpan w:val="2"/>
            <w:noWrap w:val="0"/>
            <w:vAlign w:val="center"/>
          </w:tcPr>
          <w:p w14:paraId="1A40C936">
            <w:pPr>
              <w:jc w:val="both"/>
              <w:rPr>
                <w:highlight w:val="none"/>
                <w:vertAlign w:val="baseline"/>
              </w:rPr>
            </w:pPr>
          </w:p>
        </w:tc>
      </w:tr>
      <w:tr w14:paraId="54B0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284815">
            <w:pPr>
              <w:jc w:val="center"/>
              <w:rPr>
                <w:rFonts w:hint="default"/>
                <w:highlight w:val="none"/>
                <w:vertAlign w:val="baseline"/>
                <w:lang w:val="en-US" w:eastAsia="zh-CN"/>
              </w:rPr>
            </w:pPr>
            <w:r>
              <w:rPr>
                <w:rFonts w:hint="eastAsia"/>
                <w:highlight w:val="none"/>
                <w:vertAlign w:val="baseline"/>
                <w:lang w:val="en-US" w:eastAsia="zh-CN"/>
              </w:rPr>
              <w:t>297</w:t>
            </w:r>
          </w:p>
        </w:tc>
        <w:tc>
          <w:tcPr>
            <w:tcW w:w="1690" w:type="dxa"/>
            <w:noWrap w:val="0"/>
            <w:vAlign w:val="center"/>
          </w:tcPr>
          <w:p w14:paraId="224C526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果酒果醋发酵装置</w:t>
            </w:r>
          </w:p>
        </w:tc>
        <w:tc>
          <w:tcPr>
            <w:tcW w:w="5928" w:type="dxa"/>
            <w:noWrap w:val="0"/>
            <w:vAlign w:val="center"/>
          </w:tcPr>
          <w:p w14:paraId="24C0792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透明，最大容积 1 L，采用安全、环保材质，具水封及气泡限速装置</w:t>
            </w:r>
          </w:p>
        </w:tc>
        <w:tc>
          <w:tcPr>
            <w:tcW w:w="736" w:type="dxa"/>
            <w:noWrap w:val="0"/>
            <w:vAlign w:val="center"/>
          </w:tcPr>
          <w:p w14:paraId="382AB77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个</w:t>
            </w:r>
          </w:p>
        </w:tc>
        <w:tc>
          <w:tcPr>
            <w:tcW w:w="834" w:type="dxa"/>
            <w:noWrap w:val="0"/>
            <w:vAlign w:val="center"/>
          </w:tcPr>
          <w:p w14:paraId="61F2BC8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3396" w:type="dxa"/>
            <w:gridSpan w:val="2"/>
            <w:noWrap w:val="0"/>
            <w:vAlign w:val="center"/>
          </w:tcPr>
          <w:p w14:paraId="5599DE5C">
            <w:pPr>
              <w:jc w:val="center"/>
              <w:rPr>
                <w:highlight w:val="none"/>
              </w:rPr>
            </w:pPr>
          </w:p>
        </w:tc>
        <w:tc>
          <w:tcPr>
            <w:tcW w:w="710" w:type="dxa"/>
            <w:gridSpan w:val="2"/>
            <w:noWrap w:val="0"/>
            <w:vAlign w:val="center"/>
          </w:tcPr>
          <w:p w14:paraId="56781F93">
            <w:pPr>
              <w:jc w:val="both"/>
              <w:rPr>
                <w:highlight w:val="none"/>
                <w:vertAlign w:val="baseline"/>
              </w:rPr>
            </w:pPr>
          </w:p>
        </w:tc>
      </w:tr>
      <w:tr w14:paraId="701C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FDF1C2">
            <w:pPr>
              <w:jc w:val="center"/>
              <w:rPr>
                <w:rFonts w:hint="default"/>
                <w:highlight w:val="none"/>
                <w:vertAlign w:val="baseline"/>
                <w:lang w:val="en-US" w:eastAsia="zh-CN"/>
              </w:rPr>
            </w:pPr>
            <w:r>
              <w:rPr>
                <w:rFonts w:hint="eastAsia"/>
                <w:highlight w:val="none"/>
                <w:vertAlign w:val="baseline"/>
                <w:lang w:val="en-US" w:eastAsia="zh-CN"/>
              </w:rPr>
              <w:t>298</w:t>
            </w:r>
          </w:p>
        </w:tc>
        <w:tc>
          <w:tcPr>
            <w:tcW w:w="1690" w:type="dxa"/>
            <w:noWrap w:val="0"/>
            <w:vAlign w:val="center"/>
          </w:tcPr>
          <w:p w14:paraId="53FBD4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蛔虫卵装片</w:t>
            </w:r>
          </w:p>
        </w:tc>
        <w:tc>
          <w:tcPr>
            <w:tcW w:w="5928" w:type="dxa"/>
            <w:noWrap w:val="0"/>
            <w:vAlign w:val="center"/>
          </w:tcPr>
          <w:p w14:paraId="666F0A8C">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玻璃制</w:t>
            </w:r>
          </w:p>
        </w:tc>
        <w:tc>
          <w:tcPr>
            <w:tcW w:w="736" w:type="dxa"/>
            <w:noWrap w:val="0"/>
            <w:vAlign w:val="center"/>
          </w:tcPr>
          <w:p w14:paraId="0C405AB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片</w:t>
            </w:r>
          </w:p>
        </w:tc>
        <w:tc>
          <w:tcPr>
            <w:tcW w:w="834" w:type="dxa"/>
            <w:noWrap w:val="0"/>
            <w:vAlign w:val="center"/>
          </w:tcPr>
          <w:p w14:paraId="67BC942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396" w:type="dxa"/>
            <w:gridSpan w:val="2"/>
            <w:noWrap w:val="0"/>
            <w:vAlign w:val="center"/>
          </w:tcPr>
          <w:p w14:paraId="4ACA92A3">
            <w:pPr>
              <w:jc w:val="center"/>
              <w:rPr>
                <w:highlight w:val="none"/>
              </w:rPr>
            </w:pPr>
          </w:p>
        </w:tc>
        <w:tc>
          <w:tcPr>
            <w:tcW w:w="710" w:type="dxa"/>
            <w:gridSpan w:val="2"/>
            <w:noWrap w:val="0"/>
            <w:vAlign w:val="center"/>
          </w:tcPr>
          <w:p w14:paraId="4271D43A">
            <w:pPr>
              <w:jc w:val="both"/>
              <w:rPr>
                <w:highlight w:val="none"/>
                <w:vertAlign w:val="baseline"/>
              </w:rPr>
            </w:pPr>
          </w:p>
        </w:tc>
      </w:tr>
      <w:tr w14:paraId="56DD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55716EB">
            <w:pPr>
              <w:jc w:val="center"/>
              <w:rPr>
                <w:rFonts w:hint="default"/>
                <w:highlight w:val="none"/>
                <w:vertAlign w:val="baseline"/>
                <w:lang w:val="en-US" w:eastAsia="zh-CN"/>
              </w:rPr>
            </w:pPr>
            <w:r>
              <w:rPr>
                <w:rFonts w:hint="eastAsia"/>
                <w:highlight w:val="none"/>
                <w:vertAlign w:val="baseline"/>
                <w:lang w:val="en-US" w:eastAsia="zh-CN"/>
              </w:rPr>
              <w:t>299</w:t>
            </w:r>
          </w:p>
        </w:tc>
        <w:tc>
          <w:tcPr>
            <w:tcW w:w="1690" w:type="dxa"/>
            <w:noWrap w:val="0"/>
            <w:vAlign w:val="center"/>
          </w:tcPr>
          <w:p w14:paraId="1E904E8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护理人模型</w:t>
            </w:r>
          </w:p>
        </w:tc>
        <w:tc>
          <w:tcPr>
            <w:tcW w:w="5928" w:type="dxa"/>
            <w:noWrap w:val="0"/>
            <w:vAlign w:val="center"/>
          </w:tcPr>
          <w:p w14:paraId="62DA42E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1700 mm；采用热塑弹性体混合胶材料</w:t>
            </w:r>
          </w:p>
        </w:tc>
        <w:tc>
          <w:tcPr>
            <w:tcW w:w="736" w:type="dxa"/>
            <w:noWrap w:val="0"/>
            <w:vAlign w:val="center"/>
          </w:tcPr>
          <w:p w14:paraId="5C2F67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件</w:t>
            </w:r>
          </w:p>
        </w:tc>
        <w:tc>
          <w:tcPr>
            <w:tcW w:w="834" w:type="dxa"/>
            <w:noWrap w:val="0"/>
            <w:vAlign w:val="center"/>
          </w:tcPr>
          <w:p w14:paraId="073770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E8A8F85">
            <w:pPr>
              <w:jc w:val="center"/>
              <w:rPr>
                <w:highlight w:val="none"/>
              </w:rPr>
            </w:pPr>
          </w:p>
        </w:tc>
        <w:tc>
          <w:tcPr>
            <w:tcW w:w="710" w:type="dxa"/>
            <w:gridSpan w:val="2"/>
            <w:noWrap w:val="0"/>
            <w:vAlign w:val="center"/>
          </w:tcPr>
          <w:p w14:paraId="13367776">
            <w:pPr>
              <w:jc w:val="both"/>
              <w:rPr>
                <w:highlight w:val="none"/>
                <w:vertAlign w:val="baseline"/>
              </w:rPr>
            </w:pPr>
          </w:p>
        </w:tc>
      </w:tr>
      <w:tr w14:paraId="4056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B06F60E">
            <w:pPr>
              <w:jc w:val="center"/>
              <w:rPr>
                <w:rFonts w:hint="default"/>
                <w:highlight w:val="none"/>
                <w:vertAlign w:val="baseline"/>
                <w:lang w:val="en-US" w:eastAsia="zh-CN"/>
              </w:rPr>
            </w:pPr>
            <w:r>
              <w:rPr>
                <w:rFonts w:hint="eastAsia"/>
                <w:highlight w:val="none"/>
                <w:vertAlign w:val="baseline"/>
                <w:lang w:val="en-US" w:eastAsia="zh-CN"/>
              </w:rPr>
              <w:t>300</w:t>
            </w:r>
          </w:p>
        </w:tc>
        <w:tc>
          <w:tcPr>
            <w:tcW w:w="1690" w:type="dxa"/>
            <w:noWrap w:val="0"/>
            <w:vAlign w:val="top"/>
          </w:tcPr>
          <w:p w14:paraId="6316887D">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pH广泛试纸</w:t>
            </w:r>
          </w:p>
        </w:tc>
        <w:tc>
          <w:tcPr>
            <w:tcW w:w="5928" w:type="dxa"/>
            <w:noWrap w:val="0"/>
            <w:vAlign w:val="top"/>
          </w:tcPr>
          <w:p w14:paraId="25374763">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1～14</w:t>
            </w:r>
          </w:p>
        </w:tc>
        <w:tc>
          <w:tcPr>
            <w:tcW w:w="736" w:type="dxa"/>
            <w:noWrap w:val="0"/>
            <w:vAlign w:val="top"/>
          </w:tcPr>
          <w:p w14:paraId="70480EA1">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本</w:t>
            </w:r>
          </w:p>
        </w:tc>
        <w:tc>
          <w:tcPr>
            <w:tcW w:w="834" w:type="dxa"/>
            <w:noWrap w:val="0"/>
            <w:vAlign w:val="top"/>
          </w:tcPr>
          <w:p w14:paraId="218C6E05">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40</w:t>
            </w:r>
          </w:p>
        </w:tc>
        <w:tc>
          <w:tcPr>
            <w:tcW w:w="3396" w:type="dxa"/>
            <w:gridSpan w:val="2"/>
            <w:noWrap w:val="0"/>
            <w:vAlign w:val="center"/>
          </w:tcPr>
          <w:p w14:paraId="3515608A">
            <w:pPr>
              <w:jc w:val="center"/>
              <w:rPr>
                <w:highlight w:val="none"/>
              </w:rPr>
            </w:pPr>
          </w:p>
        </w:tc>
        <w:tc>
          <w:tcPr>
            <w:tcW w:w="710" w:type="dxa"/>
            <w:gridSpan w:val="2"/>
            <w:noWrap w:val="0"/>
            <w:vAlign w:val="center"/>
          </w:tcPr>
          <w:p w14:paraId="3708AF43">
            <w:pPr>
              <w:jc w:val="both"/>
              <w:rPr>
                <w:highlight w:val="none"/>
                <w:vertAlign w:val="baseline"/>
              </w:rPr>
            </w:pPr>
          </w:p>
        </w:tc>
      </w:tr>
      <w:tr w14:paraId="3B66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3C88A6">
            <w:pPr>
              <w:jc w:val="center"/>
              <w:rPr>
                <w:rFonts w:hint="default"/>
                <w:highlight w:val="none"/>
                <w:vertAlign w:val="baseline"/>
                <w:lang w:val="en-US" w:eastAsia="zh-CN"/>
              </w:rPr>
            </w:pPr>
            <w:r>
              <w:rPr>
                <w:rFonts w:hint="eastAsia"/>
                <w:highlight w:val="none"/>
                <w:vertAlign w:val="baseline"/>
                <w:lang w:val="en-US" w:eastAsia="zh-CN"/>
              </w:rPr>
              <w:t>301</w:t>
            </w:r>
          </w:p>
        </w:tc>
        <w:tc>
          <w:tcPr>
            <w:tcW w:w="1690" w:type="dxa"/>
            <w:noWrap w:val="0"/>
            <w:vAlign w:val="top"/>
          </w:tcPr>
          <w:p w14:paraId="6EF6B594">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尿糖试纸</w:t>
            </w:r>
          </w:p>
        </w:tc>
        <w:tc>
          <w:tcPr>
            <w:tcW w:w="5928" w:type="dxa"/>
            <w:noWrap w:val="0"/>
            <w:vAlign w:val="top"/>
          </w:tcPr>
          <w:p w14:paraId="232EFAA5">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半定量或定性</w:t>
            </w:r>
          </w:p>
        </w:tc>
        <w:tc>
          <w:tcPr>
            <w:tcW w:w="736" w:type="dxa"/>
            <w:noWrap w:val="0"/>
            <w:vAlign w:val="top"/>
          </w:tcPr>
          <w:p w14:paraId="248A7091">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盒</w:t>
            </w:r>
          </w:p>
        </w:tc>
        <w:tc>
          <w:tcPr>
            <w:tcW w:w="834" w:type="dxa"/>
            <w:noWrap w:val="0"/>
            <w:vAlign w:val="top"/>
          </w:tcPr>
          <w:p w14:paraId="1CA864B8">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20</w:t>
            </w:r>
          </w:p>
        </w:tc>
        <w:tc>
          <w:tcPr>
            <w:tcW w:w="3396" w:type="dxa"/>
            <w:gridSpan w:val="2"/>
            <w:noWrap w:val="0"/>
            <w:vAlign w:val="center"/>
          </w:tcPr>
          <w:p w14:paraId="136C20B0">
            <w:pPr>
              <w:jc w:val="center"/>
              <w:rPr>
                <w:highlight w:val="none"/>
              </w:rPr>
            </w:pPr>
          </w:p>
        </w:tc>
        <w:tc>
          <w:tcPr>
            <w:tcW w:w="710" w:type="dxa"/>
            <w:gridSpan w:val="2"/>
            <w:noWrap w:val="0"/>
            <w:vAlign w:val="center"/>
          </w:tcPr>
          <w:p w14:paraId="069B10DD">
            <w:pPr>
              <w:jc w:val="both"/>
              <w:rPr>
                <w:highlight w:val="none"/>
                <w:vertAlign w:val="baseline"/>
              </w:rPr>
            </w:pPr>
          </w:p>
        </w:tc>
      </w:tr>
      <w:tr w14:paraId="6A98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B895A58">
            <w:pPr>
              <w:jc w:val="center"/>
              <w:rPr>
                <w:rFonts w:hint="default"/>
                <w:highlight w:val="none"/>
                <w:vertAlign w:val="baseline"/>
                <w:lang w:val="en-US" w:eastAsia="zh-CN"/>
              </w:rPr>
            </w:pPr>
            <w:r>
              <w:rPr>
                <w:rFonts w:hint="eastAsia"/>
                <w:highlight w:val="none"/>
                <w:vertAlign w:val="baseline"/>
                <w:lang w:val="en-US" w:eastAsia="zh-CN"/>
              </w:rPr>
              <w:t>302</w:t>
            </w:r>
          </w:p>
        </w:tc>
        <w:tc>
          <w:tcPr>
            <w:tcW w:w="1690" w:type="dxa"/>
            <w:noWrap w:val="0"/>
            <w:vAlign w:val="top"/>
          </w:tcPr>
          <w:p w14:paraId="359EDA3E">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定性滤纸</w:t>
            </w:r>
          </w:p>
        </w:tc>
        <w:tc>
          <w:tcPr>
            <w:tcW w:w="5928" w:type="dxa"/>
            <w:noWrap w:val="0"/>
            <w:vAlign w:val="top"/>
          </w:tcPr>
          <w:p w14:paraId="15548092">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快速，9cm，100张</w:t>
            </w:r>
          </w:p>
        </w:tc>
        <w:tc>
          <w:tcPr>
            <w:tcW w:w="736" w:type="dxa"/>
            <w:noWrap w:val="0"/>
            <w:vAlign w:val="top"/>
          </w:tcPr>
          <w:p w14:paraId="45AC0EB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盒</w:t>
            </w:r>
          </w:p>
        </w:tc>
        <w:tc>
          <w:tcPr>
            <w:tcW w:w="834" w:type="dxa"/>
            <w:noWrap w:val="0"/>
            <w:vAlign w:val="top"/>
          </w:tcPr>
          <w:p w14:paraId="3A4A42D4">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10</w:t>
            </w:r>
          </w:p>
        </w:tc>
        <w:tc>
          <w:tcPr>
            <w:tcW w:w="3396" w:type="dxa"/>
            <w:gridSpan w:val="2"/>
            <w:noWrap w:val="0"/>
            <w:vAlign w:val="center"/>
          </w:tcPr>
          <w:p w14:paraId="2BEF0D4E">
            <w:pPr>
              <w:jc w:val="center"/>
              <w:rPr>
                <w:highlight w:val="none"/>
              </w:rPr>
            </w:pPr>
          </w:p>
        </w:tc>
        <w:tc>
          <w:tcPr>
            <w:tcW w:w="710" w:type="dxa"/>
            <w:gridSpan w:val="2"/>
            <w:noWrap w:val="0"/>
            <w:vAlign w:val="center"/>
          </w:tcPr>
          <w:p w14:paraId="2B6651E9">
            <w:pPr>
              <w:jc w:val="both"/>
              <w:rPr>
                <w:highlight w:val="none"/>
                <w:vertAlign w:val="baseline"/>
              </w:rPr>
            </w:pPr>
          </w:p>
        </w:tc>
      </w:tr>
      <w:tr w14:paraId="5E1B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40BF38C">
            <w:pPr>
              <w:jc w:val="center"/>
              <w:rPr>
                <w:rFonts w:hint="default"/>
                <w:highlight w:val="none"/>
                <w:vertAlign w:val="baseline"/>
                <w:lang w:val="en-US" w:eastAsia="zh-CN"/>
              </w:rPr>
            </w:pPr>
            <w:r>
              <w:rPr>
                <w:rFonts w:hint="eastAsia"/>
                <w:highlight w:val="none"/>
                <w:vertAlign w:val="baseline"/>
                <w:lang w:val="en-US" w:eastAsia="zh-CN"/>
              </w:rPr>
              <w:t>303</w:t>
            </w:r>
          </w:p>
        </w:tc>
        <w:tc>
          <w:tcPr>
            <w:tcW w:w="1690" w:type="dxa"/>
            <w:noWrap w:val="0"/>
            <w:vAlign w:val="top"/>
          </w:tcPr>
          <w:p w14:paraId="57DE9C6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牛肉膏</w:t>
            </w:r>
          </w:p>
        </w:tc>
        <w:tc>
          <w:tcPr>
            <w:tcW w:w="5928" w:type="dxa"/>
            <w:noWrap w:val="0"/>
            <w:vAlign w:val="top"/>
          </w:tcPr>
          <w:p w14:paraId="6B0A6238">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top"/>
          </w:tcPr>
          <w:p w14:paraId="23E1F7A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瓶</w:t>
            </w:r>
          </w:p>
        </w:tc>
        <w:tc>
          <w:tcPr>
            <w:tcW w:w="834" w:type="dxa"/>
            <w:noWrap w:val="0"/>
            <w:vAlign w:val="top"/>
          </w:tcPr>
          <w:p w14:paraId="7DAC654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4EAB842">
            <w:pPr>
              <w:jc w:val="center"/>
              <w:rPr>
                <w:highlight w:val="none"/>
              </w:rPr>
            </w:pPr>
          </w:p>
        </w:tc>
        <w:tc>
          <w:tcPr>
            <w:tcW w:w="710" w:type="dxa"/>
            <w:gridSpan w:val="2"/>
            <w:noWrap w:val="0"/>
            <w:vAlign w:val="center"/>
          </w:tcPr>
          <w:p w14:paraId="5143C8B0">
            <w:pPr>
              <w:jc w:val="both"/>
              <w:rPr>
                <w:highlight w:val="none"/>
                <w:vertAlign w:val="baseline"/>
              </w:rPr>
            </w:pPr>
          </w:p>
        </w:tc>
      </w:tr>
      <w:tr w14:paraId="4B46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noWrap w:val="0"/>
            <w:vAlign w:val="center"/>
          </w:tcPr>
          <w:p w14:paraId="0452FBB0">
            <w:pPr>
              <w:jc w:val="center"/>
              <w:rPr>
                <w:rFonts w:hint="default"/>
                <w:highlight w:val="none"/>
                <w:vertAlign w:val="baseline"/>
                <w:lang w:val="en-US" w:eastAsia="zh-CN"/>
              </w:rPr>
            </w:pPr>
            <w:r>
              <w:rPr>
                <w:rFonts w:hint="eastAsia"/>
                <w:highlight w:val="none"/>
                <w:vertAlign w:val="baseline"/>
                <w:lang w:val="en-US" w:eastAsia="zh-CN"/>
              </w:rPr>
              <w:t>304</w:t>
            </w:r>
          </w:p>
        </w:tc>
        <w:tc>
          <w:tcPr>
            <w:tcW w:w="1690" w:type="dxa"/>
            <w:noWrap w:val="0"/>
            <w:vAlign w:val="top"/>
          </w:tcPr>
          <w:p w14:paraId="3BFD6016">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蛋白胨</w:t>
            </w:r>
          </w:p>
        </w:tc>
        <w:tc>
          <w:tcPr>
            <w:tcW w:w="5928" w:type="dxa"/>
            <w:noWrap w:val="0"/>
            <w:vAlign w:val="top"/>
          </w:tcPr>
          <w:p w14:paraId="1BFC1047">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试剂250g</w:t>
            </w:r>
          </w:p>
        </w:tc>
        <w:tc>
          <w:tcPr>
            <w:tcW w:w="736" w:type="dxa"/>
            <w:noWrap w:val="0"/>
            <w:vAlign w:val="top"/>
          </w:tcPr>
          <w:p w14:paraId="6B0DF8F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瓶</w:t>
            </w:r>
          </w:p>
        </w:tc>
        <w:tc>
          <w:tcPr>
            <w:tcW w:w="834" w:type="dxa"/>
            <w:noWrap w:val="0"/>
            <w:vAlign w:val="top"/>
          </w:tcPr>
          <w:p w14:paraId="5D480934">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2</w:t>
            </w:r>
          </w:p>
        </w:tc>
        <w:tc>
          <w:tcPr>
            <w:tcW w:w="3396" w:type="dxa"/>
            <w:gridSpan w:val="2"/>
            <w:noWrap w:val="0"/>
            <w:vAlign w:val="center"/>
          </w:tcPr>
          <w:p w14:paraId="283526F4">
            <w:pPr>
              <w:jc w:val="center"/>
              <w:rPr>
                <w:highlight w:val="none"/>
              </w:rPr>
            </w:pPr>
          </w:p>
        </w:tc>
        <w:tc>
          <w:tcPr>
            <w:tcW w:w="710" w:type="dxa"/>
            <w:gridSpan w:val="2"/>
            <w:noWrap w:val="0"/>
            <w:vAlign w:val="center"/>
          </w:tcPr>
          <w:p w14:paraId="4C93EDF3">
            <w:pPr>
              <w:jc w:val="both"/>
              <w:rPr>
                <w:highlight w:val="none"/>
                <w:vertAlign w:val="baseline"/>
              </w:rPr>
            </w:pPr>
          </w:p>
        </w:tc>
      </w:tr>
      <w:tr w14:paraId="485A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47B77C">
            <w:pPr>
              <w:jc w:val="center"/>
              <w:rPr>
                <w:rFonts w:hint="default"/>
                <w:highlight w:val="none"/>
                <w:vertAlign w:val="baseline"/>
                <w:lang w:val="en-US" w:eastAsia="zh-CN"/>
              </w:rPr>
            </w:pPr>
            <w:r>
              <w:rPr>
                <w:rFonts w:hint="eastAsia"/>
                <w:highlight w:val="none"/>
                <w:vertAlign w:val="baseline"/>
                <w:lang w:val="en-US" w:eastAsia="zh-CN"/>
              </w:rPr>
              <w:t>305</w:t>
            </w:r>
          </w:p>
        </w:tc>
        <w:tc>
          <w:tcPr>
            <w:tcW w:w="1690" w:type="dxa"/>
            <w:noWrap w:val="0"/>
            <w:vAlign w:val="top"/>
          </w:tcPr>
          <w:p w14:paraId="418969F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碘</w:t>
            </w:r>
          </w:p>
        </w:tc>
        <w:tc>
          <w:tcPr>
            <w:tcW w:w="5928" w:type="dxa"/>
            <w:noWrap w:val="0"/>
            <w:vAlign w:val="top"/>
          </w:tcPr>
          <w:p w14:paraId="1908AD9E">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3BFA75C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8CFD5B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8C0CCF3">
            <w:pPr>
              <w:jc w:val="center"/>
              <w:rPr>
                <w:highlight w:val="none"/>
              </w:rPr>
            </w:pPr>
          </w:p>
        </w:tc>
        <w:tc>
          <w:tcPr>
            <w:tcW w:w="710" w:type="dxa"/>
            <w:gridSpan w:val="2"/>
            <w:noWrap w:val="0"/>
            <w:vAlign w:val="center"/>
          </w:tcPr>
          <w:p w14:paraId="39B3E77F">
            <w:pPr>
              <w:jc w:val="both"/>
              <w:rPr>
                <w:highlight w:val="none"/>
                <w:vertAlign w:val="baseline"/>
              </w:rPr>
            </w:pPr>
          </w:p>
        </w:tc>
      </w:tr>
      <w:tr w14:paraId="479F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E1CE283">
            <w:pPr>
              <w:jc w:val="center"/>
              <w:rPr>
                <w:rFonts w:hint="default"/>
                <w:highlight w:val="none"/>
                <w:vertAlign w:val="baseline"/>
                <w:lang w:val="en-US" w:eastAsia="zh-CN"/>
              </w:rPr>
            </w:pPr>
            <w:r>
              <w:rPr>
                <w:rFonts w:hint="eastAsia"/>
                <w:highlight w:val="none"/>
                <w:vertAlign w:val="baseline"/>
                <w:lang w:val="en-US" w:eastAsia="zh-CN"/>
              </w:rPr>
              <w:t>306</w:t>
            </w:r>
          </w:p>
        </w:tc>
        <w:tc>
          <w:tcPr>
            <w:tcW w:w="1690" w:type="dxa"/>
            <w:noWrap w:val="0"/>
            <w:vAlign w:val="top"/>
          </w:tcPr>
          <w:p w14:paraId="7D064270">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碘化钾</w:t>
            </w:r>
          </w:p>
        </w:tc>
        <w:tc>
          <w:tcPr>
            <w:tcW w:w="5928" w:type="dxa"/>
            <w:noWrap w:val="0"/>
            <w:vAlign w:val="top"/>
          </w:tcPr>
          <w:p w14:paraId="795C8AC8">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406451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05301B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E30AD37">
            <w:pPr>
              <w:jc w:val="center"/>
              <w:rPr>
                <w:highlight w:val="none"/>
              </w:rPr>
            </w:pPr>
          </w:p>
        </w:tc>
        <w:tc>
          <w:tcPr>
            <w:tcW w:w="710" w:type="dxa"/>
            <w:gridSpan w:val="2"/>
            <w:noWrap w:val="0"/>
            <w:vAlign w:val="center"/>
          </w:tcPr>
          <w:p w14:paraId="3158ECF0">
            <w:pPr>
              <w:jc w:val="both"/>
              <w:rPr>
                <w:highlight w:val="none"/>
                <w:vertAlign w:val="baseline"/>
              </w:rPr>
            </w:pPr>
          </w:p>
        </w:tc>
      </w:tr>
      <w:tr w14:paraId="4ABB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E9C5D9">
            <w:pPr>
              <w:jc w:val="center"/>
              <w:rPr>
                <w:rFonts w:hint="default"/>
                <w:highlight w:val="none"/>
                <w:vertAlign w:val="baseline"/>
                <w:lang w:val="en-US" w:eastAsia="zh-CN"/>
              </w:rPr>
            </w:pPr>
            <w:r>
              <w:rPr>
                <w:rFonts w:hint="eastAsia"/>
                <w:highlight w:val="none"/>
                <w:vertAlign w:val="baseline"/>
                <w:lang w:val="en-US" w:eastAsia="zh-CN"/>
              </w:rPr>
              <w:t>307</w:t>
            </w:r>
          </w:p>
        </w:tc>
        <w:tc>
          <w:tcPr>
            <w:tcW w:w="1690" w:type="dxa"/>
            <w:noWrap w:val="0"/>
            <w:vAlign w:val="top"/>
          </w:tcPr>
          <w:p w14:paraId="0D0AA550">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氯化钠</w:t>
            </w:r>
          </w:p>
        </w:tc>
        <w:tc>
          <w:tcPr>
            <w:tcW w:w="5928" w:type="dxa"/>
            <w:noWrap w:val="0"/>
            <w:vAlign w:val="top"/>
          </w:tcPr>
          <w:p w14:paraId="60017CC4">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54C254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E2153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B2231D6">
            <w:pPr>
              <w:jc w:val="center"/>
              <w:rPr>
                <w:highlight w:val="none"/>
              </w:rPr>
            </w:pPr>
          </w:p>
        </w:tc>
        <w:tc>
          <w:tcPr>
            <w:tcW w:w="710" w:type="dxa"/>
            <w:gridSpan w:val="2"/>
            <w:noWrap w:val="0"/>
            <w:vAlign w:val="center"/>
          </w:tcPr>
          <w:p w14:paraId="68805A27">
            <w:pPr>
              <w:jc w:val="both"/>
              <w:rPr>
                <w:highlight w:val="none"/>
                <w:vertAlign w:val="baseline"/>
              </w:rPr>
            </w:pPr>
          </w:p>
        </w:tc>
      </w:tr>
      <w:tr w14:paraId="0C63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4401F9">
            <w:pPr>
              <w:jc w:val="center"/>
              <w:rPr>
                <w:rFonts w:hint="default"/>
                <w:highlight w:val="none"/>
                <w:vertAlign w:val="baseline"/>
                <w:lang w:val="en-US" w:eastAsia="zh-CN"/>
              </w:rPr>
            </w:pPr>
            <w:r>
              <w:rPr>
                <w:rFonts w:hint="eastAsia"/>
                <w:highlight w:val="none"/>
                <w:vertAlign w:val="baseline"/>
                <w:lang w:val="en-US" w:eastAsia="zh-CN"/>
              </w:rPr>
              <w:t>308</w:t>
            </w:r>
          </w:p>
        </w:tc>
        <w:tc>
          <w:tcPr>
            <w:tcW w:w="1690" w:type="dxa"/>
            <w:noWrap w:val="0"/>
            <w:vAlign w:val="top"/>
          </w:tcPr>
          <w:p w14:paraId="01B993BF">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硫酸铜</w:t>
            </w:r>
            <w:r>
              <w:rPr>
                <w:rFonts w:ascii="宋体" w:hAnsi="宋体" w:eastAsia="宋体" w:cs="宋体"/>
                <w:i w:val="0"/>
                <w:iCs w:val="0"/>
                <w:color w:val="000000"/>
                <w:kern w:val="0"/>
                <w:sz w:val="20"/>
                <w:szCs w:val="20"/>
                <w:highlight w:val="none"/>
                <w:u w:val="none"/>
                <w:lang w:val="en-US" w:eastAsia="zh-CN" w:bidi="ar"/>
              </w:rPr>
              <w:br w:type="textWrapping"/>
            </w:r>
            <w:r>
              <w:rPr>
                <w:rFonts w:ascii="宋体" w:hAnsi="宋体" w:eastAsia="宋体" w:cs="宋体"/>
                <w:i w:val="0"/>
                <w:iCs w:val="0"/>
                <w:color w:val="000000"/>
                <w:kern w:val="0"/>
                <w:sz w:val="20"/>
                <w:szCs w:val="20"/>
                <w:highlight w:val="none"/>
                <w:u w:val="none"/>
                <w:lang w:val="en-US" w:eastAsia="zh-CN" w:bidi="ar"/>
              </w:rPr>
              <w:t>（蓝矾、胆矾）</w:t>
            </w:r>
          </w:p>
        </w:tc>
        <w:tc>
          <w:tcPr>
            <w:tcW w:w="5928" w:type="dxa"/>
            <w:noWrap w:val="0"/>
            <w:vAlign w:val="top"/>
          </w:tcPr>
          <w:p w14:paraId="3DB2CBE6">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0EDA24D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EC044F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653E306">
            <w:pPr>
              <w:jc w:val="center"/>
              <w:rPr>
                <w:highlight w:val="none"/>
              </w:rPr>
            </w:pPr>
          </w:p>
        </w:tc>
        <w:tc>
          <w:tcPr>
            <w:tcW w:w="710" w:type="dxa"/>
            <w:gridSpan w:val="2"/>
            <w:noWrap w:val="0"/>
            <w:vAlign w:val="center"/>
          </w:tcPr>
          <w:p w14:paraId="3C97BEE5">
            <w:pPr>
              <w:jc w:val="both"/>
              <w:rPr>
                <w:highlight w:val="none"/>
                <w:vertAlign w:val="baseline"/>
              </w:rPr>
            </w:pPr>
          </w:p>
        </w:tc>
      </w:tr>
      <w:tr w14:paraId="757E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B57121">
            <w:pPr>
              <w:jc w:val="center"/>
              <w:rPr>
                <w:rFonts w:hint="default"/>
                <w:highlight w:val="none"/>
                <w:vertAlign w:val="baseline"/>
                <w:lang w:val="en-US" w:eastAsia="zh-CN"/>
              </w:rPr>
            </w:pPr>
            <w:r>
              <w:rPr>
                <w:rFonts w:hint="eastAsia"/>
                <w:highlight w:val="none"/>
                <w:vertAlign w:val="baseline"/>
                <w:lang w:val="en-US" w:eastAsia="zh-CN"/>
              </w:rPr>
              <w:t>309</w:t>
            </w:r>
          </w:p>
        </w:tc>
        <w:tc>
          <w:tcPr>
            <w:tcW w:w="1690" w:type="dxa"/>
            <w:noWrap w:val="0"/>
            <w:vAlign w:val="top"/>
          </w:tcPr>
          <w:p w14:paraId="37D41DEE">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碳酸氢钠</w:t>
            </w:r>
          </w:p>
        </w:tc>
        <w:tc>
          <w:tcPr>
            <w:tcW w:w="5928" w:type="dxa"/>
            <w:noWrap w:val="0"/>
            <w:vAlign w:val="top"/>
          </w:tcPr>
          <w:p w14:paraId="29F0587E">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500g</w:t>
            </w:r>
          </w:p>
        </w:tc>
        <w:tc>
          <w:tcPr>
            <w:tcW w:w="736" w:type="dxa"/>
            <w:noWrap w:val="0"/>
            <w:vAlign w:val="center"/>
          </w:tcPr>
          <w:p w14:paraId="7E4F69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12447AA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1B7F86A">
            <w:pPr>
              <w:jc w:val="center"/>
              <w:rPr>
                <w:highlight w:val="none"/>
              </w:rPr>
            </w:pPr>
          </w:p>
        </w:tc>
        <w:tc>
          <w:tcPr>
            <w:tcW w:w="710" w:type="dxa"/>
            <w:gridSpan w:val="2"/>
            <w:noWrap w:val="0"/>
            <w:vAlign w:val="center"/>
          </w:tcPr>
          <w:p w14:paraId="60EA3127">
            <w:pPr>
              <w:jc w:val="both"/>
              <w:rPr>
                <w:highlight w:val="none"/>
                <w:vertAlign w:val="baseline"/>
              </w:rPr>
            </w:pPr>
          </w:p>
        </w:tc>
      </w:tr>
      <w:tr w14:paraId="736C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6E2BED3">
            <w:pPr>
              <w:jc w:val="center"/>
              <w:rPr>
                <w:rFonts w:hint="default"/>
                <w:highlight w:val="none"/>
                <w:vertAlign w:val="baseline"/>
                <w:lang w:val="en-US" w:eastAsia="zh-CN"/>
              </w:rPr>
            </w:pPr>
            <w:r>
              <w:rPr>
                <w:rFonts w:hint="eastAsia"/>
                <w:highlight w:val="none"/>
                <w:vertAlign w:val="baseline"/>
                <w:lang w:val="en-US" w:eastAsia="zh-CN"/>
              </w:rPr>
              <w:t>310</w:t>
            </w:r>
          </w:p>
        </w:tc>
        <w:tc>
          <w:tcPr>
            <w:tcW w:w="1690" w:type="dxa"/>
            <w:noWrap w:val="0"/>
            <w:vAlign w:val="top"/>
          </w:tcPr>
          <w:p w14:paraId="604822CA">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氢氧化钙（熟石灰）</w:t>
            </w:r>
          </w:p>
        </w:tc>
        <w:tc>
          <w:tcPr>
            <w:tcW w:w="5928" w:type="dxa"/>
            <w:noWrap w:val="0"/>
            <w:vAlign w:val="top"/>
          </w:tcPr>
          <w:p w14:paraId="4E22FAB7">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303E7D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ECF5C4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804E750">
            <w:pPr>
              <w:jc w:val="center"/>
              <w:rPr>
                <w:highlight w:val="none"/>
              </w:rPr>
            </w:pPr>
          </w:p>
        </w:tc>
        <w:tc>
          <w:tcPr>
            <w:tcW w:w="710" w:type="dxa"/>
            <w:gridSpan w:val="2"/>
            <w:noWrap w:val="0"/>
            <w:vAlign w:val="center"/>
          </w:tcPr>
          <w:p w14:paraId="65968848">
            <w:pPr>
              <w:jc w:val="both"/>
              <w:rPr>
                <w:highlight w:val="none"/>
                <w:vertAlign w:val="baseline"/>
              </w:rPr>
            </w:pPr>
          </w:p>
        </w:tc>
      </w:tr>
      <w:tr w14:paraId="50A5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225E4B5">
            <w:pPr>
              <w:jc w:val="center"/>
              <w:rPr>
                <w:rFonts w:hint="default"/>
                <w:highlight w:val="none"/>
                <w:vertAlign w:val="baseline"/>
                <w:lang w:val="en-US" w:eastAsia="zh-CN"/>
              </w:rPr>
            </w:pPr>
            <w:r>
              <w:rPr>
                <w:rFonts w:hint="eastAsia"/>
                <w:highlight w:val="none"/>
                <w:vertAlign w:val="baseline"/>
                <w:lang w:val="en-US" w:eastAsia="zh-CN"/>
              </w:rPr>
              <w:t>311</w:t>
            </w:r>
          </w:p>
        </w:tc>
        <w:tc>
          <w:tcPr>
            <w:tcW w:w="1690" w:type="dxa"/>
            <w:noWrap w:val="0"/>
            <w:vAlign w:val="top"/>
          </w:tcPr>
          <w:p w14:paraId="426E13AE">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甘油</w:t>
            </w:r>
          </w:p>
        </w:tc>
        <w:tc>
          <w:tcPr>
            <w:tcW w:w="5928" w:type="dxa"/>
            <w:noWrap w:val="0"/>
            <w:vAlign w:val="top"/>
          </w:tcPr>
          <w:p w14:paraId="579ADF35">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试剂500ml</w:t>
            </w:r>
          </w:p>
        </w:tc>
        <w:tc>
          <w:tcPr>
            <w:tcW w:w="736" w:type="dxa"/>
            <w:noWrap w:val="0"/>
            <w:vAlign w:val="center"/>
          </w:tcPr>
          <w:p w14:paraId="3189362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38B049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7D7678F0">
            <w:pPr>
              <w:jc w:val="center"/>
              <w:rPr>
                <w:highlight w:val="none"/>
              </w:rPr>
            </w:pPr>
          </w:p>
        </w:tc>
        <w:tc>
          <w:tcPr>
            <w:tcW w:w="710" w:type="dxa"/>
            <w:gridSpan w:val="2"/>
            <w:noWrap w:val="0"/>
            <w:vAlign w:val="center"/>
          </w:tcPr>
          <w:p w14:paraId="21618366">
            <w:pPr>
              <w:jc w:val="both"/>
              <w:rPr>
                <w:highlight w:val="none"/>
                <w:vertAlign w:val="baseline"/>
              </w:rPr>
            </w:pPr>
          </w:p>
        </w:tc>
      </w:tr>
      <w:tr w14:paraId="66A3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9810D0A">
            <w:pPr>
              <w:jc w:val="center"/>
              <w:rPr>
                <w:rFonts w:hint="default"/>
                <w:highlight w:val="none"/>
                <w:vertAlign w:val="baseline"/>
                <w:lang w:val="en-US" w:eastAsia="zh-CN"/>
              </w:rPr>
            </w:pPr>
            <w:r>
              <w:rPr>
                <w:rFonts w:hint="eastAsia"/>
                <w:highlight w:val="none"/>
                <w:vertAlign w:val="baseline"/>
                <w:lang w:val="en-US" w:eastAsia="zh-CN"/>
              </w:rPr>
              <w:t>312</w:t>
            </w:r>
          </w:p>
        </w:tc>
        <w:tc>
          <w:tcPr>
            <w:tcW w:w="1690" w:type="dxa"/>
            <w:noWrap w:val="0"/>
            <w:vAlign w:val="top"/>
          </w:tcPr>
          <w:p w14:paraId="5872122D">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柠檬酸钠</w:t>
            </w:r>
          </w:p>
        </w:tc>
        <w:tc>
          <w:tcPr>
            <w:tcW w:w="5928" w:type="dxa"/>
            <w:noWrap w:val="0"/>
            <w:vAlign w:val="top"/>
          </w:tcPr>
          <w:p w14:paraId="74053397">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2DA767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0DD145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E374FD3">
            <w:pPr>
              <w:jc w:val="center"/>
              <w:rPr>
                <w:highlight w:val="none"/>
              </w:rPr>
            </w:pPr>
          </w:p>
        </w:tc>
        <w:tc>
          <w:tcPr>
            <w:tcW w:w="710" w:type="dxa"/>
            <w:gridSpan w:val="2"/>
            <w:noWrap w:val="0"/>
            <w:vAlign w:val="center"/>
          </w:tcPr>
          <w:p w14:paraId="7D84D428">
            <w:pPr>
              <w:jc w:val="both"/>
              <w:rPr>
                <w:highlight w:val="none"/>
                <w:vertAlign w:val="baseline"/>
              </w:rPr>
            </w:pPr>
          </w:p>
        </w:tc>
      </w:tr>
      <w:tr w14:paraId="113D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1CDB1A">
            <w:pPr>
              <w:jc w:val="center"/>
              <w:rPr>
                <w:rFonts w:hint="default"/>
                <w:highlight w:val="none"/>
                <w:vertAlign w:val="baseline"/>
                <w:lang w:val="en-US" w:eastAsia="zh-CN"/>
              </w:rPr>
            </w:pPr>
            <w:r>
              <w:rPr>
                <w:rFonts w:hint="eastAsia"/>
                <w:highlight w:val="none"/>
                <w:vertAlign w:val="baseline"/>
                <w:lang w:val="en-US" w:eastAsia="zh-CN"/>
              </w:rPr>
              <w:t>313</w:t>
            </w:r>
          </w:p>
        </w:tc>
        <w:tc>
          <w:tcPr>
            <w:tcW w:w="1690" w:type="dxa"/>
            <w:noWrap w:val="0"/>
            <w:vAlign w:val="top"/>
          </w:tcPr>
          <w:p w14:paraId="745198E8">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蔗糖</w:t>
            </w:r>
          </w:p>
        </w:tc>
        <w:tc>
          <w:tcPr>
            <w:tcW w:w="5928" w:type="dxa"/>
            <w:noWrap w:val="0"/>
            <w:vAlign w:val="top"/>
          </w:tcPr>
          <w:p w14:paraId="06F26C42">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4F440D2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1ABFE8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5FCF2A93">
            <w:pPr>
              <w:jc w:val="center"/>
              <w:rPr>
                <w:highlight w:val="none"/>
              </w:rPr>
            </w:pPr>
          </w:p>
        </w:tc>
        <w:tc>
          <w:tcPr>
            <w:tcW w:w="710" w:type="dxa"/>
            <w:gridSpan w:val="2"/>
            <w:noWrap w:val="0"/>
            <w:vAlign w:val="center"/>
          </w:tcPr>
          <w:p w14:paraId="615014D7">
            <w:pPr>
              <w:jc w:val="both"/>
              <w:rPr>
                <w:highlight w:val="none"/>
                <w:vertAlign w:val="baseline"/>
              </w:rPr>
            </w:pPr>
          </w:p>
        </w:tc>
      </w:tr>
      <w:tr w14:paraId="58FC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7B6029A">
            <w:pPr>
              <w:jc w:val="center"/>
              <w:rPr>
                <w:rFonts w:hint="default"/>
                <w:highlight w:val="none"/>
                <w:vertAlign w:val="baseline"/>
                <w:lang w:val="en-US" w:eastAsia="zh-CN"/>
              </w:rPr>
            </w:pPr>
            <w:r>
              <w:rPr>
                <w:rFonts w:hint="eastAsia"/>
                <w:highlight w:val="none"/>
                <w:vertAlign w:val="baseline"/>
                <w:lang w:val="en-US" w:eastAsia="zh-CN"/>
              </w:rPr>
              <w:t>314</w:t>
            </w:r>
          </w:p>
        </w:tc>
        <w:tc>
          <w:tcPr>
            <w:tcW w:w="1690" w:type="dxa"/>
            <w:noWrap w:val="0"/>
            <w:vAlign w:val="top"/>
          </w:tcPr>
          <w:p w14:paraId="7DCF1749">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可溶性淀粉</w:t>
            </w:r>
          </w:p>
        </w:tc>
        <w:tc>
          <w:tcPr>
            <w:tcW w:w="5928" w:type="dxa"/>
            <w:noWrap w:val="0"/>
            <w:vAlign w:val="top"/>
          </w:tcPr>
          <w:p w14:paraId="36345119">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3A82216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C08CC4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03608EC8">
            <w:pPr>
              <w:jc w:val="center"/>
              <w:rPr>
                <w:highlight w:val="none"/>
              </w:rPr>
            </w:pPr>
          </w:p>
        </w:tc>
        <w:tc>
          <w:tcPr>
            <w:tcW w:w="710" w:type="dxa"/>
            <w:gridSpan w:val="2"/>
            <w:noWrap w:val="0"/>
            <w:vAlign w:val="center"/>
          </w:tcPr>
          <w:p w14:paraId="507F0BDB">
            <w:pPr>
              <w:jc w:val="both"/>
              <w:rPr>
                <w:highlight w:val="none"/>
                <w:vertAlign w:val="baseline"/>
              </w:rPr>
            </w:pPr>
          </w:p>
        </w:tc>
      </w:tr>
      <w:tr w14:paraId="53F8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36D0E4">
            <w:pPr>
              <w:jc w:val="center"/>
              <w:rPr>
                <w:rFonts w:hint="default"/>
                <w:highlight w:val="none"/>
                <w:vertAlign w:val="baseline"/>
                <w:lang w:val="en-US" w:eastAsia="zh-CN"/>
              </w:rPr>
            </w:pPr>
            <w:r>
              <w:rPr>
                <w:rFonts w:hint="eastAsia"/>
                <w:highlight w:val="none"/>
                <w:vertAlign w:val="baseline"/>
                <w:lang w:val="en-US" w:eastAsia="zh-CN"/>
              </w:rPr>
              <w:t>315</w:t>
            </w:r>
          </w:p>
        </w:tc>
        <w:tc>
          <w:tcPr>
            <w:tcW w:w="1690" w:type="dxa"/>
            <w:noWrap w:val="0"/>
            <w:vAlign w:val="top"/>
          </w:tcPr>
          <w:p w14:paraId="15EA692A">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琼脂</w:t>
            </w:r>
          </w:p>
        </w:tc>
        <w:tc>
          <w:tcPr>
            <w:tcW w:w="5928" w:type="dxa"/>
            <w:noWrap w:val="0"/>
            <w:vAlign w:val="top"/>
          </w:tcPr>
          <w:p w14:paraId="5E58ED3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试剂250g</w:t>
            </w:r>
          </w:p>
        </w:tc>
        <w:tc>
          <w:tcPr>
            <w:tcW w:w="736" w:type="dxa"/>
            <w:noWrap w:val="0"/>
            <w:vAlign w:val="center"/>
          </w:tcPr>
          <w:p w14:paraId="420E011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A433B1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1F5660">
            <w:pPr>
              <w:jc w:val="center"/>
              <w:rPr>
                <w:highlight w:val="none"/>
              </w:rPr>
            </w:pPr>
          </w:p>
        </w:tc>
        <w:tc>
          <w:tcPr>
            <w:tcW w:w="710" w:type="dxa"/>
            <w:gridSpan w:val="2"/>
            <w:noWrap w:val="0"/>
            <w:vAlign w:val="center"/>
          </w:tcPr>
          <w:p w14:paraId="6907FC6F">
            <w:pPr>
              <w:jc w:val="both"/>
              <w:rPr>
                <w:highlight w:val="none"/>
                <w:vertAlign w:val="baseline"/>
              </w:rPr>
            </w:pPr>
          </w:p>
        </w:tc>
      </w:tr>
      <w:tr w14:paraId="53F4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8AD9B0">
            <w:pPr>
              <w:jc w:val="center"/>
              <w:rPr>
                <w:rFonts w:hint="default"/>
                <w:highlight w:val="none"/>
                <w:vertAlign w:val="baseline"/>
                <w:lang w:val="en-US" w:eastAsia="zh-CN"/>
              </w:rPr>
            </w:pPr>
            <w:r>
              <w:rPr>
                <w:rFonts w:hint="eastAsia"/>
                <w:highlight w:val="none"/>
                <w:vertAlign w:val="baseline"/>
                <w:lang w:val="en-US" w:eastAsia="zh-CN"/>
              </w:rPr>
              <w:t>316</w:t>
            </w:r>
          </w:p>
        </w:tc>
        <w:tc>
          <w:tcPr>
            <w:tcW w:w="1690" w:type="dxa"/>
            <w:noWrap w:val="0"/>
            <w:vAlign w:val="top"/>
          </w:tcPr>
          <w:p w14:paraId="24780AA5">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葡萄糖</w:t>
            </w:r>
          </w:p>
        </w:tc>
        <w:tc>
          <w:tcPr>
            <w:tcW w:w="5928" w:type="dxa"/>
            <w:noWrap w:val="0"/>
            <w:vAlign w:val="top"/>
          </w:tcPr>
          <w:p w14:paraId="72665BD4">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试剂500g</w:t>
            </w:r>
          </w:p>
        </w:tc>
        <w:tc>
          <w:tcPr>
            <w:tcW w:w="736" w:type="dxa"/>
            <w:noWrap w:val="0"/>
            <w:vAlign w:val="center"/>
          </w:tcPr>
          <w:p w14:paraId="6ED77D3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4B3687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EF7A216">
            <w:pPr>
              <w:jc w:val="center"/>
              <w:rPr>
                <w:highlight w:val="none"/>
              </w:rPr>
            </w:pPr>
          </w:p>
        </w:tc>
        <w:tc>
          <w:tcPr>
            <w:tcW w:w="710" w:type="dxa"/>
            <w:gridSpan w:val="2"/>
            <w:noWrap w:val="0"/>
            <w:vAlign w:val="center"/>
          </w:tcPr>
          <w:p w14:paraId="41D382EA">
            <w:pPr>
              <w:jc w:val="both"/>
              <w:rPr>
                <w:highlight w:val="none"/>
                <w:vertAlign w:val="baseline"/>
              </w:rPr>
            </w:pPr>
          </w:p>
        </w:tc>
      </w:tr>
      <w:tr w14:paraId="7ED0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C145462">
            <w:pPr>
              <w:jc w:val="center"/>
              <w:rPr>
                <w:rFonts w:hint="default"/>
                <w:highlight w:val="none"/>
                <w:vertAlign w:val="baseline"/>
                <w:lang w:val="en-US" w:eastAsia="zh-CN"/>
              </w:rPr>
            </w:pPr>
            <w:r>
              <w:rPr>
                <w:rFonts w:hint="eastAsia"/>
                <w:highlight w:val="none"/>
                <w:vertAlign w:val="baseline"/>
                <w:lang w:val="en-US" w:eastAsia="zh-CN"/>
              </w:rPr>
              <w:t>317</w:t>
            </w:r>
          </w:p>
        </w:tc>
        <w:tc>
          <w:tcPr>
            <w:tcW w:w="1690" w:type="dxa"/>
            <w:noWrap w:val="0"/>
            <w:vAlign w:val="top"/>
          </w:tcPr>
          <w:p w14:paraId="3257A443">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酚酞</w:t>
            </w:r>
          </w:p>
        </w:tc>
        <w:tc>
          <w:tcPr>
            <w:tcW w:w="5928" w:type="dxa"/>
            <w:noWrap w:val="0"/>
            <w:vAlign w:val="top"/>
          </w:tcPr>
          <w:p w14:paraId="07EC1566">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试剂25g</w:t>
            </w:r>
          </w:p>
        </w:tc>
        <w:tc>
          <w:tcPr>
            <w:tcW w:w="736" w:type="dxa"/>
            <w:noWrap w:val="0"/>
            <w:vAlign w:val="center"/>
          </w:tcPr>
          <w:p w14:paraId="3EDF99F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242E620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6B59607">
            <w:pPr>
              <w:jc w:val="center"/>
              <w:rPr>
                <w:highlight w:val="none"/>
              </w:rPr>
            </w:pPr>
          </w:p>
        </w:tc>
        <w:tc>
          <w:tcPr>
            <w:tcW w:w="710" w:type="dxa"/>
            <w:gridSpan w:val="2"/>
            <w:noWrap w:val="0"/>
            <w:vAlign w:val="center"/>
          </w:tcPr>
          <w:p w14:paraId="2BCAC0B5">
            <w:pPr>
              <w:jc w:val="both"/>
              <w:rPr>
                <w:highlight w:val="none"/>
                <w:vertAlign w:val="baseline"/>
              </w:rPr>
            </w:pPr>
          </w:p>
        </w:tc>
      </w:tr>
      <w:tr w14:paraId="3911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8B741B">
            <w:pPr>
              <w:jc w:val="center"/>
              <w:rPr>
                <w:rFonts w:hint="default"/>
                <w:highlight w:val="none"/>
                <w:vertAlign w:val="baseline"/>
                <w:lang w:val="en-US" w:eastAsia="zh-CN"/>
              </w:rPr>
            </w:pPr>
            <w:r>
              <w:rPr>
                <w:rFonts w:hint="eastAsia"/>
                <w:highlight w:val="none"/>
                <w:vertAlign w:val="baseline"/>
                <w:lang w:val="en-US" w:eastAsia="zh-CN"/>
              </w:rPr>
              <w:t>318</w:t>
            </w:r>
          </w:p>
        </w:tc>
        <w:tc>
          <w:tcPr>
            <w:tcW w:w="1690" w:type="dxa"/>
            <w:noWrap w:val="0"/>
            <w:vAlign w:val="top"/>
          </w:tcPr>
          <w:p w14:paraId="31179FD2">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甲基绿</w:t>
            </w:r>
          </w:p>
        </w:tc>
        <w:tc>
          <w:tcPr>
            <w:tcW w:w="5928" w:type="dxa"/>
            <w:noWrap w:val="0"/>
            <w:vAlign w:val="top"/>
          </w:tcPr>
          <w:p w14:paraId="666FCC04">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试剂100g</w:t>
            </w:r>
          </w:p>
        </w:tc>
        <w:tc>
          <w:tcPr>
            <w:tcW w:w="736" w:type="dxa"/>
            <w:noWrap w:val="0"/>
            <w:vAlign w:val="center"/>
          </w:tcPr>
          <w:p w14:paraId="0DAB6C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5AEF3A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34B8E5AD">
            <w:pPr>
              <w:jc w:val="center"/>
              <w:rPr>
                <w:highlight w:val="none"/>
              </w:rPr>
            </w:pPr>
          </w:p>
        </w:tc>
        <w:tc>
          <w:tcPr>
            <w:tcW w:w="710" w:type="dxa"/>
            <w:gridSpan w:val="2"/>
            <w:noWrap w:val="0"/>
            <w:vAlign w:val="center"/>
          </w:tcPr>
          <w:p w14:paraId="7BBE36D0">
            <w:pPr>
              <w:jc w:val="both"/>
              <w:rPr>
                <w:highlight w:val="none"/>
                <w:vertAlign w:val="baseline"/>
              </w:rPr>
            </w:pPr>
          </w:p>
        </w:tc>
      </w:tr>
      <w:tr w14:paraId="5F4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41515E">
            <w:pPr>
              <w:jc w:val="center"/>
              <w:rPr>
                <w:rFonts w:hint="default"/>
                <w:highlight w:val="none"/>
                <w:vertAlign w:val="baseline"/>
                <w:lang w:val="en-US" w:eastAsia="zh-CN"/>
              </w:rPr>
            </w:pPr>
            <w:r>
              <w:rPr>
                <w:rFonts w:hint="eastAsia"/>
                <w:highlight w:val="none"/>
                <w:vertAlign w:val="baseline"/>
                <w:lang w:val="en-US" w:eastAsia="zh-CN"/>
              </w:rPr>
              <w:t>319</w:t>
            </w:r>
          </w:p>
        </w:tc>
        <w:tc>
          <w:tcPr>
            <w:tcW w:w="1690" w:type="dxa"/>
            <w:noWrap w:val="0"/>
            <w:vAlign w:val="top"/>
          </w:tcPr>
          <w:p w14:paraId="652AD636">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亚甲基蓝</w:t>
            </w:r>
          </w:p>
        </w:tc>
        <w:tc>
          <w:tcPr>
            <w:tcW w:w="5928" w:type="dxa"/>
            <w:noWrap w:val="0"/>
            <w:vAlign w:val="top"/>
          </w:tcPr>
          <w:p w14:paraId="3574E608">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试剂25g</w:t>
            </w:r>
          </w:p>
        </w:tc>
        <w:tc>
          <w:tcPr>
            <w:tcW w:w="736" w:type="dxa"/>
            <w:noWrap w:val="0"/>
            <w:vAlign w:val="center"/>
          </w:tcPr>
          <w:p w14:paraId="2D283C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6DB427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13A2848D">
            <w:pPr>
              <w:jc w:val="center"/>
              <w:rPr>
                <w:highlight w:val="none"/>
              </w:rPr>
            </w:pPr>
          </w:p>
        </w:tc>
        <w:tc>
          <w:tcPr>
            <w:tcW w:w="710" w:type="dxa"/>
            <w:gridSpan w:val="2"/>
            <w:noWrap w:val="0"/>
            <w:vAlign w:val="center"/>
          </w:tcPr>
          <w:p w14:paraId="6DCA6B43">
            <w:pPr>
              <w:jc w:val="both"/>
              <w:rPr>
                <w:highlight w:val="none"/>
                <w:vertAlign w:val="baseline"/>
              </w:rPr>
            </w:pPr>
          </w:p>
        </w:tc>
      </w:tr>
      <w:tr w14:paraId="7D35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00B06AA">
            <w:pPr>
              <w:jc w:val="center"/>
              <w:rPr>
                <w:rFonts w:hint="default"/>
                <w:highlight w:val="none"/>
                <w:vertAlign w:val="baseline"/>
                <w:lang w:val="en-US" w:eastAsia="zh-CN"/>
              </w:rPr>
            </w:pPr>
            <w:r>
              <w:rPr>
                <w:rFonts w:hint="eastAsia"/>
                <w:highlight w:val="none"/>
                <w:vertAlign w:val="baseline"/>
                <w:lang w:val="en-US" w:eastAsia="zh-CN"/>
              </w:rPr>
              <w:t>320</w:t>
            </w:r>
          </w:p>
        </w:tc>
        <w:tc>
          <w:tcPr>
            <w:tcW w:w="1690" w:type="dxa"/>
            <w:noWrap w:val="0"/>
            <w:vAlign w:val="top"/>
          </w:tcPr>
          <w:p w14:paraId="3F82E6AA">
            <w:pPr>
              <w:keepNext w:val="0"/>
              <w:keepLines w:val="0"/>
              <w:widowControl/>
              <w:suppressLineNumbers w:val="0"/>
              <w:jc w:val="center"/>
              <w:textAlignment w:val="top"/>
              <w:rPr>
                <w:rFonts w:hint="eastAsia"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溴麝香草酚蓝</w:t>
            </w:r>
          </w:p>
        </w:tc>
        <w:tc>
          <w:tcPr>
            <w:tcW w:w="5928" w:type="dxa"/>
            <w:noWrap w:val="0"/>
            <w:vAlign w:val="top"/>
          </w:tcPr>
          <w:p w14:paraId="1430B65C">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试剂25g</w:t>
            </w:r>
          </w:p>
        </w:tc>
        <w:tc>
          <w:tcPr>
            <w:tcW w:w="736" w:type="dxa"/>
            <w:noWrap w:val="0"/>
            <w:vAlign w:val="center"/>
          </w:tcPr>
          <w:p w14:paraId="1B34FD1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64F825A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60A45419">
            <w:pPr>
              <w:jc w:val="center"/>
              <w:rPr>
                <w:highlight w:val="none"/>
              </w:rPr>
            </w:pPr>
          </w:p>
        </w:tc>
        <w:tc>
          <w:tcPr>
            <w:tcW w:w="710" w:type="dxa"/>
            <w:gridSpan w:val="2"/>
            <w:noWrap w:val="0"/>
            <w:vAlign w:val="center"/>
          </w:tcPr>
          <w:p w14:paraId="01C2148C">
            <w:pPr>
              <w:jc w:val="both"/>
              <w:rPr>
                <w:highlight w:val="none"/>
                <w:vertAlign w:val="baseline"/>
              </w:rPr>
            </w:pPr>
          </w:p>
        </w:tc>
      </w:tr>
      <w:tr w14:paraId="568A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6B145AC">
            <w:pPr>
              <w:jc w:val="center"/>
              <w:rPr>
                <w:rFonts w:hint="default"/>
                <w:highlight w:val="none"/>
                <w:vertAlign w:val="baseline"/>
                <w:lang w:val="en-US" w:eastAsia="zh-CN"/>
              </w:rPr>
            </w:pPr>
            <w:r>
              <w:rPr>
                <w:rFonts w:hint="eastAsia"/>
                <w:highlight w:val="none"/>
                <w:vertAlign w:val="baseline"/>
                <w:lang w:val="en-US" w:eastAsia="zh-CN"/>
              </w:rPr>
              <w:t>321</w:t>
            </w:r>
          </w:p>
        </w:tc>
        <w:tc>
          <w:tcPr>
            <w:tcW w:w="1690" w:type="dxa"/>
            <w:noWrap w:val="0"/>
            <w:vAlign w:val="top"/>
          </w:tcPr>
          <w:p w14:paraId="3052EA16">
            <w:pPr>
              <w:keepNext w:val="0"/>
              <w:keepLines w:val="0"/>
              <w:widowControl/>
              <w:suppressLineNumbers w:val="0"/>
              <w:jc w:val="center"/>
              <w:textAlignment w:val="top"/>
              <w:rPr>
                <w:rFonts w:ascii="宋体" w:hAnsi="宋体" w:eastAsia="宋体" w:cs="宋体"/>
                <w:i w:val="0"/>
                <w:iCs w:val="0"/>
                <w:color w:val="000000"/>
                <w:kern w:val="0"/>
                <w:sz w:val="20"/>
                <w:szCs w:val="20"/>
                <w:highlight w:val="none"/>
                <w:u w:val="none"/>
                <w:lang w:val="en-US" w:eastAsia="zh-CN" w:bidi="ar"/>
              </w:rPr>
            </w:pPr>
            <w:r>
              <w:rPr>
                <w:rFonts w:ascii="宋体" w:hAnsi="宋体" w:eastAsia="宋体" w:cs="宋体"/>
                <w:i w:val="0"/>
                <w:iCs w:val="0"/>
                <w:color w:val="000000"/>
                <w:kern w:val="0"/>
                <w:sz w:val="20"/>
                <w:szCs w:val="20"/>
                <w:highlight w:val="none"/>
                <w:u w:val="none"/>
                <w:lang w:val="en-US" w:eastAsia="zh-CN" w:bidi="ar"/>
              </w:rPr>
              <w:t>胭脂红（洋红）</w:t>
            </w:r>
          </w:p>
        </w:tc>
        <w:tc>
          <w:tcPr>
            <w:tcW w:w="5928" w:type="dxa"/>
            <w:noWrap w:val="0"/>
            <w:vAlign w:val="top"/>
          </w:tcPr>
          <w:p w14:paraId="6F4EC5C0">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试剂10g</w:t>
            </w:r>
          </w:p>
        </w:tc>
        <w:tc>
          <w:tcPr>
            <w:tcW w:w="736" w:type="dxa"/>
            <w:noWrap w:val="0"/>
            <w:vAlign w:val="center"/>
          </w:tcPr>
          <w:p w14:paraId="085AF02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瓶</w:t>
            </w:r>
          </w:p>
        </w:tc>
        <w:tc>
          <w:tcPr>
            <w:tcW w:w="834" w:type="dxa"/>
            <w:noWrap w:val="0"/>
            <w:vAlign w:val="center"/>
          </w:tcPr>
          <w:p w14:paraId="6F0BB5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396" w:type="dxa"/>
            <w:gridSpan w:val="2"/>
            <w:noWrap w:val="0"/>
            <w:vAlign w:val="center"/>
          </w:tcPr>
          <w:p w14:paraId="2C85C27A">
            <w:pPr>
              <w:jc w:val="center"/>
              <w:rPr>
                <w:highlight w:val="none"/>
              </w:rPr>
            </w:pPr>
          </w:p>
        </w:tc>
        <w:tc>
          <w:tcPr>
            <w:tcW w:w="710" w:type="dxa"/>
            <w:gridSpan w:val="2"/>
            <w:noWrap w:val="0"/>
            <w:vAlign w:val="center"/>
          </w:tcPr>
          <w:p w14:paraId="5A10BEB3">
            <w:pPr>
              <w:jc w:val="both"/>
              <w:rPr>
                <w:highlight w:val="none"/>
                <w:vertAlign w:val="baseline"/>
              </w:rPr>
            </w:pPr>
          </w:p>
        </w:tc>
      </w:tr>
    </w:tbl>
    <w:p w14:paraId="6D6AC05D"/>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690"/>
        <w:gridCol w:w="5928"/>
        <w:gridCol w:w="736"/>
        <w:gridCol w:w="834"/>
        <w:gridCol w:w="3381"/>
        <w:gridCol w:w="710"/>
      </w:tblGrid>
      <w:tr w14:paraId="71AD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4174" w:type="dxa"/>
            <w:gridSpan w:val="7"/>
            <w:noWrap w:val="0"/>
            <w:vAlign w:val="top"/>
          </w:tcPr>
          <w:p w14:paraId="53D197F3">
            <w:pPr>
              <w:jc w:val="center"/>
              <w:rPr>
                <w:color w:val="auto"/>
                <w:highlight w:val="none"/>
                <w:vertAlign w:val="baseline"/>
              </w:rPr>
            </w:pPr>
            <w:r>
              <w:rPr>
                <w:rFonts w:hint="eastAsia"/>
                <w:b/>
                <w:bCs/>
                <w:color w:val="auto"/>
                <w:sz w:val="44"/>
                <w:szCs w:val="44"/>
                <w:highlight w:val="none"/>
                <w:vertAlign w:val="baseline"/>
              </w:rPr>
              <w:t>B标段：学生生活设备</w:t>
            </w:r>
          </w:p>
        </w:tc>
      </w:tr>
      <w:tr w14:paraId="15D6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4174" w:type="dxa"/>
            <w:gridSpan w:val="7"/>
            <w:noWrap w:val="0"/>
            <w:vAlign w:val="top"/>
          </w:tcPr>
          <w:p w14:paraId="4EF378E3">
            <w:pPr>
              <w:jc w:val="center"/>
              <w:rPr>
                <w:color w:val="auto"/>
                <w:highlight w:val="none"/>
                <w:vertAlign w:val="baseline"/>
              </w:rPr>
            </w:pPr>
            <w:r>
              <w:rPr>
                <w:rFonts w:hint="eastAsia"/>
                <w:b/>
                <w:bCs/>
                <w:color w:val="auto"/>
                <w:sz w:val="44"/>
                <w:szCs w:val="44"/>
                <w:highlight w:val="none"/>
                <w:vertAlign w:val="baseline"/>
              </w:rPr>
              <w:t>学生课桌椅及铁袈床</w:t>
            </w:r>
          </w:p>
        </w:tc>
      </w:tr>
      <w:tr w14:paraId="05D8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4A7BE9">
            <w:pPr>
              <w:keepNext w:val="0"/>
              <w:keepLines w:val="0"/>
              <w:widowControl/>
              <w:suppressLineNumbers w:val="0"/>
              <w:jc w:val="center"/>
              <w:textAlignment w:val="center"/>
              <w:rPr>
                <w:color w:val="auto"/>
                <w:highlight w:val="none"/>
                <w:vertAlign w:val="baseli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690" w:type="dxa"/>
            <w:noWrap w:val="0"/>
            <w:vAlign w:val="center"/>
          </w:tcPr>
          <w:p w14:paraId="1255CE27">
            <w:pPr>
              <w:keepNext w:val="0"/>
              <w:keepLines w:val="0"/>
              <w:widowControl/>
              <w:suppressLineNumbers w:val="0"/>
              <w:jc w:val="center"/>
              <w:textAlignment w:val="center"/>
              <w:rPr>
                <w:color w:val="auto"/>
                <w:highlight w:val="none"/>
                <w:vertAlign w:val="baseli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5928" w:type="dxa"/>
            <w:noWrap w:val="0"/>
            <w:vAlign w:val="center"/>
          </w:tcPr>
          <w:p w14:paraId="0505C295">
            <w:pPr>
              <w:keepNext w:val="0"/>
              <w:keepLines w:val="0"/>
              <w:widowControl/>
              <w:suppressLineNumbers w:val="0"/>
              <w:jc w:val="center"/>
              <w:textAlignment w:val="center"/>
              <w:rPr>
                <w:color w:val="auto"/>
                <w:highlight w:val="none"/>
                <w:vertAlign w:val="baseline"/>
              </w:rPr>
            </w:pPr>
            <w:r>
              <w:rPr>
                <w:rFonts w:hint="eastAsia" w:ascii="宋体" w:hAnsi="宋体" w:cs="宋体"/>
                <w:b/>
                <w:bCs/>
                <w:i w:val="0"/>
                <w:iCs w:val="0"/>
                <w:color w:val="auto"/>
                <w:kern w:val="0"/>
                <w:sz w:val="24"/>
                <w:szCs w:val="24"/>
                <w:highlight w:val="none"/>
                <w:u w:val="none"/>
                <w:lang w:val="en-US" w:eastAsia="zh-CN" w:bidi="ar"/>
              </w:rPr>
              <w:t>技术</w:t>
            </w:r>
            <w:r>
              <w:rPr>
                <w:rFonts w:hint="eastAsia" w:ascii="宋体" w:hAnsi="宋体" w:eastAsia="宋体" w:cs="宋体"/>
                <w:b/>
                <w:bCs/>
                <w:i w:val="0"/>
                <w:iCs w:val="0"/>
                <w:color w:val="auto"/>
                <w:kern w:val="0"/>
                <w:sz w:val="24"/>
                <w:szCs w:val="24"/>
                <w:highlight w:val="none"/>
                <w:u w:val="none"/>
                <w:lang w:val="en-US" w:eastAsia="zh-CN" w:bidi="ar"/>
              </w:rPr>
              <w:t>参数</w:t>
            </w:r>
            <w:r>
              <w:rPr>
                <w:rFonts w:hint="eastAsia" w:ascii="宋体" w:hAnsi="宋体" w:cs="宋体"/>
                <w:b/>
                <w:bCs/>
                <w:i w:val="0"/>
                <w:iCs w:val="0"/>
                <w:color w:val="auto"/>
                <w:kern w:val="0"/>
                <w:sz w:val="24"/>
                <w:szCs w:val="24"/>
                <w:highlight w:val="none"/>
                <w:u w:val="none"/>
                <w:lang w:val="en-US" w:eastAsia="zh-CN" w:bidi="ar"/>
              </w:rPr>
              <w:t>要求</w:t>
            </w:r>
          </w:p>
        </w:tc>
        <w:tc>
          <w:tcPr>
            <w:tcW w:w="736" w:type="dxa"/>
            <w:noWrap w:val="0"/>
            <w:vAlign w:val="center"/>
          </w:tcPr>
          <w:p w14:paraId="7CBF23BC">
            <w:pPr>
              <w:keepNext w:val="0"/>
              <w:keepLines w:val="0"/>
              <w:widowControl/>
              <w:suppressLineNumbers w:val="0"/>
              <w:jc w:val="center"/>
              <w:textAlignment w:val="center"/>
              <w:rPr>
                <w:color w:val="auto"/>
                <w:highlight w:val="none"/>
                <w:vertAlign w:val="baseli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834" w:type="dxa"/>
            <w:noWrap w:val="0"/>
            <w:vAlign w:val="center"/>
          </w:tcPr>
          <w:p w14:paraId="5715063A">
            <w:pPr>
              <w:keepNext w:val="0"/>
              <w:keepLines w:val="0"/>
              <w:widowControl/>
              <w:suppressLineNumbers w:val="0"/>
              <w:jc w:val="center"/>
              <w:textAlignment w:val="center"/>
              <w:rPr>
                <w:color w:val="auto"/>
                <w:highlight w:val="none"/>
                <w:vertAlign w:val="baseli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3381" w:type="dxa"/>
            <w:noWrap w:val="0"/>
            <w:vAlign w:val="center"/>
          </w:tcPr>
          <w:p w14:paraId="30087597">
            <w:pPr>
              <w:keepNext w:val="0"/>
              <w:keepLines w:val="0"/>
              <w:widowControl/>
              <w:suppressLineNumbers w:val="0"/>
              <w:jc w:val="center"/>
              <w:textAlignment w:val="center"/>
              <w:rPr>
                <w:color w:val="auto"/>
                <w:highlight w:val="none"/>
                <w:vertAlign w:val="baseline"/>
              </w:rPr>
            </w:pPr>
            <w:r>
              <w:rPr>
                <w:rFonts w:hint="eastAsia" w:ascii="宋体" w:hAnsi="宋体" w:eastAsia="宋体" w:cs="宋体"/>
                <w:b/>
                <w:bCs/>
                <w:i w:val="0"/>
                <w:iCs w:val="0"/>
                <w:color w:val="auto"/>
                <w:kern w:val="0"/>
                <w:sz w:val="24"/>
                <w:szCs w:val="24"/>
                <w:highlight w:val="none"/>
                <w:u w:val="none"/>
                <w:lang w:val="en-US" w:eastAsia="zh-CN" w:bidi="ar"/>
              </w:rPr>
              <w:t>参考图片</w:t>
            </w:r>
          </w:p>
        </w:tc>
        <w:tc>
          <w:tcPr>
            <w:tcW w:w="710" w:type="dxa"/>
            <w:noWrap w:val="0"/>
            <w:vAlign w:val="center"/>
          </w:tcPr>
          <w:p w14:paraId="01F4918E">
            <w:pPr>
              <w:keepNext w:val="0"/>
              <w:keepLines w:val="0"/>
              <w:widowControl/>
              <w:suppressLineNumbers w:val="0"/>
              <w:jc w:val="center"/>
              <w:textAlignment w:val="center"/>
              <w:rPr>
                <w:color w:val="auto"/>
                <w:highlight w:val="none"/>
                <w:vertAlign w:val="baseline"/>
              </w:rPr>
            </w:pPr>
            <w:r>
              <w:rPr>
                <w:rFonts w:hint="eastAsia"/>
                <w:color w:val="auto"/>
                <w:highlight w:val="none"/>
                <w:vertAlign w:val="baseline"/>
                <w:lang w:val="en-US" w:eastAsia="zh-CN"/>
              </w:rPr>
              <w:t>备注</w:t>
            </w:r>
          </w:p>
        </w:tc>
      </w:tr>
      <w:tr w14:paraId="3B0B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72C8D6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690" w:type="dxa"/>
            <w:noWrap w:val="0"/>
            <w:vAlign w:val="center"/>
          </w:tcPr>
          <w:p w14:paraId="030B915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学生课桌椅（可升降）</w:t>
            </w:r>
          </w:p>
        </w:tc>
        <w:tc>
          <w:tcPr>
            <w:tcW w:w="5928" w:type="dxa"/>
            <w:noWrap w:val="0"/>
            <w:vAlign w:val="center"/>
          </w:tcPr>
          <w:p w14:paraId="79BD519B">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1、学生桌尺寸：600mm×400mm×750mm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2、桌椅面材质：材质为E1级中密度板并且无接头注塑封边，带28*215mm铅笔槽，成型后厚度不低于18mm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3、桌子升降侧板：板材厚度0.8mm优质冷轧板一次模压成型升降模压件，可调节， 小学升降范围（760-640）初中升降范围，（790-700），桌腿双侧带挂钩孔,配一个书包挂钩。</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桌腿：桌底横腿采用冷轧25mm*50mm*1.2mm椭圆形钢管，采用25mm*50mm*1.2mm钢管连接。钢管材质为Q235B（或优于Q235B）优质钢材，投标时需提供冷轧钢管检测（验）报告复印件，所提供的检测（验）报告必须是有资质的第三方机构出具的方为有效，内容包含但不限于：氙灯老化50h、中性盐雾试验100h、耐湿热100h、耐干热100h、紫外老化100h、耐冷液1000h、耐酸性(3%H2SO4, 168h)、耐碱性(5%NaOH，168h)、耐水性168h、耐醇性(50%乙醇，168h)、附着力、耐划痕(100g)、耐溶剂擦拭性、光泽、耐磨性、抗冲击级、规格尺寸、下屈服强度、抗拉强度、断后伸长率，否则投标无效。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5、书斗：斗高为120mm×宽520mm×深370mm，采用0.8mm优质冷轧钢板板一次冲压成型；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二、课椅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1、学生椅面尺寸：400mm×360mm；靠背尺寸：400mm×170mm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2、椅面材质：材质为18mm厚E1级中密度板，椅面和靠背均为山形并且无接头注塑封边防止吸潮。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3、椅子升降侧板：采用板材厚度0.8mm优质冷轧板一次模压成型升降模压件，可调节。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4、凳腿：凳底横腿采用冷轧25mm*50mm*1.2mm，底腿长390mm。双立柱间距为30mm,两侧双立柱之间距底腿60mm处用长270mm椭圆形钢管25mm*50mm*1.2mm连接。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三、脚套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桌、椅脚套，采用全新高压PE工程塑料注塑一次成型，脚套与椭圆形钢管连接带自锁结构，安装后脚套不脱落。投标时需提供脚套的检测（验）报告扫描件并加盖投标人公章，所提供的检测（验）报告必须是有资质的第三方机构出具的方为有效，内容包含但不限于：耐老化性、冲击强度、耐冷热循环、硬度、邻苯二甲酸酯、可溶性铅、可溶性镉、可溶性铬、可溶性汞、苯并[a]芘、16种多环芳经(PAH)总量、多溴联苯(PBB)、多溴二苯醚(PBDE)、中性盐雾试验，否则投标无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四、学生椅钢制部分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采用二氧化碳保护焊焊接，焊接部位满焊，无漏焊、无砂眼，表面平滑；达到国标焊接工艺标准与要求；表面及内壁进行酸洗、磷化、静电喷涂环氧聚酯粉末（塑粉）。投标时提供塑粉合格的检测（验）报告扫描件并加盖投标人公章，所提供的检测（验）报告必须是有资质的第三方机构出具的方为有效，内容包含但不限于：外观、筛余物、密度、涂膜外观、附着力、铅笔硬度、耐冲击性、杯突试验、弯曲试验、光泽、耐磨性、耐酸性、耐碱性、耐沸水性、耐盐雾性、耐湿性、抗菌性能、胶化时间、粒径分布、流动性，否则投标无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四、课桌椅的涂饰要求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（一）涂饰要求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1、涂饰前课桌椅零、部件的表面应光滑、平整，不得有飞边、尖角、毛刺等可能造成机械伤害的缺陷。金属件应无开裂、脱焊、漏焊、焊渣等缺陷。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涂饰前金属件零、部件表面必须进行预备处理，采用除锈、防锈处理工艺，除去锈迹等其他污迹后进行涂装打底磷化处理。预备处理后表面不得有氧化皮、锈蚀、粘砂等其他杂质，磷化层达到工艺要求，预备处理后应及时进行涂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3、课桌椅所有木制件的外表面（使用面）均应装饰处理；非使用面涂清漆。木制件端面应进行涂饰处理。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（二）涂饰层外观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1、课桌椅外观要求应按照轻工行业标准QB/T 4071-2021《课桌椅》的规定执行。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2、金属件涂层应无漏喷、锈蚀；应光滑均匀，色泽一致，应无流挂、疙瘩、皱皮、飞漆等缺陷。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3、木制件表面装饰层应手感光滑，无划痕、压痕、雾光、白楞、白斑、鼓泡、流挂、刷毛、积粉和杂渣、皱皮、发粘、漏漆现象。薄木材料贴面不允许有明显透胶、脱胶、凹陷、压痕、鼓泡、胶迹。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4、每批产品（含课桌、课椅）不允许有明显色差。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5、产品上的五金配件应做防锈处理。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（三）表面理化性能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产品表面理化性能要求按照轻工行业标准QB/T 4071-2021《课桌椅》的规定执行。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五、课桌椅产品的外观和安全卫生要求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（一）产品着地应平稳。不允许出现桌面、椅面倾斜，桌架和椅架出现倾斜、弯曲等影响产品质量的情况。</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（二）课桌椅产品外表不允许出现明显的材质缺陷，不允许出现超出《技术要求》规定的加工要求和涂饰外观缺陷，不允许出现明显的变形。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（三）课桌椅产品外表不允许出现局部压陷、局部凹痕、局部超厚、尖角、锐边、裂口（缝）等易造成危险的缺陷；在接触人体或收藏物品的部位应无毛刺、刃口、棱角；管材外露管口端面应封闭。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（四）课桌椅产品固定部位的结合应牢固无松动、无少件、漏钉、透钉(预留孔、选择孔除外)。</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（五）有害物质限量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1、课桌椅涂饰所用涂料和胶粘剂中有害物质限量应符合国家标准GB 18581-2009《室内装饰装修材料  溶剂型木器涂料中有害物质限量》和GB 18583-2008《室内装饰装修材料  胶粘剂中有害物质限量》的规定。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2、课桌椅产品的甲醛释放限量和色漆的有害物质限量应符合国家标准GB 18584－2001《室内装饰装修材料  木家具中有害物质限量》的规定。</w:t>
            </w:r>
          </w:p>
        </w:tc>
        <w:tc>
          <w:tcPr>
            <w:tcW w:w="736" w:type="dxa"/>
            <w:noWrap w:val="0"/>
            <w:vAlign w:val="center"/>
          </w:tcPr>
          <w:p w14:paraId="41D9BAA0">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1220</w:t>
            </w:r>
          </w:p>
        </w:tc>
        <w:tc>
          <w:tcPr>
            <w:tcW w:w="834" w:type="dxa"/>
            <w:noWrap w:val="0"/>
            <w:vAlign w:val="center"/>
          </w:tcPr>
          <w:p w14:paraId="23D10FB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3381" w:type="dxa"/>
            <w:noWrap w:val="0"/>
            <w:vAlign w:val="center"/>
          </w:tcPr>
          <w:p w14:paraId="7C9719A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1517650" cy="1203325"/>
                  <wp:effectExtent l="0" t="0" r="6350" b="3175"/>
                  <wp:docPr id="8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5"/>
                          <pic:cNvPicPr>
                            <a:picLocks noChangeAspect="1"/>
                          </pic:cNvPicPr>
                        </pic:nvPicPr>
                        <pic:blipFill>
                          <a:blip r:embed="rId53"/>
                          <a:stretch>
                            <a:fillRect/>
                          </a:stretch>
                        </pic:blipFill>
                        <pic:spPr>
                          <a:xfrm>
                            <a:off x="0" y="0"/>
                            <a:ext cx="1517650" cy="1203325"/>
                          </a:xfrm>
                          <a:prstGeom prst="rect">
                            <a:avLst/>
                          </a:prstGeom>
                          <a:noFill/>
                          <a:ln>
                            <a:noFill/>
                          </a:ln>
                        </pic:spPr>
                      </pic:pic>
                    </a:graphicData>
                  </a:graphic>
                </wp:inline>
              </w:drawing>
            </w:r>
          </w:p>
        </w:tc>
        <w:tc>
          <w:tcPr>
            <w:tcW w:w="710" w:type="dxa"/>
            <w:noWrap w:val="0"/>
            <w:vAlign w:val="center"/>
          </w:tcPr>
          <w:p w14:paraId="5B533E11">
            <w:pPr>
              <w:keepNext w:val="0"/>
              <w:keepLines w:val="0"/>
              <w:widowControl/>
              <w:suppressLineNumbers w:val="0"/>
              <w:jc w:val="center"/>
              <w:textAlignment w:val="center"/>
              <w:rPr>
                <w:rFonts w:hint="eastAsia"/>
                <w:color w:val="auto"/>
                <w:highlight w:val="none"/>
                <w:vertAlign w:val="baseline"/>
                <w:lang w:val="en-US" w:eastAsia="zh-CN"/>
              </w:rPr>
            </w:pPr>
          </w:p>
        </w:tc>
      </w:tr>
      <w:tr w14:paraId="06A4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64C8E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690" w:type="dxa"/>
            <w:noWrap w:val="0"/>
            <w:vAlign w:val="center"/>
          </w:tcPr>
          <w:p w14:paraId="37DAFD9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双层铁架床</w:t>
            </w:r>
          </w:p>
        </w:tc>
        <w:tc>
          <w:tcPr>
            <w:tcW w:w="5928" w:type="dxa"/>
            <w:noWrap w:val="0"/>
            <w:vAlign w:val="center"/>
          </w:tcPr>
          <w:p w14:paraId="17A967C0">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一、双层床的型号尺寸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双层床的型号规格及结构应符合国家标准GB/T3328-2016《家具床类主要尺寸》的规定要求。双层床的尺寸：2000 mm×900 mm×1800mm（长×宽×高），上下床铺面间的层间净高为1000mm。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二、双层床的材料要求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（一）金属件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1、主体材料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1.1、立柱：方管约40mm×40mm，厚度不小于1.2mm。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1.2、主柱横担：矩形管约30mm×20mm，厚度不小于1.2mm。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1.3、床梃（床母）：矩形管约50mm×25mm，厚度不小于1.2mm。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1.4、床梃（床母）横担：矩形管约30mm×20mm，厚度不小于1.2mm，上床铺床梃（床母）横担不少于4根，下床铺床梃（床母）横担不少于4根。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1.5、上床铺面安全栏板及床两端护栏：双层床的安全栏板规格：1100mm×300mm（长×高），安全栏竖管不少于5根，钢管直径19mm，管壁厚：1.0mm。安全栏板与主柱距离（缺口长度）为500mm。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1.6、主柱卡口规格：≤26mm×26mm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1.7、床梃（床母）卡梢部位钢材厚度不小于1.5mm，卡梢总宽度不小于20mm，卡梢进深不少于15mm，床梃（床母）扣件规格不小于200mm×50mm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1.8、床梯子：方管约25mm×25mm，厚度不小于1.2mm，床梯宽度约为300mm，脚踏数量不少于4根。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1.9、上床铺蚊帐架采用不小于Φ16×δ1.0的圆管制成，床铺蚊帐圈孔径Φ30mm。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2、材料质量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双层床的金属件的技术要求和试验方法符合国家标准GB/T 3325-2017《金属家具通用技术条件》的规定。双层床所用钢材不低于高频焊接冷轧钢板，质量必须符合国家标准GB/T700-2006《碳素结构钢》要求，钢材表面粗糙度Ra的最大值为1.6μm，金属件材质不允许使用出现孔洞、缺口、开裂、尖角、裂缝、叠缝、腐蚀、离层、结疤、氧化皮等影响产品结构强度、外观和安全的材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3、双层床结构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床架钢件部分分为6个组件，具体为：1、床左拼，2、床右拼，3、上床架（含安全栏），4、下床架，5、蚊帐架1副，6、床梯子1套。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（二）木制件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1、床板：1915 mm×840 mm（长×宽）；采用厚度不小于13mm的双面光杉木板；每块床板的拼装板料数量最多不得超过8块；固定横条不少于3条，规格为30mm×20mm的实木方料。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2、双层床所用木材须进行防虫、除脂、干燥处理，不允许使用有边角缺陷、虫蛀、腐朽、霉变、开裂、变形等影响产品结构强度和外观的材料，材质符合国家标准要求。每张双层床配2块床板。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3、含水率：双层床加工所用木板含水率应不高于16%。双层床板出厂时木材含水率不高于16%。</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（三）其它材料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1、脚套。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床脚和床主柱顶端的脚套为内嵌式黑色脚套，采用超高分子量PE材料制作，壁厚不小于2mm,底厚不小于5mm，进深不小于30mm，加强筋不少于5圈, 加强筋厚度不小于1.2mm，底面规格不小于42mm×42mm,脚套与床脚（或主柱顶端）应结合紧密，牢靠，不脱落。建议：加强筋内径不小于36mm×36mm，加强筋外径不小于39mm×39mm。投标时需提供合格的检测（验）报告扫描件并加盖投标人公章，所提供的检测（验）报告必须是有资质的第三方机构出具的方为有效，内容包含但不限于：耐老化性、冲击强度、耐冷热循环、硬度、邻苯二甲酸酯、可溶性铅、可溶性镉、可溶性铬、可溶性汞、苯并[a]芘、16种多环芳经(PAH)总量、多溴联苯(PBB)、多溴二苯醚(PBDE)、中性盐雾试验，否则投标无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三、双层床的加工要求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（一）金属件加工要求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1、金属件外观、加工要求按照QB/T 2741-2013《学生公寓多功能家具》中5.3的规定执行。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2、管材应无裂缝、叠缝，外露管口端面应封闭。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焊接件焊接时采用二氧化碳保护焊接。焊接件之间的连接部分均应全部圈焊接（结构不需要时除外），不允许脱焊、虚焊、焊穿、错位现象；焊接处应无夹渣、气孔、焊瘤、焊丝头、咬边、飞溅；焊疤表面波纹应均匀、高低之差应不大于1mm。焊接后须经打磨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4、冲压件应无脱层、裂缝。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（二）木制件加工要求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木制件外观、加工要求等按照QB/T 2741-2013《学生公寓多功能家具》中5.3的规定执行。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（三）金属件的连接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1、床梃（床母）与主柱连接方式必须为卡梢式，连接件需防锈处理。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2、其他金属零、部件的连接方式必须采用焊接连接，不允许采用铆钉连接（铆接）和螺钉连接。（除铭牌、床梯子与床梃（床母）、主柱与床梃（床母）连接外）。</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3、床梯子与床梃（床母）的联接采用与上下床梃（床母）垂直插入定位方。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4、床两端护栏及安全栏板与床梃（床母）连接必须圈焊，安全栏板两侧必须插孔焊接。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5、双层床必须预设2个固定装置以便与墙体进行固定，固定装置设置在安全栏对面床梃（床母）适当位置，放置内径10mm的钢制中空内芯。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6、下床铺必须在合适位置设置固定蚊帐装置。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（四）双层床加工尺寸要求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双层床的外形尺寸，形状和位置公差分别按照QB/T 2741-2013《学生公寓多功能家具》中的5.1和5.2的规定执行。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（五）双层床的力学性能要求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双层床的力学性能要求按照QB/T 2741-2013《学生公寓多功能家具》中5.5的规定执行。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四、双层床的涂饰要求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（一）涂饰要求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1、涂饰前双层床零、部件的表面应光滑、平整，不得有飞边、尖角、毛刺等可能造成机械伤害的缺陷。金属件应无开裂、脱焊、漏焊、焊渣等缺陷。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2、涂饰前金属件零、部件表面必须进行预备处理，采用除锈、防锈处理工艺，除去锈迹等其他污迹后进行涂装打底磷化处理。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3、预备处理后表面不得有氧化皮、锈蚀、粘砂等其他杂质，磷化层达到工艺要求，预备处理后应及时使用热固性砂纹粉进行涂饰。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（二）涂饰层外观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1、金属件涂层应无漏喷、锈蚀；应光滑均匀，色泽一致，应无流挂、疙瘩、皱皮、飞漆等缺陷。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2、每批产品（含双层床）不允许有明显色差。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3、产品上的五金配件应做防锈处理。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（三）表面理化性能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产品表面理化性能要求按QB/T 2741-2013《学生公寓多功能家具》中的表3规定执行。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五、双层床产品的外观和安全卫生要求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（一）双层床外观应符合QB/T 2741-2013《学生公寓多功能家具》中5.3的规定。双层床产品外表不允许出现明显的材质缺陷，不允许出现超出《技术要求》规定的加工要求和涂饰外观缺陷，不允许出现明显的变形。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（二）双层床安全栏板质量必须符合国家标准GB 24430.1-2009《家用双层床安全第1部分：要求》中4.3的要求。必须镶嵌床垫（或床褥）放置高度永久性警示线，警示线距离安全栏板上端距离为200mm，警示线清晰、醒目。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（三）床梯子质量必须符合国家标准GB 24430.1-2009《家用双层床安全第1部分：要求》中4.6要求。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（四）双层床产品外表不允许出现局部压陷、局部凹痕、局部超厚、尖角、锐边、裂口（缝）等易造成危险的缺陷；在接触人体或收藏物品的部位应无毛刺、刃口、棱角；管材外露管口端面应封闭。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(五)有害物质限量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1、双层床涂饰所用涂料和胶粘剂中有害物质限量应符合国家标准GB 18583-2008《室内装饰装修材料胶粘剂中有害物质限量》的规定。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2、双层床产品的甲醛释放限量和色漆的有害物质限量应符合国家标准GB 18584-2001《室内装饰装修材料木家具中有害物质限量》的规定。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六、投标时需提供立柱和床梃（床母）检测（验）报告扫描件并加盖投标人公章，所提供的检测（验）报告必须是有资质的第三方机构出具的方为有效，内容包含但不限于：氙灯老化50h、中性盐雾试验100h、耐湿热100h、耐干热100h、紫外老化100h、耐冷液1000h、耐酸性(3%H2SO4, 168h)、耐碱性(5%NaOH，168h)、耐水性168h、耐醇性(50%乙醇，168h)、附着力、耐划痕(100g)、耐溶剂擦拭性、光泽、耐磨性、抗冲击级、规格尺寸、下屈服强度、抗拉强度、断后伸长率，否则投标无效。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七、投标时提供塑粉合格的检测（验）报告扫描件并加盖投标人公章，所提供的检测（验）报告必须是有资质的第三方机构出具的方为有效，内容包含但不限于：外观、筛余物、密度、涂膜外观、附着力、铅笔硬度、耐冲击性、杯突试验、弯曲试验、光泽、耐磨性、耐酸性、耐碱性、耐沸水性、耐盐雾性、耐湿性、抗菌性能、胶化时间、粒径分布、流动性，否则投标无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（二）木制件加工要求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木制件外观、加工要求等按照QB/T 2741-2013《学生公寓多功能家具》中5.3的规定执行。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（三）金属件的连接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1、床梃（床母）与主柱连接方式必须为卡梢式，连接件需防锈处理。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2、其他金属零、部件的连接方式必须采用焊接连接，不允许采用铆钉连接（铆接）和螺钉连接。（除铭牌、床梯子与床梃（床母）、主柱与床梃（床母）连接外）。</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3、床梯子与床梃（床母）的联接采用与上下床梃（床母）垂直插入定位方。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4、床两端护栏及安全栏板与床梃（床母）连接必须圈焊，安全栏板两侧必须插孔焊接。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5、双层床必须预设2个固定装置以便与墙体进行固定，固定装置设置在安全栏对面床梃（床母）适当位置，放置内径10mm的钢制中空内芯。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6、下床铺必须在合适位置设置固定蚊帐装置。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（四）双层床加工尺寸要求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双层床的外形尺寸，形状和位置公差分别按照QB/T 2741-2013《学生公寓多功能家具》中的5.1和5.2的规定执行。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（五）双层床的力学性能要求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双层床的力学性能要求按照QB/T 2741-2013《学生公寓多功能家具》中5.5的规定执行。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四、双层床的涂饰要求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（一）涂饰要求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1、涂饰前双层床零、部件的表面应光滑、平整，不得有飞边、尖角、毛刺等可能造成机械伤害的缺陷。金属件应无开裂、脱焊、漏焊、焊渣等缺陷。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2、涂饰前金属件零、部件表面必须进行预备处理，采用除锈、防锈处理工艺，除去锈迹等其他污迹后进行涂装打底磷化处理。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3、预备处理后表面不得有氧化皮、锈蚀、粘砂等其他杂质，磷化层达到工艺要求，预备处理后应及时使用热固性砂纹粉进行涂饰。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（二）涂饰层外观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1、金属件涂层应无漏喷、锈蚀；应光滑均匀，色泽一致，应无流挂、疙瘩、皱皮、飞漆等缺陷。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2、每批产品（含双层床）不允许有明显色差。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3、产品上的五金配件应做防锈处理。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（三）表面理化性能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产品表面理化性能要求按QB/T 2741-2013《学生公寓多功能家具》中的表3规定执行。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五、双层床产品的外观和安全卫生要求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（一）双层床外观应符合QB/T 2741-2013《学生公寓多功能家具》中5.3的规定。双层床产品外表不允许出现明显的材质缺陷，不允许出现超出《技术要求》规定的加工要求和涂饰外观缺陷，不允许出现明显的变形。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（二）双层床安全栏板质量必须符合国家标准GB 24430.1-2009《家用双层床安全第1部分：要求》中4.3的要求。必须镶嵌床垫（或床褥）放置高度永久性警示线，警示线距离安全栏板上端距离为200mm，警示线清晰、醒目。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（三）床梯子质量必须符合国家标准GB 24430.1-2009《家用双层床安全第1部分：要求》中4.6要求。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（四）双层床产品外表不允许出现局部压陷、局部凹痕、局部超厚、尖角、锐边、裂口（缝）等易造成危险的缺陷；在接触人体或收藏物品的部位应无毛刺、刃口、棱角；管材外露管口端面应封闭。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(五)有害物质限量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1、双层床涂饰所用涂料和胶粘剂中有害物质限量应符合国家标准GB 18583-2008《室内装饰装修材料胶粘剂中有害物质限量》的规定。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2、双层床产品的甲醛释放限量和色漆的有害物质限量应符合国家标准GB 18584-2001《室内装饰装修材料木家具中有害物质限量》的规定。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六、供应商必须提供边立柱由具有资质的第三方检验机构出具的合格检测报告复印件【检测报告包含但不限于以下内容：壁厚、基材化学成分(C≤0.20%、Si≤0.35%、Mn≤1.40%、P≤0.045%、S≤0.045%)、金属喷漆涂层理化性能(硬度≥H、附着力0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七、供应商必须提供双层铁架床由具有合法检测资格的检测机构出具的产品检测报告复印件，否则竞标无效。检测报告中必须包含以下内容：主要尺寸、外形尺寸偏差、外观性能要求、安全性能要求、理化性能要求、力学性能要求、有害物质限量。</w:t>
            </w:r>
          </w:p>
        </w:tc>
        <w:tc>
          <w:tcPr>
            <w:tcW w:w="736" w:type="dxa"/>
            <w:noWrap w:val="0"/>
            <w:vAlign w:val="center"/>
          </w:tcPr>
          <w:p w14:paraId="0CBDFF9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834" w:type="dxa"/>
            <w:noWrap w:val="0"/>
            <w:vAlign w:val="center"/>
          </w:tcPr>
          <w:p w14:paraId="153CE31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3381" w:type="dxa"/>
            <w:noWrap w:val="0"/>
            <w:vAlign w:val="center"/>
          </w:tcPr>
          <w:p w14:paraId="0E3776A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1356360" cy="1814830"/>
                  <wp:effectExtent l="0" t="0" r="2540" b="1270"/>
                  <wp:docPr id="90" name="图片 66" descr="bfb034a4e1946beeccae63967a41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 descr="bfb034a4e1946beeccae63967a4100f"/>
                          <pic:cNvPicPr>
                            <a:picLocks noChangeAspect="1"/>
                          </pic:cNvPicPr>
                        </pic:nvPicPr>
                        <pic:blipFill>
                          <a:blip r:embed="rId54"/>
                          <a:stretch>
                            <a:fillRect/>
                          </a:stretch>
                        </pic:blipFill>
                        <pic:spPr>
                          <a:xfrm>
                            <a:off x="0" y="0"/>
                            <a:ext cx="1356360" cy="1814830"/>
                          </a:xfrm>
                          <a:prstGeom prst="rect">
                            <a:avLst/>
                          </a:prstGeom>
                          <a:noFill/>
                          <a:ln>
                            <a:noFill/>
                          </a:ln>
                        </pic:spPr>
                      </pic:pic>
                    </a:graphicData>
                  </a:graphic>
                </wp:inline>
              </w:drawing>
            </w:r>
          </w:p>
        </w:tc>
        <w:tc>
          <w:tcPr>
            <w:tcW w:w="710" w:type="dxa"/>
            <w:noWrap w:val="0"/>
            <w:vAlign w:val="center"/>
          </w:tcPr>
          <w:p w14:paraId="1073E8DD">
            <w:pPr>
              <w:keepNext w:val="0"/>
              <w:keepLines w:val="0"/>
              <w:widowControl/>
              <w:suppressLineNumbers w:val="0"/>
              <w:jc w:val="center"/>
              <w:textAlignment w:val="center"/>
              <w:rPr>
                <w:rFonts w:hint="eastAsia"/>
                <w:color w:val="auto"/>
                <w:highlight w:val="none"/>
                <w:vertAlign w:val="baseline"/>
                <w:lang w:val="en-US" w:eastAsia="zh-CN"/>
              </w:rPr>
            </w:pPr>
          </w:p>
        </w:tc>
      </w:tr>
      <w:tr w14:paraId="3153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4174" w:type="dxa"/>
            <w:gridSpan w:val="7"/>
            <w:noWrap w:val="0"/>
            <w:vAlign w:val="center"/>
          </w:tcPr>
          <w:p w14:paraId="43AD2D6D">
            <w:pPr>
              <w:keepNext w:val="0"/>
              <w:keepLines w:val="0"/>
              <w:widowControl/>
              <w:suppressLineNumbers w:val="0"/>
              <w:jc w:val="center"/>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巴马镇初级中学食堂设备采购</w:t>
            </w:r>
          </w:p>
        </w:tc>
      </w:tr>
      <w:tr w14:paraId="2DA4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0319E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690" w:type="dxa"/>
            <w:noWrap w:val="0"/>
            <w:vAlign w:val="center"/>
          </w:tcPr>
          <w:p w14:paraId="2CFE951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5928" w:type="dxa"/>
            <w:noWrap w:val="0"/>
            <w:vAlign w:val="center"/>
          </w:tcPr>
          <w:p w14:paraId="5A6D2B00">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1.电源:220V/50Hz，箱内温度:冷藏8℃~-2℃，冷冻-18~ -6℃；</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2.容积：≥930L,制冷剂R290,功率420W/220V；                                                           3.不锈钢材质机身，整机满足IPX4防护，自动回归门，可自动回位关闭；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4.环戊烷整体发泡剂：环保、无拼接、不漏冷，保温材厚度≥60mm，对臭氧层无破坏；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5.柜内弧形圆角，不留卫生死角；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6.采用耐湿热冷凝器、罩极电机、压缩机；                                         7.数字温控器，铜管蒸发器，配置万象轮，可调节层架；                                  ▲8.产品符合GB/T 4208-2017 《外壳防护等级（IP代码）》，环境温度：20℃～25℃；相对湿度：50%～75%，检验项目：防水试验（IPX4）按GB/T4208-2017第14.2.4b条，调节水压，压力在50kPa～150kPa的范围，使达到规定的水流量(10±0.5)L/min。试验时间按外壳面积计算1min/m²，最少5min。从喷头上除去平衡重物的挡板，使外壳在各个可能的方向都受到溅水结果符合；响应文件中提供国家认可的第三方检测机构出具的符合上述检测要求的检测报告（需有CMA授权标记）复印件和全国认证认可信息公共服务平台网站查询截图；                                                                               　▲9.产品冷凝器、罩极电机、压缩机符合GB/T 2423.3-2016 《环境试验 第2部分：试验方法 试验Cab：恒定湿热试验》，环境温度：20℃～25℃；相对湿度：50%～75%，检验项目，恒定湿热试验，按GB/T 2423.3-2016进行试验严酷等级：温度40±2℃；相对湿度：93±3%持续时间：480h 试验后，对试验样品外观进行检查，对其电气及机械性能进行检测，检测结果符合。响应文件中提供国家认可的第三方检测机构出具的符合上述检测要求的检测报告（需有CMA授权标记）复印件和全国认证认可信息公共服务平台网站查询截图；    </w:t>
            </w:r>
          </w:p>
        </w:tc>
        <w:tc>
          <w:tcPr>
            <w:tcW w:w="736" w:type="dxa"/>
            <w:noWrap w:val="0"/>
            <w:vAlign w:val="center"/>
          </w:tcPr>
          <w:p w14:paraId="5C9C519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834" w:type="dxa"/>
            <w:noWrap w:val="0"/>
            <w:vAlign w:val="center"/>
          </w:tcPr>
          <w:p w14:paraId="3011534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06CE6CC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788670" cy="1333500"/>
                  <wp:effectExtent l="0" t="0" r="11430" b="0"/>
                  <wp:docPr id="82" name="图片 67"/>
                  <wp:cNvGraphicFramePr/>
                  <a:graphic xmlns:a="http://schemas.openxmlformats.org/drawingml/2006/main">
                    <a:graphicData uri="http://schemas.openxmlformats.org/drawingml/2006/picture">
                      <pic:pic xmlns:pic="http://schemas.openxmlformats.org/drawingml/2006/picture">
                        <pic:nvPicPr>
                          <pic:cNvPr id="82" name="图片 67"/>
                          <pic:cNvPicPr/>
                        </pic:nvPicPr>
                        <pic:blipFill>
                          <a:blip r:embed="rId55"/>
                          <a:stretch>
                            <a:fillRect/>
                          </a:stretch>
                        </pic:blipFill>
                        <pic:spPr>
                          <a:xfrm>
                            <a:off x="0" y="0"/>
                            <a:ext cx="788670" cy="1333500"/>
                          </a:xfrm>
                          <a:prstGeom prst="rect">
                            <a:avLst/>
                          </a:prstGeom>
                          <a:noFill/>
                          <a:ln>
                            <a:noFill/>
                          </a:ln>
                        </pic:spPr>
                      </pic:pic>
                    </a:graphicData>
                  </a:graphic>
                </wp:inline>
              </w:drawing>
            </w:r>
          </w:p>
        </w:tc>
        <w:tc>
          <w:tcPr>
            <w:tcW w:w="710" w:type="dxa"/>
            <w:noWrap w:val="0"/>
            <w:vAlign w:val="center"/>
          </w:tcPr>
          <w:p w14:paraId="59ADD445">
            <w:pPr>
              <w:keepNext w:val="0"/>
              <w:keepLines w:val="0"/>
              <w:widowControl/>
              <w:suppressLineNumbers w:val="0"/>
              <w:jc w:val="center"/>
              <w:textAlignment w:val="center"/>
              <w:rPr>
                <w:rFonts w:hint="eastAsia"/>
                <w:color w:val="auto"/>
                <w:highlight w:val="none"/>
                <w:vertAlign w:val="baseline"/>
                <w:lang w:val="en-US" w:eastAsia="zh-CN"/>
              </w:rPr>
            </w:pPr>
          </w:p>
        </w:tc>
      </w:tr>
      <w:tr w14:paraId="310E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4D46E2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690" w:type="dxa"/>
            <w:noWrap w:val="0"/>
            <w:vAlign w:val="center"/>
          </w:tcPr>
          <w:p w14:paraId="5439AAA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热风循环消毒柜</w:t>
            </w:r>
          </w:p>
        </w:tc>
        <w:tc>
          <w:tcPr>
            <w:tcW w:w="5928" w:type="dxa"/>
            <w:noWrap w:val="0"/>
            <w:vAlign w:val="center"/>
          </w:tcPr>
          <w:p w14:paraId="5984E3E0">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1.规格：1160*490*1890mm，容积，650升；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2.采用201#0.8mm不锈钢材质机身，全发泡保温结构，功率：1.8kw／220V。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3.不锈钢门热风循环高温消毒，自功控制，红外线+热风，高温125℃以上；                                                           4.配置8层浅篮2层深篮。</w:t>
            </w:r>
          </w:p>
        </w:tc>
        <w:tc>
          <w:tcPr>
            <w:tcW w:w="736" w:type="dxa"/>
            <w:noWrap w:val="0"/>
            <w:vAlign w:val="center"/>
          </w:tcPr>
          <w:p w14:paraId="613E891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834" w:type="dxa"/>
            <w:noWrap w:val="0"/>
            <w:vAlign w:val="center"/>
          </w:tcPr>
          <w:p w14:paraId="452DA62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4743DC9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707390" cy="842010"/>
                  <wp:effectExtent l="0" t="0" r="3810" b="8890"/>
                  <wp:docPr id="8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8"/>
                          <pic:cNvPicPr>
                            <a:picLocks noChangeAspect="1"/>
                          </pic:cNvPicPr>
                        </pic:nvPicPr>
                        <pic:blipFill>
                          <a:blip r:embed="rId56"/>
                          <a:stretch>
                            <a:fillRect/>
                          </a:stretch>
                        </pic:blipFill>
                        <pic:spPr>
                          <a:xfrm>
                            <a:off x="0" y="0"/>
                            <a:ext cx="707390" cy="842010"/>
                          </a:xfrm>
                          <a:prstGeom prst="rect">
                            <a:avLst/>
                          </a:prstGeom>
                          <a:noFill/>
                          <a:ln>
                            <a:noFill/>
                          </a:ln>
                        </pic:spPr>
                      </pic:pic>
                    </a:graphicData>
                  </a:graphic>
                </wp:inline>
              </w:drawing>
            </w:r>
          </w:p>
        </w:tc>
        <w:tc>
          <w:tcPr>
            <w:tcW w:w="710" w:type="dxa"/>
            <w:noWrap w:val="0"/>
            <w:vAlign w:val="center"/>
          </w:tcPr>
          <w:p w14:paraId="53ACD5CB">
            <w:pPr>
              <w:keepNext w:val="0"/>
              <w:keepLines w:val="0"/>
              <w:widowControl/>
              <w:suppressLineNumbers w:val="0"/>
              <w:jc w:val="center"/>
              <w:textAlignment w:val="center"/>
              <w:rPr>
                <w:rFonts w:hint="eastAsia"/>
                <w:color w:val="auto"/>
                <w:highlight w:val="none"/>
                <w:vertAlign w:val="baseline"/>
                <w:lang w:val="en-US" w:eastAsia="zh-CN"/>
              </w:rPr>
            </w:pPr>
          </w:p>
        </w:tc>
      </w:tr>
      <w:tr w14:paraId="0171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748460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3</w:t>
            </w:r>
          </w:p>
        </w:tc>
        <w:tc>
          <w:tcPr>
            <w:tcW w:w="1690" w:type="dxa"/>
            <w:noWrap w:val="0"/>
            <w:vAlign w:val="center"/>
          </w:tcPr>
          <w:p w14:paraId="00F4E2D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不锈钢四人餐桌</w:t>
            </w:r>
          </w:p>
        </w:tc>
        <w:tc>
          <w:tcPr>
            <w:tcW w:w="5928" w:type="dxa"/>
            <w:noWrap w:val="0"/>
            <w:vAlign w:val="center"/>
          </w:tcPr>
          <w:p w14:paraId="312C15D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1.桌面参考规格(mm):1200*600*750板面201#1.0mm不锈钢皮内包压缩板;整张面板厚度40mm。</w:t>
            </w:r>
          </w:p>
          <w:p w14:paraId="1DC1AC1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2.支架:50*50的201#不锈钢方管1.2mm厚度:</w:t>
            </w:r>
          </w:p>
          <w:p w14:paraId="4F9428E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3.凳面:尺寸1000*225mm，采用201#1.0mm不锈钢皮内包压缩板:整张面板厚度35mm。</w:t>
            </w:r>
          </w:p>
          <w:p w14:paraId="166EC2D9">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4.脚垫橡胶塞</w:t>
            </w:r>
          </w:p>
        </w:tc>
        <w:tc>
          <w:tcPr>
            <w:tcW w:w="736" w:type="dxa"/>
            <w:noWrap w:val="0"/>
            <w:vAlign w:val="center"/>
          </w:tcPr>
          <w:p w14:paraId="0F99F86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120</w:t>
            </w:r>
          </w:p>
        </w:tc>
        <w:tc>
          <w:tcPr>
            <w:tcW w:w="834" w:type="dxa"/>
            <w:noWrap w:val="0"/>
            <w:vAlign w:val="center"/>
          </w:tcPr>
          <w:p w14:paraId="53330D2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张</w:t>
            </w:r>
          </w:p>
        </w:tc>
        <w:tc>
          <w:tcPr>
            <w:tcW w:w="3381" w:type="dxa"/>
            <w:noWrap w:val="0"/>
            <w:vAlign w:val="center"/>
          </w:tcPr>
          <w:p w14:paraId="37FBE86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840740" cy="854710"/>
                  <wp:effectExtent l="0" t="0" r="10160" b="8890"/>
                  <wp:docPr id="85" name="图片 6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9" descr="NULL"/>
                          <pic:cNvPicPr>
                            <a:picLocks noChangeAspect="1"/>
                          </pic:cNvPicPr>
                        </pic:nvPicPr>
                        <pic:blipFill>
                          <a:blip r:embed="rId57" r:link="rId58"/>
                          <a:stretch>
                            <a:fillRect/>
                          </a:stretch>
                        </pic:blipFill>
                        <pic:spPr>
                          <a:xfrm>
                            <a:off x="0" y="0"/>
                            <a:ext cx="840740" cy="854710"/>
                          </a:xfrm>
                          <a:prstGeom prst="rect">
                            <a:avLst/>
                          </a:prstGeom>
                          <a:noFill/>
                          <a:ln>
                            <a:noFill/>
                          </a:ln>
                        </pic:spPr>
                      </pic:pic>
                    </a:graphicData>
                  </a:graphic>
                </wp:inline>
              </w:drawing>
            </w:r>
          </w:p>
        </w:tc>
        <w:tc>
          <w:tcPr>
            <w:tcW w:w="710" w:type="dxa"/>
            <w:noWrap w:val="0"/>
            <w:vAlign w:val="center"/>
          </w:tcPr>
          <w:p w14:paraId="3B4F2265">
            <w:pPr>
              <w:keepNext w:val="0"/>
              <w:keepLines w:val="0"/>
              <w:widowControl/>
              <w:suppressLineNumbers w:val="0"/>
              <w:jc w:val="center"/>
              <w:textAlignment w:val="center"/>
              <w:rPr>
                <w:rFonts w:hint="eastAsia"/>
                <w:color w:val="auto"/>
                <w:highlight w:val="none"/>
                <w:vertAlign w:val="baseline"/>
                <w:lang w:val="en-US" w:eastAsia="zh-CN"/>
              </w:rPr>
            </w:pPr>
          </w:p>
        </w:tc>
      </w:tr>
      <w:tr w14:paraId="3850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748BD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4</w:t>
            </w:r>
          </w:p>
        </w:tc>
        <w:tc>
          <w:tcPr>
            <w:tcW w:w="1690" w:type="dxa"/>
            <w:noWrap w:val="0"/>
            <w:vAlign w:val="center"/>
          </w:tcPr>
          <w:p w14:paraId="6B1E010E">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留样冰箱</w:t>
            </w:r>
          </w:p>
        </w:tc>
        <w:tc>
          <w:tcPr>
            <w:tcW w:w="5928" w:type="dxa"/>
            <w:noWrap w:val="0"/>
            <w:vAlign w:val="center"/>
          </w:tcPr>
          <w:p w14:paraId="66F57ED0">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1.柜内温度：2~-10°C</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2.制冷方式：直冷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3.制冷剂：R290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4.容积：268L</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5.隔热方式：整天高密度发泡/环戌烷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6.电源：220V 50Hz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7.功率：210W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8.门数：1，配置双锁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9.搁屋架层数：3</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10.温控器形式：电子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11.蒸发器材质：铜管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12.不锈钢材质：优质201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13.冷凝器材质：铜管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14.铰链形式：自动回归</w:t>
            </w:r>
          </w:p>
        </w:tc>
        <w:tc>
          <w:tcPr>
            <w:tcW w:w="736" w:type="dxa"/>
            <w:noWrap w:val="0"/>
            <w:vAlign w:val="center"/>
          </w:tcPr>
          <w:p w14:paraId="5B3F052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834" w:type="dxa"/>
            <w:noWrap w:val="0"/>
            <w:vAlign w:val="center"/>
          </w:tcPr>
          <w:p w14:paraId="1212012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55E2F8A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793750" cy="1210945"/>
                  <wp:effectExtent l="0" t="0" r="6350" b="8255"/>
                  <wp:docPr id="89" name="图片 70" descr=" "/>
                  <wp:cNvGraphicFramePr/>
                  <a:graphic xmlns:a="http://schemas.openxmlformats.org/drawingml/2006/main">
                    <a:graphicData uri="http://schemas.openxmlformats.org/drawingml/2006/picture">
                      <pic:pic xmlns:pic="http://schemas.openxmlformats.org/drawingml/2006/picture">
                        <pic:nvPicPr>
                          <pic:cNvPr id="89" name="图片 70" descr=" "/>
                          <pic:cNvPicPr/>
                        </pic:nvPicPr>
                        <pic:blipFill>
                          <a:blip r:embed="rId59"/>
                          <a:stretch>
                            <a:fillRect/>
                          </a:stretch>
                        </pic:blipFill>
                        <pic:spPr>
                          <a:xfrm>
                            <a:off x="0" y="0"/>
                            <a:ext cx="793750" cy="1210945"/>
                          </a:xfrm>
                          <a:prstGeom prst="rect">
                            <a:avLst/>
                          </a:prstGeom>
                          <a:noFill/>
                          <a:ln>
                            <a:noFill/>
                          </a:ln>
                        </pic:spPr>
                      </pic:pic>
                    </a:graphicData>
                  </a:graphic>
                </wp:inline>
              </w:drawing>
            </w:r>
          </w:p>
        </w:tc>
        <w:tc>
          <w:tcPr>
            <w:tcW w:w="710" w:type="dxa"/>
            <w:noWrap w:val="0"/>
            <w:vAlign w:val="center"/>
          </w:tcPr>
          <w:p w14:paraId="5FAA2A6B">
            <w:pPr>
              <w:keepNext w:val="0"/>
              <w:keepLines w:val="0"/>
              <w:widowControl/>
              <w:suppressLineNumbers w:val="0"/>
              <w:jc w:val="center"/>
              <w:textAlignment w:val="center"/>
              <w:rPr>
                <w:rFonts w:hint="eastAsia"/>
                <w:color w:val="auto"/>
                <w:highlight w:val="none"/>
                <w:vertAlign w:val="baseline"/>
                <w:lang w:val="en-US" w:eastAsia="zh-CN"/>
              </w:rPr>
            </w:pPr>
          </w:p>
        </w:tc>
      </w:tr>
      <w:tr w14:paraId="30AB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5D3AF0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5</w:t>
            </w:r>
          </w:p>
        </w:tc>
        <w:tc>
          <w:tcPr>
            <w:tcW w:w="1690" w:type="dxa"/>
            <w:noWrap w:val="0"/>
            <w:vAlign w:val="center"/>
          </w:tcPr>
          <w:p w14:paraId="50D212BB">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5928" w:type="dxa"/>
            <w:noWrap w:val="0"/>
            <w:vAlign w:val="center"/>
          </w:tcPr>
          <w:p w14:paraId="0691E7A6">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1.电源:220V/50Hz，箱内温度:冷藏8℃~-2℃，冷冻-18~ -6℃；</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2.容积：≥930L,制冷剂R290,功率420W/220V；                                                           3.不锈钢材质机身，整机满足IPX4防护，自动回归门，可自动回位关闭；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4.环戊烷整体发泡剂：环保、无拼接、不漏冷，保温材厚度≥60mm，对臭氧层无破坏；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5.柜内弧形圆角，不留卫生死角；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6.采用耐湿热冷凝器、罩极电机、压缩机；                                                      7.数字温控器，铜管蒸发器，配置万象轮，可调节层架；  </w:t>
            </w:r>
          </w:p>
        </w:tc>
        <w:tc>
          <w:tcPr>
            <w:tcW w:w="736" w:type="dxa"/>
            <w:noWrap w:val="0"/>
            <w:vAlign w:val="center"/>
          </w:tcPr>
          <w:p w14:paraId="76C929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834" w:type="dxa"/>
            <w:noWrap w:val="0"/>
            <w:vAlign w:val="center"/>
          </w:tcPr>
          <w:p w14:paraId="28907B9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3742075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745490" cy="1169670"/>
                  <wp:effectExtent l="0" t="0" r="3810" b="11430"/>
                  <wp:docPr id="92" name="图片 71"/>
                  <wp:cNvGraphicFramePr/>
                  <a:graphic xmlns:a="http://schemas.openxmlformats.org/drawingml/2006/main">
                    <a:graphicData uri="http://schemas.openxmlformats.org/drawingml/2006/picture">
                      <pic:pic xmlns:pic="http://schemas.openxmlformats.org/drawingml/2006/picture">
                        <pic:nvPicPr>
                          <pic:cNvPr id="92" name="图片 71"/>
                          <pic:cNvPicPr/>
                        </pic:nvPicPr>
                        <pic:blipFill>
                          <a:blip r:embed="rId55"/>
                          <a:stretch>
                            <a:fillRect/>
                          </a:stretch>
                        </pic:blipFill>
                        <pic:spPr>
                          <a:xfrm>
                            <a:off x="0" y="0"/>
                            <a:ext cx="745490" cy="1169670"/>
                          </a:xfrm>
                          <a:prstGeom prst="rect">
                            <a:avLst/>
                          </a:prstGeom>
                          <a:noFill/>
                          <a:ln>
                            <a:noFill/>
                          </a:ln>
                        </pic:spPr>
                      </pic:pic>
                    </a:graphicData>
                  </a:graphic>
                </wp:inline>
              </w:drawing>
            </w:r>
          </w:p>
        </w:tc>
        <w:tc>
          <w:tcPr>
            <w:tcW w:w="710" w:type="dxa"/>
            <w:noWrap w:val="0"/>
            <w:vAlign w:val="center"/>
          </w:tcPr>
          <w:p w14:paraId="4346D664">
            <w:pPr>
              <w:keepNext w:val="0"/>
              <w:keepLines w:val="0"/>
              <w:widowControl/>
              <w:suppressLineNumbers w:val="0"/>
              <w:jc w:val="center"/>
              <w:textAlignment w:val="center"/>
              <w:rPr>
                <w:rFonts w:hint="eastAsia"/>
                <w:color w:val="auto"/>
                <w:highlight w:val="none"/>
                <w:vertAlign w:val="baseline"/>
                <w:lang w:val="en-US" w:eastAsia="zh-CN"/>
              </w:rPr>
            </w:pPr>
          </w:p>
        </w:tc>
      </w:tr>
      <w:tr w14:paraId="232D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C39A3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6</w:t>
            </w:r>
          </w:p>
        </w:tc>
        <w:tc>
          <w:tcPr>
            <w:tcW w:w="1690" w:type="dxa"/>
            <w:noWrap w:val="0"/>
            <w:vAlign w:val="center"/>
          </w:tcPr>
          <w:p w14:paraId="6A83FB4C">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单头电磁炉</w:t>
            </w:r>
          </w:p>
        </w:tc>
        <w:tc>
          <w:tcPr>
            <w:tcW w:w="5928" w:type="dxa"/>
            <w:noWrap w:val="0"/>
            <w:vAlign w:val="center"/>
          </w:tcPr>
          <w:p w14:paraId="2BC9FD82">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1.规格(mm)：1100*1200*800+400mm;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2.功率：30KW/380V,锅900mm ,使用≥201#1.3mm不锈钢板材，炉面一体成型，侧板≥1.0mm；                                                                                                       3.使用磁感8档360度旋转火力调节开关，档位对应精确功率调节；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4.全密封密封模块化机芯，分层负压散热设计；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5.背面使用变频防水风机；                                           6.配置耐高温、耐高压压线盘；</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7.采用≥208*78mm极光狐显示屏设计；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8.屏显动态光弧能量环、火力动态显示，屏显电量累计功能，全屏显示；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9.智能故障提醒有：传感器、超温、电压压、无锅等保护功能，全屏中文显示；                                                           10.前板采用力学卡扣式结构，无螺丝，整体平整；                              ▲11、产品整机符合GB/T 2423.7-2018《环境试验 第2部分:试验方法 试验Ec:粗率操作造成的冲击（主要用于设备型样品）》检测：翻倒(或倾倒)、试验样品放置在正常使用的位置上，使其绕着一条底边倾斜直到处于不稳定的位置。然后让其从该位置自由地翻倒在相邻的一面上，试验后样品外观不应损坏。投标文件中提供国家认可的第三方检测机构出具的符合上述检测要求的检测报告（需有CMA标识）彩色扫描件和全国认证认可信息公共服务平台网站查询截图；     　                                                                                              ▲12、产品机芯符合：GB/T 2423.35-2019《环境试验 第2部分：试验和导则 气候(温度、湿度)和动力学(振动、冲击)综合试验》标准，温度：（22.0～24.0）℃，湿度：（46.0～58.0）%RH 气候（温度、湿度）和动力学（振动、冲击）综合试验 符合要求；符合GB/T2423.22-2012《环境试验 第2部分:试验方法 试验N:温度变化》，试验环境：温度：（21～24）℃ 湿度：（50～55）％RH，检验项目温度变化，非工作状态低温温度:-20℃±2℃暴露持续8h，高温温度:100℃±2℃，温暴露持续时间:1h，温度变化速率:2℃/min，循环次数:2个循环，试验样品在常温下恢复到稳定，至少1h。检验结果全部符合要求合格。投标文件中提供国家认可的第三方检测机构出具的符合上述检测要求的检测报告（需有CMA标识）彩色扫描件和全国认证认可信息公共服务平台网站查询截图；                                             </w:t>
            </w:r>
          </w:p>
        </w:tc>
        <w:tc>
          <w:tcPr>
            <w:tcW w:w="736" w:type="dxa"/>
            <w:noWrap w:val="0"/>
            <w:vAlign w:val="center"/>
          </w:tcPr>
          <w:p w14:paraId="6C8FCF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834" w:type="dxa"/>
            <w:noWrap w:val="0"/>
            <w:vAlign w:val="center"/>
          </w:tcPr>
          <w:p w14:paraId="13C80F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5CA5697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1187450" cy="1250315"/>
                  <wp:effectExtent l="0" t="0" r="6350" b="6985"/>
                  <wp:docPr id="9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2"/>
                          <pic:cNvPicPr>
                            <a:picLocks noChangeAspect="1"/>
                          </pic:cNvPicPr>
                        </pic:nvPicPr>
                        <pic:blipFill>
                          <a:blip r:embed="rId60"/>
                          <a:stretch>
                            <a:fillRect/>
                          </a:stretch>
                        </pic:blipFill>
                        <pic:spPr>
                          <a:xfrm>
                            <a:off x="0" y="0"/>
                            <a:ext cx="1187450" cy="1250315"/>
                          </a:xfrm>
                          <a:prstGeom prst="rect">
                            <a:avLst/>
                          </a:prstGeom>
                          <a:noFill/>
                          <a:ln>
                            <a:noFill/>
                          </a:ln>
                        </pic:spPr>
                      </pic:pic>
                    </a:graphicData>
                  </a:graphic>
                </wp:inline>
              </w:drawing>
            </w:r>
          </w:p>
        </w:tc>
        <w:tc>
          <w:tcPr>
            <w:tcW w:w="710" w:type="dxa"/>
            <w:noWrap w:val="0"/>
            <w:vAlign w:val="center"/>
          </w:tcPr>
          <w:p w14:paraId="4FB4D01B">
            <w:pPr>
              <w:keepNext w:val="0"/>
              <w:keepLines w:val="0"/>
              <w:widowControl/>
              <w:suppressLineNumbers w:val="0"/>
              <w:jc w:val="center"/>
              <w:textAlignment w:val="center"/>
              <w:rPr>
                <w:rFonts w:hint="eastAsia"/>
                <w:color w:val="auto"/>
                <w:highlight w:val="none"/>
                <w:vertAlign w:val="baseline"/>
                <w:lang w:val="en-US" w:eastAsia="zh-CN"/>
              </w:rPr>
            </w:pPr>
          </w:p>
        </w:tc>
      </w:tr>
      <w:tr w14:paraId="2CE0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2AA0B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7</w:t>
            </w:r>
          </w:p>
        </w:tc>
        <w:tc>
          <w:tcPr>
            <w:tcW w:w="1690" w:type="dxa"/>
            <w:noWrap w:val="0"/>
            <w:vAlign w:val="center"/>
          </w:tcPr>
          <w:p w14:paraId="0954CBC5">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全自动洗碗机</w:t>
            </w:r>
          </w:p>
        </w:tc>
        <w:tc>
          <w:tcPr>
            <w:tcW w:w="5928" w:type="dxa"/>
            <w:noWrap w:val="0"/>
            <w:vAlign w:val="center"/>
          </w:tcPr>
          <w:p w14:paraId="5957C11E">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1.全304不锈钢材质，槽体底板采用2.0mm，侧板1.2mm，尺寸：1500*800*800mm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2、功率：3KW/220V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3、清洗能力：1500～3000碟/小时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4、配置不锈钢滤渣槽；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5、频率自动跟踪扫描功能，及其发生器与换成器电容阻抗频率匹配的完美结合，增强了整机运作的稳定性；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6、选用超声波振子除油去污，再加上电热丝辅助设备，将清洗的效果达到极致；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7、暗藏式超声波发生器及双项开关控制，不仅适用于不同的环境，更为您的安全增加了保障；</w:t>
            </w:r>
          </w:p>
        </w:tc>
        <w:tc>
          <w:tcPr>
            <w:tcW w:w="736" w:type="dxa"/>
            <w:noWrap w:val="0"/>
            <w:vAlign w:val="center"/>
          </w:tcPr>
          <w:p w14:paraId="43B7AE3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834" w:type="dxa"/>
            <w:noWrap w:val="0"/>
            <w:vAlign w:val="center"/>
          </w:tcPr>
          <w:p w14:paraId="1EA25C0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1D68D45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1208405" cy="1101090"/>
                  <wp:effectExtent l="0" t="0" r="10795" b="3810"/>
                  <wp:docPr id="9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3"/>
                          <pic:cNvPicPr>
                            <a:picLocks noChangeAspect="1"/>
                          </pic:cNvPicPr>
                        </pic:nvPicPr>
                        <pic:blipFill>
                          <a:blip r:embed="rId61"/>
                          <a:stretch>
                            <a:fillRect/>
                          </a:stretch>
                        </pic:blipFill>
                        <pic:spPr>
                          <a:xfrm>
                            <a:off x="0" y="0"/>
                            <a:ext cx="1208405" cy="1101090"/>
                          </a:xfrm>
                          <a:prstGeom prst="rect">
                            <a:avLst/>
                          </a:prstGeom>
                          <a:noFill/>
                          <a:ln>
                            <a:noFill/>
                          </a:ln>
                        </pic:spPr>
                      </pic:pic>
                    </a:graphicData>
                  </a:graphic>
                </wp:inline>
              </w:drawing>
            </w:r>
          </w:p>
        </w:tc>
        <w:tc>
          <w:tcPr>
            <w:tcW w:w="710" w:type="dxa"/>
            <w:noWrap w:val="0"/>
            <w:vAlign w:val="center"/>
          </w:tcPr>
          <w:p w14:paraId="08F4BCD7">
            <w:pPr>
              <w:keepNext w:val="0"/>
              <w:keepLines w:val="0"/>
              <w:widowControl/>
              <w:suppressLineNumbers w:val="0"/>
              <w:jc w:val="center"/>
              <w:textAlignment w:val="center"/>
              <w:rPr>
                <w:rFonts w:hint="eastAsia"/>
                <w:color w:val="auto"/>
                <w:highlight w:val="none"/>
                <w:vertAlign w:val="baseline"/>
                <w:lang w:val="en-US" w:eastAsia="zh-CN"/>
              </w:rPr>
            </w:pPr>
          </w:p>
        </w:tc>
      </w:tr>
      <w:tr w14:paraId="5BFF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B37E8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8</w:t>
            </w:r>
          </w:p>
        </w:tc>
        <w:tc>
          <w:tcPr>
            <w:tcW w:w="1690" w:type="dxa"/>
            <w:noWrap w:val="0"/>
            <w:vAlign w:val="center"/>
          </w:tcPr>
          <w:p w14:paraId="5D257E83">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48盘电蒸饭柜</w:t>
            </w:r>
          </w:p>
        </w:tc>
        <w:tc>
          <w:tcPr>
            <w:tcW w:w="5928" w:type="dxa"/>
            <w:noWrap w:val="0"/>
            <w:vAlign w:val="center"/>
          </w:tcPr>
          <w:p w14:paraId="2A9DF858">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1.蒸饭量：160kg ,盆数：48盆；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2.可供人数：1000-1200人；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3.蒸饭时间：50分钟；</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4.功率：36KW/380V；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5.结构形式：双门独立控制；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6.采用201#0.8mm不锈钢材质外壳，采用耐热聚胺酯整体发泡工艺；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7.不锈钢强力门锁，承重脚轮，拉伸卡槽支架，电汽两用；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8.耐高温硅胶门封、不锈钢底盘支架，自动溢水装置 ；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9.新式耐高温胶门封，嵌入式设计；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10.全自动浮球进水功能，缺水自给，满水自停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11.安全卸压气阀，保障机体安全使用。</w:t>
            </w:r>
          </w:p>
        </w:tc>
        <w:tc>
          <w:tcPr>
            <w:tcW w:w="736" w:type="dxa"/>
            <w:noWrap w:val="0"/>
            <w:vAlign w:val="center"/>
          </w:tcPr>
          <w:p w14:paraId="7F4468F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834" w:type="dxa"/>
            <w:noWrap w:val="0"/>
            <w:vAlign w:val="center"/>
          </w:tcPr>
          <w:p w14:paraId="4BAA568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4AC042C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917575" cy="1313815"/>
                  <wp:effectExtent l="0" t="0" r="9525" b="6985"/>
                  <wp:docPr id="9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4"/>
                          <pic:cNvPicPr>
                            <a:picLocks noChangeAspect="1"/>
                          </pic:cNvPicPr>
                        </pic:nvPicPr>
                        <pic:blipFill>
                          <a:blip r:embed="rId62"/>
                          <a:stretch>
                            <a:fillRect/>
                          </a:stretch>
                        </pic:blipFill>
                        <pic:spPr>
                          <a:xfrm>
                            <a:off x="0" y="0"/>
                            <a:ext cx="917575" cy="1313815"/>
                          </a:xfrm>
                          <a:prstGeom prst="rect">
                            <a:avLst/>
                          </a:prstGeom>
                          <a:noFill/>
                          <a:ln>
                            <a:noFill/>
                          </a:ln>
                        </pic:spPr>
                      </pic:pic>
                    </a:graphicData>
                  </a:graphic>
                </wp:inline>
              </w:drawing>
            </w:r>
          </w:p>
        </w:tc>
        <w:tc>
          <w:tcPr>
            <w:tcW w:w="710" w:type="dxa"/>
            <w:noWrap w:val="0"/>
            <w:vAlign w:val="center"/>
          </w:tcPr>
          <w:p w14:paraId="5FADC5E5">
            <w:pPr>
              <w:keepNext w:val="0"/>
              <w:keepLines w:val="0"/>
              <w:widowControl/>
              <w:suppressLineNumbers w:val="0"/>
              <w:jc w:val="center"/>
              <w:textAlignment w:val="center"/>
              <w:rPr>
                <w:rFonts w:hint="eastAsia"/>
                <w:color w:val="auto"/>
                <w:highlight w:val="none"/>
                <w:vertAlign w:val="baseline"/>
                <w:lang w:val="en-US" w:eastAsia="zh-CN"/>
              </w:rPr>
            </w:pPr>
          </w:p>
        </w:tc>
      </w:tr>
      <w:tr w14:paraId="524F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7AE6D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9</w:t>
            </w:r>
          </w:p>
        </w:tc>
        <w:tc>
          <w:tcPr>
            <w:tcW w:w="1690" w:type="dxa"/>
            <w:noWrap w:val="0"/>
            <w:vAlign w:val="center"/>
          </w:tcPr>
          <w:p w14:paraId="024EFC73">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48盘燃气蒸饭柜带熄火保护装置</w:t>
            </w:r>
          </w:p>
        </w:tc>
        <w:tc>
          <w:tcPr>
            <w:tcW w:w="5928" w:type="dxa"/>
            <w:noWrap w:val="0"/>
            <w:vAlign w:val="center"/>
          </w:tcPr>
          <w:p w14:paraId="2FEE72EA">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1、蒸盘数量：48盘；蒸饭量：160g/次；外形尺寸：1400*1100*1680mm，泄压阀：4个，耗气量：液化气3.5㎏/h、天然气4.5m³/h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2.采用铜嘴火排，配置一键电子打火；                                   3.结构形式：双门独立控制；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4.采用201#0.8mm不锈钢材质外壳，采用耐热聚胺酯整体发泡工艺；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5.不锈钢强力门锁，承重脚轮，拉伸卡槽支架，电汽两用；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6.耐高温硅胶门封、不锈钢底盘支架，自动溢水装置 ；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7.新式耐高温胶门封，嵌入式设计；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8.全自动浮球进水功能，缺水自给，满水自停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9.具备熄火保护装置；</w:t>
            </w:r>
          </w:p>
        </w:tc>
        <w:tc>
          <w:tcPr>
            <w:tcW w:w="736" w:type="dxa"/>
            <w:noWrap w:val="0"/>
            <w:vAlign w:val="center"/>
          </w:tcPr>
          <w:p w14:paraId="11F1F2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834" w:type="dxa"/>
            <w:noWrap w:val="0"/>
            <w:vAlign w:val="center"/>
          </w:tcPr>
          <w:p w14:paraId="1B63B25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43C4665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892810" cy="1363345"/>
                  <wp:effectExtent l="0" t="0" r="8890" b="8255"/>
                  <wp:docPr id="8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5"/>
                          <pic:cNvPicPr>
                            <a:picLocks noChangeAspect="1"/>
                          </pic:cNvPicPr>
                        </pic:nvPicPr>
                        <pic:blipFill>
                          <a:blip r:embed="rId62"/>
                          <a:stretch>
                            <a:fillRect/>
                          </a:stretch>
                        </pic:blipFill>
                        <pic:spPr>
                          <a:xfrm>
                            <a:off x="0" y="0"/>
                            <a:ext cx="892810" cy="1363345"/>
                          </a:xfrm>
                          <a:prstGeom prst="rect">
                            <a:avLst/>
                          </a:prstGeom>
                          <a:noFill/>
                          <a:ln>
                            <a:noFill/>
                          </a:ln>
                        </pic:spPr>
                      </pic:pic>
                    </a:graphicData>
                  </a:graphic>
                </wp:inline>
              </w:drawing>
            </w:r>
          </w:p>
        </w:tc>
        <w:tc>
          <w:tcPr>
            <w:tcW w:w="710" w:type="dxa"/>
            <w:noWrap w:val="0"/>
            <w:vAlign w:val="center"/>
          </w:tcPr>
          <w:p w14:paraId="0AFAA207">
            <w:pPr>
              <w:keepNext w:val="0"/>
              <w:keepLines w:val="0"/>
              <w:widowControl/>
              <w:suppressLineNumbers w:val="0"/>
              <w:jc w:val="center"/>
              <w:textAlignment w:val="center"/>
              <w:rPr>
                <w:rFonts w:hint="eastAsia"/>
                <w:color w:val="auto"/>
                <w:highlight w:val="none"/>
                <w:vertAlign w:val="baseline"/>
                <w:lang w:val="en-US" w:eastAsia="zh-CN"/>
              </w:rPr>
            </w:pPr>
          </w:p>
        </w:tc>
      </w:tr>
      <w:tr w14:paraId="7758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27C29C5">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10</w:t>
            </w:r>
          </w:p>
        </w:tc>
        <w:tc>
          <w:tcPr>
            <w:tcW w:w="1690" w:type="dxa"/>
            <w:noWrap w:val="0"/>
            <w:vAlign w:val="center"/>
          </w:tcPr>
          <w:p w14:paraId="6A14F89E">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绞切肉机</w:t>
            </w:r>
          </w:p>
        </w:tc>
        <w:tc>
          <w:tcPr>
            <w:tcW w:w="5928" w:type="dxa"/>
            <w:noWrap w:val="0"/>
            <w:vAlign w:val="center"/>
          </w:tcPr>
          <w:p w14:paraId="7C280707">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1.不锈钢机身外壳、配置不锈钢刀片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2.使用电压：220V/50Hz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3.电机功率：1.5KW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4.切肉产量：250kg/h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5.外形尺寸：640*460*850mm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6.整机重量：80kg</w:t>
            </w:r>
          </w:p>
        </w:tc>
        <w:tc>
          <w:tcPr>
            <w:tcW w:w="736" w:type="dxa"/>
            <w:noWrap w:val="0"/>
            <w:vAlign w:val="center"/>
          </w:tcPr>
          <w:p w14:paraId="0409588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834" w:type="dxa"/>
            <w:noWrap w:val="0"/>
            <w:vAlign w:val="center"/>
          </w:tcPr>
          <w:p w14:paraId="25439D5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33D7C28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1061720" cy="836295"/>
                  <wp:effectExtent l="0" t="0" r="5080" b="1905"/>
                  <wp:docPr id="94" name="图片 76" descr=" "/>
                  <wp:cNvGraphicFramePr/>
                  <a:graphic xmlns:a="http://schemas.openxmlformats.org/drawingml/2006/main">
                    <a:graphicData uri="http://schemas.openxmlformats.org/drawingml/2006/picture">
                      <pic:pic xmlns:pic="http://schemas.openxmlformats.org/drawingml/2006/picture">
                        <pic:nvPicPr>
                          <pic:cNvPr id="94" name="图片 76" descr=" "/>
                          <pic:cNvPicPr/>
                        </pic:nvPicPr>
                        <pic:blipFill>
                          <a:blip r:embed="rId63"/>
                          <a:stretch>
                            <a:fillRect/>
                          </a:stretch>
                        </pic:blipFill>
                        <pic:spPr>
                          <a:xfrm>
                            <a:off x="0" y="0"/>
                            <a:ext cx="1061720" cy="836295"/>
                          </a:xfrm>
                          <a:prstGeom prst="rect">
                            <a:avLst/>
                          </a:prstGeom>
                          <a:noFill/>
                          <a:ln>
                            <a:noFill/>
                          </a:ln>
                        </pic:spPr>
                      </pic:pic>
                    </a:graphicData>
                  </a:graphic>
                </wp:inline>
              </w:drawing>
            </w:r>
          </w:p>
        </w:tc>
        <w:tc>
          <w:tcPr>
            <w:tcW w:w="710" w:type="dxa"/>
            <w:noWrap w:val="0"/>
            <w:vAlign w:val="center"/>
          </w:tcPr>
          <w:p w14:paraId="731AD980">
            <w:pPr>
              <w:keepNext w:val="0"/>
              <w:keepLines w:val="0"/>
              <w:widowControl/>
              <w:suppressLineNumbers w:val="0"/>
              <w:jc w:val="center"/>
              <w:textAlignment w:val="center"/>
              <w:rPr>
                <w:rFonts w:hint="eastAsia"/>
                <w:color w:val="auto"/>
                <w:highlight w:val="none"/>
                <w:vertAlign w:val="baseline"/>
                <w:lang w:val="en-US" w:eastAsia="zh-CN"/>
              </w:rPr>
            </w:pPr>
          </w:p>
        </w:tc>
      </w:tr>
      <w:tr w14:paraId="2DA3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C1682E">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11</w:t>
            </w:r>
          </w:p>
        </w:tc>
        <w:tc>
          <w:tcPr>
            <w:tcW w:w="1690" w:type="dxa"/>
            <w:noWrap w:val="0"/>
            <w:vAlign w:val="center"/>
          </w:tcPr>
          <w:p w14:paraId="5DB0055C">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烘干消毒一体机</w:t>
            </w:r>
          </w:p>
        </w:tc>
        <w:tc>
          <w:tcPr>
            <w:tcW w:w="5928" w:type="dxa"/>
            <w:noWrap w:val="0"/>
            <w:vAlign w:val="center"/>
          </w:tcPr>
          <w:p w14:paraId="25A8251B">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1200*560*1700mm  红外线+热风+紫外线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1、采用304#0.8mm不锈钢磨砂贴塑板；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2、双层不锈钢，配置圆弧承重砧板架;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3、配置拖拉趟门，可视钢化玻璃；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4、触摸屏控制，配置欧式承重可调节脚；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5、功率：1200W/220v ，温控可调节。</w:t>
            </w:r>
          </w:p>
        </w:tc>
        <w:tc>
          <w:tcPr>
            <w:tcW w:w="736" w:type="dxa"/>
            <w:noWrap w:val="0"/>
            <w:vAlign w:val="center"/>
          </w:tcPr>
          <w:p w14:paraId="29F1593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834" w:type="dxa"/>
            <w:noWrap w:val="0"/>
            <w:vAlign w:val="center"/>
          </w:tcPr>
          <w:p w14:paraId="3F668FB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13BF9CD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883285" cy="880110"/>
                  <wp:effectExtent l="0" t="0" r="5715" b="8890"/>
                  <wp:docPr id="87" name="图片 77" descr="174191636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7" descr="1741916369597"/>
                          <pic:cNvPicPr>
                            <a:picLocks noChangeAspect="1"/>
                          </pic:cNvPicPr>
                        </pic:nvPicPr>
                        <pic:blipFill>
                          <a:blip r:embed="rId64"/>
                          <a:stretch>
                            <a:fillRect/>
                          </a:stretch>
                        </pic:blipFill>
                        <pic:spPr>
                          <a:xfrm>
                            <a:off x="0" y="0"/>
                            <a:ext cx="883285" cy="880110"/>
                          </a:xfrm>
                          <a:prstGeom prst="rect">
                            <a:avLst/>
                          </a:prstGeom>
                          <a:noFill/>
                          <a:ln>
                            <a:noFill/>
                          </a:ln>
                        </pic:spPr>
                      </pic:pic>
                    </a:graphicData>
                  </a:graphic>
                </wp:inline>
              </w:drawing>
            </w:r>
          </w:p>
        </w:tc>
        <w:tc>
          <w:tcPr>
            <w:tcW w:w="710" w:type="dxa"/>
            <w:noWrap w:val="0"/>
            <w:vAlign w:val="center"/>
          </w:tcPr>
          <w:p w14:paraId="4C1254A4">
            <w:pPr>
              <w:keepNext w:val="0"/>
              <w:keepLines w:val="0"/>
              <w:widowControl/>
              <w:suppressLineNumbers w:val="0"/>
              <w:jc w:val="center"/>
              <w:textAlignment w:val="center"/>
              <w:rPr>
                <w:rFonts w:hint="eastAsia"/>
                <w:color w:val="auto"/>
                <w:highlight w:val="none"/>
                <w:vertAlign w:val="baseline"/>
                <w:lang w:val="en-US" w:eastAsia="zh-CN"/>
              </w:rPr>
            </w:pPr>
          </w:p>
        </w:tc>
      </w:tr>
      <w:tr w14:paraId="18B4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3AA3A1DE">
            <w:pPr>
              <w:keepNext w:val="0"/>
              <w:keepLines w:val="0"/>
              <w:widowControl/>
              <w:suppressLineNumbers w:val="0"/>
              <w:jc w:val="center"/>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热水洗澡设备</w:t>
            </w:r>
          </w:p>
        </w:tc>
      </w:tr>
      <w:tr w14:paraId="0303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496FCA59">
            <w:pPr>
              <w:keepNext w:val="0"/>
              <w:keepLines w:val="0"/>
              <w:widowControl/>
              <w:suppressLineNumbers w:val="0"/>
              <w:jc w:val="left"/>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平洞乡中心小学：</w:t>
            </w:r>
          </w:p>
        </w:tc>
      </w:tr>
      <w:tr w14:paraId="045B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10C364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1690" w:type="dxa"/>
            <w:noWrap w:val="0"/>
            <w:vAlign w:val="center"/>
          </w:tcPr>
          <w:p w14:paraId="48E198E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空气源热泵</w:t>
            </w:r>
          </w:p>
        </w:tc>
        <w:tc>
          <w:tcPr>
            <w:tcW w:w="5928" w:type="dxa"/>
            <w:noWrap w:val="0"/>
            <w:vAlign w:val="center"/>
          </w:tcPr>
          <w:p w14:paraId="7EE0C9DE">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r>
              <w:rPr>
                <w:rFonts w:hint="eastAsia" w:ascii="宋体" w:hAnsi="宋体" w:eastAsia="宋体" w:cs="宋体"/>
                <w:i w:val="0"/>
                <w:iCs w:val="0"/>
                <w:color w:val="auto"/>
                <w:kern w:val="0"/>
                <w:sz w:val="20"/>
                <w:szCs w:val="20"/>
                <w:highlight w:val="none"/>
                <w:u w:val="none"/>
                <w:lang w:val="en-US" w:eastAsia="zh-CN" w:bidi="ar"/>
              </w:rPr>
              <w:t>标准工况</w:t>
            </w:r>
            <w:r>
              <w:rPr>
                <w:rFonts w:hint="default" w:ascii="Calibri" w:hAnsi="Calibri" w:eastAsia="宋体" w:cs="Calibri"/>
                <w:i w:val="0"/>
                <w:iCs w:val="0"/>
                <w:color w:val="auto"/>
                <w:kern w:val="0"/>
                <w:sz w:val="20"/>
                <w:szCs w:val="20"/>
                <w:highlight w:val="none"/>
                <w:u w:val="none"/>
                <w:lang w:val="en-US" w:eastAsia="zh-CN" w:bidi="ar"/>
              </w:rPr>
              <w:t>20</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★额定制热量（</w:t>
            </w:r>
            <w:r>
              <w:rPr>
                <w:rFonts w:hint="default" w:ascii="Calibri" w:hAnsi="Calibri" w:eastAsia="宋体" w:cs="Calibri"/>
                <w:i w:val="0"/>
                <w:iCs w:val="0"/>
                <w:color w:val="auto"/>
                <w:kern w:val="0"/>
                <w:sz w:val="20"/>
                <w:szCs w:val="20"/>
                <w:highlight w:val="none"/>
                <w:u w:val="none"/>
                <w:lang w:val="en-US" w:eastAsia="zh-CN" w:bidi="ar"/>
              </w:rPr>
              <w:t>Kw</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 xml:space="preserve"> ≥19.0</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★额定输入功率（</w:t>
            </w:r>
            <w:r>
              <w:rPr>
                <w:rFonts w:hint="default" w:ascii="Calibri" w:hAnsi="Calibri" w:eastAsia="宋体" w:cs="Calibri"/>
                <w:i w:val="0"/>
                <w:iCs w:val="0"/>
                <w:color w:val="auto"/>
                <w:kern w:val="0"/>
                <w:sz w:val="20"/>
                <w:szCs w:val="20"/>
                <w:highlight w:val="none"/>
                <w:u w:val="none"/>
                <w:lang w:val="en-US" w:eastAsia="zh-CN" w:bidi="ar"/>
              </w:rPr>
              <w:t>Kw</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 xml:space="preserve"> ≤4.3</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能效比</w:t>
            </w:r>
            <w:r>
              <w:rPr>
                <w:rFonts w:hint="default" w:ascii="Calibri" w:hAnsi="Calibri" w:eastAsia="宋体" w:cs="Calibri"/>
                <w:i w:val="0"/>
                <w:iCs w:val="0"/>
                <w:color w:val="auto"/>
                <w:kern w:val="0"/>
                <w:sz w:val="20"/>
                <w:szCs w:val="20"/>
                <w:highlight w:val="none"/>
                <w:u w:val="none"/>
                <w:lang w:val="en-US" w:eastAsia="zh-CN" w:bidi="ar"/>
              </w:rPr>
              <w:t>COP ≥4.45</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★循环不流量</w:t>
            </w:r>
            <w:r>
              <w:rPr>
                <w:rFonts w:hint="default" w:ascii="Calibri" w:hAnsi="Calibri" w:eastAsia="宋体" w:cs="Calibri"/>
                <w:i w:val="0"/>
                <w:iCs w:val="0"/>
                <w:color w:val="auto"/>
                <w:kern w:val="0"/>
                <w:sz w:val="20"/>
                <w:szCs w:val="20"/>
                <w:highlight w:val="none"/>
                <w:u w:val="none"/>
                <w:lang w:val="en-US" w:eastAsia="zh-CN" w:bidi="ar"/>
              </w:rPr>
              <w:t>≥3.3 m3/h</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产热水量</w:t>
            </w:r>
            <w:r>
              <w:rPr>
                <w:rFonts w:hint="default" w:ascii="Calibri" w:hAnsi="Calibri" w:eastAsia="宋体" w:cs="Calibri"/>
                <w:i w:val="0"/>
                <w:iCs w:val="0"/>
                <w:color w:val="auto"/>
                <w:kern w:val="0"/>
                <w:sz w:val="20"/>
                <w:szCs w:val="20"/>
                <w:highlight w:val="none"/>
                <w:u w:val="none"/>
                <w:lang w:val="en-US" w:eastAsia="zh-CN" w:bidi="ar"/>
              </w:rPr>
              <w:t>(L/h) ≥415</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额定输入电流（</w:t>
            </w:r>
            <w:r>
              <w:rPr>
                <w:rFonts w:hint="default" w:ascii="Calibri" w:hAnsi="Calibri" w:eastAsia="宋体" w:cs="Calibri"/>
                <w:i w:val="0"/>
                <w:iCs w:val="0"/>
                <w:color w:val="auto"/>
                <w:kern w:val="0"/>
                <w:sz w:val="20"/>
                <w:szCs w:val="20"/>
                <w:highlight w:val="none"/>
                <w:u w:val="none"/>
                <w:lang w:val="en-US" w:eastAsia="zh-CN" w:bidi="ar"/>
              </w:rPr>
              <w:t>A</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 xml:space="preserve"> 8.6</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额定出水温度</w:t>
            </w:r>
            <w:r>
              <w:rPr>
                <w:rFonts w:hint="default" w:ascii="Calibri" w:hAnsi="Calibri" w:eastAsia="宋体" w:cs="Calibri"/>
                <w:i w:val="0"/>
                <w:iCs w:val="0"/>
                <w:color w:val="auto"/>
                <w:kern w:val="0"/>
                <w:sz w:val="20"/>
                <w:szCs w:val="20"/>
                <w:highlight w:val="none"/>
                <w:u w:val="none"/>
                <w:lang w:val="en-US" w:eastAsia="zh-CN" w:bidi="ar"/>
              </w:rPr>
              <w:t xml:space="preserve"> ≥55</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防触电等级</w:t>
            </w:r>
            <w:r>
              <w:rPr>
                <w:rFonts w:hint="default" w:ascii="Calibri" w:hAnsi="Calibri" w:eastAsia="宋体" w:cs="Calibri"/>
                <w:i w:val="0"/>
                <w:iCs w:val="0"/>
                <w:color w:val="auto"/>
                <w:kern w:val="0"/>
                <w:sz w:val="20"/>
                <w:szCs w:val="20"/>
                <w:highlight w:val="none"/>
                <w:u w:val="none"/>
                <w:lang w:val="en-US" w:eastAsia="zh-CN" w:bidi="ar"/>
              </w:rPr>
              <w:t xml:space="preserve"> I</w:t>
            </w:r>
            <w:r>
              <w:rPr>
                <w:rFonts w:hint="eastAsia" w:ascii="宋体" w:hAnsi="宋体" w:eastAsia="宋体" w:cs="宋体"/>
                <w:i w:val="0"/>
                <w:iCs w:val="0"/>
                <w:color w:val="auto"/>
                <w:kern w:val="0"/>
                <w:sz w:val="20"/>
                <w:szCs w:val="20"/>
                <w:highlight w:val="none"/>
                <w:u w:val="none"/>
                <w:lang w:val="en-US" w:eastAsia="zh-CN" w:bidi="ar"/>
              </w:rPr>
              <w:t>类</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防水等级</w:t>
            </w:r>
            <w:r>
              <w:rPr>
                <w:rFonts w:hint="default" w:ascii="Calibri" w:hAnsi="Calibri" w:eastAsia="宋体" w:cs="Calibri"/>
                <w:i w:val="0"/>
                <w:iCs w:val="0"/>
                <w:color w:val="auto"/>
                <w:kern w:val="0"/>
                <w:sz w:val="20"/>
                <w:szCs w:val="20"/>
                <w:highlight w:val="none"/>
                <w:u w:val="none"/>
                <w:lang w:val="en-US" w:eastAsia="zh-CN" w:bidi="ar"/>
              </w:rPr>
              <w:t xml:space="preserve"> IP×4</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7.</w:t>
            </w:r>
            <w:r>
              <w:rPr>
                <w:rFonts w:hint="eastAsia" w:ascii="宋体" w:hAnsi="宋体" w:eastAsia="宋体" w:cs="宋体"/>
                <w:i w:val="0"/>
                <w:iCs w:val="0"/>
                <w:color w:val="auto"/>
                <w:kern w:val="0"/>
                <w:sz w:val="20"/>
                <w:szCs w:val="20"/>
                <w:highlight w:val="none"/>
                <w:u w:val="none"/>
                <w:lang w:val="en-US" w:eastAsia="zh-CN" w:bidi="ar"/>
              </w:rPr>
              <w:t>噪音</w:t>
            </w:r>
            <w:r>
              <w:rPr>
                <w:rFonts w:hint="default" w:ascii="Calibri" w:hAnsi="Calibri" w:eastAsia="宋体" w:cs="Calibri"/>
                <w:i w:val="0"/>
                <w:iCs w:val="0"/>
                <w:color w:val="auto"/>
                <w:kern w:val="0"/>
                <w:sz w:val="20"/>
                <w:szCs w:val="20"/>
                <w:highlight w:val="none"/>
                <w:u w:val="none"/>
                <w:lang w:val="en-US" w:eastAsia="zh-CN" w:bidi="ar"/>
              </w:rPr>
              <w:t xml:space="preserve"> ≤62dB(A)</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8.</w:t>
            </w:r>
            <w:r>
              <w:rPr>
                <w:rFonts w:hint="eastAsia" w:ascii="宋体" w:hAnsi="宋体" w:eastAsia="宋体" w:cs="宋体"/>
                <w:i w:val="0"/>
                <w:iCs w:val="0"/>
                <w:color w:val="auto"/>
                <w:kern w:val="0"/>
                <w:sz w:val="20"/>
                <w:szCs w:val="20"/>
                <w:highlight w:val="none"/>
                <w:u w:val="none"/>
                <w:lang w:val="en-US" w:eastAsia="zh-CN" w:bidi="ar"/>
              </w:rPr>
              <w:t>能效等级</w:t>
            </w:r>
            <w:r>
              <w:rPr>
                <w:rFonts w:hint="default" w:ascii="Calibri" w:hAnsi="Calibri" w:eastAsia="宋体" w:cs="Calibri"/>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级以上。</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9.</w:t>
            </w:r>
            <w:r>
              <w:rPr>
                <w:rFonts w:hint="eastAsia" w:ascii="宋体" w:hAnsi="宋体" w:eastAsia="宋体" w:cs="宋体"/>
                <w:i w:val="0"/>
                <w:iCs w:val="0"/>
                <w:color w:val="auto"/>
                <w:kern w:val="0"/>
                <w:sz w:val="20"/>
                <w:szCs w:val="20"/>
                <w:highlight w:val="none"/>
                <w:u w:val="none"/>
                <w:lang w:val="en-US" w:eastAsia="zh-CN" w:bidi="ar"/>
              </w:rPr>
              <w:t>热泵具有根据系统运行自动降低能耗的功能</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10.</w:t>
            </w:r>
            <w:r>
              <w:rPr>
                <w:rFonts w:hint="eastAsia" w:ascii="宋体" w:hAnsi="宋体" w:eastAsia="宋体" w:cs="宋体"/>
                <w:i w:val="0"/>
                <w:iCs w:val="0"/>
                <w:color w:val="auto"/>
                <w:kern w:val="0"/>
                <w:sz w:val="20"/>
                <w:szCs w:val="20"/>
                <w:highlight w:val="none"/>
                <w:u w:val="none"/>
                <w:lang w:val="en-US" w:eastAsia="zh-CN" w:bidi="ar"/>
              </w:rPr>
              <w:t>热泵具有针对水温环境，自动调节，智能控制机组运行状况，调节机组设备运营状况技术</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11.</w:t>
            </w:r>
            <w:r>
              <w:rPr>
                <w:rFonts w:hint="eastAsia" w:ascii="宋体" w:hAnsi="宋体" w:eastAsia="宋体" w:cs="宋体"/>
                <w:i w:val="0"/>
                <w:iCs w:val="0"/>
                <w:color w:val="auto"/>
                <w:kern w:val="0"/>
                <w:sz w:val="20"/>
                <w:szCs w:val="20"/>
                <w:highlight w:val="none"/>
                <w:u w:val="none"/>
                <w:lang w:val="en-US" w:eastAsia="zh-CN" w:bidi="ar"/>
              </w:rPr>
              <w:t>热泵具备周期性高温杀菌功能</w:t>
            </w:r>
          </w:p>
        </w:tc>
        <w:tc>
          <w:tcPr>
            <w:tcW w:w="736" w:type="dxa"/>
            <w:noWrap w:val="0"/>
            <w:vAlign w:val="center"/>
          </w:tcPr>
          <w:p w14:paraId="586AF65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25D90A6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1BAC1F1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5D21351">
            <w:pPr>
              <w:keepNext w:val="0"/>
              <w:keepLines w:val="0"/>
              <w:widowControl/>
              <w:suppressLineNumbers w:val="0"/>
              <w:jc w:val="center"/>
              <w:textAlignment w:val="center"/>
              <w:rPr>
                <w:rFonts w:hint="eastAsia"/>
                <w:color w:val="auto"/>
                <w:highlight w:val="none"/>
                <w:vertAlign w:val="baseline"/>
                <w:lang w:val="en-US" w:eastAsia="zh-CN"/>
              </w:rPr>
            </w:pPr>
          </w:p>
        </w:tc>
      </w:tr>
      <w:tr w14:paraId="2E87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2CCEA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1690" w:type="dxa"/>
            <w:noWrap w:val="0"/>
            <w:vAlign w:val="center"/>
          </w:tcPr>
          <w:p w14:paraId="31CD306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5吨保温水箱</w:t>
            </w:r>
          </w:p>
        </w:tc>
        <w:tc>
          <w:tcPr>
            <w:tcW w:w="5928" w:type="dxa"/>
            <w:noWrap w:val="0"/>
            <w:vAlign w:val="center"/>
          </w:tcPr>
          <w:p w14:paraId="1A31F153">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内胆采用优质SUS304不锈钢板制作，中层采用聚氨酯整体恒温机械发泡厚度δ＝50mm，外包不锈钢板，水箱设置水箱设置人孔检查口等配套设施</w:t>
            </w:r>
          </w:p>
        </w:tc>
        <w:tc>
          <w:tcPr>
            <w:tcW w:w="736" w:type="dxa"/>
            <w:noWrap w:val="0"/>
            <w:vAlign w:val="center"/>
          </w:tcPr>
          <w:p w14:paraId="375AB9E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31F8AFD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c>
          <w:tcPr>
            <w:tcW w:w="3381" w:type="dxa"/>
            <w:noWrap w:val="0"/>
            <w:vAlign w:val="center"/>
          </w:tcPr>
          <w:p w14:paraId="6C1EC96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D57589C">
            <w:pPr>
              <w:keepNext w:val="0"/>
              <w:keepLines w:val="0"/>
              <w:widowControl/>
              <w:suppressLineNumbers w:val="0"/>
              <w:jc w:val="center"/>
              <w:textAlignment w:val="center"/>
              <w:rPr>
                <w:rFonts w:hint="eastAsia"/>
                <w:color w:val="auto"/>
                <w:highlight w:val="none"/>
                <w:vertAlign w:val="baseline"/>
                <w:lang w:val="en-US" w:eastAsia="zh-CN"/>
              </w:rPr>
            </w:pPr>
          </w:p>
        </w:tc>
      </w:tr>
      <w:tr w14:paraId="200D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7B6703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w:t>
            </w:r>
          </w:p>
        </w:tc>
        <w:tc>
          <w:tcPr>
            <w:tcW w:w="1690" w:type="dxa"/>
            <w:noWrap w:val="0"/>
            <w:vAlign w:val="center"/>
          </w:tcPr>
          <w:p w14:paraId="7E1528E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热泵循环泵</w:t>
            </w:r>
          </w:p>
        </w:tc>
        <w:tc>
          <w:tcPr>
            <w:tcW w:w="5928" w:type="dxa"/>
            <w:noWrap w:val="0"/>
            <w:vAlign w:val="center"/>
          </w:tcPr>
          <w:p w14:paraId="7480950A">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Style w:val="95"/>
                <w:color w:val="auto"/>
                <w:highlight w:val="none"/>
                <w:lang w:val="en-US" w:eastAsia="zh-CN" w:bidi="ar"/>
              </w:rPr>
              <w:t>流量</w:t>
            </w:r>
            <w:r>
              <w:rPr>
                <w:rFonts w:hint="default" w:ascii="Calibri" w:hAnsi="Calibri" w:eastAsia="宋体" w:cs="Calibri"/>
                <w:i w:val="0"/>
                <w:iCs w:val="0"/>
                <w:color w:val="auto"/>
                <w:kern w:val="0"/>
                <w:sz w:val="20"/>
                <w:szCs w:val="20"/>
                <w:highlight w:val="none"/>
                <w:u w:val="none"/>
                <w:lang w:val="en-US" w:eastAsia="zh-CN" w:bidi="ar"/>
              </w:rPr>
              <w:t>6.6m³/h</w:t>
            </w:r>
            <w:r>
              <w:rPr>
                <w:rStyle w:val="95"/>
                <w:color w:val="auto"/>
                <w:highlight w:val="none"/>
                <w:lang w:val="en-US" w:eastAsia="zh-CN" w:bidi="ar"/>
              </w:rPr>
              <w:t>，扬程</w:t>
            </w:r>
            <w:r>
              <w:rPr>
                <w:rFonts w:hint="default" w:ascii="Calibri" w:hAnsi="Calibri" w:eastAsia="宋体" w:cs="Calibri"/>
                <w:i w:val="0"/>
                <w:iCs w:val="0"/>
                <w:color w:val="auto"/>
                <w:kern w:val="0"/>
                <w:sz w:val="20"/>
                <w:szCs w:val="20"/>
                <w:highlight w:val="none"/>
                <w:u w:val="none"/>
                <w:lang w:val="en-US" w:eastAsia="zh-CN" w:bidi="ar"/>
              </w:rPr>
              <w:t>18m</w:t>
            </w:r>
            <w:r>
              <w:rPr>
                <w:rStyle w:val="95"/>
                <w:color w:val="auto"/>
                <w:highlight w:val="none"/>
                <w:lang w:val="en-US" w:eastAsia="zh-CN" w:bidi="ar"/>
              </w:rPr>
              <w:t>，功率</w:t>
            </w:r>
            <w:r>
              <w:rPr>
                <w:rFonts w:hint="default" w:ascii="Calibri" w:hAnsi="Calibri" w:eastAsia="宋体" w:cs="Calibri"/>
                <w:i w:val="0"/>
                <w:iCs w:val="0"/>
                <w:color w:val="auto"/>
                <w:kern w:val="0"/>
                <w:sz w:val="20"/>
                <w:szCs w:val="20"/>
                <w:highlight w:val="none"/>
                <w:u w:val="none"/>
                <w:lang w:val="en-US" w:eastAsia="zh-CN" w:bidi="ar"/>
              </w:rPr>
              <w:t>750W</w:t>
            </w:r>
          </w:p>
        </w:tc>
        <w:tc>
          <w:tcPr>
            <w:tcW w:w="736" w:type="dxa"/>
            <w:noWrap w:val="0"/>
            <w:vAlign w:val="center"/>
          </w:tcPr>
          <w:p w14:paraId="6835496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71D230C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49DF546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3176A7F">
            <w:pPr>
              <w:keepNext w:val="0"/>
              <w:keepLines w:val="0"/>
              <w:widowControl/>
              <w:suppressLineNumbers w:val="0"/>
              <w:jc w:val="center"/>
              <w:textAlignment w:val="center"/>
              <w:rPr>
                <w:rFonts w:hint="eastAsia"/>
                <w:color w:val="auto"/>
                <w:highlight w:val="none"/>
                <w:vertAlign w:val="baseline"/>
                <w:lang w:val="en-US" w:eastAsia="zh-CN"/>
              </w:rPr>
            </w:pPr>
          </w:p>
        </w:tc>
      </w:tr>
      <w:tr w14:paraId="2361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AF4BB6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4</w:t>
            </w:r>
          </w:p>
        </w:tc>
        <w:tc>
          <w:tcPr>
            <w:tcW w:w="1690" w:type="dxa"/>
            <w:noWrap w:val="0"/>
            <w:vAlign w:val="center"/>
          </w:tcPr>
          <w:p w14:paraId="4033013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热水自动增压泵</w:t>
            </w:r>
          </w:p>
        </w:tc>
        <w:tc>
          <w:tcPr>
            <w:tcW w:w="5928" w:type="dxa"/>
            <w:noWrap w:val="0"/>
            <w:vAlign w:val="center"/>
          </w:tcPr>
          <w:p w14:paraId="3A1085D3">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Style w:val="95"/>
                <w:color w:val="auto"/>
                <w:highlight w:val="none"/>
                <w:lang w:val="en-US" w:eastAsia="zh-CN" w:bidi="ar"/>
              </w:rPr>
              <w:t>流量</w:t>
            </w:r>
            <w:r>
              <w:rPr>
                <w:rFonts w:hint="default" w:ascii="Calibri" w:hAnsi="Calibri" w:eastAsia="宋体" w:cs="Calibri"/>
                <w:i w:val="0"/>
                <w:iCs w:val="0"/>
                <w:color w:val="auto"/>
                <w:kern w:val="0"/>
                <w:sz w:val="20"/>
                <w:szCs w:val="20"/>
                <w:highlight w:val="none"/>
                <w:u w:val="none"/>
                <w:lang w:val="en-US" w:eastAsia="zh-CN" w:bidi="ar"/>
              </w:rPr>
              <w:t>12m³/h</w:t>
            </w:r>
            <w:r>
              <w:rPr>
                <w:rStyle w:val="95"/>
                <w:color w:val="auto"/>
                <w:highlight w:val="none"/>
                <w:lang w:val="en-US" w:eastAsia="zh-CN" w:bidi="ar"/>
              </w:rPr>
              <w:t>，扬程</w:t>
            </w:r>
            <w:r>
              <w:rPr>
                <w:rFonts w:hint="default" w:ascii="Calibri" w:hAnsi="Calibri" w:eastAsia="宋体" w:cs="Calibri"/>
                <w:i w:val="0"/>
                <w:iCs w:val="0"/>
                <w:color w:val="auto"/>
                <w:kern w:val="0"/>
                <w:sz w:val="20"/>
                <w:szCs w:val="20"/>
                <w:highlight w:val="none"/>
                <w:u w:val="none"/>
                <w:lang w:val="en-US" w:eastAsia="zh-CN" w:bidi="ar"/>
              </w:rPr>
              <w:t>27.5m</w:t>
            </w:r>
            <w:r>
              <w:rPr>
                <w:rStyle w:val="95"/>
                <w:color w:val="auto"/>
                <w:highlight w:val="none"/>
                <w:lang w:val="en-US" w:eastAsia="zh-CN" w:bidi="ar"/>
              </w:rPr>
              <w:t>，功率</w:t>
            </w:r>
            <w:r>
              <w:rPr>
                <w:rFonts w:hint="default" w:ascii="Calibri" w:hAnsi="Calibri" w:eastAsia="宋体" w:cs="Calibri"/>
                <w:i w:val="0"/>
                <w:iCs w:val="0"/>
                <w:color w:val="auto"/>
                <w:kern w:val="0"/>
                <w:sz w:val="20"/>
                <w:szCs w:val="20"/>
                <w:highlight w:val="none"/>
                <w:u w:val="none"/>
                <w:lang w:val="en-US" w:eastAsia="zh-CN" w:bidi="ar"/>
              </w:rPr>
              <w:t>1.85W</w:t>
            </w:r>
          </w:p>
        </w:tc>
        <w:tc>
          <w:tcPr>
            <w:tcW w:w="736" w:type="dxa"/>
            <w:noWrap w:val="0"/>
            <w:vAlign w:val="center"/>
          </w:tcPr>
          <w:p w14:paraId="6DF7D89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4</w:t>
            </w:r>
          </w:p>
        </w:tc>
        <w:tc>
          <w:tcPr>
            <w:tcW w:w="834" w:type="dxa"/>
            <w:noWrap w:val="0"/>
            <w:vAlign w:val="center"/>
          </w:tcPr>
          <w:p w14:paraId="1CC7496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59EA705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3271312">
            <w:pPr>
              <w:keepNext w:val="0"/>
              <w:keepLines w:val="0"/>
              <w:widowControl/>
              <w:suppressLineNumbers w:val="0"/>
              <w:jc w:val="center"/>
              <w:textAlignment w:val="center"/>
              <w:rPr>
                <w:rFonts w:hint="eastAsia"/>
                <w:color w:val="auto"/>
                <w:highlight w:val="none"/>
                <w:vertAlign w:val="baseline"/>
                <w:lang w:val="en-US" w:eastAsia="zh-CN"/>
              </w:rPr>
            </w:pPr>
          </w:p>
        </w:tc>
      </w:tr>
      <w:tr w14:paraId="26ED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DED52E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5</w:t>
            </w:r>
          </w:p>
        </w:tc>
        <w:tc>
          <w:tcPr>
            <w:tcW w:w="1690" w:type="dxa"/>
            <w:noWrap w:val="0"/>
            <w:vAlign w:val="center"/>
          </w:tcPr>
          <w:p w14:paraId="722B55D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4745D582">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De50</w:t>
            </w:r>
            <w:r>
              <w:rPr>
                <w:rStyle w:val="95"/>
                <w:color w:val="auto"/>
                <w:highlight w:val="none"/>
                <w:lang w:val="en-US" w:eastAsia="zh-CN" w:bidi="ar"/>
              </w:rPr>
              <w:t>热水专用</w:t>
            </w:r>
          </w:p>
        </w:tc>
        <w:tc>
          <w:tcPr>
            <w:tcW w:w="736" w:type="dxa"/>
            <w:noWrap w:val="0"/>
            <w:vAlign w:val="center"/>
          </w:tcPr>
          <w:p w14:paraId="0780FE1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100</w:t>
            </w:r>
          </w:p>
        </w:tc>
        <w:tc>
          <w:tcPr>
            <w:tcW w:w="834" w:type="dxa"/>
            <w:noWrap w:val="0"/>
            <w:vAlign w:val="center"/>
          </w:tcPr>
          <w:p w14:paraId="634F0AA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4DD9F8F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F81DEB6">
            <w:pPr>
              <w:keepNext w:val="0"/>
              <w:keepLines w:val="0"/>
              <w:widowControl/>
              <w:suppressLineNumbers w:val="0"/>
              <w:jc w:val="center"/>
              <w:textAlignment w:val="center"/>
              <w:rPr>
                <w:rFonts w:hint="eastAsia"/>
                <w:color w:val="auto"/>
                <w:highlight w:val="none"/>
                <w:vertAlign w:val="baseline"/>
                <w:lang w:val="en-US" w:eastAsia="zh-CN"/>
              </w:rPr>
            </w:pPr>
          </w:p>
        </w:tc>
      </w:tr>
      <w:tr w14:paraId="1B2D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8DFA33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6</w:t>
            </w:r>
          </w:p>
        </w:tc>
        <w:tc>
          <w:tcPr>
            <w:tcW w:w="1690" w:type="dxa"/>
            <w:noWrap w:val="0"/>
            <w:vAlign w:val="center"/>
          </w:tcPr>
          <w:p w14:paraId="5E65685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6CD96A99">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De40</w:t>
            </w:r>
            <w:r>
              <w:rPr>
                <w:rStyle w:val="95"/>
                <w:color w:val="auto"/>
                <w:highlight w:val="none"/>
                <w:lang w:val="en-US" w:eastAsia="zh-CN" w:bidi="ar"/>
              </w:rPr>
              <w:t>热水专用</w:t>
            </w:r>
          </w:p>
        </w:tc>
        <w:tc>
          <w:tcPr>
            <w:tcW w:w="736" w:type="dxa"/>
            <w:noWrap w:val="0"/>
            <w:vAlign w:val="center"/>
          </w:tcPr>
          <w:p w14:paraId="7968326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40</w:t>
            </w:r>
          </w:p>
        </w:tc>
        <w:tc>
          <w:tcPr>
            <w:tcW w:w="834" w:type="dxa"/>
            <w:noWrap w:val="0"/>
            <w:vAlign w:val="center"/>
          </w:tcPr>
          <w:p w14:paraId="4B468C3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385C19A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E1E7C8D">
            <w:pPr>
              <w:keepNext w:val="0"/>
              <w:keepLines w:val="0"/>
              <w:widowControl/>
              <w:suppressLineNumbers w:val="0"/>
              <w:jc w:val="center"/>
              <w:textAlignment w:val="center"/>
              <w:rPr>
                <w:rFonts w:hint="eastAsia"/>
                <w:color w:val="auto"/>
                <w:highlight w:val="none"/>
                <w:vertAlign w:val="baseline"/>
                <w:lang w:val="en-US" w:eastAsia="zh-CN"/>
              </w:rPr>
            </w:pPr>
          </w:p>
        </w:tc>
      </w:tr>
      <w:tr w14:paraId="74FF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76131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7</w:t>
            </w:r>
          </w:p>
        </w:tc>
        <w:tc>
          <w:tcPr>
            <w:tcW w:w="1690" w:type="dxa"/>
            <w:noWrap w:val="0"/>
            <w:vAlign w:val="center"/>
          </w:tcPr>
          <w:p w14:paraId="3023D42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7811DDC3">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De32</w:t>
            </w:r>
            <w:r>
              <w:rPr>
                <w:rStyle w:val="95"/>
                <w:color w:val="auto"/>
                <w:highlight w:val="none"/>
                <w:lang w:val="en-US" w:eastAsia="zh-CN" w:bidi="ar"/>
              </w:rPr>
              <w:t>热水专用</w:t>
            </w:r>
          </w:p>
        </w:tc>
        <w:tc>
          <w:tcPr>
            <w:tcW w:w="736" w:type="dxa"/>
            <w:noWrap w:val="0"/>
            <w:vAlign w:val="center"/>
          </w:tcPr>
          <w:p w14:paraId="2B015FD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w:t>
            </w:r>
          </w:p>
        </w:tc>
        <w:tc>
          <w:tcPr>
            <w:tcW w:w="834" w:type="dxa"/>
            <w:noWrap w:val="0"/>
            <w:vAlign w:val="center"/>
          </w:tcPr>
          <w:p w14:paraId="105993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57ACCE2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7508A86">
            <w:pPr>
              <w:keepNext w:val="0"/>
              <w:keepLines w:val="0"/>
              <w:widowControl/>
              <w:suppressLineNumbers w:val="0"/>
              <w:jc w:val="center"/>
              <w:textAlignment w:val="center"/>
              <w:rPr>
                <w:rFonts w:hint="eastAsia"/>
                <w:color w:val="auto"/>
                <w:highlight w:val="none"/>
                <w:vertAlign w:val="baseline"/>
                <w:lang w:val="en-US" w:eastAsia="zh-CN"/>
              </w:rPr>
            </w:pPr>
          </w:p>
        </w:tc>
      </w:tr>
      <w:tr w14:paraId="2A48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68C9B7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8</w:t>
            </w:r>
          </w:p>
        </w:tc>
        <w:tc>
          <w:tcPr>
            <w:tcW w:w="1690" w:type="dxa"/>
            <w:noWrap w:val="0"/>
            <w:vAlign w:val="center"/>
          </w:tcPr>
          <w:p w14:paraId="32FD9BE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4844139A">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De25</w:t>
            </w:r>
            <w:r>
              <w:rPr>
                <w:rStyle w:val="95"/>
                <w:color w:val="auto"/>
                <w:highlight w:val="none"/>
                <w:lang w:val="en-US" w:eastAsia="zh-CN" w:bidi="ar"/>
              </w:rPr>
              <w:t>热水专用</w:t>
            </w:r>
          </w:p>
        </w:tc>
        <w:tc>
          <w:tcPr>
            <w:tcW w:w="736" w:type="dxa"/>
            <w:noWrap w:val="0"/>
            <w:vAlign w:val="center"/>
          </w:tcPr>
          <w:p w14:paraId="7D4F67E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w:t>
            </w:r>
          </w:p>
        </w:tc>
        <w:tc>
          <w:tcPr>
            <w:tcW w:w="834" w:type="dxa"/>
            <w:noWrap w:val="0"/>
            <w:vAlign w:val="center"/>
          </w:tcPr>
          <w:p w14:paraId="484AACE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17ABAB7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C7F4DD1">
            <w:pPr>
              <w:keepNext w:val="0"/>
              <w:keepLines w:val="0"/>
              <w:widowControl/>
              <w:suppressLineNumbers w:val="0"/>
              <w:jc w:val="center"/>
              <w:textAlignment w:val="center"/>
              <w:rPr>
                <w:rFonts w:hint="eastAsia"/>
                <w:color w:val="auto"/>
                <w:highlight w:val="none"/>
                <w:vertAlign w:val="baseline"/>
                <w:lang w:val="en-US" w:eastAsia="zh-CN"/>
              </w:rPr>
            </w:pPr>
          </w:p>
        </w:tc>
      </w:tr>
      <w:tr w14:paraId="1FE4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9C259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9</w:t>
            </w:r>
          </w:p>
        </w:tc>
        <w:tc>
          <w:tcPr>
            <w:tcW w:w="1690" w:type="dxa"/>
            <w:noWrap w:val="0"/>
            <w:vAlign w:val="center"/>
          </w:tcPr>
          <w:p w14:paraId="6A7C42C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265CE8D7">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De20</w:t>
            </w:r>
            <w:r>
              <w:rPr>
                <w:rStyle w:val="95"/>
                <w:color w:val="auto"/>
                <w:highlight w:val="none"/>
                <w:lang w:val="en-US" w:eastAsia="zh-CN" w:bidi="ar"/>
              </w:rPr>
              <w:t>热水专用</w:t>
            </w:r>
          </w:p>
        </w:tc>
        <w:tc>
          <w:tcPr>
            <w:tcW w:w="736" w:type="dxa"/>
            <w:noWrap w:val="0"/>
            <w:vAlign w:val="center"/>
          </w:tcPr>
          <w:p w14:paraId="62F8161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834" w:type="dxa"/>
            <w:noWrap w:val="0"/>
            <w:vAlign w:val="center"/>
          </w:tcPr>
          <w:p w14:paraId="6611379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4897B7B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D4FDF6A">
            <w:pPr>
              <w:keepNext w:val="0"/>
              <w:keepLines w:val="0"/>
              <w:widowControl/>
              <w:suppressLineNumbers w:val="0"/>
              <w:jc w:val="center"/>
              <w:textAlignment w:val="center"/>
              <w:rPr>
                <w:rFonts w:hint="eastAsia"/>
                <w:color w:val="auto"/>
                <w:highlight w:val="none"/>
                <w:vertAlign w:val="baseline"/>
                <w:lang w:val="en-US" w:eastAsia="zh-CN"/>
              </w:rPr>
            </w:pPr>
          </w:p>
        </w:tc>
      </w:tr>
      <w:tr w14:paraId="1B88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7DDF8E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10</w:t>
            </w:r>
          </w:p>
        </w:tc>
        <w:tc>
          <w:tcPr>
            <w:tcW w:w="1690" w:type="dxa"/>
            <w:noWrap w:val="0"/>
            <w:vAlign w:val="center"/>
          </w:tcPr>
          <w:p w14:paraId="160471E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PPR热水管道配件</w:t>
            </w:r>
          </w:p>
        </w:tc>
        <w:tc>
          <w:tcPr>
            <w:tcW w:w="5928" w:type="dxa"/>
            <w:noWrap w:val="0"/>
            <w:vAlign w:val="center"/>
          </w:tcPr>
          <w:p w14:paraId="188CE4B2">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外牙、内牙、阀门、弯头、三通、直通等</w:t>
            </w:r>
          </w:p>
        </w:tc>
        <w:tc>
          <w:tcPr>
            <w:tcW w:w="736" w:type="dxa"/>
            <w:noWrap w:val="0"/>
            <w:vAlign w:val="center"/>
          </w:tcPr>
          <w:p w14:paraId="35B3A46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4FED034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12395E8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C45729F">
            <w:pPr>
              <w:keepNext w:val="0"/>
              <w:keepLines w:val="0"/>
              <w:widowControl/>
              <w:suppressLineNumbers w:val="0"/>
              <w:jc w:val="center"/>
              <w:textAlignment w:val="center"/>
              <w:rPr>
                <w:rFonts w:hint="eastAsia"/>
                <w:color w:val="auto"/>
                <w:highlight w:val="none"/>
                <w:vertAlign w:val="baseline"/>
                <w:lang w:val="en-US" w:eastAsia="zh-CN"/>
              </w:rPr>
            </w:pPr>
          </w:p>
        </w:tc>
      </w:tr>
      <w:tr w14:paraId="0D6A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8FA8E4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11</w:t>
            </w:r>
          </w:p>
        </w:tc>
        <w:tc>
          <w:tcPr>
            <w:tcW w:w="1690" w:type="dxa"/>
            <w:noWrap w:val="0"/>
            <w:vAlign w:val="center"/>
          </w:tcPr>
          <w:p w14:paraId="0F94307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管道保温</w:t>
            </w:r>
          </w:p>
        </w:tc>
        <w:tc>
          <w:tcPr>
            <w:tcW w:w="5928" w:type="dxa"/>
            <w:noWrap w:val="0"/>
            <w:vAlign w:val="center"/>
          </w:tcPr>
          <w:p w14:paraId="7AE87050">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De32-50</w:t>
            </w:r>
          </w:p>
        </w:tc>
        <w:tc>
          <w:tcPr>
            <w:tcW w:w="736" w:type="dxa"/>
            <w:noWrap w:val="0"/>
            <w:vAlign w:val="center"/>
          </w:tcPr>
          <w:p w14:paraId="3832CA7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220</w:t>
            </w:r>
          </w:p>
        </w:tc>
        <w:tc>
          <w:tcPr>
            <w:tcW w:w="834" w:type="dxa"/>
            <w:noWrap w:val="0"/>
            <w:vAlign w:val="center"/>
          </w:tcPr>
          <w:p w14:paraId="2400B6D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4A61CB1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2349C388">
            <w:pPr>
              <w:keepNext w:val="0"/>
              <w:keepLines w:val="0"/>
              <w:widowControl/>
              <w:suppressLineNumbers w:val="0"/>
              <w:jc w:val="center"/>
              <w:textAlignment w:val="center"/>
              <w:rPr>
                <w:rFonts w:hint="eastAsia"/>
                <w:color w:val="auto"/>
                <w:highlight w:val="none"/>
                <w:vertAlign w:val="baseline"/>
                <w:lang w:val="en-US" w:eastAsia="zh-CN"/>
              </w:rPr>
            </w:pPr>
          </w:p>
        </w:tc>
      </w:tr>
      <w:tr w14:paraId="2FF8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3F135F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12</w:t>
            </w:r>
          </w:p>
        </w:tc>
        <w:tc>
          <w:tcPr>
            <w:tcW w:w="1690" w:type="dxa"/>
            <w:noWrap w:val="0"/>
            <w:vAlign w:val="center"/>
          </w:tcPr>
          <w:p w14:paraId="6EB376E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软化水处理设备</w:t>
            </w:r>
          </w:p>
        </w:tc>
        <w:tc>
          <w:tcPr>
            <w:tcW w:w="5928" w:type="dxa"/>
            <w:noWrap w:val="0"/>
            <w:vAlign w:val="center"/>
          </w:tcPr>
          <w:p w14:paraId="31A422C6">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Style w:val="95"/>
                <w:color w:val="auto"/>
                <w:highlight w:val="none"/>
                <w:lang w:val="en-US" w:eastAsia="zh-CN" w:bidi="ar"/>
              </w:rPr>
              <w:t>工作电压：</w:t>
            </w:r>
            <w:r>
              <w:rPr>
                <w:rFonts w:hint="default" w:ascii="Calibri" w:hAnsi="Calibri" w:eastAsia="宋体" w:cs="Calibri"/>
                <w:i w:val="0"/>
                <w:iCs w:val="0"/>
                <w:color w:val="auto"/>
                <w:kern w:val="0"/>
                <w:sz w:val="20"/>
                <w:szCs w:val="20"/>
                <w:highlight w:val="none"/>
                <w:u w:val="none"/>
                <w:lang w:val="en-US" w:eastAsia="zh-CN" w:bidi="ar"/>
              </w:rPr>
              <w:t>220V</w:t>
            </w:r>
            <w:r>
              <w:rPr>
                <w:rFonts w:hint="default" w:ascii="Calibri" w:hAnsi="Calibri" w:eastAsia="宋体" w:cs="Calibri"/>
                <w:i w:val="0"/>
                <w:iCs w:val="0"/>
                <w:color w:val="auto"/>
                <w:kern w:val="0"/>
                <w:sz w:val="20"/>
                <w:szCs w:val="20"/>
                <w:highlight w:val="none"/>
                <w:u w:val="none"/>
                <w:lang w:val="en-US" w:eastAsia="zh-CN" w:bidi="ar"/>
              </w:rPr>
              <w:br w:type="textWrapping"/>
            </w:r>
            <w:r>
              <w:rPr>
                <w:rStyle w:val="95"/>
                <w:color w:val="auto"/>
                <w:highlight w:val="none"/>
                <w:lang w:val="en-US" w:eastAsia="zh-CN" w:bidi="ar"/>
              </w:rPr>
              <w:t>工作功率：</w:t>
            </w:r>
            <w:r>
              <w:rPr>
                <w:rFonts w:hint="default" w:ascii="Calibri" w:hAnsi="Calibri" w:eastAsia="宋体" w:cs="Calibri"/>
                <w:i w:val="0"/>
                <w:iCs w:val="0"/>
                <w:color w:val="auto"/>
                <w:kern w:val="0"/>
                <w:sz w:val="20"/>
                <w:szCs w:val="20"/>
                <w:highlight w:val="none"/>
                <w:u w:val="none"/>
                <w:lang w:val="en-US" w:eastAsia="zh-CN" w:bidi="ar"/>
              </w:rPr>
              <w:t>30w</w:t>
            </w:r>
            <w:r>
              <w:rPr>
                <w:rFonts w:hint="default" w:ascii="Calibri" w:hAnsi="Calibri" w:eastAsia="宋体" w:cs="Calibri"/>
                <w:i w:val="0"/>
                <w:iCs w:val="0"/>
                <w:color w:val="auto"/>
                <w:kern w:val="0"/>
                <w:sz w:val="20"/>
                <w:szCs w:val="20"/>
                <w:highlight w:val="none"/>
                <w:u w:val="none"/>
                <w:lang w:val="en-US" w:eastAsia="zh-CN" w:bidi="ar"/>
              </w:rPr>
              <w:br w:type="textWrapping"/>
            </w:r>
            <w:r>
              <w:rPr>
                <w:rStyle w:val="95"/>
                <w:color w:val="auto"/>
                <w:highlight w:val="none"/>
                <w:lang w:val="en-US" w:eastAsia="zh-CN" w:bidi="ar"/>
              </w:rPr>
              <w:t>冬季工作功率：</w:t>
            </w:r>
            <w:r>
              <w:rPr>
                <w:rFonts w:hint="default" w:ascii="Calibri" w:hAnsi="Calibri" w:eastAsia="宋体" w:cs="Calibri"/>
                <w:i w:val="0"/>
                <w:iCs w:val="0"/>
                <w:color w:val="auto"/>
                <w:kern w:val="0"/>
                <w:sz w:val="20"/>
                <w:szCs w:val="20"/>
                <w:highlight w:val="none"/>
                <w:u w:val="none"/>
                <w:lang w:val="en-US" w:eastAsia="zh-CN" w:bidi="ar"/>
              </w:rPr>
              <w:t>230w</w:t>
            </w:r>
            <w:r>
              <w:rPr>
                <w:rFonts w:hint="default" w:ascii="Calibri" w:hAnsi="Calibri" w:eastAsia="宋体" w:cs="Calibri"/>
                <w:i w:val="0"/>
                <w:iCs w:val="0"/>
                <w:color w:val="auto"/>
                <w:kern w:val="0"/>
                <w:sz w:val="20"/>
                <w:szCs w:val="20"/>
                <w:highlight w:val="none"/>
                <w:u w:val="none"/>
                <w:lang w:val="en-US" w:eastAsia="zh-CN" w:bidi="ar"/>
              </w:rPr>
              <w:br w:type="textWrapping"/>
            </w:r>
            <w:r>
              <w:rPr>
                <w:rStyle w:val="95"/>
                <w:color w:val="auto"/>
                <w:highlight w:val="none"/>
                <w:lang w:val="en-US" w:eastAsia="zh-CN" w:bidi="ar"/>
              </w:rPr>
              <w:t>水处理量：</w:t>
            </w:r>
            <w:r>
              <w:rPr>
                <w:rFonts w:hint="default" w:ascii="Calibri" w:hAnsi="Calibri" w:eastAsia="宋体" w:cs="Calibri"/>
                <w:i w:val="0"/>
                <w:iCs w:val="0"/>
                <w:color w:val="auto"/>
                <w:kern w:val="0"/>
                <w:sz w:val="20"/>
                <w:szCs w:val="20"/>
                <w:highlight w:val="none"/>
                <w:u w:val="none"/>
                <w:lang w:val="en-US" w:eastAsia="zh-CN" w:bidi="ar"/>
              </w:rPr>
              <w:t>0-3m³/ h</w:t>
            </w:r>
            <w:r>
              <w:rPr>
                <w:rFonts w:hint="default" w:ascii="Calibri" w:hAnsi="Calibri" w:eastAsia="宋体" w:cs="Calibri"/>
                <w:i w:val="0"/>
                <w:iCs w:val="0"/>
                <w:color w:val="auto"/>
                <w:kern w:val="0"/>
                <w:sz w:val="20"/>
                <w:szCs w:val="20"/>
                <w:highlight w:val="none"/>
                <w:u w:val="none"/>
                <w:lang w:val="en-US" w:eastAsia="zh-CN" w:bidi="ar"/>
              </w:rPr>
              <w:br w:type="textWrapping"/>
            </w:r>
            <w:r>
              <w:rPr>
                <w:rStyle w:val="95"/>
                <w:color w:val="auto"/>
                <w:highlight w:val="none"/>
                <w:lang w:val="en-US" w:eastAsia="zh-CN" w:bidi="ar"/>
              </w:rPr>
              <w:t>机组尺寸：长</w:t>
            </w:r>
            <w:r>
              <w:rPr>
                <w:rFonts w:hint="default" w:ascii="Calibri" w:hAnsi="Calibri" w:eastAsia="宋体" w:cs="Calibri"/>
                <w:i w:val="0"/>
                <w:iCs w:val="0"/>
                <w:color w:val="auto"/>
                <w:kern w:val="0"/>
                <w:sz w:val="20"/>
                <w:szCs w:val="20"/>
                <w:highlight w:val="none"/>
                <w:u w:val="none"/>
                <w:lang w:val="en-US" w:eastAsia="zh-CN" w:bidi="ar"/>
              </w:rPr>
              <w:t>*</w:t>
            </w:r>
            <w:r>
              <w:rPr>
                <w:rStyle w:val="95"/>
                <w:color w:val="auto"/>
                <w:highlight w:val="none"/>
                <w:lang w:val="en-US" w:eastAsia="zh-CN" w:bidi="ar"/>
              </w:rPr>
              <w:t>宽</w:t>
            </w:r>
            <w:r>
              <w:rPr>
                <w:rFonts w:hint="default" w:ascii="Calibri" w:hAnsi="Calibri" w:eastAsia="宋体" w:cs="Calibri"/>
                <w:i w:val="0"/>
                <w:iCs w:val="0"/>
                <w:color w:val="auto"/>
                <w:kern w:val="0"/>
                <w:sz w:val="20"/>
                <w:szCs w:val="20"/>
                <w:highlight w:val="none"/>
                <w:u w:val="none"/>
                <w:lang w:val="en-US" w:eastAsia="zh-CN" w:bidi="ar"/>
              </w:rPr>
              <w:t>*</w:t>
            </w:r>
            <w:r>
              <w:rPr>
                <w:rStyle w:val="95"/>
                <w:color w:val="auto"/>
                <w:highlight w:val="none"/>
                <w:lang w:val="en-US" w:eastAsia="zh-CN" w:bidi="ar"/>
              </w:rPr>
              <w:t>高</w:t>
            </w:r>
            <w:r>
              <w:rPr>
                <w:rFonts w:hint="default" w:ascii="Calibri" w:hAnsi="Calibri" w:eastAsia="宋体" w:cs="Calibri"/>
                <w:i w:val="0"/>
                <w:iCs w:val="0"/>
                <w:color w:val="auto"/>
                <w:kern w:val="0"/>
                <w:sz w:val="20"/>
                <w:szCs w:val="20"/>
                <w:highlight w:val="none"/>
                <w:u w:val="none"/>
                <w:lang w:val="en-US" w:eastAsia="zh-CN" w:bidi="ar"/>
              </w:rPr>
              <w:t>450mm*400mm*900mm</w:t>
            </w:r>
            <w:r>
              <w:rPr>
                <w:rFonts w:hint="default" w:ascii="Calibri" w:hAnsi="Calibri" w:eastAsia="宋体" w:cs="Calibri"/>
                <w:i w:val="0"/>
                <w:iCs w:val="0"/>
                <w:color w:val="auto"/>
                <w:kern w:val="0"/>
                <w:sz w:val="20"/>
                <w:szCs w:val="20"/>
                <w:highlight w:val="none"/>
                <w:u w:val="none"/>
                <w:lang w:val="en-US" w:eastAsia="zh-CN" w:bidi="ar"/>
              </w:rPr>
              <w:br w:type="textWrapping"/>
            </w:r>
            <w:r>
              <w:rPr>
                <w:rStyle w:val="95"/>
                <w:color w:val="auto"/>
                <w:highlight w:val="none"/>
                <w:lang w:val="en-US" w:eastAsia="zh-CN" w:bidi="ar"/>
              </w:rPr>
              <w:t>机组质量：</w:t>
            </w:r>
            <w:r>
              <w:rPr>
                <w:rFonts w:hint="default" w:ascii="Calibri" w:hAnsi="Calibri" w:eastAsia="宋体" w:cs="Calibri"/>
                <w:i w:val="0"/>
                <w:iCs w:val="0"/>
                <w:color w:val="auto"/>
                <w:kern w:val="0"/>
                <w:sz w:val="20"/>
                <w:szCs w:val="20"/>
                <w:highlight w:val="none"/>
                <w:u w:val="none"/>
                <w:lang w:val="en-US" w:eastAsia="zh-CN" w:bidi="ar"/>
              </w:rPr>
              <w:t>33kg</w:t>
            </w:r>
          </w:p>
        </w:tc>
        <w:tc>
          <w:tcPr>
            <w:tcW w:w="736" w:type="dxa"/>
            <w:noWrap w:val="0"/>
            <w:vAlign w:val="center"/>
          </w:tcPr>
          <w:p w14:paraId="4D54102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3EC34D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5563A26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8930134">
            <w:pPr>
              <w:keepNext w:val="0"/>
              <w:keepLines w:val="0"/>
              <w:widowControl/>
              <w:suppressLineNumbers w:val="0"/>
              <w:jc w:val="center"/>
              <w:textAlignment w:val="center"/>
              <w:rPr>
                <w:rFonts w:hint="eastAsia"/>
                <w:color w:val="auto"/>
                <w:highlight w:val="none"/>
                <w:vertAlign w:val="baseline"/>
                <w:lang w:val="en-US" w:eastAsia="zh-CN"/>
              </w:rPr>
            </w:pPr>
          </w:p>
        </w:tc>
      </w:tr>
      <w:tr w14:paraId="6B33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12F4CC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13</w:t>
            </w:r>
          </w:p>
        </w:tc>
        <w:tc>
          <w:tcPr>
            <w:tcW w:w="1690" w:type="dxa"/>
            <w:noWrap w:val="0"/>
            <w:vAlign w:val="center"/>
          </w:tcPr>
          <w:p w14:paraId="786A90C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水龙头</w:t>
            </w:r>
          </w:p>
        </w:tc>
        <w:tc>
          <w:tcPr>
            <w:tcW w:w="5928" w:type="dxa"/>
            <w:noWrap w:val="0"/>
            <w:vAlign w:val="center"/>
          </w:tcPr>
          <w:p w14:paraId="324BDDE4">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DN15</w:t>
            </w:r>
            <w:r>
              <w:rPr>
                <w:rStyle w:val="95"/>
                <w:color w:val="auto"/>
                <w:highlight w:val="none"/>
                <w:lang w:val="en-US" w:eastAsia="zh-CN" w:bidi="ar"/>
              </w:rPr>
              <w:t>，不锈钢材质</w:t>
            </w:r>
          </w:p>
        </w:tc>
        <w:tc>
          <w:tcPr>
            <w:tcW w:w="736" w:type="dxa"/>
            <w:noWrap w:val="0"/>
            <w:vAlign w:val="center"/>
          </w:tcPr>
          <w:p w14:paraId="466EA5C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32</w:t>
            </w:r>
          </w:p>
        </w:tc>
        <w:tc>
          <w:tcPr>
            <w:tcW w:w="834" w:type="dxa"/>
            <w:noWrap w:val="0"/>
            <w:vAlign w:val="center"/>
          </w:tcPr>
          <w:p w14:paraId="1D8E07C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43758D8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D34B15A">
            <w:pPr>
              <w:keepNext w:val="0"/>
              <w:keepLines w:val="0"/>
              <w:widowControl/>
              <w:suppressLineNumbers w:val="0"/>
              <w:jc w:val="center"/>
              <w:textAlignment w:val="center"/>
              <w:rPr>
                <w:rFonts w:hint="eastAsia"/>
                <w:color w:val="auto"/>
                <w:highlight w:val="none"/>
                <w:vertAlign w:val="baseline"/>
                <w:lang w:val="en-US" w:eastAsia="zh-CN"/>
              </w:rPr>
            </w:pPr>
          </w:p>
        </w:tc>
      </w:tr>
      <w:tr w14:paraId="100E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3E2A34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14</w:t>
            </w:r>
          </w:p>
        </w:tc>
        <w:tc>
          <w:tcPr>
            <w:tcW w:w="1690" w:type="dxa"/>
            <w:noWrap w:val="0"/>
            <w:vAlign w:val="center"/>
          </w:tcPr>
          <w:p w14:paraId="78BDD44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控制柜</w:t>
            </w:r>
          </w:p>
        </w:tc>
        <w:tc>
          <w:tcPr>
            <w:tcW w:w="5928" w:type="dxa"/>
            <w:noWrap w:val="0"/>
            <w:vAlign w:val="center"/>
          </w:tcPr>
          <w:p w14:paraId="689AB002">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Style w:val="95"/>
                <w:color w:val="auto"/>
                <w:highlight w:val="none"/>
                <w:lang w:val="en-US" w:eastAsia="zh-CN" w:bidi="ar"/>
              </w:rPr>
              <w:t>全自动智能控制</w:t>
            </w:r>
            <w:r>
              <w:rPr>
                <w:rFonts w:hint="default" w:ascii="Calibri" w:hAnsi="Calibri" w:eastAsia="宋体" w:cs="Calibri"/>
                <w:i w:val="0"/>
                <w:iCs w:val="0"/>
                <w:color w:val="auto"/>
                <w:kern w:val="0"/>
                <w:sz w:val="20"/>
                <w:szCs w:val="20"/>
                <w:highlight w:val="none"/>
                <w:u w:val="none"/>
                <w:lang w:val="en-US" w:eastAsia="zh-CN" w:bidi="ar"/>
              </w:rPr>
              <w:t>,</w:t>
            </w:r>
            <w:r>
              <w:rPr>
                <w:rStyle w:val="95"/>
                <w:color w:val="auto"/>
                <w:highlight w:val="none"/>
                <w:lang w:val="en-US" w:eastAsia="zh-CN" w:bidi="ar"/>
              </w:rPr>
              <w:t>自动加压，开关工作温度</w:t>
            </w:r>
            <w:r>
              <w:rPr>
                <w:rFonts w:hint="default" w:ascii="Calibri" w:hAnsi="Calibri" w:eastAsia="宋体" w:cs="Calibri"/>
                <w:i w:val="0"/>
                <w:iCs w:val="0"/>
                <w:color w:val="auto"/>
                <w:kern w:val="0"/>
                <w:sz w:val="20"/>
                <w:szCs w:val="20"/>
                <w:highlight w:val="none"/>
                <w:u w:val="none"/>
                <w:lang w:val="en-US" w:eastAsia="zh-CN" w:bidi="ar"/>
              </w:rPr>
              <w:t>-40</w:t>
            </w:r>
            <w:r>
              <w:rPr>
                <w:rStyle w:val="95"/>
                <w:color w:val="auto"/>
                <w:highlight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+70</w:t>
            </w:r>
            <w:r>
              <w:rPr>
                <w:rStyle w:val="95"/>
                <w:color w:val="auto"/>
                <w:highlight w:val="none"/>
                <w:lang w:val="en-US" w:eastAsia="zh-CN" w:bidi="ar"/>
              </w:rPr>
              <w:t>℃，恒温控制器、温度控制器、液位控制器等均用优质品牌。</w:t>
            </w:r>
          </w:p>
        </w:tc>
        <w:tc>
          <w:tcPr>
            <w:tcW w:w="736" w:type="dxa"/>
            <w:noWrap w:val="0"/>
            <w:vAlign w:val="center"/>
          </w:tcPr>
          <w:p w14:paraId="759027E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65D6BF9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7443EEF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B75FF79">
            <w:pPr>
              <w:keepNext w:val="0"/>
              <w:keepLines w:val="0"/>
              <w:widowControl/>
              <w:suppressLineNumbers w:val="0"/>
              <w:jc w:val="center"/>
              <w:textAlignment w:val="center"/>
              <w:rPr>
                <w:rFonts w:hint="eastAsia"/>
                <w:color w:val="auto"/>
                <w:highlight w:val="none"/>
                <w:vertAlign w:val="baseline"/>
                <w:lang w:val="en-US" w:eastAsia="zh-CN"/>
              </w:rPr>
            </w:pPr>
          </w:p>
        </w:tc>
      </w:tr>
      <w:tr w14:paraId="6F94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57E02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15</w:t>
            </w:r>
          </w:p>
        </w:tc>
        <w:tc>
          <w:tcPr>
            <w:tcW w:w="1690" w:type="dxa"/>
            <w:noWrap w:val="0"/>
            <w:vAlign w:val="center"/>
          </w:tcPr>
          <w:p w14:paraId="66CD080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电气配线</w:t>
            </w:r>
          </w:p>
        </w:tc>
        <w:tc>
          <w:tcPr>
            <w:tcW w:w="5928" w:type="dxa"/>
            <w:noWrap w:val="0"/>
            <w:vAlign w:val="center"/>
          </w:tcPr>
          <w:p w14:paraId="38B40AEA">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2.5-6mm</w:t>
            </w:r>
            <w:r>
              <w:rPr>
                <w:rStyle w:val="95"/>
                <w:color w:val="auto"/>
                <w:highlight w:val="none"/>
                <w:lang w:val="en-US" w:eastAsia="zh-CN" w:bidi="ar"/>
              </w:rPr>
              <w:t>²，国标优质铜芯线</w:t>
            </w:r>
          </w:p>
        </w:tc>
        <w:tc>
          <w:tcPr>
            <w:tcW w:w="736" w:type="dxa"/>
            <w:noWrap w:val="0"/>
            <w:vAlign w:val="center"/>
          </w:tcPr>
          <w:p w14:paraId="0605D2E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7153399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扎</w:t>
            </w:r>
          </w:p>
        </w:tc>
        <w:tc>
          <w:tcPr>
            <w:tcW w:w="3381" w:type="dxa"/>
            <w:noWrap w:val="0"/>
            <w:vAlign w:val="center"/>
          </w:tcPr>
          <w:p w14:paraId="27A743A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7102004">
            <w:pPr>
              <w:keepNext w:val="0"/>
              <w:keepLines w:val="0"/>
              <w:widowControl/>
              <w:suppressLineNumbers w:val="0"/>
              <w:jc w:val="center"/>
              <w:textAlignment w:val="center"/>
              <w:rPr>
                <w:rFonts w:hint="eastAsia"/>
                <w:color w:val="auto"/>
                <w:highlight w:val="none"/>
                <w:vertAlign w:val="baseline"/>
                <w:lang w:val="en-US" w:eastAsia="zh-CN"/>
              </w:rPr>
            </w:pPr>
          </w:p>
        </w:tc>
      </w:tr>
      <w:tr w14:paraId="05A2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B6C49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16</w:t>
            </w:r>
          </w:p>
        </w:tc>
        <w:tc>
          <w:tcPr>
            <w:tcW w:w="1690" w:type="dxa"/>
            <w:noWrap w:val="0"/>
            <w:vAlign w:val="center"/>
          </w:tcPr>
          <w:p w14:paraId="05B4315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线管</w:t>
            </w:r>
          </w:p>
        </w:tc>
        <w:tc>
          <w:tcPr>
            <w:tcW w:w="5928" w:type="dxa"/>
            <w:noWrap w:val="0"/>
            <w:vAlign w:val="center"/>
          </w:tcPr>
          <w:p w14:paraId="18948086">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Style w:val="95"/>
                <w:color w:val="auto"/>
                <w:highlight w:val="none"/>
                <w:lang w:val="en-US" w:eastAsia="zh-CN" w:bidi="ar"/>
              </w:rPr>
              <w:t>φ</w:t>
            </w:r>
            <w:r>
              <w:rPr>
                <w:rFonts w:hint="default" w:ascii="Calibri" w:hAnsi="Calibri" w:eastAsia="宋体" w:cs="Calibri"/>
                <w:i w:val="0"/>
                <w:iCs w:val="0"/>
                <w:color w:val="auto"/>
                <w:kern w:val="0"/>
                <w:sz w:val="20"/>
                <w:szCs w:val="20"/>
                <w:highlight w:val="none"/>
                <w:u w:val="none"/>
                <w:lang w:val="en-US" w:eastAsia="zh-CN" w:bidi="ar"/>
              </w:rPr>
              <w:t>25</w:t>
            </w:r>
            <w:r>
              <w:rPr>
                <w:rStyle w:val="95"/>
                <w:color w:val="auto"/>
                <w:highlight w:val="none"/>
                <w:lang w:val="en-US" w:eastAsia="zh-CN" w:bidi="ar"/>
              </w:rPr>
              <w:t>～φ</w:t>
            </w:r>
            <w:r>
              <w:rPr>
                <w:rFonts w:hint="default" w:ascii="Calibri" w:hAnsi="Calibri" w:eastAsia="宋体" w:cs="Calibri"/>
                <w:i w:val="0"/>
                <w:iCs w:val="0"/>
                <w:color w:val="auto"/>
                <w:kern w:val="0"/>
                <w:sz w:val="20"/>
                <w:szCs w:val="20"/>
                <w:highlight w:val="none"/>
                <w:u w:val="none"/>
                <w:lang w:val="en-US" w:eastAsia="zh-CN" w:bidi="ar"/>
              </w:rPr>
              <w:t>32</w:t>
            </w:r>
            <w:r>
              <w:rPr>
                <w:rStyle w:val="95"/>
                <w:color w:val="auto"/>
                <w:highlight w:val="none"/>
                <w:lang w:val="en-US" w:eastAsia="zh-CN" w:bidi="ar"/>
              </w:rPr>
              <w:t>，国产优质PVC阻燃管材</w:t>
            </w:r>
          </w:p>
        </w:tc>
        <w:tc>
          <w:tcPr>
            <w:tcW w:w="736" w:type="dxa"/>
            <w:noWrap w:val="0"/>
            <w:vAlign w:val="center"/>
          </w:tcPr>
          <w:p w14:paraId="51ABCC3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2027407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6693B6E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09D0E31">
            <w:pPr>
              <w:keepNext w:val="0"/>
              <w:keepLines w:val="0"/>
              <w:widowControl/>
              <w:suppressLineNumbers w:val="0"/>
              <w:jc w:val="center"/>
              <w:textAlignment w:val="center"/>
              <w:rPr>
                <w:rFonts w:hint="eastAsia"/>
                <w:color w:val="auto"/>
                <w:highlight w:val="none"/>
                <w:vertAlign w:val="baseline"/>
                <w:lang w:val="en-US" w:eastAsia="zh-CN"/>
              </w:rPr>
            </w:pPr>
          </w:p>
        </w:tc>
      </w:tr>
      <w:tr w14:paraId="7D00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A48A60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17</w:t>
            </w:r>
          </w:p>
        </w:tc>
        <w:tc>
          <w:tcPr>
            <w:tcW w:w="1690" w:type="dxa"/>
            <w:noWrap w:val="0"/>
            <w:vAlign w:val="center"/>
          </w:tcPr>
          <w:p w14:paraId="4695B43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其它辅助材料</w:t>
            </w:r>
          </w:p>
        </w:tc>
        <w:tc>
          <w:tcPr>
            <w:tcW w:w="5928" w:type="dxa"/>
            <w:noWrap w:val="0"/>
            <w:vAlign w:val="center"/>
          </w:tcPr>
          <w:p w14:paraId="14DA1A50">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管路支架、生料带、管卡、焊条、螺栓、玻璃胶、水泵防雨罩等</w:t>
            </w:r>
          </w:p>
        </w:tc>
        <w:tc>
          <w:tcPr>
            <w:tcW w:w="736" w:type="dxa"/>
            <w:noWrap w:val="0"/>
            <w:vAlign w:val="center"/>
          </w:tcPr>
          <w:p w14:paraId="3128688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138718E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Style w:val="131"/>
                <w:color w:val="auto"/>
                <w:highlight w:val="none"/>
                <w:lang w:val="en-US" w:eastAsia="zh-CN" w:bidi="ar"/>
              </w:rPr>
              <w:t>套</w:t>
            </w:r>
            <w:r>
              <w:rPr>
                <w:rFonts w:ascii="Calibri" w:hAnsi="Calibri" w:eastAsia="宋体" w:cs="Calibri"/>
                <w:i w:val="0"/>
                <w:iCs w:val="0"/>
                <w:color w:val="auto"/>
                <w:kern w:val="0"/>
                <w:sz w:val="20"/>
                <w:szCs w:val="20"/>
                <w:highlight w:val="none"/>
                <w:u w:val="none"/>
                <w:lang w:val="en-US" w:eastAsia="zh-CN" w:bidi="ar"/>
              </w:rPr>
              <w:t xml:space="preserve"> </w:t>
            </w:r>
          </w:p>
        </w:tc>
        <w:tc>
          <w:tcPr>
            <w:tcW w:w="3381" w:type="dxa"/>
            <w:noWrap w:val="0"/>
            <w:vAlign w:val="center"/>
          </w:tcPr>
          <w:p w14:paraId="18D8211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72F8B08">
            <w:pPr>
              <w:keepNext w:val="0"/>
              <w:keepLines w:val="0"/>
              <w:widowControl/>
              <w:suppressLineNumbers w:val="0"/>
              <w:jc w:val="center"/>
              <w:textAlignment w:val="center"/>
              <w:rPr>
                <w:rFonts w:hint="eastAsia"/>
                <w:color w:val="auto"/>
                <w:highlight w:val="none"/>
                <w:vertAlign w:val="baseline"/>
                <w:lang w:val="en-US" w:eastAsia="zh-CN"/>
              </w:rPr>
            </w:pPr>
          </w:p>
        </w:tc>
      </w:tr>
      <w:tr w14:paraId="0DAF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58E3ED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18</w:t>
            </w:r>
          </w:p>
        </w:tc>
        <w:tc>
          <w:tcPr>
            <w:tcW w:w="1690" w:type="dxa"/>
            <w:noWrap w:val="0"/>
            <w:vAlign w:val="center"/>
          </w:tcPr>
          <w:p w14:paraId="2BBD29E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运费</w:t>
            </w:r>
          </w:p>
        </w:tc>
        <w:tc>
          <w:tcPr>
            <w:tcW w:w="5928" w:type="dxa"/>
            <w:noWrap w:val="0"/>
            <w:vAlign w:val="center"/>
          </w:tcPr>
          <w:p w14:paraId="07438533">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0B78A63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0955675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33064EF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300DBA7">
            <w:pPr>
              <w:keepNext w:val="0"/>
              <w:keepLines w:val="0"/>
              <w:widowControl/>
              <w:suppressLineNumbers w:val="0"/>
              <w:jc w:val="center"/>
              <w:textAlignment w:val="center"/>
              <w:rPr>
                <w:rFonts w:hint="eastAsia"/>
                <w:color w:val="auto"/>
                <w:highlight w:val="none"/>
                <w:vertAlign w:val="baseline"/>
                <w:lang w:val="en-US" w:eastAsia="zh-CN"/>
              </w:rPr>
            </w:pPr>
          </w:p>
        </w:tc>
      </w:tr>
      <w:tr w14:paraId="4B43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08FB24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19</w:t>
            </w:r>
          </w:p>
        </w:tc>
        <w:tc>
          <w:tcPr>
            <w:tcW w:w="1690" w:type="dxa"/>
            <w:noWrap w:val="0"/>
            <w:vAlign w:val="center"/>
          </w:tcPr>
          <w:p w14:paraId="161D399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吊装费</w:t>
            </w:r>
          </w:p>
        </w:tc>
        <w:tc>
          <w:tcPr>
            <w:tcW w:w="5928" w:type="dxa"/>
            <w:noWrap w:val="0"/>
            <w:vAlign w:val="center"/>
          </w:tcPr>
          <w:p w14:paraId="0EEB6BDF">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因设备放置楼顶</w:t>
            </w:r>
          </w:p>
        </w:tc>
        <w:tc>
          <w:tcPr>
            <w:tcW w:w="736" w:type="dxa"/>
            <w:noWrap w:val="0"/>
            <w:vAlign w:val="center"/>
          </w:tcPr>
          <w:p w14:paraId="5D4B8AA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1949D46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02B05CD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F952BBB">
            <w:pPr>
              <w:keepNext w:val="0"/>
              <w:keepLines w:val="0"/>
              <w:widowControl/>
              <w:suppressLineNumbers w:val="0"/>
              <w:jc w:val="center"/>
              <w:textAlignment w:val="center"/>
              <w:rPr>
                <w:rFonts w:hint="eastAsia"/>
                <w:color w:val="auto"/>
                <w:highlight w:val="none"/>
                <w:vertAlign w:val="baseline"/>
                <w:lang w:val="en-US" w:eastAsia="zh-CN"/>
              </w:rPr>
            </w:pPr>
          </w:p>
        </w:tc>
      </w:tr>
      <w:tr w14:paraId="1480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66F6B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1690" w:type="dxa"/>
            <w:noWrap w:val="0"/>
            <w:vAlign w:val="center"/>
          </w:tcPr>
          <w:p w14:paraId="001824F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安装费</w:t>
            </w:r>
          </w:p>
        </w:tc>
        <w:tc>
          <w:tcPr>
            <w:tcW w:w="5928" w:type="dxa"/>
            <w:noWrap w:val="0"/>
            <w:vAlign w:val="center"/>
          </w:tcPr>
          <w:p w14:paraId="1421046D">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1EA9466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AFC9A3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366DE5E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2FBBCE1">
            <w:pPr>
              <w:keepNext w:val="0"/>
              <w:keepLines w:val="0"/>
              <w:widowControl/>
              <w:suppressLineNumbers w:val="0"/>
              <w:jc w:val="center"/>
              <w:textAlignment w:val="center"/>
              <w:rPr>
                <w:rFonts w:hint="eastAsia"/>
                <w:color w:val="auto"/>
                <w:highlight w:val="none"/>
                <w:vertAlign w:val="baseline"/>
                <w:lang w:val="en-US" w:eastAsia="zh-CN"/>
              </w:rPr>
            </w:pPr>
          </w:p>
        </w:tc>
      </w:tr>
      <w:tr w14:paraId="7DDD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842FB5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21</w:t>
            </w:r>
          </w:p>
        </w:tc>
        <w:tc>
          <w:tcPr>
            <w:tcW w:w="1690" w:type="dxa"/>
            <w:noWrap w:val="0"/>
            <w:vAlign w:val="center"/>
          </w:tcPr>
          <w:p w14:paraId="4C7603C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设备围栏</w:t>
            </w:r>
          </w:p>
        </w:tc>
        <w:tc>
          <w:tcPr>
            <w:tcW w:w="5928" w:type="dxa"/>
            <w:noWrap w:val="0"/>
            <w:vAlign w:val="center"/>
          </w:tcPr>
          <w:p w14:paraId="5CADBE7B">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304不锈钢，因设备放置在一楼防止学生接触及破坏</w:t>
            </w:r>
          </w:p>
        </w:tc>
        <w:tc>
          <w:tcPr>
            <w:tcW w:w="736" w:type="dxa"/>
            <w:noWrap w:val="0"/>
            <w:vAlign w:val="center"/>
          </w:tcPr>
          <w:p w14:paraId="4B3DABC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4FD9D05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0B24894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25F3D2E1">
            <w:pPr>
              <w:keepNext w:val="0"/>
              <w:keepLines w:val="0"/>
              <w:widowControl/>
              <w:suppressLineNumbers w:val="0"/>
              <w:jc w:val="center"/>
              <w:textAlignment w:val="center"/>
              <w:rPr>
                <w:rFonts w:hint="eastAsia"/>
                <w:color w:val="auto"/>
                <w:highlight w:val="none"/>
                <w:vertAlign w:val="baseline"/>
                <w:lang w:val="en-US" w:eastAsia="zh-CN"/>
              </w:rPr>
            </w:pPr>
          </w:p>
        </w:tc>
      </w:tr>
      <w:tr w14:paraId="13DB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4679EB75">
            <w:pPr>
              <w:keepNext w:val="0"/>
              <w:keepLines w:val="0"/>
              <w:widowControl/>
              <w:suppressLineNumbers w:val="0"/>
              <w:jc w:val="left"/>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那桃中心小学</w:t>
            </w:r>
          </w:p>
        </w:tc>
      </w:tr>
      <w:tr w14:paraId="51D3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E71F02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1690" w:type="dxa"/>
            <w:noWrap w:val="0"/>
            <w:vAlign w:val="center"/>
          </w:tcPr>
          <w:p w14:paraId="631E880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空气源热泵</w:t>
            </w:r>
          </w:p>
        </w:tc>
        <w:tc>
          <w:tcPr>
            <w:tcW w:w="5928" w:type="dxa"/>
            <w:noWrap w:val="0"/>
            <w:vAlign w:val="center"/>
          </w:tcPr>
          <w:p w14:paraId="741014D9">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1.标准工况20℃：</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★额定制热量（Kw） ≥19.0</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★额定输入功率（Kw） ≤4.3</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能效比COP ≥4.45；</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★循环不流量≥3.3 m3/h</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★2.产热水量(L/h) ≥415</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3.额定输入电流（A） 8.6</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4.额定出水温度 ≥55℃</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5.防触电等级 I类</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6.防水等级 IP×4</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7.噪音 ≤62dB(A)</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8.能效等级2级以上。</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9.热泵具有根据系统运行自动降低能耗的功能</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10.热泵具有针对水温环境，自动调节，智能控制机组运行状况，调节机组设备运营状况技术</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default" w:ascii="Calibri" w:hAnsi="Calibri" w:eastAsia="宋体" w:cs="Calibri"/>
                <w:i w:val="0"/>
                <w:iCs w:val="0"/>
                <w:color w:val="auto"/>
                <w:kern w:val="0"/>
                <w:sz w:val="20"/>
                <w:szCs w:val="20"/>
                <w:highlight w:val="none"/>
                <w:u w:val="none"/>
                <w:lang w:val="en-US" w:eastAsia="zh-CN" w:bidi="ar"/>
              </w:rPr>
              <w:t>11.热泵具备周期性高温杀菌功能</w:t>
            </w:r>
          </w:p>
        </w:tc>
        <w:tc>
          <w:tcPr>
            <w:tcW w:w="736" w:type="dxa"/>
            <w:noWrap w:val="0"/>
            <w:vAlign w:val="center"/>
          </w:tcPr>
          <w:p w14:paraId="51326F4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002B9FB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29A0E10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AA7B129">
            <w:pPr>
              <w:keepNext w:val="0"/>
              <w:keepLines w:val="0"/>
              <w:widowControl/>
              <w:suppressLineNumbers w:val="0"/>
              <w:jc w:val="center"/>
              <w:textAlignment w:val="center"/>
              <w:rPr>
                <w:rFonts w:hint="eastAsia"/>
                <w:color w:val="auto"/>
                <w:highlight w:val="none"/>
                <w:vertAlign w:val="baseline"/>
                <w:lang w:val="en-US" w:eastAsia="zh-CN"/>
              </w:rPr>
            </w:pPr>
          </w:p>
        </w:tc>
      </w:tr>
      <w:tr w14:paraId="4325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7F997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1690" w:type="dxa"/>
            <w:noWrap w:val="0"/>
            <w:vAlign w:val="center"/>
          </w:tcPr>
          <w:p w14:paraId="0E6110E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5吨保温水箱</w:t>
            </w:r>
          </w:p>
        </w:tc>
        <w:tc>
          <w:tcPr>
            <w:tcW w:w="5928" w:type="dxa"/>
            <w:noWrap w:val="0"/>
            <w:vAlign w:val="center"/>
          </w:tcPr>
          <w:p w14:paraId="5D589D5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内胆采用优质</w:t>
            </w:r>
            <w:r>
              <w:rPr>
                <w:rFonts w:hint="default" w:ascii="Calibri" w:hAnsi="Calibri" w:eastAsia="宋体" w:cs="Calibri"/>
                <w:i w:val="0"/>
                <w:iCs w:val="0"/>
                <w:color w:val="auto"/>
                <w:kern w:val="0"/>
                <w:sz w:val="20"/>
                <w:szCs w:val="20"/>
                <w:highlight w:val="none"/>
                <w:u w:val="none"/>
                <w:lang w:val="en-US" w:eastAsia="zh-CN" w:bidi="ar"/>
              </w:rPr>
              <w:t>SUS304</w:t>
            </w:r>
            <w:r>
              <w:rPr>
                <w:rFonts w:hint="eastAsia" w:ascii="宋体" w:hAnsi="宋体" w:eastAsia="宋体" w:cs="宋体"/>
                <w:i w:val="0"/>
                <w:iCs w:val="0"/>
                <w:color w:val="auto"/>
                <w:kern w:val="0"/>
                <w:sz w:val="20"/>
                <w:szCs w:val="20"/>
                <w:highlight w:val="none"/>
                <w:u w:val="none"/>
                <w:lang w:val="en-US" w:eastAsia="zh-CN" w:bidi="ar"/>
              </w:rPr>
              <w:t>不锈钢板制作，中层采用聚氨酯整体恒温机械发泡厚度</w:t>
            </w:r>
            <w:r>
              <w:rPr>
                <w:rFonts w:hint="default" w:ascii="Calibri" w:hAnsi="Calibri" w:eastAsia="宋体" w:cs="Calibri"/>
                <w:i w:val="0"/>
                <w:iCs w:val="0"/>
                <w:color w:val="auto"/>
                <w:kern w:val="0"/>
                <w:sz w:val="20"/>
                <w:szCs w:val="20"/>
                <w:highlight w:val="none"/>
                <w:u w:val="none"/>
                <w:lang w:val="en-US" w:eastAsia="zh-CN" w:bidi="ar"/>
              </w:rPr>
              <w:t>δ</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50mm</w:t>
            </w:r>
            <w:r>
              <w:rPr>
                <w:rFonts w:hint="eastAsia" w:ascii="宋体" w:hAnsi="宋体" w:eastAsia="宋体" w:cs="宋体"/>
                <w:i w:val="0"/>
                <w:iCs w:val="0"/>
                <w:color w:val="auto"/>
                <w:kern w:val="0"/>
                <w:sz w:val="20"/>
                <w:szCs w:val="20"/>
                <w:highlight w:val="none"/>
                <w:u w:val="none"/>
                <w:lang w:val="en-US" w:eastAsia="zh-CN" w:bidi="ar"/>
              </w:rPr>
              <w:t>，外包不锈钢板，水箱设置水箱设置人孔检查口等配套设施</w:t>
            </w:r>
          </w:p>
        </w:tc>
        <w:tc>
          <w:tcPr>
            <w:tcW w:w="736" w:type="dxa"/>
            <w:noWrap w:val="0"/>
            <w:vAlign w:val="center"/>
          </w:tcPr>
          <w:p w14:paraId="4C9124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4DDB270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c>
          <w:tcPr>
            <w:tcW w:w="3381" w:type="dxa"/>
            <w:noWrap w:val="0"/>
            <w:vAlign w:val="center"/>
          </w:tcPr>
          <w:p w14:paraId="5AF478B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DDEBE3F">
            <w:pPr>
              <w:keepNext w:val="0"/>
              <w:keepLines w:val="0"/>
              <w:widowControl/>
              <w:suppressLineNumbers w:val="0"/>
              <w:jc w:val="center"/>
              <w:textAlignment w:val="center"/>
              <w:rPr>
                <w:rFonts w:hint="eastAsia"/>
                <w:color w:val="auto"/>
                <w:highlight w:val="none"/>
                <w:vertAlign w:val="baseline"/>
                <w:lang w:val="en-US" w:eastAsia="zh-CN"/>
              </w:rPr>
            </w:pPr>
          </w:p>
        </w:tc>
      </w:tr>
      <w:tr w14:paraId="623B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1F4EE6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w:t>
            </w:r>
          </w:p>
        </w:tc>
        <w:tc>
          <w:tcPr>
            <w:tcW w:w="1690" w:type="dxa"/>
            <w:noWrap w:val="0"/>
            <w:vAlign w:val="center"/>
          </w:tcPr>
          <w:p w14:paraId="2030333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热泵循环泵</w:t>
            </w:r>
          </w:p>
        </w:tc>
        <w:tc>
          <w:tcPr>
            <w:tcW w:w="5928" w:type="dxa"/>
            <w:noWrap w:val="0"/>
            <w:vAlign w:val="center"/>
          </w:tcPr>
          <w:p w14:paraId="554DF9AC">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w:t>
            </w:r>
            <w:r>
              <w:rPr>
                <w:rFonts w:hint="default" w:ascii="Calibri" w:hAnsi="Calibri" w:eastAsia="宋体" w:cs="Calibri"/>
                <w:i w:val="0"/>
                <w:iCs w:val="0"/>
                <w:color w:val="auto"/>
                <w:kern w:val="0"/>
                <w:sz w:val="20"/>
                <w:szCs w:val="20"/>
                <w:highlight w:val="none"/>
                <w:u w:val="none"/>
                <w:lang w:val="en-US" w:eastAsia="zh-CN" w:bidi="ar"/>
              </w:rPr>
              <w:t>6.6m³/h</w:t>
            </w:r>
            <w:r>
              <w:rPr>
                <w:rFonts w:hint="eastAsia" w:ascii="宋体" w:hAnsi="宋体" w:eastAsia="宋体" w:cs="宋体"/>
                <w:i w:val="0"/>
                <w:iCs w:val="0"/>
                <w:color w:val="auto"/>
                <w:kern w:val="0"/>
                <w:sz w:val="20"/>
                <w:szCs w:val="20"/>
                <w:highlight w:val="none"/>
                <w:u w:val="none"/>
                <w:lang w:val="en-US" w:eastAsia="zh-CN" w:bidi="ar"/>
              </w:rPr>
              <w:t>，扬程</w:t>
            </w:r>
            <w:r>
              <w:rPr>
                <w:rFonts w:hint="default" w:ascii="Calibri" w:hAnsi="Calibri" w:eastAsia="宋体" w:cs="Calibri"/>
                <w:i w:val="0"/>
                <w:iCs w:val="0"/>
                <w:color w:val="auto"/>
                <w:kern w:val="0"/>
                <w:sz w:val="20"/>
                <w:szCs w:val="20"/>
                <w:highlight w:val="none"/>
                <w:u w:val="none"/>
                <w:lang w:val="en-US" w:eastAsia="zh-CN" w:bidi="ar"/>
              </w:rPr>
              <w:t>18m</w:t>
            </w:r>
            <w:r>
              <w:rPr>
                <w:rFonts w:hint="eastAsia" w:ascii="宋体" w:hAnsi="宋体" w:eastAsia="宋体" w:cs="宋体"/>
                <w:i w:val="0"/>
                <w:iCs w:val="0"/>
                <w:color w:val="auto"/>
                <w:kern w:val="0"/>
                <w:sz w:val="20"/>
                <w:szCs w:val="20"/>
                <w:highlight w:val="none"/>
                <w:u w:val="none"/>
                <w:lang w:val="en-US" w:eastAsia="zh-CN" w:bidi="ar"/>
              </w:rPr>
              <w:t>，功率</w:t>
            </w:r>
            <w:r>
              <w:rPr>
                <w:rFonts w:hint="default" w:ascii="Calibri" w:hAnsi="Calibri" w:eastAsia="宋体" w:cs="Calibri"/>
                <w:i w:val="0"/>
                <w:iCs w:val="0"/>
                <w:color w:val="auto"/>
                <w:kern w:val="0"/>
                <w:sz w:val="20"/>
                <w:szCs w:val="20"/>
                <w:highlight w:val="none"/>
                <w:u w:val="none"/>
                <w:lang w:val="en-US" w:eastAsia="zh-CN" w:bidi="ar"/>
              </w:rPr>
              <w:t>750W</w:t>
            </w:r>
          </w:p>
        </w:tc>
        <w:tc>
          <w:tcPr>
            <w:tcW w:w="736" w:type="dxa"/>
            <w:noWrap w:val="0"/>
            <w:vAlign w:val="center"/>
          </w:tcPr>
          <w:p w14:paraId="1158E77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BD25F2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773957D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4C2D97C">
            <w:pPr>
              <w:keepNext w:val="0"/>
              <w:keepLines w:val="0"/>
              <w:widowControl/>
              <w:suppressLineNumbers w:val="0"/>
              <w:jc w:val="center"/>
              <w:textAlignment w:val="center"/>
              <w:rPr>
                <w:rFonts w:hint="eastAsia"/>
                <w:color w:val="auto"/>
                <w:highlight w:val="none"/>
                <w:vertAlign w:val="baseline"/>
                <w:lang w:val="en-US" w:eastAsia="zh-CN"/>
              </w:rPr>
            </w:pPr>
          </w:p>
        </w:tc>
      </w:tr>
      <w:tr w14:paraId="2A00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1E051F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4</w:t>
            </w:r>
          </w:p>
        </w:tc>
        <w:tc>
          <w:tcPr>
            <w:tcW w:w="1690" w:type="dxa"/>
            <w:noWrap w:val="0"/>
            <w:vAlign w:val="center"/>
          </w:tcPr>
          <w:p w14:paraId="2BA1104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热水自动增压泵</w:t>
            </w:r>
          </w:p>
        </w:tc>
        <w:tc>
          <w:tcPr>
            <w:tcW w:w="5928" w:type="dxa"/>
            <w:noWrap w:val="0"/>
            <w:vAlign w:val="center"/>
          </w:tcPr>
          <w:p w14:paraId="2FA456F8">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w:t>
            </w:r>
            <w:r>
              <w:rPr>
                <w:rFonts w:hint="default" w:ascii="Calibri" w:hAnsi="Calibri" w:eastAsia="宋体" w:cs="Calibri"/>
                <w:i w:val="0"/>
                <w:iCs w:val="0"/>
                <w:color w:val="auto"/>
                <w:kern w:val="0"/>
                <w:sz w:val="20"/>
                <w:szCs w:val="20"/>
                <w:highlight w:val="none"/>
                <w:u w:val="none"/>
                <w:lang w:val="en-US" w:eastAsia="zh-CN" w:bidi="ar"/>
              </w:rPr>
              <w:t>12m³/h</w:t>
            </w:r>
            <w:r>
              <w:rPr>
                <w:rFonts w:hint="eastAsia" w:ascii="宋体" w:hAnsi="宋体" w:eastAsia="宋体" w:cs="宋体"/>
                <w:i w:val="0"/>
                <w:iCs w:val="0"/>
                <w:color w:val="auto"/>
                <w:kern w:val="0"/>
                <w:sz w:val="20"/>
                <w:szCs w:val="20"/>
                <w:highlight w:val="none"/>
                <w:u w:val="none"/>
                <w:lang w:val="en-US" w:eastAsia="zh-CN" w:bidi="ar"/>
              </w:rPr>
              <w:t>，扬程</w:t>
            </w:r>
            <w:r>
              <w:rPr>
                <w:rFonts w:hint="default" w:ascii="Calibri" w:hAnsi="Calibri" w:eastAsia="宋体" w:cs="Calibri"/>
                <w:i w:val="0"/>
                <w:iCs w:val="0"/>
                <w:color w:val="auto"/>
                <w:kern w:val="0"/>
                <w:sz w:val="20"/>
                <w:szCs w:val="20"/>
                <w:highlight w:val="none"/>
                <w:u w:val="none"/>
                <w:lang w:val="en-US" w:eastAsia="zh-CN" w:bidi="ar"/>
              </w:rPr>
              <w:t>27.5m</w:t>
            </w:r>
            <w:r>
              <w:rPr>
                <w:rFonts w:hint="eastAsia" w:ascii="宋体" w:hAnsi="宋体" w:eastAsia="宋体" w:cs="宋体"/>
                <w:i w:val="0"/>
                <w:iCs w:val="0"/>
                <w:color w:val="auto"/>
                <w:kern w:val="0"/>
                <w:sz w:val="20"/>
                <w:szCs w:val="20"/>
                <w:highlight w:val="none"/>
                <w:u w:val="none"/>
                <w:lang w:val="en-US" w:eastAsia="zh-CN" w:bidi="ar"/>
              </w:rPr>
              <w:t>，功率</w:t>
            </w:r>
            <w:r>
              <w:rPr>
                <w:rFonts w:hint="default" w:ascii="Calibri" w:hAnsi="Calibri" w:eastAsia="宋体" w:cs="Calibri"/>
                <w:i w:val="0"/>
                <w:iCs w:val="0"/>
                <w:color w:val="auto"/>
                <w:kern w:val="0"/>
                <w:sz w:val="20"/>
                <w:szCs w:val="20"/>
                <w:highlight w:val="none"/>
                <w:u w:val="none"/>
                <w:lang w:val="en-US" w:eastAsia="zh-CN" w:bidi="ar"/>
              </w:rPr>
              <w:t>1.85W</w:t>
            </w:r>
          </w:p>
        </w:tc>
        <w:tc>
          <w:tcPr>
            <w:tcW w:w="736" w:type="dxa"/>
            <w:noWrap w:val="0"/>
            <w:vAlign w:val="center"/>
          </w:tcPr>
          <w:p w14:paraId="4418FB1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04E2B7D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10FD196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89A1948">
            <w:pPr>
              <w:keepNext w:val="0"/>
              <w:keepLines w:val="0"/>
              <w:widowControl/>
              <w:suppressLineNumbers w:val="0"/>
              <w:jc w:val="center"/>
              <w:textAlignment w:val="center"/>
              <w:rPr>
                <w:rFonts w:hint="eastAsia"/>
                <w:color w:val="auto"/>
                <w:highlight w:val="none"/>
                <w:vertAlign w:val="baseline"/>
                <w:lang w:val="en-US" w:eastAsia="zh-CN"/>
              </w:rPr>
            </w:pPr>
          </w:p>
        </w:tc>
      </w:tr>
      <w:tr w14:paraId="1FDB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460232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5</w:t>
            </w:r>
          </w:p>
        </w:tc>
        <w:tc>
          <w:tcPr>
            <w:tcW w:w="1690" w:type="dxa"/>
            <w:noWrap w:val="0"/>
            <w:vAlign w:val="center"/>
          </w:tcPr>
          <w:p w14:paraId="0F813D9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6FEC763A">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De50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6273EBD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w:t>
            </w:r>
          </w:p>
        </w:tc>
        <w:tc>
          <w:tcPr>
            <w:tcW w:w="834" w:type="dxa"/>
            <w:noWrap w:val="0"/>
            <w:vAlign w:val="center"/>
          </w:tcPr>
          <w:p w14:paraId="38699C3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3152BD9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FC121F5">
            <w:pPr>
              <w:keepNext w:val="0"/>
              <w:keepLines w:val="0"/>
              <w:widowControl/>
              <w:suppressLineNumbers w:val="0"/>
              <w:jc w:val="center"/>
              <w:textAlignment w:val="center"/>
              <w:rPr>
                <w:rFonts w:hint="eastAsia"/>
                <w:color w:val="auto"/>
                <w:highlight w:val="none"/>
                <w:vertAlign w:val="baseline"/>
                <w:lang w:val="en-US" w:eastAsia="zh-CN"/>
              </w:rPr>
            </w:pPr>
          </w:p>
        </w:tc>
      </w:tr>
      <w:tr w14:paraId="61DF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3EDFA7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6</w:t>
            </w:r>
          </w:p>
        </w:tc>
        <w:tc>
          <w:tcPr>
            <w:tcW w:w="1690" w:type="dxa"/>
            <w:noWrap w:val="0"/>
            <w:vAlign w:val="center"/>
          </w:tcPr>
          <w:p w14:paraId="629D9D5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55D1BFF0">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De40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4A10AB2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834" w:type="dxa"/>
            <w:noWrap w:val="0"/>
            <w:vAlign w:val="center"/>
          </w:tcPr>
          <w:p w14:paraId="7C535BC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5FF9170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B0455A2">
            <w:pPr>
              <w:keepNext w:val="0"/>
              <w:keepLines w:val="0"/>
              <w:widowControl/>
              <w:suppressLineNumbers w:val="0"/>
              <w:jc w:val="center"/>
              <w:textAlignment w:val="center"/>
              <w:rPr>
                <w:rFonts w:hint="eastAsia"/>
                <w:color w:val="auto"/>
                <w:highlight w:val="none"/>
                <w:vertAlign w:val="baseline"/>
                <w:lang w:val="en-US" w:eastAsia="zh-CN"/>
              </w:rPr>
            </w:pPr>
          </w:p>
        </w:tc>
      </w:tr>
      <w:tr w14:paraId="16DB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37C0D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7</w:t>
            </w:r>
          </w:p>
        </w:tc>
        <w:tc>
          <w:tcPr>
            <w:tcW w:w="1690" w:type="dxa"/>
            <w:noWrap w:val="0"/>
            <w:vAlign w:val="center"/>
          </w:tcPr>
          <w:p w14:paraId="2DAA535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72AA7BC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De32</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365D9A2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834" w:type="dxa"/>
            <w:noWrap w:val="0"/>
            <w:vAlign w:val="center"/>
          </w:tcPr>
          <w:p w14:paraId="3A2A942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01E5B37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4188F82">
            <w:pPr>
              <w:keepNext w:val="0"/>
              <w:keepLines w:val="0"/>
              <w:widowControl/>
              <w:suppressLineNumbers w:val="0"/>
              <w:jc w:val="center"/>
              <w:textAlignment w:val="center"/>
              <w:rPr>
                <w:rFonts w:hint="eastAsia"/>
                <w:color w:val="auto"/>
                <w:highlight w:val="none"/>
                <w:vertAlign w:val="baseline"/>
                <w:lang w:val="en-US" w:eastAsia="zh-CN"/>
              </w:rPr>
            </w:pPr>
          </w:p>
        </w:tc>
      </w:tr>
      <w:tr w14:paraId="4BCA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307A53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8</w:t>
            </w:r>
          </w:p>
        </w:tc>
        <w:tc>
          <w:tcPr>
            <w:tcW w:w="1690" w:type="dxa"/>
            <w:noWrap w:val="0"/>
            <w:vAlign w:val="center"/>
          </w:tcPr>
          <w:p w14:paraId="5298562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75EB7C3E">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De25</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48CD36F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834" w:type="dxa"/>
            <w:noWrap w:val="0"/>
            <w:vAlign w:val="center"/>
          </w:tcPr>
          <w:p w14:paraId="0BBD494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0C8C9C7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90FD2A3">
            <w:pPr>
              <w:keepNext w:val="0"/>
              <w:keepLines w:val="0"/>
              <w:widowControl/>
              <w:suppressLineNumbers w:val="0"/>
              <w:jc w:val="center"/>
              <w:textAlignment w:val="center"/>
              <w:rPr>
                <w:rFonts w:hint="eastAsia"/>
                <w:color w:val="auto"/>
                <w:highlight w:val="none"/>
                <w:vertAlign w:val="baseline"/>
                <w:lang w:val="en-US" w:eastAsia="zh-CN"/>
              </w:rPr>
            </w:pPr>
          </w:p>
        </w:tc>
      </w:tr>
      <w:tr w14:paraId="2B85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F55DA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9</w:t>
            </w:r>
          </w:p>
        </w:tc>
        <w:tc>
          <w:tcPr>
            <w:tcW w:w="1690" w:type="dxa"/>
            <w:noWrap w:val="0"/>
            <w:vAlign w:val="center"/>
          </w:tcPr>
          <w:p w14:paraId="49F6F93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22893B48">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7526FA4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60</w:t>
            </w:r>
          </w:p>
        </w:tc>
        <w:tc>
          <w:tcPr>
            <w:tcW w:w="834" w:type="dxa"/>
            <w:noWrap w:val="0"/>
            <w:vAlign w:val="center"/>
          </w:tcPr>
          <w:p w14:paraId="59D62F3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01CF0B9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E4DEE08">
            <w:pPr>
              <w:keepNext w:val="0"/>
              <w:keepLines w:val="0"/>
              <w:widowControl/>
              <w:suppressLineNumbers w:val="0"/>
              <w:jc w:val="center"/>
              <w:textAlignment w:val="center"/>
              <w:rPr>
                <w:rFonts w:hint="eastAsia"/>
                <w:color w:val="auto"/>
                <w:highlight w:val="none"/>
                <w:vertAlign w:val="baseline"/>
                <w:lang w:val="en-US" w:eastAsia="zh-CN"/>
              </w:rPr>
            </w:pPr>
          </w:p>
        </w:tc>
      </w:tr>
      <w:tr w14:paraId="691E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1486B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10</w:t>
            </w:r>
          </w:p>
        </w:tc>
        <w:tc>
          <w:tcPr>
            <w:tcW w:w="1690" w:type="dxa"/>
            <w:noWrap w:val="0"/>
            <w:vAlign w:val="center"/>
          </w:tcPr>
          <w:p w14:paraId="0FF5670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PPR热水管道配件</w:t>
            </w:r>
          </w:p>
        </w:tc>
        <w:tc>
          <w:tcPr>
            <w:tcW w:w="5928" w:type="dxa"/>
            <w:noWrap w:val="0"/>
            <w:vAlign w:val="center"/>
          </w:tcPr>
          <w:p w14:paraId="6F9C8660">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外牙、内牙、阀门、弯头、三通、直通等</w:t>
            </w:r>
          </w:p>
        </w:tc>
        <w:tc>
          <w:tcPr>
            <w:tcW w:w="736" w:type="dxa"/>
            <w:noWrap w:val="0"/>
            <w:vAlign w:val="center"/>
          </w:tcPr>
          <w:p w14:paraId="5EB7D9F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E38E2C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726CDAE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ED1BE0F">
            <w:pPr>
              <w:keepNext w:val="0"/>
              <w:keepLines w:val="0"/>
              <w:widowControl/>
              <w:suppressLineNumbers w:val="0"/>
              <w:jc w:val="center"/>
              <w:textAlignment w:val="center"/>
              <w:rPr>
                <w:rFonts w:hint="eastAsia"/>
                <w:color w:val="auto"/>
                <w:highlight w:val="none"/>
                <w:vertAlign w:val="baseline"/>
                <w:lang w:val="en-US" w:eastAsia="zh-CN"/>
              </w:rPr>
            </w:pPr>
          </w:p>
        </w:tc>
      </w:tr>
      <w:tr w14:paraId="5E9D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F9C485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11</w:t>
            </w:r>
          </w:p>
        </w:tc>
        <w:tc>
          <w:tcPr>
            <w:tcW w:w="1690" w:type="dxa"/>
            <w:noWrap w:val="0"/>
            <w:vAlign w:val="center"/>
          </w:tcPr>
          <w:p w14:paraId="613A863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管道保温</w:t>
            </w:r>
          </w:p>
        </w:tc>
        <w:tc>
          <w:tcPr>
            <w:tcW w:w="5928" w:type="dxa"/>
            <w:noWrap w:val="0"/>
            <w:vAlign w:val="center"/>
          </w:tcPr>
          <w:p w14:paraId="1EAEA030">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橡塑保温</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铝箔纸</w:t>
            </w:r>
          </w:p>
        </w:tc>
        <w:tc>
          <w:tcPr>
            <w:tcW w:w="736" w:type="dxa"/>
            <w:noWrap w:val="0"/>
            <w:vAlign w:val="center"/>
          </w:tcPr>
          <w:p w14:paraId="06363B3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108</w:t>
            </w:r>
          </w:p>
        </w:tc>
        <w:tc>
          <w:tcPr>
            <w:tcW w:w="834" w:type="dxa"/>
            <w:noWrap w:val="0"/>
            <w:vAlign w:val="center"/>
          </w:tcPr>
          <w:p w14:paraId="19BA325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572FEDA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2051A74">
            <w:pPr>
              <w:keepNext w:val="0"/>
              <w:keepLines w:val="0"/>
              <w:widowControl/>
              <w:suppressLineNumbers w:val="0"/>
              <w:jc w:val="center"/>
              <w:textAlignment w:val="center"/>
              <w:rPr>
                <w:rFonts w:hint="eastAsia"/>
                <w:color w:val="auto"/>
                <w:highlight w:val="none"/>
                <w:vertAlign w:val="baseline"/>
                <w:lang w:val="en-US" w:eastAsia="zh-CN"/>
              </w:rPr>
            </w:pPr>
          </w:p>
        </w:tc>
      </w:tr>
      <w:tr w14:paraId="4851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F127D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12</w:t>
            </w:r>
          </w:p>
        </w:tc>
        <w:tc>
          <w:tcPr>
            <w:tcW w:w="1690" w:type="dxa"/>
            <w:noWrap w:val="0"/>
            <w:vAlign w:val="center"/>
          </w:tcPr>
          <w:p w14:paraId="1D55C66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软化水处理设备</w:t>
            </w:r>
          </w:p>
        </w:tc>
        <w:tc>
          <w:tcPr>
            <w:tcW w:w="5928" w:type="dxa"/>
            <w:noWrap w:val="0"/>
            <w:vAlign w:val="center"/>
          </w:tcPr>
          <w:p w14:paraId="67929D31">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w:t>
            </w:r>
            <w:r>
              <w:rPr>
                <w:rFonts w:hint="default" w:ascii="Calibri" w:hAnsi="Calibri" w:eastAsia="宋体" w:cs="Calibri"/>
                <w:i w:val="0"/>
                <w:iCs w:val="0"/>
                <w:color w:val="auto"/>
                <w:kern w:val="0"/>
                <w:sz w:val="20"/>
                <w:szCs w:val="20"/>
                <w:highlight w:val="none"/>
                <w:u w:val="none"/>
                <w:lang w:val="en-US" w:eastAsia="zh-CN" w:bidi="ar"/>
              </w:rPr>
              <w:t>220V</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工作功率：</w:t>
            </w:r>
            <w:r>
              <w:rPr>
                <w:rFonts w:hint="default" w:ascii="Calibri" w:hAnsi="Calibri" w:eastAsia="宋体" w:cs="Calibri"/>
                <w:i w:val="0"/>
                <w:iCs w:val="0"/>
                <w:color w:val="auto"/>
                <w:kern w:val="0"/>
                <w:sz w:val="20"/>
                <w:szCs w:val="20"/>
                <w:highlight w:val="none"/>
                <w:u w:val="none"/>
                <w:lang w:val="en-US" w:eastAsia="zh-CN" w:bidi="ar"/>
              </w:rPr>
              <w:t>30w</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冬季工作功率：</w:t>
            </w:r>
            <w:r>
              <w:rPr>
                <w:rFonts w:hint="default" w:ascii="Calibri" w:hAnsi="Calibri" w:eastAsia="宋体" w:cs="Calibri"/>
                <w:i w:val="0"/>
                <w:iCs w:val="0"/>
                <w:color w:val="auto"/>
                <w:kern w:val="0"/>
                <w:sz w:val="20"/>
                <w:szCs w:val="20"/>
                <w:highlight w:val="none"/>
                <w:u w:val="none"/>
                <w:lang w:val="en-US" w:eastAsia="zh-CN" w:bidi="ar"/>
              </w:rPr>
              <w:t>230w</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水处理量：</w:t>
            </w:r>
            <w:r>
              <w:rPr>
                <w:rFonts w:hint="default" w:ascii="Calibri" w:hAnsi="Calibri" w:eastAsia="宋体" w:cs="Calibri"/>
                <w:i w:val="0"/>
                <w:iCs w:val="0"/>
                <w:color w:val="auto"/>
                <w:kern w:val="0"/>
                <w:sz w:val="20"/>
                <w:szCs w:val="20"/>
                <w:highlight w:val="none"/>
                <w:u w:val="none"/>
                <w:lang w:val="en-US" w:eastAsia="zh-CN" w:bidi="ar"/>
              </w:rPr>
              <w:t>0-3m³/ h</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机组尺寸：长</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宽</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高</w:t>
            </w:r>
            <w:r>
              <w:rPr>
                <w:rFonts w:hint="default" w:ascii="Calibri" w:hAnsi="Calibri" w:eastAsia="宋体" w:cs="Calibri"/>
                <w:i w:val="0"/>
                <w:iCs w:val="0"/>
                <w:color w:val="auto"/>
                <w:kern w:val="0"/>
                <w:sz w:val="20"/>
                <w:szCs w:val="20"/>
                <w:highlight w:val="none"/>
                <w:u w:val="none"/>
                <w:lang w:val="en-US" w:eastAsia="zh-CN" w:bidi="ar"/>
              </w:rPr>
              <w:t>450mm*400mm*900mm</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机组质量：</w:t>
            </w:r>
            <w:r>
              <w:rPr>
                <w:rFonts w:hint="default" w:ascii="Calibri" w:hAnsi="Calibri" w:eastAsia="宋体" w:cs="Calibri"/>
                <w:i w:val="0"/>
                <w:iCs w:val="0"/>
                <w:color w:val="auto"/>
                <w:kern w:val="0"/>
                <w:sz w:val="20"/>
                <w:szCs w:val="20"/>
                <w:highlight w:val="none"/>
                <w:u w:val="none"/>
                <w:lang w:val="en-US" w:eastAsia="zh-CN" w:bidi="ar"/>
              </w:rPr>
              <w:t>33kg</w:t>
            </w:r>
          </w:p>
        </w:tc>
        <w:tc>
          <w:tcPr>
            <w:tcW w:w="736" w:type="dxa"/>
            <w:noWrap w:val="0"/>
            <w:vAlign w:val="center"/>
          </w:tcPr>
          <w:p w14:paraId="3FC45BF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372512D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01A448D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D3CB28F">
            <w:pPr>
              <w:keepNext w:val="0"/>
              <w:keepLines w:val="0"/>
              <w:widowControl/>
              <w:suppressLineNumbers w:val="0"/>
              <w:jc w:val="center"/>
              <w:textAlignment w:val="center"/>
              <w:rPr>
                <w:rFonts w:hint="eastAsia"/>
                <w:color w:val="auto"/>
                <w:highlight w:val="none"/>
                <w:vertAlign w:val="baseline"/>
                <w:lang w:val="en-US" w:eastAsia="zh-CN"/>
              </w:rPr>
            </w:pPr>
          </w:p>
        </w:tc>
      </w:tr>
      <w:tr w14:paraId="4437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07D6B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13</w:t>
            </w:r>
          </w:p>
        </w:tc>
        <w:tc>
          <w:tcPr>
            <w:tcW w:w="1690" w:type="dxa"/>
            <w:noWrap w:val="0"/>
            <w:vAlign w:val="center"/>
          </w:tcPr>
          <w:p w14:paraId="797605A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水龙头</w:t>
            </w:r>
          </w:p>
        </w:tc>
        <w:tc>
          <w:tcPr>
            <w:tcW w:w="5928" w:type="dxa"/>
            <w:noWrap w:val="0"/>
            <w:vAlign w:val="center"/>
          </w:tcPr>
          <w:p w14:paraId="6930CC05">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DN15，不锈钢材质</w:t>
            </w:r>
          </w:p>
        </w:tc>
        <w:tc>
          <w:tcPr>
            <w:tcW w:w="736" w:type="dxa"/>
            <w:noWrap w:val="0"/>
            <w:vAlign w:val="center"/>
          </w:tcPr>
          <w:p w14:paraId="6C5588A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16</w:t>
            </w:r>
          </w:p>
        </w:tc>
        <w:tc>
          <w:tcPr>
            <w:tcW w:w="834" w:type="dxa"/>
            <w:noWrap w:val="0"/>
            <w:vAlign w:val="center"/>
          </w:tcPr>
          <w:p w14:paraId="227179C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76CD4B9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28CE6A5">
            <w:pPr>
              <w:keepNext w:val="0"/>
              <w:keepLines w:val="0"/>
              <w:widowControl/>
              <w:suppressLineNumbers w:val="0"/>
              <w:jc w:val="center"/>
              <w:textAlignment w:val="center"/>
              <w:rPr>
                <w:rFonts w:hint="eastAsia"/>
                <w:color w:val="auto"/>
                <w:highlight w:val="none"/>
                <w:vertAlign w:val="baseline"/>
                <w:lang w:val="en-US" w:eastAsia="zh-CN"/>
              </w:rPr>
            </w:pPr>
          </w:p>
        </w:tc>
      </w:tr>
      <w:tr w14:paraId="71A0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4B2F0A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14</w:t>
            </w:r>
          </w:p>
        </w:tc>
        <w:tc>
          <w:tcPr>
            <w:tcW w:w="1690" w:type="dxa"/>
            <w:noWrap w:val="0"/>
            <w:vAlign w:val="center"/>
          </w:tcPr>
          <w:p w14:paraId="65F34F2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控制柜</w:t>
            </w:r>
          </w:p>
        </w:tc>
        <w:tc>
          <w:tcPr>
            <w:tcW w:w="5928" w:type="dxa"/>
            <w:noWrap w:val="0"/>
            <w:vAlign w:val="center"/>
          </w:tcPr>
          <w:p w14:paraId="2A9F7921">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全自动智能控制</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自动加压，开关工作温度</w:t>
            </w:r>
            <w:r>
              <w:rPr>
                <w:rFonts w:hint="default" w:ascii="Calibri" w:hAnsi="Calibri" w:eastAsia="宋体" w:cs="Calibri"/>
                <w:i w:val="0"/>
                <w:iCs w:val="0"/>
                <w:color w:val="auto"/>
                <w:kern w:val="0"/>
                <w:sz w:val="20"/>
                <w:szCs w:val="20"/>
                <w:highlight w:val="none"/>
                <w:u w:val="none"/>
                <w:lang w:val="en-US" w:eastAsia="zh-CN" w:bidi="ar"/>
              </w:rPr>
              <w:t>-40</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+70</w:t>
            </w:r>
            <w:r>
              <w:rPr>
                <w:rFonts w:hint="eastAsia" w:ascii="宋体" w:hAnsi="宋体" w:eastAsia="宋体" w:cs="宋体"/>
                <w:i w:val="0"/>
                <w:iCs w:val="0"/>
                <w:color w:val="auto"/>
                <w:kern w:val="0"/>
                <w:sz w:val="20"/>
                <w:szCs w:val="20"/>
                <w:highlight w:val="none"/>
                <w:u w:val="none"/>
                <w:lang w:val="en-US" w:eastAsia="zh-CN" w:bidi="ar"/>
              </w:rPr>
              <w:t>℃，恒温控制器、温度控制器、液位控制器等均用优质品牌。</w:t>
            </w:r>
          </w:p>
        </w:tc>
        <w:tc>
          <w:tcPr>
            <w:tcW w:w="736" w:type="dxa"/>
            <w:noWrap w:val="0"/>
            <w:vAlign w:val="center"/>
          </w:tcPr>
          <w:p w14:paraId="2B15F7B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8CE1F3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7C91D31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4A0B400">
            <w:pPr>
              <w:keepNext w:val="0"/>
              <w:keepLines w:val="0"/>
              <w:widowControl/>
              <w:suppressLineNumbers w:val="0"/>
              <w:jc w:val="center"/>
              <w:textAlignment w:val="center"/>
              <w:rPr>
                <w:rFonts w:hint="eastAsia"/>
                <w:color w:val="auto"/>
                <w:highlight w:val="none"/>
                <w:vertAlign w:val="baseline"/>
                <w:lang w:val="en-US" w:eastAsia="zh-CN"/>
              </w:rPr>
            </w:pPr>
          </w:p>
        </w:tc>
      </w:tr>
      <w:tr w14:paraId="38F0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394CB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15</w:t>
            </w:r>
          </w:p>
        </w:tc>
        <w:tc>
          <w:tcPr>
            <w:tcW w:w="1690" w:type="dxa"/>
            <w:noWrap w:val="0"/>
            <w:vAlign w:val="center"/>
          </w:tcPr>
          <w:p w14:paraId="1F73749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电气配线</w:t>
            </w:r>
          </w:p>
        </w:tc>
        <w:tc>
          <w:tcPr>
            <w:tcW w:w="5928" w:type="dxa"/>
            <w:noWrap w:val="0"/>
            <w:vAlign w:val="center"/>
          </w:tcPr>
          <w:p w14:paraId="1B11DA52">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2.5-6mm²，国标优质铜芯线</w:t>
            </w:r>
          </w:p>
        </w:tc>
        <w:tc>
          <w:tcPr>
            <w:tcW w:w="736" w:type="dxa"/>
            <w:noWrap w:val="0"/>
            <w:vAlign w:val="center"/>
          </w:tcPr>
          <w:p w14:paraId="363FA28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27865F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扎</w:t>
            </w:r>
          </w:p>
        </w:tc>
        <w:tc>
          <w:tcPr>
            <w:tcW w:w="3381" w:type="dxa"/>
            <w:noWrap w:val="0"/>
            <w:vAlign w:val="center"/>
          </w:tcPr>
          <w:p w14:paraId="508B5BF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D738D83">
            <w:pPr>
              <w:keepNext w:val="0"/>
              <w:keepLines w:val="0"/>
              <w:widowControl/>
              <w:suppressLineNumbers w:val="0"/>
              <w:jc w:val="center"/>
              <w:textAlignment w:val="center"/>
              <w:rPr>
                <w:rFonts w:hint="eastAsia"/>
                <w:color w:val="auto"/>
                <w:highlight w:val="none"/>
                <w:vertAlign w:val="baseline"/>
                <w:lang w:val="en-US" w:eastAsia="zh-CN"/>
              </w:rPr>
            </w:pPr>
          </w:p>
        </w:tc>
      </w:tr>
      <w:tr w14:paraId="6462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1DA84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16</w:t>
            </w:r>
          </w:p>
        </w:tc>
        <w:tc>
          <w:tcPr>
            <w:tcW w:w="1690" w:type="dxa"/>
            <w:noWrap w:val="0"/>
            <w:vAlign w:val="center"/>
          </w:tcPr>
          <w:p w14:paraId="71AE55F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线管</w:t>
            </w:r>
          </w:p>
        </w:tc>
        <w:tc>
          <w:tcPr>
            <w:tcW w:w="5928" w:type="dxa"/>
            <w:noWrap w:val="0"/>
            <w:vAlign w:val="center"/>
          </w:tcPr>
          <w:p w14:paraId="52EA8C17">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φ25～φ32，国产优质PVC阻燃管材</w:t>
            </w:r>
          </w:p>
        </w:tc>
        <w:tc>
          <w:tcPr>
            <w:tcW w:w="736" w:type="dxa"/>
            <w:noWrap w:val="0"/>
            <w:vAlign w:val="center"/>
          </w:tcPr>
          <w:p w14:paraId="280968A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CF28EB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5A6DEC1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13EA97B">
            <w:pPr>
              <w:keepNext w:val="0"/>
              <w:keepLines w:val="0"/>
              <w:widowControl/>
              <w:suppressLineNumbers w:val="0"/>
              <w:jc w:val="center"/>
              <w:textAlignment w:val="center"/>
              <w:rPr>
                <w:rFonts w:hint="eastAsia"/>
                <w:color w:val="auto"/>
                <w:highlight w:val="none"/>
                <w:vertAlign w:val="baseline"/>
                <w:lang w:val="en-US" w:eastAsia="zh-CN"/>
              </w:rPr>
            </w:pPr>
          </w:p>
        </w:tc>
      </w:tr>
      <w:tr w14:paraId="3B69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892A4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17</w:t>
            </w:r>
          </w:p>
        </w:tc>
        <w:tc>
          <w:tcPr>
            <w:tcW w:w="1690" w:type="dxa"/>
            <w:noWrap w:val="0"/>
            <w:vAlign w:val="center"/>
          </w:tcPr>
          <w:p w14:paraId="1F134AD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其它辅助材料</w:t>
            </w:r>
          </w:p>
        </w:tc>
        <w:tc>
          <w:tcPr>
            <w:tcW w:w="5928" w:type="dxa"/>
            <w:noWrap w:val="0"/>
            <w:vAlign w:val="center"/>
          </w:tcPr>
          <w:p w14:paraId="4D03710C">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管路支架、生料带、管卡、焊条、螺栓、玻璃胶、水泵防雨罩等</w:t>
            </w:r>
          </w:p>
        </w:tc>
        <w:tc>
          <w:tcPr>
            <w:tcW w:w="736" w:type="dxa"/>
            <w:noWrap w:val="0"/>
            <w:vAlign w:val="center"/>
          </w:tcPr>
          <w:p w14:paraId="1DC1B17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0BF593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r>
              <w:rPr>
                <w:rFonts w:ascii="Calibri" w:hAnsi="Calibri" w:eastAsia="宋体" w:cs="Calibri"/>
                <w:i w:val="0"/>
                <w:iCs w:val="0"/>
                <w:color w:val="auto"/>
                <w:kern w:val="0"/>
                <w:sz w:val="20"/>
                <w:szCs w:val="20"/>
                <w:highlight w:val="none"/>
                <w:u w:val="none"/>
                <w:lang w:val="en-US" w:eastAsia="zh-CN" w:bidi="ar"/>
              </w:rPr>
              <w:t xml:space="preserve"> </w:t>
            </w:r>
          </w:p>
        </w:tc>
        <w:tc>
          <w:tcPr>
            <w:tcW w:w="3381" w:type="dxa"/>
            <w:noWrap w:val="0"/>
            <w:vAlign w:val="center"/>
          </w:tcPr>
          <w:p w14:paraId="4BE84BD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9574739">
            <w:pPr>
              <w:keepNext w:val="0"/>
              <w:keepLines w:val="0"/>
              <w:widowControl/>
              <w:suppressLineNumbers w:val="0"/>
              <w:jc w:val="center"/>
              <w:textAlignment w:val="center"/>
              <w:rPr>
                <w:rFonts w:hint="eastAsia"/>
                <w:color w:val="auto"/>
                <w:highlight w:val="none"/>
                <w:vertAlign w:val="baseline"/>
                <w:lang w:val="en-US" w:eastAsia="zh-CN"/>
              </w:rPr>
            </w:pPr>
          </w:p>
        </w:tc>
      </w:tr>
      <w:tr w14:paraId="09CE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DA843E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18</w:t>
            </w:r>
          </w:p>
        </w:tc>
        <w:tc>
          <w:tcPr>
            <w:tcW w:w="1690" w:type="dxa"/>
            <w:noWrap w:val="0"/>
            <w:vAlign w:val="center"/>
          </w:tcPr>
          <w:p w14:paraId="79A6DB0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运费</w:t>
            </w:r>
          </w:p>
        </w:tc>
        <w:tc>
          <w:tcPr>
            <w:tcW w:w="5928" w:type="dxa"/>
            <w:noWrap w:val="0"/>
            <w:vAlign w:val="center"/>
          </w:tcPr>
          <w:p w14:paraId="1D9B8D26">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4CD5B59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B6A015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310530C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12E5F94">
            <w:pPr>
              <w:keepNext w:val="0"/>
              <w:keepLines w:val="0"/>
              <w:widowControl/>
              <w:suppressLineNumbers w:val="0"/>
              <w:jc w:val="center"/>
              <w:textAlignment w:val="center"/>
              <w:rPr>
                <w:rFonts w:hint="eastAsia"/>
                <w:color w:val="auto"/>
                <w:highlight w:val="none"/>
                <w:vertAlign w:val="baseline"/>
                <w:lang w:val="en-US" w:eastAsia="zh-CN"/>
              </w:rPr>
            </w:pPr>
          </w:p>
        </w:tc>
      </w:tr>
      <w:tr w14:paraId="7D5B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47EB27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19</w:t>
            </w:r>
          </w:p>
        </w:tc>
        <w:tc>
          <w:tcPr>
            <w:tcW w:w="1690" w:type="dxa"/>
            <w:noWrap w:val="0"/>
            <w:vAlign w:val="center"/>
          </w:tcPr>
          <w:p w14:paraId="5088636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安装费</w:t>
            </w:r>
          </w:p>
        </w:tc>
        <w:tc>
          <w:tcPr>
            <w:tcW w:w="5928" w:type="dxa"/>
            <w:noWrap w:val="0"/>
            <w:vAlign w:val="center"/>
          </w:tcPr>
          <w:p w14:paraId="60EE66DF">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323E58B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1494A51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19DA5FF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6E09727">
            <w:pPr>
              <w:keepNext w:val="0"/>
              <w:keepLines w:val="0"/>
              <w:widowControl/>
              <w:suppressLineNumbers w:val="0"/>
              <w:jc w:val="center"/>
              <w:textAlignment w:val="center"/>
              <w:rPr>
                <w:rFonts w:hint="eastAsia"/>
                <w:color w:val="auto"/>
                <w:highlight w:val="none"/>
                <w:vertAlign w:val="baseline"/>
                <w:lang w:val="en-US" w:eastAsia="zh-CN"/>
              </w:rPr>
            </w:pPr>
          </w:p>
        </w:tc>
      </w:tr>
      <w:tr w14:paraId="5511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45150A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1690" w:type="dxa"/>
            <w:noWrap w:val="0"/>
            <w:vAlign w:val="center"/>
          </w:tcPr>
          <w:p w14:paraId="158D91E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吊装费</w:t>
            </w:r>
          </w:p>
        </w:tc>
        <w:tc>
          <w:tcPr>
            <w:tcW w:w="5928" w:type="dxa"/>
            <w:noWrap w:val="0"/>
            <w:vAlign w:val="center"/>
          </w:tcPr>
          <w:p w14:paraId="0A778298">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因设备放置楼顶</w:t>
            </w:r>
          </w:p>
        </w:tc>
        <w:tc>
          <w:tcPr>
            <w:tcW w:w="736" w:type="dxa"/>
            <w:noWrap w:val="0"/>
            <w:vAlign w:val="center"/>
          </w:tcPr>
          <w:p w14:paraId="46E19F9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5028375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00BAFF5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9D4A32F">
            <w:pPr>
              <w:keepNext w:val="0"/>
              <w:keepLines w:val="0"/>
              <w:widowControl/>
              <w:suppressLineNumbers w:val="0"/>
              <w:jc w:val="center"/>
              <w:textAlignment w:val="center"/>
              <w:rPr>
                <w:rFonts w:hint="eastAsia"/>
                <w:color w:val="auto"/>
                <w:highlight w:val="none"/>
                <w:vertAlign w:val="baseline"/>
                <w:lang w:val="en-US" w:eastAsia="zh-CN"/>
              </w:rPr>
            </w:pPr>
          </w:p>
        </w:tc>
      </w:tr>
      <w:tr w14:paraId="5E16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E7012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21</w:t>
            </w:r>
          </w:p>
        </w:tc>
        <w:tc>
          <w:tcPr>
            <w:tcW w:w="1690" w:type="dxa"/>
            <w:noWrap w:val="0"/>
            <w:vAlign w:val="center"/>
          </w:tcPr>
          <w:p w14:paraId="58417B6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设备围栏</w:t>
            </w:r>
          </w:p>
        </w:tc>
        <w:tc>
          <w:tcPr>
            <w:tcW w:w="5928" w:type="dxa"/>
            <w:noWrap w:val="0"/>
            <w:vAlign w:val="center"/>
          </w:tcPr>
          <w:p w14:paraId="48A87E69">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304</w:t>
            </w:r>
            <w:r>
              <w:rPr>
                <w:rFonts w:hint="eastAsia" w:ascii="宋体" w:hAnsi="宋体" w:eastAsia="宋体" w:cs="宋体"/>
                <w:i w:val="0"/>
                <w:iCs w:val="0"/>
                <w:color w:val="auto"/>
                <w:kern w:val="0"/>
                <w:sz w:val="20"/>
                <w:szCs w:val="20"/>
                <w:highlight w:val="none"/>
                <w:u w:val="none"/>
                <w:lang w:val="en-US" w:eastAsia="zh-CN" w:bidi="ar"/>
              </w:rPr>
              <w:t>不锈钢，因设备放置在一楼防止学生接触及破坏</w:t>
            </w:r>
          </w:p>
        </w:tc>
        <w:tc>
          <w:tcPr>
            <w:tcW w:w="736" w:type="dxa"/>
            <w:noWrap w:val="0"/>
            <w:vAlign w:val="center"/>
          </w:tcPr>
          <w:p w14:paraId="1F19E39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F4BB9C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4B19CE2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796E4EA">
            <w:pPr>
              <w:keepNext w:val="0"/>
              <w:keepLines w:val="0"/>
              <w:widowControl/>
              <w:suppressLineNumbers w:val="0"/>
              <w:jc w:val="center"/>
              <w:textAlignment w:val="center"/>
              <w:rPr>
                <w:rFonts w:hint="eastAsia"/>
                <w:color w:val="auto"/>
                <w:highlight w:val="none"/>
                <w:vertAlign w:val="baseline"/>
                <w:lang w:val="en-US" w:eastAsia="zh-CN"/>
              </w:rPr>
            </w:pPr>
          </w:p>
        </w:tc>
      </w:tr>
      <w:tr w14:paraId="0C41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2B1ED46B">
            <w:pPr>
              <w:keepNext w:val="0"/>
              <w:keepLines w:val="0"/>
              <w:widowControl/>
              <w:suppressLineNumbers w:val="0"/>
              <w:jc w:val="left"/>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长和中心小学</w:t>
            </w:r>
          </w:p>
        </w:tc>
      </w:tr>
      <w:tr w14:paraId="62F5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CFDAFF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1690" w:type="dxa"/>
            <w:noWrap w:val="0"/>
            <w:vAlign w:val="center"/>
          </w:tcPr>
          <w:p w14:paraId="7EED3DA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空气源热泵</w:t>
            </w:r>
          </w:p>
        </w:tc>
        <w:tc>
          <w:tcPr>
            <w:tcW w:w="5928" w:type="dxa"/>
            <w:noWrap w:val="0"/>
            <w:vAlign w:val="center"/>
          </w:tcPr>
          <w:p w14:paraId="00B64E16">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.1.标准工况20℃：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★额定制热量（Kw） ≥11.4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★额定输入功率（Kw） ≤2.58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能效比COP ≥4.45；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★循环不流量≥2.0 m3/h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★2.产热水量(L/h) ≥245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3.额定输入电流（A） 8.6</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4.额定出水温度 ≥55℃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5.防触电等级 I类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6.防水等级 IP×4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7.噪音 ≤62dB(A)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8.能效等级2级以上。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9.热泵具有根据系统运行自动降低能耗的功能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10.热泵具有针对水温环境，自动调节，智能控制机组运行状况，调节机组设备运营状况技术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11.热泵具备周期性高温杀菌功能</w:t>
            </w:r>
          </w:p>
        </w:tc>
        <w:tc>
          <w:tcPr>
            <w:tcW w:w="736" w:type="dxa"/>
            <w:noWrap w:val="0"/>
            <w:vAlign w:val="center"/>
          </w:tcPr>
          <w:p w14:paraId="3A15589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2E782E1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5409902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7817A76">
            <w:pPr>
              <w:keepNext w:val="0"/>
              <w:keepLines w:val="0"/>
              <w:widowControl/>
              <w:suppressLineNumbers w:val="0"/>
              <w:jc w:val="center"/>
              <w:textAlignment w:val="center"/>
              <w:rPr>
                <w:rFonts w:hint="eastAsia"/>
                <w:color w:val="auto"/>
                <w:highlight w:val="none"/>
                <w:vertAlign w:val="baseline"/>
                <w:lang w:val="en-US" w:eastAsia="zh-CN"/>
              </w:rPr>
            </w:pPr>
          </w:p>
        </w:tc>
      </w:tr>
      <w:tr w14:paraId="3E11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8D8393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1690" w:type="dxa"/>
            <w:noWrap w:val="0"/>
            <w:vAlign w:val="center"/>
          </w:tcPr>
          <w:p w14:paraId="551E6C8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3吨保温水箱</w:t>
            </w:r>
          </w:p>
        </w:tc>
        <w:tc>
          <w:tcPr>
            <w:tcW w:w="5928" w:type="dxa"/>
            <w:noWrap w:val="0"/>
            <w:vAlign w:val="center"/>
          </w:tcPr>
          <w:p w14:paraId="71E622A0">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内胆采用优质</w:t>
            </w:r>
            <w:r>
              <w:rPr>
                <w:rFonts w:hint="default" w:ascii="Calibri" w:hAnsi="Calibri" w:eastAsia="宋体" w:cs="Calibri"/>
                <w:i w:val="0"/>
                <w:iCs w:val="0"/>
                <w:color w:val="auto"/>
                <w:kern w:val="0"/>
                <w:sz w:val="20"/>
                <w:szCs w:val="20"/>
                <w:highlight w:val="none"/>
                <w:u w:val="none"/>
                <w:lang w:val="en-US" w:eastAsia="zh-CN" w:bidi="ar"/>
              </w:rPr>
              <w:t>SUS304</w:t>
            </w:r>
            <w:r>
              <w:rPr>
                <w:rFonts w:hint="eastAsia" w:ascii="宋体" w:hAnsi="宋体" w:eastAsia="宋体" w:cs="宋体"/>
                <w:i w:val="0"/>
                <w:iCs w:val="0"/>
                <w:color w:val="auto"/>
                <w:kern w:val="0"/>
                <w:sz w:val="20"/>
                <w:szCs w:val="20"/>
                <w:highlight w:val="none"/>
                <w:u w:val="none"/>
                <w:lang w:val="en-US" w:eastAsia="zh-CN" w:bidi="ar"/>
              </w:rPr>
              <w:t>不锈钢板制作，中层采用聚氨酯整体恒温机械发泡厚度δ＝</w:t>
            </w:r>
            <w:r>
              <w:rPr>
                <w:rFonts w:hint="default" w:ascii="Calibri" w:hAnsi="Calibri" w:eastAsia="宋体" w:cs="Calibri"/>
                <w:i w:val="0"/>
                <w:iCs w:val="0"/>
                <w:color w:val="auto"/>
                <w:kern w:val="0"/>
                <w:sz w:val="20"/>
                <w:szCs w:val="20"/>
                <w:highlight w:val="none"/>
                <w:u w:val="none"/>
                <w:lang w:val="en-US" w:eastAsia="zh-CN" w:bidi="ar"/>
              </w:rPr>
              <w:t>50mm</w:t>
            </w:r>
            <w:r>
              <w:rPr>
                <w:rFonts w:hint="eastAsia" w:ascii="宋体" w:hAnsi="宋体" w:eastAsia="宋体" w:cs="宋体"/>
                <w:i w:val="0"/>
                <w:iCs w:val="0"/>
                <w:color w:val="auto"/>
                <w:kern w:val="0"/>
                <w:sz w:val="20"/>
                <w:szCs w:val="20"/>
                <w:highlight w:val="none"/>
                <w:u w:val="none"/>
                <w:lang w:val="en-US" w:eastAsia="zh-CN" w:bidi="ar"/>
              </w:rPr>
              <w:t>，外包不锈钢板，水箱设置水箱设置人孔检查口等配套设施</w:t>
            </w:r>
          </w:p>
        </w:tc>
        <w:tc>
          <w:tcPr>
            <w:tcW w:w="736" w:type="dxa"/>
            <w:noWrap w:val="0"/>
            <w:vAlign w:val="center"/>
          </w:tcPr>
          <w:p w14:paraId="269E628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1D44ACF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c>
          <w:tcPr>
            <w:tcW w:w="3381" w:type="dxa"/>
            <w:noWrap w:val="0"/>
            <w:vAlign w:val="center"/>
          </w:tcPr>
          <w:p w14:paraId="384DE8F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6307B7D">
            <w:pPr>
              <w:keepNext w:val="0"/>
              <w:keepLines w:val="0"/>
              <w:widowControl/>
              <w:suppressLineNumbers w:val="0"/>
              <w:jc w:val="center"/>
              <w:textAlignment w:val="center"/>
              <w:rPr>
                <w:rFonts w:hint="eastAsia"/>
                <w:color w:val="auto"/>
                <w:highlight w:val="none"/>
                <w:vertAlign w:val="baseline"/>
                <w:lang w:val="en-US" w:eastAsia="zh-CN"/>
              </w:rPr>
            </w:pPr>
          </w:p>
        </w:tc>
      </w:tr>
      <w:tr w14:paraId="62C8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27B043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w:t>
            </w:r>
          </w:p>
        </w:tc>
        <w:tc>
          <w:tcPr>
            <w:tcW w:w="1690" w:type="dxa"/>
            <w:noWrap w:val="0"/>
            <w:vAlign w:val="center"/>
          </w:tcPr>
          <w:p w14:paraId="38FC244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热泵循环泵</w:t>
            </w:r>
          </w:p>
        </w:tc>
        <w:tc>
          <w:tcPr>
            <w:tcW w:w="5928" w:type="dxa"/>
            <w:noWrap w:val="0"/>
            <w:vAlign w:val="center"/>
          </w:tcPr>
          <w:p w14:paraId="76013C2E">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流量6.6m³/h，扬程18m，功率750W</w:t>
            </w:r>
          </w:p>
        </w:tc>
        <w:tc>
          <w:tcPr>
            <w:tcW w:w="736" w:type="dxa"/>
            <w:noWrap w:val="0"/>
            <w:vAlign w:val="center"/>
          </w:tcPr>
          <w:p w14:paraId="460E65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254B90A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279E048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48181C9">
            <w:pPr>
              <w:keepNext w:val="0"/>
              <w:keepLines w:val="0"/>
              <w:widowControl/>
              <w:suppressLineNumbers w:val="0"/>
              <w:jc w:val="center"/>
              <w:textAlignment w:val="center"/>
              <w:rPr>
                <w:rFonts w:hint="eastAsia"/>
                <w:color w:val="auto"/>
                <w:highlight w:val="none"/>
                <w:vertAlign w:val="baseline"/>
                <w:lang w:val="en-US" w:eastAsia="zh-CN"/>
              </w:rPr>
            </w:pPr>
          </w:p>
        </w:tc>
      </w:tr>
      <w:tr w14:paraId="02CB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F55E7F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4</w:t>
            </w:r>
          </w:p>
        </w:tc>
        <w:tc>
          <w:tcPr>
            <w:tcW w:w="1690" w:type="dxa"/>
            <w:noWrap w:val="0"/>
            <w:vAlign w:val="center"/>
          </w:tcPr>
          <w:p w14:paraId="5C7AAB6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热水自动增压泵</w:t>
            </w:r>
          </w:p>
        </w:tc>
        <w:tc>
          <w:tcPr>
            <w:tcW w:w="5928" w:type="dxa"/>
            <w:noWrap w:val="0"/>
            <w:vAlign w:val="center"/>
          </w:tcPr>
          <w:p w14:paraId="415421B4">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流量12m³/h，扬程27.5m，功率1.85W</w:t>
            </w:r>
          </w:p>
        </w:tc>
        <w:tc>
          <w:tcPr>
            <w:tcW w:w="736" w:type="dxa"/>
            <w:noWrap w:val="0"/>
            <w:vAlign w:val="center"/>
          </w:tcPr>
          <w:p w14:paraId="0F529AC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272E62D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5F93E8F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6A9887E">
            <w:pPr>
              <w:keepNext w:val="0"/>
              <w:keepLines w:val="0"/>
              <w:widowControl/>
              <w:suppressLineNumbers w:val="0"/>
              <w:jc w:val="center"/>
              <w:textAlignment w:val="center"/>
              <w:rPr>
                <w:rFonts w:hint="eastAsia"/>
                <w:color w:val="auto"/>
                <w:highlight w:val="none"/>
                <w:vertAlign w:val="baseline"/>
                <w:lang w:val="en-US" w:eastAsia="zh-CN"/>
              </w:rPr>
            </w:pPr>
          </w:p>
        </w:tc>
      </w:tr>
      <w:tr w14:paraId="58A8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81C7EA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5</w:t>
            </w:r>
          </w:p>
        </w:tc>
        <w:tc>
          <w:tcPr>
            <w:tcW w:w="1690" w:type="dxa"/>
            <w:noWrap w:val="0"/>
            <w:vAlign w:val="center"/>
          </w:tcPr>
          <w:p w14:paraId="4EDC77D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540C92BC">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De50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1551D90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834" w:type="dxa"/>
            <w:noWrap w:val="0"/>
            <w:vAlign w:val="center"/>
          </w:tcPr>
          <w:p w14:paraId="25C1872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70D69FD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927FA78">
            <w:pPr>
              <w:keepNext w:val="0"/>
              <w:keepLines w:val="0"/>
              <w:widowControl/>
              <w:suppressLineNumbers w:val="0"/>
              <w:jc w:val="center"/>
              <w:textAlignment w:val="center"/>
              <w:rPr>
                <w:rFonts w:hint="eastAsia"/>
                <w:color w:val="auto"/>
                <w:highlight w:val="none"/>
                <w:vertAlign w:val="baseline"/>
                <w:lang w:val="en-US" w:eastAsia="zh-CN"/>
              </w:rPr>
            </w:pPr>
          </w:p>
        </w:tc>
      </w:tr>
      <w:tr w14:paraId="122E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3919A8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6</w:t>
            </w:r>
          </w:p>
        </w:tc>
        <w:tc>
          <w:tcPr>
            <w:tcW w:w="1690" w:type="dxa"/>
            <w:noWrap w:val="0"/>
            <w:vAlign w:val="center"/>
          </w:tcPr>
          <w:p w14:paraId="7E426B8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296F7701">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De40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35FBF7D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834" w:type="dxa"/>
            <w:noWrap w:val="0"/>
            <w:vAlign w:val="center"/>
          </w:tcPr>
          <w:p w14:paraId="2714C5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77463E8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9D9FE12">
            <w:pPr>
              <w:keepNext w:val="0"/>
              <w:keepLines w:val="0"/>
              <w:widowControl/>
              <w:suppressLineNumbers w:val="0"/>
              <w:jc w:val="center"/>
              <w:textAlignment w:val="center"/>
              <w:rPr>
                <w:rFonts w:hint="eastAsia"/>
                <w:color w:val="auto"/>
                <w:highlight w:val="none"/>
                <w:vertAlign w:val="baseline"/>
                <w:lang w:val="en-US" w:eastAsia="zh-CN"/>
              </w:rPr>
            </w:pPr>
          </w:p>
        </w:tc>
      </w:tr>
      <w:tr w14:paraId="5642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047965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7</w:t>
            </w:r>
          </w:p>
        </w:tc>
        <w:tc>
          <w:tcPr>
            <w:tcW w:w="1690" w:type="dxa"/>
            <w:noWrap w:val="0"/>
            <w:vAlign w:val="center"/>
          </w:tcPr>
          <w:p w14:paraId="2526FCA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32441C43">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De32</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594140F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w:t>
            </w:r>
          </w:p>
        </w:tc>
        <w:tc>
          <w:tcPr>
            <w:tcW w:w="834" w:type="dxa"/>
            <w:noWrap w:val="0"/>
            <w:vAlign w:val="center"/>
          </w:tcPr>
          <w:p w14:paraId="1A1443E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4509E28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05F329C">
            <w:pPr>
              <w:keepNext w:val="0"/>
              <w:keepLines w:val="0"/>
              <w:widowControl/>
              <w:suppressLineNumbers w:val="0"/>
              <w:jc w:val="center"/>
              <w:textAlignment w:val="center"/>
              <w:rPr>
                <w:rFonts w:hint="eastAsia"/>
                <w:color w:val="auto"/>
                <w:highlight w:val="none"/>
                <w:vertAlign w:val="baseline"/>
                <w:lang w:val="en-US" w:eastAsia="zh-CN"/>
              </w:rPr>
            </w:pPr>
          </w:p>
        </w:tc>
      </w:tr>
      <w:tr w14:paraId="21A7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DD894D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8</w:t>
            </w:r>
          </w:p>
        </w:tc>
        <w:tc>
          <w:tcPr>
            <w:tcW w:w="1690" w:type="dxa"/>
            <w:noWrap w:val="0"/>
            <w:vAlign w:val="center"/>
          </w:tcPr>
          <w:p w14:paraId="21C27FE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70544BC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De25</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7A24EF6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w:t>
            </w:r>
          </w:p>
        </w:tc>
        <w:tc>
          <w:tcPr>
            <w:tcW w:w="834" w:type="dxa"/>
            <w:noWrap w:val="0"/>
            <w:vAlign w:val="center"/>
          </w:tcPr>
          <w:p w14:paraId="07C58C9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18644AC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0F60E85">
            <w:pPr>
              <w:keepNext w:val="0"/>
              <w:keepLines w:val="0"/>
              <w:widowControl/>
              <w:suppressLineNumbers w:val="0"/>
              <w:jc w:val="center"/>
              <w:textAlignment w:val="center"/>
              <w:rPr>
                <w:rFonts w:hint="eastAsia"/>
                <w:color w:val="auto"/>
                <w:highlight w:val="none"/>
                <w:vertAlign w:val="baseline"/>
                <w:lang w:val="en-US" w:eastAsia="zh-CN"/>
              </w:rPr>
            </w:pPr>
          </w:p>
        </w:tc>
      </w:tr>
      <w:tr w14:paraId="15BB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6605D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9</w:t>
            </w:r>
          </w:p>
        </w:tc>
        <w:tc>
          <w:tcPr>
            <w:tcW w:w="1690" w:type="dxa"/>
            <w:noWrap w:val="0"/>
            <w:vAlign w:val="center"/>
          </w:tcPr>
          <w:p w14:paraId="2A39D1B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765A617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3AF00D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w:t>
            </w:r>
          </w:p>
        </w:tc>
        <w:tc>
          <w:tcPr>
            <w:tcW w:w="834" w:type="dxa"/>
            <w:noWrap w:val="0"/>
            <w:vAlign w:val="center"/>
          </w:tcPr>
          <w:p w14:paraId="0FE2CEA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69E64E7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6505BD0">
            <w:pPr>
              <w:keepNext w:val="0"/>
              <w:keepLines w:val="0"/>
              <w:widowControl/>
              <w:suppressLineNumbers w:val="0"/>
              <w:jc w:val="center"/>
              <w:textAlignment w:val="center"/>
              <w:rPr>
                <w:rFonts w:hint="eastAsia"/>
                <w:color w:val="auto"/>
                <w:highlight w:val="none"/>
                <w:vertAlign w:val="baseline"/>
                <w:lang w:val="en-US" w:eastAsia="zh-CN"/>
              </w:rPr>
            </w:pPr>
          </w:p>
        </w:tc>
      </w:tr>
      <w:tr w14:paraId="0F9F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D12499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10</w:t>
            </w:r>
          </w:p>
        </w:tc>
        <w:tc>
          <w:tcPr>
            <w:tcW w:w="1690" w:type="dxa"/>
            <w:noWrap w:val="0"/>
            <w:vAlign w:val="center"/>
          </w:tcPr>
          <w:p w14:paraId="43289AF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PPR热水管道配件</w:t>
            </w:r>
          </w:p>
        </w:tc>
        <w:tc>
          <w:tcPr>
            <w:tcW w:w="5928" w:type="dxa"/>
            <w:noWrap w:val="0"/>
            <w:vAlign w:val="center"/>
          </w:tcPr>
          <w:p w14:paraId="4C0E0DC0">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外牙、内牙、阀门、弯头、三通、直通等</w:t>
            </w:r>
          </w:p>
        </w:tc>
        <w:tc>
          <w:tcPr>
            <w:tcW w:w="736" w:type="dxa"/>
            <w:noWrap w:val="0"/>
            <w:vAlign w:val="center"/>
          </w:tcPr>
          <w:p w14:paraId="0EF81B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274E453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448ADAC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A12B135">
            <w:pPr>
              <w:keepNext w:val="0"/>
              <w:keepLines w:val="0"/>
              <w:widowControl/>
              <w:suppressLineNumbers w:val="0"/>
              <w:jc w:val="center"/>
              <w:textAlignment w:val="center"/>
              <w:rPr>
                <w:rFonts w:hint="eastAsia"/>
                <w:color w:val="auto"/>
                <w:highlight w:val="none"/>
                <w:vertAlign w:val="baseline"/>
                <w:lang w:val="en-US" w:eastAsia="zh-CN"/>
              </w:rPr>
            </w:pPr>
          </w:p>
        </w:tc>
      </w:tr>
      <w:tr w14:paraId="5028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B7C91F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11</w:t>
            </w:r>
          </w:p>
        </w:tc>
        <w:tc>
          <w:tcPr>
            <w:tcW w:w="1690" w:type="dxa"/>
            <w:noWrap w:val="0"/>
            <w:vAlign w:val="center"/>
          </w:tcPr>
          <w:p w14:paraId="55412AC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管道保温</w:t>
            </w:r>
          </w:p>
        </w:tc>
        <w:tc>
          <w:tcPr>
            <w:tcW w:w="5928" w:type="dxa"/>
            <w:noWrap w:val="0"/>
            <w:vAlign w:val="center"/>
          </w:tcPr>
          <w:p w14:paraId="512BCE44">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De32-50</w:t>
            </w:r>
          </w:p>
        </w:tc>
        <w:tc>
          <w:tcPr>
            <w:tcW w:w="736" w:type="dxa"/>
            <w:noWrap w:val="0"/>
            <w:vAlign w:val="center"/>
          </w:tcPr>
          <w:p w14:paraId="3E75A51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130</w:t>
            </w:r>
          </w:p>
        </w:tc>
        <w:tc>
          <w:tcPr>
            <w:tcW w:w="834" w:type="dxa"/>
            <w:noWrap w:val="0"/>
            <w:vAlign w:val="center"/>
          </w:tcPr>
          <w:p w14:paraId="7F35D5E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22CCF17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2FBAEF8B">
            <w:pPr>
              <w:keepNext w:val="0"/>
              <w:keepLines w:val="0"/>
              <w:widowControl/>
              <w:suppressLineNumbers w:val="0"/>
              <w:jc w:val="center"/>
              <w:textAlignment w:val="center"/>
              <w:rPr>
                <w:rFonts w:hint="eastAsia"/>
                <w:color w:val="auto"/>
                <w:highlight w:val="none"/>
                <w:vertAlign w:val="baseline"/>
                <w:lang w:val="en-US" w:eastAsia="zh-CN"/>
              </w:rPr>
            </w:pPr>
          </w:p>
        </w:tc>
      </w:tr>
      <w:tr w14:paraId="454E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2BC42C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12</w:t>
            </w:r>
          </w:p>
        </w:tc>
        <w:tc>
          <w:tcPr>
            <w:tcW w:w="1690" w:type="dxa"/>
            <w:noWrap w:val="0"/>
            <w:vAlign w:val="center"/>
          </w:tcPr>
          <w:p w14:paraId="4D00892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软化水处理设备</w:t>
            </w:r>
          </w:p>
        </w:tc>
        <w:tc>
          <w:tcPr>
            <w:tcW w:w="5928" w:type="dxa"/>
            <w:noWrap w:val="0"/>
            <w:vAlign w:val="center"/>
          </w:tcPr>
          <w:p w14:paraId="15BF7C7D">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w:t>
            </w:r>
            <w:r>
              <w:rPr>
                <w:rFonts w:hint="default" w:ascii="Calibri" w:hAnsi="Calibri" w:eastAsia="宋体" w:cs="Calibri"/>
                <w:i w:val="0"/>
                <w:iCs w:val="0"/>
                <w:color w:val="auto"/>
                <w:kern w:val="0"/>
                <w:sz w:val="20"/>
                <w:szCs w:val="20"/>
                <w:highlight w:val="none"/>
                <w:u w:val="none"/>
                <w:lang w:val="en-US" w:eastAsia="zh-CN" w:bidi="ar"/>
              </w:rPr>
              <w:t>220V</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工作功率：</w:t>
            </w:r>
            <w:r>
              <w:rPr>
                <w:rFonts w:hint="default" w:ascii="Calibri" w:hAnsi="Calibri" w:eastAsia="宋体" w:cs="Calibri"/>
                <w:i w:val="0"/>
                <w:iCs w:val="0"/>
                <w:color w:val="auto"/>
                <w:kern w:val="0"/>
                <w:sz w:val="20"/>
                <w:szCs w:val="20"/>
                <w:highlight w:val="none"/>
                <w:u w:val="none"/>
                <w:lang w:val="en-US" w:eastAsia="zh-CN" w:bidi="ar"/>
              </w:rPr>
              <w:t>30w</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冬季工作功率：</w:t>
            </w:r>
            <w:r>
              <w:rPr>
                <w:rFonts w:hint="default" w:ascii="Calibri" w:hAnsi="Calibri" w:eastAsia="宋体" w:cs="Calibri"/>
                <w:i w:val="0"/>
                <w:iCs w:val="0"/>
                <w:color w:val="auto"/>
                <w:kern w:val="0"/>
                <w:sz w:val="20"/>
                <w:szCs w:val="20"/>
                <w:highlight w:val="none"/>
                <w:u w:val="none"/>
                <w:lang w:val="en-US" w:eastAsia="zh-CN" w:bidi="ar"/>
              </w:rPr>
              <w:t>230w</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水处理量：</w:t>
            </w:r>
            <w:r>
              <w:rPr>
                <w:rFonts w:hint="default" w:ascii="Calibri" w:hAnsi="Calibri" w:eastAsia="宋体" w:cs="Calibri"/>
                <w:i w:val="0"/>
                <w:iCs w:val="0"/>
                <w:color w:val="auto"/>
                <w:kern w:val="0"/>
                <w:sz w:val="20"/>
                <w:szCs w:val="20"/>
                <w:highlight w:val="none"/>
                <w:u w:val="none"/>
                <w:lang w:val="en-US" w:eastAsia="zh-CN" w:bidi="ar"/>
              </w:rPr>
              <w:t>0-3m³/ h</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机组尺寸：长</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宽</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高</w:t>
            </w:r>
            <w:r>
              <w:rPr>
                <w:rFonts w:hint="default" w:ascii="Calibri" w:hAnsi="Calibri" w:eastAsia="宋体" w:cs="Calibri"/>
                <w:i w:val="0"/>
                <w:iCs w:val="0"/>
                <w:color w:val="auto"/>
                <w:kern w:val="0"/>
                <w:sz w:val="20"/>
                <w:szCs w:val="20"/>
                <w:highlight w:val="none"/>
                <w:u w:val="none"/>
                <w:lang w:val="en-US" w:eastAsia="zh-CN" w:bidi="ar"/>
              </w:rPr>
              <w:t>450mm*400mm*900mm</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机组质量：</w:t>
            </w:r>
            <w:r>
              <w:rPr>
                <w:rFonts w:hint="default" w:ascii="Calibri" w:hAnsi="Calibri" w:eastAsia="宋体" w:cs="Calibri"/>
                <w:i w:val="0"/>
                <w:iCs w:val="0"/>
                <w:color w:val="auto"/>
                <w:kern w:val="0"/>
                <w:sz w:val="20"/>
                <w:szCs w:val="20"/>
                <w:highlight w:val="none"/>
                <w:u w:val="none"/>
                <w:lang w:val="en-US" w:eastAsia="zh-CN" w:bidi="ar"/>
              </w:rPr>
              <w:t>33kg</w:t>
            </w:r>
          </w:p>
        </w:tc>
        <w:tc>
          <w:tcPr>
            <w:tcW w:w="736" w:type="dxa"/>
            <w:noWrap w:val="0"/>
            <w:vAlign w:val="center"/>
          </w:tcPr>
          <w:p w14:paraId="408B995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5DA0AD9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1DBED93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2270AB35">
            <w:pPr>
              <w:keepNext w:val="0"/>
              <w:keepLines w:val="0"/>
              <w:widowControl/>
              <w:suppressLineNumbers w:val="0"/>
              <w:jc w:val="center"/>
              <w:textAlignment w:val="center"/>
              <w:rPr>
                <w:rFonts w:hint="eastAsia"/>
                <w:color w:val="auto"/>
                <w:highlight w:val="none"/>
                <w:vertAlign w:val="baseline"/>
                <w:lang w:val="en-US" w:eastAsia="zh-CN"/>
              </w:rPr>
            </w:pPr>
          </w:p>
        </w:tc>
      </w:tr>
      <w:tr w14:paraId="04A3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F89E0F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13</w:t>
            </w:r>
          </w:p>
        </w:tc>
        <w:tc>
          <w:tcPr>
            <w:tcW w:w="1690" w:type="dxa"/>
            <w:noWrap w:val="0"/>
            <w:vAlign w:val="center"/>
          </w:tcPr>
          <w:p w14:paraId="68603D8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水龙头</w:t>
            </w:r>
          </w:p>
        </w:tc>
        <w:tc>
          <w:tcPr>
            <w:tcW w:w="5928" w:type="dxa"/>
            <w:noWrap w:val="0"/>
            <w:vAlign w:val="center"/>
          </w:tcPr>
          <w:p w14:paraId="778A96A6">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DN15，不锈钢材质</w:t>
            </w:r>
          </w:p>
        </w:tc>
        <w:tc>
          <w:tcPr>
            <w:tcW w:w="736" w:type="dxa"/>
            <w:noWrap w:val="0"/>
            <w:vAlign w:val="center"/>
          </w:tcPr>
          <w:p w14:paraId="51999C3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8</w:t>
            </w:r>
          </w:p>
        </w:tc>
        <w:tc>
          <w:tcPr>
            <w:tcW w:w="834" w:type="dxa"/>
            <w:noWrap w:val="0"/>
            <w:vAlign w:val="center"/>
          </w:tcPr>
          <w:p w14:paraId="52D6F8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45F73D0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4BF346C">
            <w:pPr>
              <w:keepNext w:val="0"/>
              <w:keepLines w:val="0"/>
              <w:widowControl/>
              <w:suppressLineNumbers w:val="0"/>
              <w:jc w:val="center"/>
              <w:textAlignment w:val="center"/>
              <w:rPr>
                <w:rFonts w:hint="eastAsia"/>
                <w:color w:val="auto"/>
                <w:highlight w:val="none"/>
                <w:vertAlign w:val="baseline"/>
                <w:lang w:val="en-US" w:eastAsia="zh-CN"/>
              </w:rPr>
            </w:pPr>
          </w:p>
        </w:tc>
      </w:tr>
      <w:tr w14:paraId="23C9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C8909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14</w:t>
            </w:r>
          </w:p>
        </w:tc>
        <w:tc>
          <w:tcPr>
            <w:tcW w:w="1690" w:type="dxa"/>
            <w:noWrap w:val="0"/>
            <w:vAlign w:val="center"/>
          </w:tcPr>
          <w:p w14:paraId="25D4664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控制柜</w:t>
            </w:r>
          </w:p>
        </w:tc>
        <w:tc>
          <w:tcPr>
            <w:tcW w:w="5928" w:type="dxa"/>
            <w:noWrap w:val="0"/>
            <w:vAlign w:val="center"/>
          </w:tcPr>
          <w:p w14:paraId="1FFA7372">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全自动智能控制</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自动加压，开关工作温度</w:t>
            </w:r>
            <w:r>
              <w:rPr>
                <w:rFonts w:hint="default" w:ascii="Calibri" w:hAnsi="Calibri" w:eastAsia="宋体" w:cs="Calibri"/>
                <w:i w:val="0"/>
                <w:iCs w:val="0"/>
                <w:color w:val="auto"/>
                <w:kern w:val="0"/>
                <w:sz w:val="20"/>
                <w:szCs w:val="20"/>
                <w:highlight w:val="none"/>
                <w:u w:val="none"/>
                <w:lang w:val="en-US" w:eastAsia="zh-CN" w:bidi="ar"/>
              </w:rPr>
              <w:t>-40</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+70</w:t>
            </w:r>
            <w:r>
              <w:rPr>
                <w:rFonts w:hint="eastAsia" w:ascii="宋体" w:hAnsi="宋体" w:eastAsia="宋体" w:cs="宋体"/>
                <w:i w:val="0"/>
                <w:iCs w:val="0"/>
                <w:color w:val="auto"/>
                <w:kern w:val="0"/>
                <w:sz w:val="20"/>
                <w:szCs w:val="20"/>
                <w:highlight w:val="none"/>
                <w:u w:val="none"/>
                <w:lang w:val="en-US" w:eastAsia="zh-CN" w:bidi="ar"/>
              </w:rPr>
              <w:t>℃，恒温控制器、温度控制器、液位控制器等均用优质品牌。</w:t>
            </w:r>
          </w:p>
        </w:tc>
        <w:tc>
          <w:tcPr>
            <w:tcW w:w="736" w:type="dxa"/>
            <w:noWrap w:val="0"/>
            <w:vAlign w:val="center"/>
          </w:tcPr>
          <w:p w14:paraId="7FC801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88DD00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37FA0F5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2A1E10DA">
            <w:pPr>
              <w:keepNext w:val="0"/>
              <w:keepLines w:val="0"/>
              <w:widowControl/>
              <w:suppressLineNumbers w:val="0"/>
              <w:jc w:val="center"/>
              <w:textAlignment w:val="center"/>
              <w:rPr>
                <w:rFonts w:hint="eastAsia"/>
                <w:color w:val="auto"/>
                <w:highlight w:val="none"/>
                <w:vertAlign w:val="baseline"/>
                <w:lang w:val="en-US" w:eastAsia="zh-CN"/>
              </w:rPr>
            </w:pPr>
          </w:p>
        </w:tc>
      </w:tr>
      <w:tr w14:paraId="68D6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5D0934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15</w:t>
            </w:r>
          </w:p>
        </w:tc>
        <w:tc>
          <w:tcPr>
            <w:tcW w:w="1690" w:type="dxa"/>
            <w:noWrap w:val="0"/>
            <w:vAlign w:val="center"/>
          </w:tcPr>
          <w:p w14:paraId="348E353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电气配线</w:t>
            </w:r>
          </w:p>
        </w:tc>
        <w:tc>
          <w:tcPr>
            <w:tcW w:w="5928" w:type="dxa"/>
            <w:noWrap w:val="0"/>
            <w:vAlign w:val="center"/>
          </w:tcPr>
          <w:p w14:paraId="71DDDEA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2.5-6mm²，国标优质铜芯线</w:t>
            </w:r>
          </w:p>
        </w:tc>
        <w:tc>
          <w:tcPr>
            <w:tcW w:w="736" w:type="dxa"/>
            <w:noWrap w:val="0"/>
            <w:vAlign w:val="center"/>
          </w:tcPr>
          <w:p w14:paraId="62A8962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619A680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扎</w:t>
            </w:r>
          </w:p>
        </w:tc>
        <w:tc>
          <w:tcPr>
            <w:tcW w:w="3381" w:type="dxa"/>
            <w:noWrap w:val="0"/>
            <w:vAlign w:val="center"/>
          </w:tcPr>
          <w:p w14:paraId="1BE4601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5B60D38">
            <w:pPr>
              <w:keepNext w:val="0"/>
              <w:keepLines w:val="0"/>
              <w:widowControl/>
              <w:suppressLineNumbers w:val="0"/>
              <w:jc w:val="center"/>
              <w:textAlignment w:val="center"/>
              <w:rPr>
                <w:rFonts w:hint="eastAsia"/>
                <w:color w:val="auto"/>
                <w:highlight w:val="none"/>
                <w:vertAlign w:val="baseline"/>
                <w:lang w:val="en-US" w:eastAsia="zh-CN"/>
              </w:rPr>
            </w:pPr>
          </w:p>
        </w:tc>
      </w:tr>
      <w:tr w14:paraId="7905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04D2BC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16</w:t>
            </w:r>
          </w:p>
        </w:tc>
        <w:tc>
          <w:tcPr>
            <w:tcW w:w="1690" w:type="dxa"/>
            <w:noWrap w:val="0"/>
            <w:vAlign w:val="center"/>
          </w:tcPr>
          <w:p w14:paraId="7A00213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线管</w:t>
            </w:r>
          </w:p>
        </w:tc>
        <w:tc>
          <w:tcPr>
            <w:tcW w:w="5928" w:type="dxa"/>
            <w:noWrap w:val="0"/>
            <w:vAlign w:val="center"/>
          </w:tcPr>
          <w:p w14:paraId="165DEEBB">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φ25～φ32，国产优质PVC阻燃管材</w:t>
            </w:r>
          </w:p>
        </w:tc>
        <w:tc>
          <w:tcPr>
            <w:tcW w:w="736" w:type="dxa"/>
            <w:noWrap w:val="0"/>
            <w:vAlign w:val="center"/>
          </w:tcPr>
          <w:p w14:paraId="509F1EA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58E6CE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623ED2B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30B90CF">
            <w:pPr>
              <w:keepNext w:val="0"/>
              <w:keepLines w:val="0"/>
              <w:widowControl/>
              <w:suppressLineNumbers w:val="0"/>
              <w:jc w:val="center"/>
              <w:textAlignment w:val="center"/>
              <w:rPr>
                <w:rFonts w:hint="eastAsia"/>
                <w:color w:val="auto"/>
                <w:highlight w:val="none"/>
                <w:vertAlign w:val="baseline"/>
                <w:lang w:val="en-US" w:eastAsia="zh-CN"/>
              </w:rPr>
            </w:pPr>
          </w:p>
        </w:tc>
      </w:tr>
      <w:tr w14:paraId="01F3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ED7B0C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17</w:t>
            </w:r>
          </w:p>
        </w:tc>
        <w:tc>
          <w:tcPr>
            <w:tcW w:w="1690" w:type="dxa"/>
            <w:noWrap w:val="0"/>
            <w:vAlign w:val="center"/>
          </w:tcPr>
          <w:p w14:paraId="35951AE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其它辅助材料</w:t>
            </w:r>
          </w:p>
        </w:tc>
        <w:tc>
          <w:tcPr>
            <w:tcW w:w="5928" w:type="dxa"/>
            <w:noWrap w:val="0"/>
            <w:vAlign w:val="center"/>
          </w:tcPr>
          <w:p w14:paraId="56EB3FB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管路支架、生料带、管卡、焊条、螺栓、玻璃胶、水泵防雨罩等</w:t>
            </w:r>
          </w:p>
        </w:tc>
        <w:tc>
          <w:tcPr>
            <w:tcW w:w="736" w:type="dxa"/>
            <w:noWrap w:val="0"/>
            <w:vAlign w:val="center"/>
          </w:tcPr>
          <w:p w14:paraId="7CE2756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189E78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r>
              <w:rPr>
                <w:rFonts w:ascii="Calibri" w:hAnsi="Calibri" w:eastAsia="宋体" w:cs="Calibri"/>
                <w:i w:val="0"/>
                <w:iCs w:val="0"/>
                <w:color w:val="auto"/>
                <w:kern w:val="0"/>
                <w:sz w:val="20"/>
                <w:szCs w:val="20"/>
                <w:highlight w:val="none"/>
                <w:u w:val="none"/>
                <w:lang w:val="en-US" w:eastAsia="zh-CN" w:bidi="ar"/>
              </w:rPr>
              <w:t xml:space="preserve"> </w:t>
            </w:r>
          </w:p>
        </w:tc>
        <w:tc>
          <w:tcPr>
            <w:tcW w:w="3381" w:type="dxa"/>
            <w:noWrap w:val="0"/>
            <w:vAlign w:val="center"/>
          </w:tcPr>
          <w:p w14:paraId="75C0D25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97B7A4E">
            <w:pPr>
              <w:keepNext w:val="0"/>
              <w:keepLines w:val="0"/>
              <w:widowControl/>
              <w:suppressLineNumbers w:val="0"/>
              <w:jc w:val="center"/>
              <w:textAlignment w:val="center"/>
              <w:rPr>
                <w:rFonts w:hint="eastAsia"/>
                <w:color w:val="auto"/>
                <w:highlight w:val="none"/>
                <w:vertAlign w:val="baseline"/>
                <w:lang w:val="en-US" w:eastAsia="zh-CN"/>
              </w:rPr>
            </w:pPr>
          </w:p>
        </w:tc>
      </w:tr>
      <w:tr w14:paraId="1D1A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9E373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18</w:t>
            </w:r>
          </w:p>
        </w:tc>
        <w:tc>
          <w:tcPr>
            <w:tcW w:w="1690" w:type="dxa"/>
            <w:noWrap w:val="0"/>
            <w:vAlign w:val="center"/>
          </w:tcPr>
          <w:p w14:paraId="51983D3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运费</w:t>
            </w:r>
          </w:p>
        </w:tc>
        <w:tc>
          <w:tcPr>
            <w:tcW w:w="5928" w:type="dxa"/>
            <w:noWrap w:val="0"/>
            <w:vAlign w:val="center"/>
          </w:tcPr>
          <w:p w14:paraId="4B6CEF9E">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4CEFC8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32F3A4D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2DEEFFC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76652AA">
            <w:pPr>
              <w:keepNext w:val="0"/>
              <w:keepLines w:val="0"/>
              <w:widowControl/>
              <w:suppressLineNumbers w:val="0"/>
              <w:jc w:val="center"/>
              <w:textAlignment w:val="center"/>
              <w:rPr>
                <w:rFonts w:hint="eastAsia"/>
                <w:color w:val="auto"/>
                <w:highlight w:val="none"/>
                <w:vertAlign w:val="baseline"/>
                <w:lang w:val="en-US" w:eastAsia="zh-CN"/>
              </w:rPr>
            </w:pPr>
          </w:p>
        </w:tc>
      </w:tr>
      <w:tr w14:paraId="14BA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3EB962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19</w:t>
            </w:r>
          </w:p>
        </w:tc>
        <w:tc>
          <w:tcPr>
            <w:tcW w:w="1690" w:type="dxa"/>
            <w:noWrap w:val="0"/>
            <w:vAlign w:val="center"/>
          </w:tcPr>
          <w:p w14:paraId="2633192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安装费</w:t>
            </w:r>
          </w:p>
        </w:tc>
        <w:tc>
          <w:tcPr>
            <w:tcW w:w="5928" w:type="dxa"/>
            <w:noWrap w:val="0"/>
            <w:vAlign w:val="center"/>
          </w:tcPr>
          <w:p w14:paraId="5B2D0ECD">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37A498B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65B5005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69E159B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048CCB2">
            <w:pPr>
              <w:keepNext w:val="0"/>
              <w:keepLines w:val="0"/>
              <w:widowControl/>
              <w:suppressLineNumbers w:val="0"/>
              <w:jc w:val="center"/>
              <w:textAlignment w:val="center"/>
              <w:rPr>
                <w:rFonts w:hint="eastAsia"/>
                <w:color w:val="auto"/>
                <w:highlight w:val="none"/>
                <w:vertAlign w:val="baseline"/>
                <w:lang w:val="en-US" w:eastAsia="zh-CN"/>
              </w:rPr>
            </w:pPr>
          </w:p>
        </w:tc>
      </w:tr>
      <w:tr w14:paraId="1604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F8AEF5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1690" w:type="dxa"/>
            <w:noWrap w:val="0"/>
            <w:vAlign w:val="center"/>
          </w:tcPr>
          <w:p w14:paraId="0F65C84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吊装费</w:t>
            </w:r>
          </w:p>
        </w:tc>
        <w:tc>
          <w:tcPr>
            <w:tcW w:w="5928" w:type="dxa"/>
            <w:noWrap w:val="0"/>
            <w:vAlign w:val="center"/>
          </w:tcPr>
          <w:p w14:paraId="73D6BF36">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因设备放置楼顶</w:t>
            </w:r>
          </w:p>
        </w:tc>
        <w:tc>
          <w:tcPr>
            <w:tcW w:w="736" w:type="dxa"/>
            <w:noWrap w:val="0"/>
            <w:vAlign w:val="center"/>
          </w:tcPr>
          <w:p w14:paraId="5E532D9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3F8E56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11E8D8E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5FE4FC2">
            <w:pPr>
              <w:keepNext w:val="0"/>
              <w:keepLines w:val="0"/>
              <w:widowControl/>
              <w:suppressLineNumbers w:val="0"/>
              <w:jc w:val="center"/>
              <w:textAlignment w:val="center"/>
              <w:rPr>
                <w:rFonts w:hint="eastAsia"/>
                <w:color w:val="auto"/>
                <w:highlight w:val="none"/>
                <w:vertAlign w:val="baseline"/>
                <w:lang w:val="en-US" w:eastAsia="zh-CN"/>
              </w:rPr>
            </w:pPr>
          </w:p>
        </w:tc>
      </w:tr>
      <w:tr w14:paraId="1804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6AD6A91D">
            <w:pPr>
              <w:keepNext w:val="0"/>
              <w:keepLines w:val="0"/>
              <w:widowControl/>
              <w:suppressLineNumbers w:val="0"/>
              <w:jc w:val="left"/>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德纳小学</w:t>
            </w:r>
          </w:p>
        </w:tc>
      </w:tr>
      <w:tr w14:paraId="048E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6F4951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1690" w:type="dxa"/>
            <w:noWrap w:val="0"/>
            <w:vAlign w:val="center"/>
          </w:tcPr>
          <w:p w14:paraId="4373F15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空气源热泵</w:t>
            </w:r>
          </w:p>
        </w:tc>
        <w:tc>
          <w:tcPr>
            <w:tcW w:w="5928" w:type="dxa"/>
            <w:noWrap w:val="0"/>
            <w:vAlign w:val="center"/>
          </w:tcPr>
          <w:p w14:paraId="60709D8F">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.1.标准工况20℃：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★额定制热量（Kw） ≥11.4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★额定输入功率（Kw） ≤2.58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能效比COP ≥4.45；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★循环不流量≥2.0 m3/h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★2.产热水量(L/h) ≥245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3.额定输入电流（A） 8.6</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4.额定出水温度 ≥55℃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5.防触电等级 I类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6.防水等级 IP×4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7.噪音 ≤62dB(A)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8.能效等级2级以上。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9.热泵具有根据系统运行自动降低能耗的功能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10.热泵具有针对水温环境，自动调节，智能控制机组运行状况，调节机组设备运营状况技术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11.热泵具备周期性高温杀菌功能</w:t>
            </w:r>
          </w:p>
        </w:tc>
        <w:tc>
          <w:tcPr>
            <w:tcW w:w="736" w:type="dxa"/>
            <w:noWrap w:val="0"/>
            <w:vAlign w:val="center"/>
          </w:tcPr>
          <w:p w14:paraId="4B24E95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326D0EB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336D1E4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E6024BB">
            <w:pPr>
              <w:keepNext w:val="0"/>
              <w:keepLines w:val="0"/>
              <w:widowControl/>
              <w:suppressLineNumbers w:val="0"/>
              <w:jc w:val="center"/>
              <w:textAlignment w:val="center"/>
              <w:rPr>
                <w:rFonts w:hint="eastAsia"/>
                <w:color w:val="auto"/>
                <w:highlight w:val="none"/>
                <w:vertAlign w:val="baseline"/>
                <w:lang w:val="en-US" w:eastAsia="zh-CN"/>
              </w:rPr>
            </w:pPr>
          </w:p>
        </w:tc>
      </w:tr>
      <w:tr w14:paraId="240E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3859F2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1690" w:type="dxa"/>
            <w:noWrap w:val="0"/>
            <w:vAlign w:val="center"/>
          </w:tcPr>
          <w:p w14:paraId="7ED4CE9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4吨保温水箱</w:t>
            </w:r>
          </w:p>
        </w:tc>
        <w:tc>
          <w:tcPr>
            <w:tcW w:w="5928" w:type="dxa"/>
            <w:noWrap w:val="0"/>
            <w:vAlign w:val="center"/>
          </w:tcPr>
          <w:p w14:paraId="210A8474">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内胆采用优质</w:t>
            </w:r>
            <w:r>
              <w:rPr>
                <w:rFonts w:hint="default" w:ascii="Calibri" w:hAnsi="Calibri" w:eastAsia="宋体" w:cs="Calibri"/>
                <w:i w:val="0"/>
                <w:iCs w:val="0"/>
                <w:color w:val="auto"/>
                <w:kern w:val="0"/>
                <w:sz w:val="20"/>
                <w:szCs w:val="20"/>
                <w:highlight w:val="none"/>
                <w:u w:val="none"/>
                <w:lang w:val="en-US" w:eastAsia="zh-CN" w:bidi="ar"/>
              </w:rPr>
              <w:t>SUS304</w:t>
            </w:r>
            <w:r>
              <w:rPr>
                <w:rFonts w:hint="eastAsia" w:ascii="宋体" w:hAnsi="宋体" w:eastAsia="宋体" w:cs="宋体"/>
                <w:i w:val="0"/>
                <w:iCs w:val="0"/>
                <w:color w:val="auto"/>
                <w:kern w:val="0"/>
                <w:sz w:val="20"/>
                <w:szCs w:val="20"/>
                <w:highlight w:val="none"/>
                <w:u w:val="none"/>
                <w:lang w:val="en-US" w:eastAsia="zh-CN" w:bidi="ar"/>
              </w:rPr>
              <w:t>不锈钢板制作，中层采用聚氨酯整体恒温机械发泡厚度δ＝</w:t>
            </w:r>
            <w:r>
              <w:rPr>
                <w:rFonts w:hint="default" w:ascii="Calibri" w:hAnsi="Calibri" w:eastAsia="宋体" w:cs="Calibri"/>
                <w:i w:val="0"/>
                <w:iCs w:val="0"/>
                <w:color w:val="auto"/>
                <w:kern w:val="0"/>
                <w:sz w:val="20"/>
                <w:szCs w:val="20"/>
                <w:highlight w:val="none"/>
                <w:u w:val="none"/>
                <w:lang w:val="en-US" w:eastAsia="zh-CN" w:bidi="ar"/>
              </w:rPr>
              <w:t>50mm</w:t>
            </w:r>
            <w:r>
              <w:rPr>
                <w:rFonts w:hint="eastAsia" w:ascii="宋体" w:hAnsi="宋体" w:eastAsia="宋体" w:cs="宋体"/>
                <w:i w:val="0"/>
                <w:iCs w:val="0"/>
                <w:color w:val="auto"/>
                <w:kern w:val="0"/>
                <w:sz w:val="20"/>
                <w:szCs w:val="20"/>
                <w:highlight w:val="none"/>
                <w:u w:val="none"/>
                <w:lang w:val="en-US" w:eastAsia="zh-CN" w:bidi="ar"/>
              </w:rPr>
              <w:t>，外包不锈钢板，水箱设置水箱设置人孔检查口等配套设施</w:t>
            </w:r>
          </w:p>
        </w:tc>
        <w:tc>
          <w:tcPr>
            <w:tcW w:w="736" w:type="dxa"/>
            <w:noWrap w:val="0"/>
            <w:vAlign w:val="center"/>
          </w:tcPr>
          <w:p w14:paraId="22F6898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12F3D03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c>
          <w:tcPr>
            <w:tcW w:w="3381" w:type="dxa"/>
            <w:noWrap w:val="0"/>
            <w:vAlign w:val="center"/>
          </w:tcPr>
          <w:p w14:paraId="734749F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E565A87">
            <w:pPr>
              <w:keepNext w:val="0"/>
              <w:keepLines w:val="0"/>
              <w:widowControl/>
              <w:suppressLineNumbers w:val="0"/>
              <w:jc w:val="center"/>
              <w:textAlignment w:val="center"/>
              <w:rPr>
                <w:rFonts w:hint="eastAsia"/>
                <w:color w:val="auto"/>
                <w:highlight w:val="none"/>
                <w:vertAlign w:val="baseline"/>
                <w:lang w:val="en-US" w:eastAsia="zh-CN"/>
              </w:rPr>
            </w:pPr>
          </w:p>
        </w:tc>
      </w:tr>
      <w:tr w14:paraId="0A44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8F2431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w:t>
            </w:r>
          </w:p>
        </w:tc>
        <w:tc>
          <w:tcPr>
            <w:tcW w:w="1690" w:type="dxa"/>
            <w:noWrap w:val="0"/>
            <w:vAlign w:val="center"/>
          </w:tcPr>
          <w:p w14:paraId="6B9429C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热泵循环泵</w:t>
            </w:r>
          </w:p>
        </w:tc>
        <w:tc>
          <w:tcPr>
            <w:tcW w:w="5928" w:type="dxa"/>
            <w:noWrap w:val="0"/>
            <w:vAlign w:val="center"/>
          </w:tcPr>
          <w:p w14:paraId="60A3A50B">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w:t>
            </w:r>
            <w:r>
              <w:rPr>
                <w:rFonts w:hint="default" w:ascii="Calibri" w:hAnsi="Calibri" w:eastAsia="宋体" w:cs="Calibri"/>
                <w:i w:val="0"/>
                <w:iCs w:val="0"/>
                <w:color w:val="auto"/>
                <w:kern w:val="0"/>
                <w:sz w:val="20"/>
                <w:szCs w:val="20"/>
                <w:highlight w:val="none"/>
                <w:u w:val="none"/>
                <w:lang w:val="en-US" w:eastAsia="zh-CN" w:bidi="ar"/>
              </w:rPr>
              <w:t>6.6m</w:t>
            </w:r>
            <w:r>
              <w:rPr>
                <w:rFonts w:hint="eastAsia" w:ascii="宋体" w:hAnsi="宋体" w:eastAsia="宋体" w:cs="宋体"/>
                <w:i w:val="0"/>
                <w:iCs w:val="0"/>
                <w:color w:val="auto"/>
                <w:kern w:val="0"/>
                <w:sz w:val="20"/>
                <w:szCs w:val="20"/>
                <w:highlight w:val="none"/>
                <w:u w:val="none"/>
                <w:lang w:val="en-US" w:eastAsia="zh-CN" w:bidi="ar"/>
              </w:rPr>
              <w:t>³</w:t>
            </w:r>
            <w:r>
              <w:rPr>
                <w:rFonts w:hint="default" w:ascii="Calibri" w:hAnsi="Calibri" w:eastAsia="宋体" w:cs="Calibri"/>
                <w:i w:val="0"/>
                <w:iCs w:val="0"/>
                <w:color w:val="auto"/>
                <w:kern w:val="0"/>
                <w:sz w:val="20"/>
                <w:szCs w:val="20"/>
                <w:highlight w:val="none"/>
                <w:u w:val="none"/>
                <w:lang w:val="en-US" w:eastAsia="zh-CN" w:bidi="ar"/>
              </w:rPr>
              <w:t>/h</w:t>
            </w:r>
            <w:r>
              <w:rPr>
                <w:rFonts w:hint="eastAsia" w:ascii="宋体" w:hAnsi="宋体" w:eastAsia="宋体" w:cs="宋体"/>
                <w:i w:val="0"/>
                <w:iCs w:val="0"/>
                <w:color w:val="auto"/>
                <w:kern w:val="0"/>
                <w:sz w:val="20"/>
                <w:szCs w:val="20"/>
                <w:highlight w:val="none"/>
                <w:u w:val="none"/>
                <w:lang w:val="en-US" w:eastAsia="zh-CN" w:bidi="ar"/>
              </w:rPr>
              <w:t>，扬程</w:t>
            </w:r>
            <w:r>
              <w:rPr>
                <w:rFonts w:hint="default" w:ascii="Calibri" w:hAnsi="Calibri" w:eastAsia="宋体" w:cs="Calibri"/>
                <w:i w:val="0"/>
                <w:iCs w:val="0"/>
                <w:color w:val="auto"/>
                <w:kern w:val="0"/>
                <w:sz w:val="20"/>
                <w:szCs w:val="20"/>
                <w:highlight w:val="none"/>
                <w:u w:val="none"/>
                <w:lang w:val="en-US" w:eastAsia="zh-CN" w:bidi="ar"/>
              </w:rPr>
              <w:t>18m</w:t>
            </w:r>
            <w:r>
              <w:rPr>
                <w:rFonts w:hint="eastAsia" w:ascii="宋体" w:hAnsi="宋体" w:eastAsia="宋体" w:cs="宋体"/>
                <w:i w:val="0"/>
                <w:iCs w:val="0"/>
                <w:color w:val="auto"/>
                <w:kern w:val="0"/>
                <w:sz w:val="20"/>
                <w:szCs w:val="20"/>
                <w:highlight w:val="none"/>
                <w:u w:val="none"/>
                <w:lang w:val="en-US" w:eastAsia="zh-CN" w:bidi="ar"/>
              </w:rPr>
              <w:t>，功率</w:t>
            </w:r>
            <w:r>
              <w:rPr>
                <w:rFonts w:hint="default" w:ascii="Calibri" w:hAnsi="Calibri" w:eastAsia="宋体" w:cs="Calibri"/>
                <w:i w:val="0"/>
                <w:iCs w:val="0"/>
                <w:color w:val="auto"/>
                <w:kern w:val="0"/>
                <w:sz w:val="20"/>
                <w:szCs w:val="20"/>
                <w:highlight w:val="none"/>
                <w:u w:val="none"/>
                <w:lang w:val="en-US" w:eastAsia="zh-CN" w:bidi="ar"/>
              </w:rPr>
              <w:t>750W</w:t>
            </w:r>
          </w:p>
        </w:tc>
        <w:tc>
          <w:tcPr>
            <w:tcW w:w="736" w:type="dxa"/>
            <w:noWrap w:val="0"/>
            <w:vAlign w:val="center"/>
          </w:tcPr>
          <w:p w14:paraId="23055E5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18DBAA0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67A2E4A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7AF963F">
            <w:pPr>
              <w:keepNext w:val="0"/>
              <w:keepLines w:val="0"/>
              <w:widowControl/>
              <w:suppressLineNumbers w:val="0"/>
              <w:jc w:val="center"/>
              <w:textAlignment w:val="center"/>
              <w:rPr>
                <w:rFonts w:hint="eastAsia"/>
                <w:color w:val="auto"/>
                <w:highlight w:val="none"/>
                <w:vertAlign w:val="baseline"/>
                <w:lang w:val="en-US" w:eastAsia="zh-CN"/>
              </w:rPr>
            </w:pPr>
          </w:p>
        </w:tc>
      </w:tr>
      <w:tr w14:paraId="2A37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CFCB18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4</w:t>
            </w:r>
          </w:p>
        </w:tc>
        <w:tc>
          <w:tcPr>
            <w:tcW w:w="1690" w:type="dxa"/>
            <w:noWrap w:val="0"/>
            <w:vAlign w:val="center"/>
          </w:tcPr>
          <w:p w14:paraId="062D429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热水自动增压泵</w:t>
            </w:r>
          </w:p>
        </w:tc>
        <w:tc>
          <w:tcPr>
            <w:tcW w:w="5928" w:type="dxa"/>
            <w:noWrap w:val="0"/>
            <w:vAlign w:val="center"/>
          </w:tcPr>
          <w:p w14:paraId="7719BE4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w:t>
            </w:r>
            <w:r>
              <w:rPr>
                <w:rFonts w:hint="default" w:ascii="Calibri" w:hAnsi="Calibri" w:eastAsia="宋体" w:cs="Calibri"/>
                <w:i w:val="0"/>
                <w:iCs w:val="0"/>
                <w:color w:val="auto"/>
                <w:kern w:val="0"/>
                <w:sz w:val="20"/>
                <w:szCs w:val="20"/>
                <w:highlight w:val="none"/>
                <w:u w:val="none"/>
                <w:lang w:val="en-US" w:eastAsia="zh-CN" w:bidi="ar"/>
              </w:rPr>
              <w:t>12m</w:t>
            </w:r>
            <w:r>
              <w:rPr>
                <w:rFonts w:hint="eastAsia" w:ascii="宋体" w:hAnsi="宋体" w:eastAsia="宋体" w:cs="宋体"/>
                <w:i w:val="0"/>
                <w:iCs w:val="0"/>
                <w:color w:val="auto"/>
                <w:kern w:val="0"/>
                <w:sz w:val="20"/>
                <w:szCs w:val="20"/>
                <w:highlight w:val="none"/>
                <w:u w:val="none"/>
                <w:lang w:val="en-US" w:eastAsia="zh-CN" w:bidi="ar"/>
              </w:rPr>
              <w:t>³</w:t>
            </w:r>
            <w:r>
              <w:rPr>
                <w:rFonts w:hint="default" w:ascii="Calibri" w:hAnsi="Calibri" w:eastAsia="宋体" w:cs="Calibri"/>
                <w:i w:val="0"/>
                <w:iCs w:val="0"/>
                <w:color w:val="auto"/>
                <w:kern w:val="0"/>
                <w:sz w:val="20"/>
                <w:szCs w:val="20"/>
                <w:highlight w:val="none"/>
                <w:u w:val="none"/>
                <w:lang w:val="en-US" w:eastAsia="zh-CN" w:bidi="ar"/>
              </w:rPr>
              <w:t>/h</w:t>
            </w:r>
            <w:r>
              <w:rPr>
                <w:rFonts w:hint="eastAsia" w:ascii="宋体" w:hAnsi="宋体" w:eastAsia="宋体" w:cs="宋体"/>
                <w:i w:val="0"/>
                <w:iCs w:val="0"/>
                <w:color w:val="auto"/>
                <w:kern w:val="0"/>
                <w:sz w:val="20"/>
                <w:szCs w:val="20"/>
                <w:highlight w:val="none"/>
                <w:u w:val="none"/>
                <w:lang w:val="en-US" w:eastAsia="zh-CN" w:bidi="ar"/>
              </w:rPr>
              <w:t>，扬程27.5</w:t>
            </w:r>
            <w:r>
              <w:rPr>
                <w:rFonts w:hint="default" w:ascii="Calibri" w:hAnsi="Calibri" w:eastAsia="宋体" w:cs="Calibri"/>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lang w:val="en-US" w:eastAsia="zh-CN" w:bidi="ar"/>
              </w:rPr>
              <w:t>，功率1.85</w:t>
            </w:r>
            <w:r>
              <w:rPr>
                <w:rFonts w:hint="default" w:ascii="Calibri" w:hAnsi="Calibri" w:eastAsia="宋体" w:cs="Calibri"/>
                <w:i w:val="0"/>
                <w:iCs w:val="0"/>
                <w:color w:val="auto"/>
                <w:kern w:val="0"/>
                <w:sz w:val="20"/>
                <w:szCs w:val="20"/>
                <w:highlight w:val="none"/>
                <w:u w:val="none"/>
                <w:lang w:val="en-US" w:eastAsia="zh-CN" w:bidi="ar"/>
              </w:rPr>
              <w:t>W</w:t>
            </w:r>
          </w:p>
        </w:tc>
        <w:tc>
          <w:tcPr>
            <w:tcW w:w="736" w:type="dxa"/>
            <w:noWrap w:val="0"/>
            <w:vAlign w:val="center"/>
          </w:tcPr>
          <w:p w14:paraId="50C68D0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6BBB65C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3C259FF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7E5FCB1">
            <w:pPr>
              <w:keepNext w:val="0"/>
              <w:keepLines w:val="0"/>
              <w:widowControl/>
              <w:suppressLineNumbers w:val="0"/>
              <w:jc w:val="center"/>
              <w:textAlignment w:val="center"/>
              <w:rPr>
                <w:rFonts w:hint="eastAsia"/>
                <w:color w:val="auto"/>
                <w:highlight w:val="none"/>
                <w:vertAlign w:val="baseline"/>
                <w:lang w:val="en-US" w:eastAsia="zh-CN"/>
              </w:rPr>
            </w:pPr>
          </w:p>
        </w:tc>
      </w:tr>
      <w:tr w14:paraId="7139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BA811E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5</w:t>
            </w:r>
          </w:p>
        </w:tc>
        <w:tc>
          <w:tcPr>
            <w:tcW w:w="1690" w:type="dxa"/>
            <w:noWrap w:val="0"/>
            <w:vAlign w:val="center"/>
          </w:tcPr>
          <w:p w14:paraId="6EDF005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548DEF54">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De50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4FD45DA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25</w:t>
            </w:r>
          </w:p>
        </w:tc>
        <w:tc>
          <w:tcPr>
            <w:tcW w:w="834" w:type="dxa"/>
            <w:noWrap w:val="0"/>
            <w:vAlign w:val="center"/>
          </w:tcPr>
          <w:p w14:paraId="2B5C784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5FEB9D9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0D57081">
            <w:pPr>
              <w:keepNext w:val="0"/>
              <w:keepLines w:val="0"/>
              <w:widowControl/>
              <w:suppressLineNumbers w:val="0"/>
              <w:jc w:val="center"/>
              <w:textAlignment w:val="center"/>
              <w:rPr>
                <w:rFonts w:hint="eastAsia"/>
                <w:color w:val="auto"/>
                <w:highlight w:val="none"/>
                <w:vertAlign w:val="baseline"/>
                <w:lang w:val="en-US" w:eastAsia="zh-CN"/>
              </w:rPr>
            </w:pPr>
          </w:p>
        </w:tc>
      </w:tr>
      <w:tr w14:paraId="0396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096816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6</w:t>
            </w:r>
          </w:p>
        </w:tc>
        <w:tc>
          <w:tcPr>
            <w:tcW w:w="1690" w:type="dxa"/>
            <w:noWrap w:val="0"/>
            <w:vAlign w:val="center"/>
          </w:tcPr>
          <w:p w14:paraId="784021A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256F9BA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De40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2EB49F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834" w:type="dxa"/>
            <w:noWrap w:val="0"/>
            <w:vAlign w:val="center"/>
          </w:tcPr>
          <w:p w14:paraId="1B57BC7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79216D2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091BC5C">
            <w:pPr>
              <w:keepNext w:val="0"/>
              <w:keepLines w:val="0"/>
              <w:widowControl/>
              <w:suppressLineNumbers w:val="0"/>
              <w:jc w:val="center"/>
              <w:textAlignment w:val="center"/>
              <w:rPr>
                <w:rFonts w:hint="eastAsia"/>
                <w:color w:val="auto"/>
                <w:highlight w:val="none"/>
                <w:vertAlign w:val="baseline"/>
                <w:lang w:val="en-US" w:eastAsia="zh-CN"/>
              </w:rPr>
            </w:pPr>
          </w:p>
        </w:tc>
      </w:tr>
      <w:tr w14:paraId="0E36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9547B9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7</w:t>
            </w:r>
          </w:p>
        </w:tc>
        <w:tc>
          <w:tcPr>
            <w:tcW w:w="1690" w:type="dxa"/>
            <w:noWrap w:val="0"/>
            <w:vAlign w:val="center"/>
          </w:tcPr>
          <w:p w14:paraId="447335C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4A5479E9">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De32</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05A1444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10</w:t>
            </w:r>
          </w:p>
        </w:tc>
        <w:tc>
          <w:tcPr>
            <w:tcW w:w="834" w:type="dxa"/>
            <w:noWrap w:val="0"/>
            <w:vAlign w:val="center"/>
          </w:tcPr>
          <w:p w14:paraId="3FF7039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2EBE14C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60ADBB0">
            <w:pPr>
              <w:keepNext w:val="0"/>
              <w:keepLines w:val="0"/>
              <w:widowControl/>
              <w:suppressLineNumbers w:val="0"/>
              <w:jc w:val="center"/>
              <w:textAlignment w:val="center"/>
              <w:rPr>
                <w:rFonts w:hint="eastAsia"/>
                <w:color w:val="auto"/>
                <w:highlight w:val="none"/>
                <w:vertAlign w:val="baseline"/>
                <w:lang w:val="en-US" w:eastAsia="zh-CN"/>
              </w:rPr>
            </w:pPr>
          </w:p>
        </w:tc>
      </w:tr>
      <w:tr w14:paraId="070E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6BF7D6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8</w:t>
            </w:r>
          </w:p>
        </w:tc>
        <w:tc>
          <w:tcPr>
            <w:tcW w:w="1690" w:type="dxa"/>
            <w:noWrap w:val="0"/>
            <w:vAlign w:val="center"/>
          </w:tcPr>
          <w:p w14:paraId="7482039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4EE15C71">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De25</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579F533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w:t>
            </w:r>
          </w:p>
        </w:tc>
        <w:tc>
          <w:tcPr>
            <w:tcW w:w="834" w:type="dxa"/>
            <w:noWrap w:val="0"/>
            <w:vAlign w:val="center"/>
          </w:tcPr>
          <w:p w14:paraId="4F20A65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68AAB51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9466053">
            <w:pPr>
              <w:keepNext w:val="0"/>
              <w:keepLines w:val="0"/>
              <w:widowControl/>
              <w:suppressLineNumbers w:val="0"/>
              <w:jc w:val="center"/>
              <w:textAlignment w:val="center"/>
              <w:rPr>
                <w:rFonts w:hint="eastAsia"/>
                <w:color w:val="auto"/>
                <w:highlight w:val="none"/>
                <w:vertAlign w:val="baseline"/>
                <w:lang w:val="en-US" w:eastAsia="zh-CN"/>
              </w:rPr>
            </w:pPr>
          </w:p>
        </w:tc>
      </w:tr>
      <w:tr w14:paraId="7BEC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91D8AB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9</w:t>
            </w:r>
          </w:p>
        </w:tc>
        <w:tc>
          <w:tcPr>
            <w:tcW w:w="1690" w:type="dxa"/>
            <w:noWrap w:val="0"/>
            <w:vAlign w:val="center"/>
          </w:tcPr>
          <w:p w14:paraId="5FBD6AF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w:t>
            </w:r>
          </w:p>
        </w:tc>
        <w:tc>
          <w:tcPr>
            <w:tcW w:w="5928" w:type="dxa"/>
            <w:noWrap w:val="0"/>
            <w:vAlign w:val="center"/>
          </w:tcPr>
          <w:p w14:paraId="0174EAD9">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De20</w:t>
            </w:r>
            <w:r>
              <w:rPr>
                <w:rFonts w:hint="eastAsia" w:ascii="宋体" w:hAnsi="宋体" w:eastAsia="宋体" w:cs="宋体"/>
                <w:i w:val="0"/>
                <w:iCs w:val="0"/>
                <w:color w:val="auto"/>
                <w:kern w:val="0"/>
                <w:sz w:val="20"/>
                <w:szCs w:val="20"/>
                <w:highlight w:val="none"/>
                <w:u w:val="none"/>
                <w:lang w:val="en-US" w:eastAsia="zh-CN" w:bidi="ar"/>
              </w:rPr>
              <w:t>，热水专用</w:t>
            </w:r>
          </w:p>
        </w:tc>
        <w:tc>
          <w:tcPr>
            <w:tcW w:w="736" w:type="dxa"/>
            <w:noWrap w:val="0"/>
            <w:vAlign w:val="center"/>
          </w:tcPr>
          <w:p w14:paraId="3154AD5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28</w:t>
            </w:r>
          </w:p>
        </w:tc>
        <w:tc>
          <w:tcPr>
            <w:tcW w:w="834" w:type="dxa"/>
            <w:noWrap w:val="0"/>
            <w:vAlign w:val="center"/>
          </w:tcPr>
          <w:p w14:paraId="4969B41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5BA6E32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24482DAF">
            <w:pPr>
              <w:keepNext w:val="0"/>
              <w:keepLines w:val="0"/>
              <w:widowControl/>
              <w:suppressLineNumbers w:val="0"/>
              <w:jc w:val="center"/>
              <w:textAlignment w:val="center"/>
              <w:rPr>
                <w:rFonts w:hint="eastAsia"/>
                <w:color w:val="auto"/>
                <w:highlight w:val="none"/>
                <w:vertAlign w:val="baseline"/>
                <w:lang w:val="en-US" w:eastAsia="zh-CN"/>
              </w:rPr>
            </w:pPr>
          </w:p>
        </w:tc>
      </w:tr>
      <w:tr w14:paraId="1873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329B50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10</w:t>
            </w:r>
          </w:p>
        </w:tc>
        <w:tc>
          <w:tcPr>
            <w:tcW w:w="1690" w:type="dxa"/>
            <w:noWrap w:val="0"/>
            <w:vAlign w:val="center"/>
          </w:tcPr>
          <w:p w14:paraId="7A029CF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PPR热水管道配件</w:t>
            </w:r>
          </w:p>
        </w:tc>
        <w:tc>
          <w:tcPr>
            <w:tcW w:w="5928" w:type="dxa"/>
            <w:noWrap w:val="0"/>
            <w:vAlign w:val="center"/>
          </w:tcPr>
          <w:p w14:paraId="73E23602">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外牙、内牙、阀门、弯头、三通、直通等</w:t>
            </w:r>
          </w:p>
        </w:tc>
        <w:tc>
          <w:tcPr>
            <w:tcW w:w="736" w:type="dxa"/>
            <w:noWrap w:val="0"/>
            <w:vAlign w:val="center"/>
          </w:tcPr>
          <w:p w14:paraId="79DD24C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4820F51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20F5B7D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8C3A959">
            <w:pPr>
              <w:keepNext w:val="0"/>
              <w:keepLines w:val="0"/>
              <w:widowControl/>
              <w:suppressLineNumbers w:val="0"/>
              <w:jc w:val="center"/>
              <w:textAlignment w:val="center"/>
              <w:rPr>
                <w:rFonts w:hint="eastAsia"/>
                <w:color w:val="auto"/>
                <w:highlight w:val="none"/>
                <w:vertAlign w:val="baseline"/>
                <w:lang w:val="en-US" w:eastAsia="zh-CN"/>
              </w:rPr>
            </w:pPr>
          </w:p>
        </w:tc>
      </w:tr>
      <w:tr w14:paraId="7846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58E087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11</w:t>
            </w:r>
          </w:p>
        </w:tc>
        <w:tc>
          <w:tcPr>
            <w:tcW w:w="1690" w:type="dxa"/>
            <w:noWrap w:val="0"/>
            <w:vAlign w:val="center"/>
          </w:tcPr>
          <w:p w14:paraId="23AE9B3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管道保温</w:t>
            </w:r>
          </w:p>
        </w:tc>
        <w:tc>
          <w:tcPr>
            <w:tcW w:w="5928" w:type="dxa"/>
            <w:noWrap w:val="0"/>
            <w:vAlign w:val="center"/>
          </w:tcPr>
          <w:p w14:paraId="657A4BB5">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De32-50</w:t>
            </w:r>
          </w:p>
        </w:tc>
        <w:tc>
          <w:tcPr>
            <w:tcW w:w="736" w:type="dxa"/>
            <w:noWrap w:val="0"/>
            <w:vAlign w:val="center"/>
          </w:tcPr>
          <w:p w14:paraId="30B59E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113</w:t>
            </w:r>
          </w:p>
        </w:tc>
        <w:tc>
          <w:tcPr>
            <w:tcW w:w="834" w:type="dxa"/>
            <w:noWrap w:val="0"/>
            <w:vAlign w:val="center"/>
          </w:tcPr>
          <w:p w14:paraId="684D36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3381" w:type="dxa"/>
            <w:noWrap w:val="0"/>
            <w:vAlign w:val="center"/>
          </w:tcPr>
          <w:p w14:paraId="725BD8F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F40CA29">
            <w:pPr>
              <w:keepNext w:val="0"/>
              <w:keepLines w:val="0"/>
              <w:widowControl/>
              <w:suppressLineNumbers w:val="0"/>
              <w:jc w:val="center"/>
              <w:textAlignment w:val="center"/>
              <w:rPr>
                <w:rFonts w:hint="eastAsia"/>
                <w:color w:val="auto"/>
                <w:highlight w:val="none"/>
                <w:vertAlign w:val="baseline"/>
                <w:lang w:val="en-US" w:eastAsia="zh-CN"/>
              </w:rPr>
            </w:pPr>
          </w:p>
        </w:tc>
      </w:tr>
      <w:tr w14:paraId="5D2F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5EDA2E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12</w:t>
            </w:r>
          </w:p>
        </w:tc>
        <w:tc>
          <w:tcPr>
            <w:tcW w:w="1690" w:type="dxa"/>
            <w:noWrap w:val="0"/>
            <w:vAlign w:val="center"/>
          </w:tcPr>
          <w:p w14:paraId="21374A2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软化水处理设备</w:t>
            </w:r>
          </w:p>
        </w:tc>
        <w:tc>
          <w:tcPr>
            <w:tcW w:w="5928" w:type="dxa"/>
            <w:noWrap w:val="0"/>
            <w:vAlign w:val="center"/>
          </w:tcPr>
          <w:p w14:paraId="4B066C8C">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作电压：</w:t>
            </w:r>
            <w:r>
              <w:rPr>
                <w:rFonts w:hint="default" w:ascii="Calibri" w:hAnsi="Calibri" w:eastAsia="宋体" w:cs="Calibri"/>
                <w:i w:val="0"/>
                <w:iCs w:val="0"/>
                <w:color w:val="auto"/>
                <w:kern w:val="0"/>
                <w:sz w:val="20"/>
                <w:szCs w:val="20"/>
                <w:highlight w:val="none"/>
                <w:u w:val="none"/>
                <w:lang w:val="en-US" w:eastAsia="zh-CN" w:bidi="ar"/>
              </w:rPr>
              <w:t>220V</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工作功率：</w:t>
            </w:r>
            <w:r>
              <w:rPr>
                <w:rFonts w:hint="default" w:ascii="Calibri" w:hAnsi="Calibri" w:eastAsia="宋体" w:cs="Calibri"/>
                <w:i w:val="0"/>
                <w:iCs w:val="0"/>
                <w:color w:val="auto"/>
                <w:kern w:val="0"/>
                <w:sz w:val="20"/>
                <w:szCs w:val="20"/>
                <w:highlight w:val="none"/>
                <w:u w:val="none"/>
                <w:lang w:val="en-US" w:eastAsia="zh-CN" w:bidi="ar"/>
              </w:rPr>
              <w:t>30w</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冬季工作功率：</w:t>
            </w:r>
            <w:r>
              <w:rPr>
                <w:rFonts w:hint="default" w:ascii="Calibri" w:hAnsi="Calibri" w:eastAsia="宋体" w:cs="Calibri"/>
                <w:i w:val="0"/>
                <w:iCs w:val="0"/>
                <w:color w:val="auto"/>
                <w:kern w:val="0"/>
                <w:sz w:val="20"/>
                <w:szCs w:val="20"/>
                <w:highlight w:val="none"/>
                <w:u w:val="none"/>
                <w:lang w:val="en-US" w:eastAsia="zh-CN" w:bidi="ar"/>
              </w:rPr>
              <w:t>230w</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水处理量：</w:t>
            </w:r>
            <w:r>
              <w:rPr>
                <w:rFonts w:hint="default" w:ascii="Calibri" w:hAnsi="Calibri" w:eastAsia="宋体" w:cs="Calibri"/>
                <w:i w:val="0"/>
                <w:iCs w:val="0"/>
                <w:color w:val="auto"/>
                <w:kern w:val="0"/>
                <w:sz w:val="20"/>
                <w:szCs w:val="20"/>
                <w:highlight w:val="none"/>
                <w:u w:val="none"/>
                <w:lang w:val="en-US" w:eastAsia="zh-CN" w:bidi="ar"/>
              </w:rPr>
              <w:t>0-3m³/ h</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机组尺寸：长</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宽</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高</w:t>
            </w:r>
            <w:r>
              <w:rPr>
                <w:rFonts w:hint="default" w:ascii="Calibri" w:hAnsi="Calibri" w:eastAsia="宋体" w:cs="Calibri"/>
                <w:i w:val="0"/>
                <w:iCs w:val="0"/>
                <w:color w:val="auto"/>
                <w:kern w:val="0"/>
                <w:sz w:val="20"/>
                <w:szCs w:val="20"/>
                <w:highlight w:val="none"/>
                <w:u w:val="none"/>
                <w:lang w:val="en-US" w:eastAsia="zh-CN" w:bidi="ar"/>
              </w:rPr>
              <w:t>450mm*400mm*900mm</w:t>
            </w:r>
            <w:r>
              <w:rPr>
                <w:rFonts w:hint="default" w:ascii="Calibri" w:hAnsi="Calibri" w:eastAsia="宋体" w:cs="Calibri"/>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机组质量：</w:t>
            </w:r>
            <w:r>
              <w:rPr>
                <w:rFonts w:hint="default" w:ascii="Calibri" w:hAnsi="Calibri" w:eastAsia="宋体" w:cs="Calibri"/>
                <w:i w:val="0"/>
                <w:iCs w:val="0"/>
                <w:color w:val="auto"/>
                <w:kern w:val="0"/>
                <w:sz w:val="20"/>
                <w:szCs w:val="20"/>
                <w:highlight w:val="none"/>
                <w:u w:val="none"/>
                <w:lang w:val="en-US" w:eastAsia="zh-CN" w:bidi="ar"/>
              </w:rPr>
              <w:t>33kg</w:t>
            </w:r>
          </w:p>
        </w:tc>
        <w:tc>
          <w:tcPr>
            <w:tcW w:w="736" w:type="dxa"/>
            <w:noWrap w:val="0"/>
            <w:vAlign w:val="center"/>
          </w:tcPr>
          <w:p w14:paraId="6FA0D0E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58BD4D6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064946A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2B8C899">
            <w:pPr>
              <w:keepNext w:val="0"/>
              <w:keepLines w:val="0"/>
              <w:widowControl/>
              <w:suppressLineNumbers w:val="0"/>
              <w:jc w:val="center"/>
              <w:textAlignment w:val="center"/>
              <w:rPr>
                <w:rFonts w:hint="eastAsia"/>
                <w:color w:val="auto"/>
                <w:highlight w:val="none"/>
                <w:vertAlign w:val="baseline"/>
                <w:lang w:val="en-US" w:eastAsia="zh-CN"/>
              </w:rPr>
            </w:pPr>
          </w:p>
        </w:tc>
      </w:tr>
      <w:tr w14:paraId="4395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952AF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13</w:t>
            </w:r>
          </w:p>
        </w:tc>
        <w:tc>
          <w:tcPr>
            <w:tcW w:w="1690" w:type="dxa"/>
            <w:noWrap w:val="0"/>
            <w:vAlign w:val="center"/>
          </w:tcPr>
          <w:p w14:paraId="033102D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水龙头</w:t>
            </w:r>
          </w:p>
        </w:tc>
        <w:tc>
          <w:tcPr>
            <w:tcW w:w="5928" w:type="dxa"/>
            <w:noWrap w:val="0"/>
            <w:vAlign w:val="center"/>
          </w:tcPr>
          <w:p w14:paraId="7281146F">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DN15</w:t>
            </w:r>
            <w:r>
              <w:rPr>
                <w:rFonts w:hint="eastAsia" w:ascii="宋体" w:hAnsi="宋体" w:eastAsia="宋体" w:cs="宋体"/>
                <w:i w:val="0"/>
                <w:iCs w:val="0"/>
                <w:color w:val="auto"/>
                <w:kern w:val="0"/>
                <w:sz w:val="20"/>
                <w:szCs w:val="20"/>
                <w:highlight w:val="none"/>
                <w:u w:val="none"/>
                <w:lang w:val="en-US" w:eastAsia="zh-CN" w:bidi="ar"/>
              </w:rPr>
              <w:t>，不锈钢材质</w:t>
            </w:r>
          </w:p>
        </w:tc>
        <w:tc>
          <w:tcPr>
            <w:tcW w:w="736" w:type="dxa"/>
            <w:noWrap w:val="0"/>
            <w:vAlign w:val="center"/>
          </w:tcPr>
          <w:p w14:paraId="7C233CA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12</w:t>
            </w:r>
          </w:p>
        </w:tc>
        <w:tc>
          <w:tcPr>
            <w:tcW w:w="834" w:type="dxa"/>
            <w:noWrap w:val="0"/>
            <w:vAlign w:val="center"/>
          </w:tcPr>
          <w:p w14:paraId="62D9C88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28DDC3B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EE63F99">
            <w:pPr>
              <w:keepNext w:val="0"/>
              <w:keepLines w:val="0"/>
              <w:widowControl/>
              <w:suppressLineNumbers w:val="0"/>
              <w:jc w:val="center"/>
              <w:textAlignment w:val="center"/>
              <w:rPr>
                <w:rFonts w:hint="eastAsia"/>
                <w:color w:val="auto"/>
                <w:highlight w:val="none"/>
                <w:vertAlign w:val="baseline"/>
                <w:lang w:val="en-US" w:eastAsia="zh-CN"/>
              </w:rPr>
            </w:pPr>
          </w:p>
        </w:tc>
      </w:tr>
      <w:tr w14:paraId="2248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05BBFF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14</w:t>
            </w:r>
          </w:p>
        </w:tc>
        <w:tc>
          <w:tcPr>
            <w:tcW w:w="1690" w:type="dxa"/>
            <w:noWrap w:val="0"/>
            <w:vAlign w:val="center"/>
          </w:tcPr>
          <w:p w14:paraId="5B0B7A3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控制柜</w:t>
            </w:r>
          </w:p>
        </w:tc>
        <w:tc>
          <w:tcPr>
            <w:tcW w:w="5928" w:type="dxa"/>
            <w:noWrap w:val="0"/>
            <w:vAlign w:val="center"/>
          </w:tcPr>
          <w:p w14:paraId="76F9648D">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全自动智能控制</w:t>
            </w:r>
            <w:r>
              <w:rPr>
                <w:rFonts w:hint="default" w:ascii="Calibri" w:hAnsi="Calibri" w:eastAsia="宋体" w:cs="Calibri"/>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自动加压，开关工作温度</w:t>
            </w:r>
            <w:r>
              <w:rPr>
                <w:rFonts w:hint="default" w:ascii="Calibri" w:hAnsi="Calibri" w:eastAsia="宋体" w:cs="Calibri"/>
                <w:i w:val="0"/>
                <w:iCs w:val="0"/>
                <w:color w:val="auto"/>
                <w:kern w:val="0"/>
                <w:sz w:val="20"/>
                <w:szCs w:val="20"/>
                <w:highlight w:val="none"/>
                <w:u w:val="none"/>
                <w:lang w:val="en-US" w:eastAsia="zh-CN" w:bidi="ar"/>
              </w:rPr>
              <w:t>-40</w:t>
            </w:r>
            <w:r>
              <w:rPr>
                <w:rFonts w:hint="eastAsia" w:ascii="宋体" w:hAnsi="宋体" w:eastAsia="宋体" w:cs="宋体"/>
                <w:i w:val="0"/>
                <w:iCs w:val="0"/>
                <w:color w:val="auto"/>
                <w:kern w:val="0"/>
                <w:sz w:val="20"/>
                <w:szCs w:val="20"/>
                <w:highlight w:val="none"/>
                <w:u w:val="none"/>
                <w:lang w:val="en-US" w:eastAsia="zh-CN" w:bidi="ar"/>
              </w:rPr>
              <w:t>℃～</w:t>
            </w:r>
            <w:r>
              <w:rPr>
                <w:rFonts w:hint="default" w:ascii="Calibri" w:hAnsi="Calibri" w:eastAsia="宋体" w:cs="Calibri"/>
                <w:i w:val="0"/>
                <w:iCs w:val="0"/>
                <w:color w:val="auto"/>
                <w:kern w:val="0"/>
                <w:sz w:val="20"/>
                <w:szCs w:val="20"/>
                <w:highlight w:val="none"/>
                <w:u w:val="none"/>
                <w:lang w:val="en-US" w:eastAsia="zh-CN" w:bidi="ar"/>
              </w:rPr>
              <w:t>+70</w:t>
            </w:r>
            <w:r>
              <w:rPr>
                <w:rFonts w:hint="eastAsia" w:ascii="宋体" w:hAnsi="宋体" w:eastAsia="宋体" w:cs="宋体"/>
                <w:i w:val="0"/>
                <w:iCs w:val="0"/>
                <w:color w:val="auto"/>
                <w:kern w:val="0"/>
                <w:sz w:val="20"/>
                <w:szCs w:val="20"/>
                <w:highlight w:val="none"/>
                <w:u w:val="none"/>
                <w:lang w:val="en-US" w:eastAsia="zh-CN" w:bidi="ar"/>
              </w:rPr>
              <w:t>℃，恒温控制器、温度控制器、液位控制器等均用优质品牌。</w:t>
            </w:r>
          </w:p>
        </w:tc>
        <w:tc>
          <w:tcPr>
            <w:tcW w:w="736" w:type="dxa"/>
            <w:noWrap w:val="0"/>
            <w:vAlign w:val="center"/>
          </w:tcPr>
          <w:p w14:paraId="283DFD4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2FACF31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6E55F98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0ED3669">
            <w:pPr>
              <w:keepNext w:val="0"/>
              <w:keepLines w:val="0"/>
              <w:widowControl/>
              <w:suppressLineNumbers w:val="0"/>
              <w:jc w:val="center"/>
              <w:textAlignment w:val="center"/>
              <w:rPr>
                <w:rFonts w:hint="eastAsia"/>
                <w:color w:val="auto"/>
                <w:highlight w:val="none"/>
                <w:vertAlign w:val="baseline"/>
                <w:lang w:val="en-US" w:eastAsia="zh-CN"/>
              </w:rPr>
            </w:pPr>
          </w:p>
        </w:tc>
      </w:tr>
      <w:tr w14:paraId="3340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14B221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15</w:t>
            </w:r>
          </w:p>
        </w:tc>
        <w:tc>
          <w:tcPr>
            <w:tcW w:w="1690" w:type="dxa"/>
            <w:noWrap w:val="0"/>
            <w:vAlign w:val="center"/>
          </w:tcPr>
          <w:p w14:paraId="7AB8E6F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电气配线</w:t>
            </w:r>
          </w:p>
        </w:tc>
        <w:tc>
          <w:tcPr>
            <w:tcW w:w="5928" w:type="dxa"/>
            <w:noWrap w:val="0"/>
            <w:vAlign w:val="center"/>
          </w:tcPr>
          <w:p w14:paraId="4C877FEC">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2.5-6mm²</w:t>
            </w:r>
            <w:r>
              <w:rPr>
                <w:rFonts w:hint="eastAsia" w:ascii="宋体" w:hAnsi="宋体" w:eastAsia="宋体" w:cs="宋体"/>
                <w:i w:val="0"/>
                <w:iCs w:val="0"/>
                <w:color w:val="auto"/>
                <w:kern w:val="0"/>
                <w:sz w:val="20"/>
                <w:szCs w:val="20"/>
                <w:highlight w:val="none"/>
                <w:u w:val="none"/>
                <w:lang w:val="en-US" w:eastAsia="zh-CN" w:bidi="ar"/>
              </w:rPr>
              <w:t>，国标优质铜芯线</w:t>
            </w:r>
          </w:p>
        </w:tc>
        <w:tc>
          <w:tcPr>
            <w:tcW w:w="736" w:type="dxa"/>
            <w:noWrap w:val="0"/>
            <w:vAlign w:val="center"/>
          </w:tcPr>
          <w:p w14:paraId="13E7B2B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w:t>
            </w:r>
          </w:p>
        </w:tc>
        <w:tc>
          <w:tcPr>
            <w:tcW w:w="834" w:type="dxa"/>
            <w:noWrap w:val="0"/>
            <w:vAlign w:val="center"/>
          </w:tcPr>
          <w:p w14:paraId="4AD1FAD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扎</w:t>
            </w:r>
          </w:p>
        </w:tc>
        <w:tc>
          <w:tcPr>
            <w:tcW w:w="3381" w:type="dxa"/>
            <w:noWrap w:val="0"/>
            <w:vAlign w:val="center"/>
          </w:tcPr>
          <w:p w14:paraId="20C9A95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DCB7EE0">
            <w:pPr>
              <w:keepNext w:val="0"/>
              <w:keepLines w:val="0"/>
              <w:widowControl/>
              <w:suppressLineNumbers w:val="0"/>
              <w:jc w:val="center"/>
              <w:textAlignment w:val="center"/>
              <w:rPr>
                <w:rFonts w:hint="eastAsia"/>
                <w:color w:val="auto"/>
                <w:highlight w:val="none"/>
                <w:vertAlign w:val="baseline"/>
                <w:lang w:val="en-US" w:eastAsia="zh-CN"/>
              </w:rPr>
            </w:pPr>
          </w:p>
        </w:tc>
      </w:tr>
      <w:tr w14:paraId="4B07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E25B5A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16</w:t>
            </w:r>
          </w:p>
        </w:tc>
        <w:tc>
          <w:tcPr>
            <w:tcW w:w="1690" w:type="dxa"/>
            <w:noWrap w:val="0"/>
            <w:vAlign w:val="center"/>
          </w:tcPr>
          <w:p w14:paraId="16B447C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线管</w:t>
            </w:r>
          </w:p>
        </w:tc>
        <w:tc>
          <w:tcPr>
            <w:tcW w:w="5928" w:type="dxa"/>
            <w:noWrap w:val="0"/>
            <w:vAlign w:val="center"/>
          </w:tcPr>
          <w:p w14:paraId="349ABCBB">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φ25～φ32，国产优质PVC阻燃管材</w:t>
            </w:r>
          </w:p>
        </w:tc>
        <w:tc>
          <w:tcPr>
            <w:tcW w:w="736" w:type="dxa"/>
            <w:noWrap w:val="0"/>
            <w:vAlign w:val="center"/>
          </w:tcPr>
          <w:p w14:paraId="6B00880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0129925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3B04D9C3">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E788BBE">
            <w:pPr>
              <w:keepNext w:val="0"/>
              <w:keepLines w:val="0"/>
              <w:widowControl/>
              <w:suppressLineNumbers w:val="0"/>
              <w:jc w:val="center"/>
              <w:textAlignment w:val="center"/>
              <w:rPr>
                <w:rFonts w:hint="eastAsia"/>
                <w:color w:val="auto"/>
                <w:highlight w:val="none"/>
                <w:vertAlign w:val="baseline"/>
                <w:lang w:val="en-US" w:eastAsia="zh-CN"/>
              </w:rPr>
            </w:pPr>
          </w:p>
        </w:tc>
      </w:tr>
      <w:tr w14:paraId="707F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B2134A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17</w:t>
            </w:r>
          </w:p>
        </w:tc>
        <w:tc>
          <w:tcPr>
            <w:tcW w:w="1690" w:type="dxa"/>
            <w:noWrap w:val="0"/>
            <w:vAlign w:val="center"/>
          </w:tcPr>
          <w:p w14:paraId="73C89577">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其它辅助材料</w:t>
            </w:r>
          </w:p>
        </w:tc>
        <w:tc>
          <w:tcPr>
            <w:tcW w:w="5928" w:type="dxa"/>
            <w:noWrap w:val="0"/>
            <w:vAlign w:val="center"/>
          </w:tcPr>
          <w:p w14:paraId="0F80929F">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管路支架、生料带、管卡、焊条、螺栓、玻璃胶、水泵防雨罩等</w:t>
            </w:r>
          </w:p>
        </w:tc>
        <w:tc>
          <w:tcPr>
            <w:tcW w:w="736" w:type="dxa"/>
            <w:noWrap w:val="0"/>
            <w:vAlign w:val="center"/>
          </w:tcPr>
          <w:p w14:paraId="2227B6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65B3F3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r>
              <w:rPr>
                <w:rFonts w:ascii="Calibri" w:hAnsi="Calibri" w:eastAsia="宋体" w:cs="Calibri"/>
                <w:i w:val="0"/>
                <w:iCs w:val="0"/>
                <w:color w:val="auto"/>
                <w:kern w:val="0"/>
                <w:sz w:val="20"/>
                <w:szCs w:val="20"/>
                <w:highlight w:val="none"/>
                <w:u w:val="none"/>
                <w:lang w:val="en-US" w:eastAsia="zh-CN" w:bidi="ar"/>
              </w:rPr>
              <w:t xml:space="preserve"> </w:t>
            </w:r>
          </w:p>
        </w:tc>
        <w:tc>
          <w:tcPr>
            <w:tcW w:w="3381" w:type="dxa"/>
            <w:noWrap w:val="0"/>
            <w:vAlign w:val="center"/>
          </w:tcPr>
          <w:p w14:paraId="2922773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EBB09DF">
            <w:pPr>
              <w:keepNext w:val="0"/>
              <w:keepLines w:val="0"/>
              <w:widowControl/>
              <w:suppressLineNumbers w:val="0"/>
              <w:jc w:val="center"/>
              <w:textAlignment w:val="center"/>
              <w:rPr>
                <w:rFonts w:hint="eastAsia"/>
                <w:color w:val="auto"/>
                <w:highlight w:val="none"/>
                <w:vertAlign w:val="baseline"/>
                <w:lang w:val="en-US" w:eastAsia="zh-CN"/>
              </w:rPr>
            </w:pPr>
          </w:p>
        </w:tc>
      </w:tr>
      <w:tr w14:paraId="01BF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0BE6A9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18</w:t>
            </w:r>
          </w:p>
        </w:tc>
        <w:tc>
          <w:tcPr>
            <w:tcW w:w="1690" w:type="dxa"/>
            <w:noWrap w:val="0"/>
            <w:vAlign w:val="center"/>
          </w:tcPr>
          <w:p w14:paraId="3900BDE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运费</w:t>
            </w:r>
          </w:p>
        </w:tc>
        <w:tc>
          <w:tcPr>
            <w:tcW w:w="5928" w:type="dxa"/>
            <w:noWrap w:val="0"/>
            <w:vAlign w:val="center"/>
          </w:tcPr>
          <w:p w14:paraId="6CA6657C">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3D9854E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4B30F9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7A0FF11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CA23274">
            <w:pPr>
              <w:keepNext w:val="0"/>
              <w:keepLines w:val="0"/>
              <w:widowControl/>
              <w:suppressLineNumbers w:val="0"/>
              <w:jc w:val="center"/>
              <w:textAlignment w:val="center"/>
              <w:rPr>
                <w:rFonts w:hint="eastAsia"/>
                <w:color w:val="auto"/>
                <w:highlight w:val="none"/>
                <w:vertAlign w:val="baseline"/>
                <w:lang w:val="en-US" w:eastAsia="zh-CN"/>
              </w:rPr>
            </w:pPr>
          </w:p>
        </w:tc>
      </w:tr>
      <w:tr w14:paraId="25F0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57E55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19</w:t>
            </w:r>
          </w:p>
        </w:tc>
        <w:tc>
          <w:tcPr>
            <w:tcW w:w="1690" w:type="dxa"/>
            <w:noWrap w:val="0"/>
            <w:vAlign w:val="center"/>
          </w:tcPr>
          <w:p w14:paraId="3C25794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安装费</w:t>
            </w:r>
          </w:p>
        </w:tc>
        <w:tc>
          <w:tcPr>
            <w:tcW w:w="5928" w:type="dxa"/>
            <w:noWrap w:val="0"/>
            <w:vAlign w:val="center"/>
          </w:tcPr>
          <w:p w14:paraId="511E9EFF">
            <w:pPr>
              <w:jc w:val="center"/>
              <w:rPr>
                <w:rFonts w:hint="eastAsia" w:ascii="宋体" w:hAnsi="宋体" w:cs="宋体"/>
                <w:b/>
                <w:bCs/>
                <w:i w:val="0"/>
                <w:iCs w:val="0"/>
                <w:color w:val="auto"/>
                <w:kern w:val="0"/>
                <w:sz w:val="24"/>
                <w:szCs w:val="24"/>
                <w:highlight w:val="none"/>
                <w:u w:val="none"/>
                <w:lang w:val="en-US" w:eastAsia="zh-CN" w:bidi="ar"/>
              </w:rPr>
            </w:pPr>
          </w:p>
        </w:tc>
        <w:tc>
          <w:tcPr>
            <w:tcW w:w="736" w:type="dxa"/>
            <w:noWrap w:val="0"/>
            <w:vAlign w:val="center"/>
          </w:tcPr>
          <w:p w14:paraId="6B93A89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79B405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714A6B3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A095B98">
            <w:pPr>
              <w:keepNext w:val="0"/>
              <w:keepLines w:val="0"/>
              <w:widowControl/>
              <w:suppressLineNumbers w:val="0"/>
              <w:jc w:val="center"/>
              <w:textAlignment w:val="center"/>
              <w:rPr>
                <w:rFonts w:hint="eastAsia"/>
                <w:color w:val="auto"/>
                <w:highlight w:val="none"/>
                <w:vertAlign w:val="baseline"/>
                <w:lang w:val="en-US" w:eastAsia="zh-CN"/>
              </w:rPr>
            </w:pPr>
          </w:p>
        </w:tc>
      </w:tr>
      <w:tr w14:paraId="6ABF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83E72C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20</w:t>
            </w:r>
          </w:p>
        </w:tc>
        <w:tc>
          <w:tcPr>
            <w:tcW w:w="1690" w:type="dxa"/>
            <w:noWrap w:val="0"/>
            <w:vAlign w:val="center"/>
          </w:tcPr>
          <w:p w14:paraId="3D6ACF1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设备围栏</w:t>
            </w:r>
          </w:p>
        </w:tc>
        <w:tc>
          <w:tcPr>
            <w:tcW w:w="5928" w:type="dxa"/>
            <w:noWrap w:val="0"/>
            <w:vAlign w:val="center"/>
          </w:tcPr>
          <w:p w14:paraId="0EC21BE4">
            <w:pPr>
              <w:keepNext w:val="0"/>
              <w:keepLines w:val="0"/>
              <w:widowControl/>
              <w:suppressLineNumbers w:val="0"/>
              <w:jc w:val="center"/>
              <w:textAlignment w:val="center"/>
              <w:rPr>
                <w:rFonts w:hint="eastAsia" w:ascii="宋体" w:hAnsi="宋体" w:cs="宋体"/>
                <w:b/>
                <w:bCs/>
                <w:i w:val="0"/>
                <w:iCs w:val="0"/>
                <w:color w:val="auto"/>
                <w:kern w:val="0"/>
                <w:sz w:val="24"/>
                <w:szCs w:val="24"/>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304</w:t>
            </w:r>
            <w:r>
              <w:rPr>
                <w:rFonts w:hint="eastAsia" w:ascii="宋体" w:hAnsi="宋体" w:eastAsia="宋体" w:cs="宋体"/>
                <w:i w:val="0"/>
                <w:iCs w:val="0"/>
                <w:color w:val="auto"/>
                <w:kern w:val="0"/>
                <w:sz w:val="20"/>
                <w:szCs w:val="20"/>
                <w:highlight w:val="none"/>
                <w:u w:val="none"/>
                <w:lang w:val="en-US" w:eastAsia="zh-CN" w:bidi="ar"/>
              </w:rPr>
              <w:t>不锈钢，因设备放置在一楼防止学生接触及破坏</w:t>
            </w:r>
          </w:p>
        </w:tc>
        <w:tc>
          <w:tcPr>
            <w:tcW w:w="736" w:type="dxa"/>
            <w:noWrap w:val="0"/>
            <w:vAlign w:val="center"/>
          </w:tcPr>
          <w:p w14:paraId="64DB28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0"/>
                <w:szCs w:val="20"/>
                <w:highlight w:val="none"/>
                <w:u w:val="none"/>
                <w:lang w:val="en-US" w:eastAsia="zh-CN" w:bidi="ar"/>
              </w:rPr>
              <w:t>1</w:t>
            </w:r>
          </w:p>
        </w:tc>
        <w:tc>
          <w:tcPr>
            <w:tcW w:w="834" w:type="dxa"/>
            <w:noWrap w:val="0"/>
            <w:vAlign w:val="center"/>
          </w:tcPr>
          <w:p w14:paraId="5C2951F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项</w:t>
            </w:r>
          </w:p>
        </w:tc>
        <w:tc>
          <w:tcPr>
            <w:tcW w:w="3381" w:type="dxa"/>
            <w:noWrap w:val="0"/>
            <w:vAlign w:val="center"/>
          </w:tcPr>
          <w:p w14:paraId="482AF00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0D3DF55">
            <w:pPr>
              <w:keepNext w:val="0"/>
              <w:keepLines w:val="0"/>
              <w:widowControl/>
              <w:suppressLineNumbers w:val="0"/>
              <w:jc w:val="center"/>
              <w:textAlignment w:val="center"/>
              <w:rPr>
                <w:rFonts w:hint="eastAsia"/>
                <w:color w:val="auto"/>
                <w:highlight w:val="none"/>
                <w:vertAlign w:val="baseline"/>
                <w:lang w:val="en-US" w:eastAsia="zh-CN"/>
              </w:rPr>
            </w:pPr>
          </w:p>
        </w:tc>
      </w:tr>
      <w:tr w14:paraId="695F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2B696C98">
            <w:pPr>
              <w:keepNext w:val="0"/>
              <w:keepLines w:val="0"/>
              <w:widowControl/>
              <w:suppressLineNumbers w:val="0"/>
              <w:jc w:val="center"/>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C标段：教学一体机及计算机教室</w:t>
            </w:r>
          </w:p>
        </w:tc>
      </w:tr>
      <w:tr w14:paraId="6F70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6002F3DE">
            <w:pPr>
              <w:keepNext w:val="0"/>
              <w:keepLines w:val="0"/>
              <w:widowControl/>
              <w:suppressLineNumbers w:val="0"/>
              <w:jc w:val="left"/>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二小、四小、五小56座计算机教室共计3间</w:t>
            </w:r>
          </w:p>
        </w:tc>
      </w:tr>
      <w:tr w14:paraId="0650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95" w:type="dxa"/>
            <w:noWrap w:val="0"/>
            <w:vAlign w:val="center"/>
          </w:tcPr>
          <w:p w14:paraId="3465F2B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1</w:t>
            </w:r>
          </w:p>
        </w:tc>
        <w:tc>
          <w:tcPr>
            <w:tcW w:w="1690" w:type="dxa"/>
            <w:noWrap w:val="0"/>
            <w:vAlign w:val="center"/>
          </w:tcPr>
          <w:p w14:paraId="2172B79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学生机</w:t>
            </w:r>
          </w:p>
        </w:tc>
        <w:tc>
          <w:tcPr>
            <w:tcW w:w="5928" w:type="dxa"/>
            <w:noWrap w:val="0"/>
            <w:vAlign w:val="center"/>
          </w:tcPr>
          <w:p w14:paraId="137B6C8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一、硬件配置：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（1）基本要求：国产品牌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（2）机箱：机箱不大于15L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（3）★处理器：处理器采用板载设计，采用国产ZX-6780A处理器，八核芯，主频2.7GHz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（4）内存：16GB DDR4 内存，配置≥2个内存插槽；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（5）显卡：集成显卡；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（6）硬盘：≥512GB M.2接口NVME协议SSD，最高可支持1TB SSD，最大支持2块3.5英寸机械硬盘扩展，单块容量最大2T；</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（7）电源：电源功率≤180W；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（8）网络：1个RJ45 10/100/1000自适应以太网口；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（9）接口扩展： 1个PCIe x16，1个PCIe x1扩展槽；USB接口不少于8个，前置USB3.0数量≥4个,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(10)显示器：配置≥23.8寸LED显示器，与主机同品牌，分辨率1920*1080，显示器自带理线装置，便于整理线缆，保持桌面整洁；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二、软件部分：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（一）操作系统：国产银河麒麟桌面操作系统V10（三年服务）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（二）云桌面管理平台：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1.平台软件需要安装在物理服务器，授权激活后无限期使用，无需部署其他组件，运维的方便简单。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2.支持（BS架构）多重管理结构，使用浏览器远程访问管理主机和终端机，服务器终端机均有独立配置界面。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3.★支持批量管理设置终端机计算机名、IP地址、分辨率等配置信息（投标时提供此功能界面截图证明并加盖供应商公章）。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4.可以支持多种不同硬件配置，不同代的CPU，使用标准镜像。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5.支持离线脱网运行，服务端断开影响正常授课。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6.支持使用U盘/移动硬盘在脱机的情况下（完全没有网络）脱机恢复桌面。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7.支持管理维护双硬盘，支持NVME，M.2新型高速固态硬盘，同时兼容新老机型部署。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8.支持边用边载的背景载入功能，可在正常使用的同时完成缓存载入，同一网络机器可互相分享数据，大幅减少网络传输中的重复数据，可以大幅提高传输效率。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9.支持自动更新，客户端上传更新完成后管理端可以自动分发给其他客户端，不影响正常使用。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10.★支持多种系统的镜像切换，提供给不同桌面环境使用（投标时提供此功能界面截图证明并加盖供应商公章）。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11.★支持收集终端硬件配置信息，硬件变更信息等（投标时提供此功能界面截图证明并加盖供应商公章）。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12.支持显示终端镜像模板软件列表，软件使用情况。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13.支持U盘、网络等多种部署方式，适应各种网络环境减少对网络环境的调整。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14.支持.vhd虚拟盘格式，保证系统兼容性。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15.★支持打印机模板管理功能（投标时提供此功能界面截图证明并加盖供应商公章）。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16.★提供云桌面管理平台数据展示看板，提供各种硬件、软件、管理等数据信息可视化界面（投标时提供此功能界面截图证明并加盖供应商公章）。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三、质量及服务保证：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1、服务：三年上门保修</w:t>
            </w:r>
          </w:p>
        </w:tc>
        <w:tc>
          <w:tcPr>
            <w:tcW w:w="736" w:type="dxa"/>
            <w:noWrap w:val="0"/>
            <w:vAlign w:val="center"/>
          </w:tcPr>
          <w:p w14:paraId="65552557">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168</w:t>
            </w:r>
          </w:p>
        </w:tc>
        <w:tc>
          <w:tcPr>
            <w:tcW w:w="834" w:type="dxa"/>
            <w:noWrap w:val="0"/>
            <w:vAlign w:val="center"/>
          </w:tcPr>
          <w:p w14:paraId="2D51181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7D745D6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72D64340">
            <w:pPr>
              <w:keepNext w:val="0"/>
              <w:keepLines w:val="0"/>
              <w:widowControl/>
              <w:suppressLineNumbers w:val="0"/>
              <w:jc w:val="center"/>
              <w:textAlignment w:val="center"/>
              <w:rPr>
                <w:rFonts w:hint="eastAsia"/>
                <w:color w:val="auto"/>
                <w:highlight w:val="none"/>
                <w:vertAlign w:val="baseline"/>
                <w:lang w:val="en-US" w:eastAsia="zh-CN"/>
              </w:rPr>
            </w:pPr>
          </w:p>
        </w:tc>
      </w:tr>
      <w:tr w14:paraId="337E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6992D7B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2</w:t>
            </w:r>
          </w:p>
        </w:tc>
        <w:tc>
          <w:tcPr>
            <w:tcW w:w="1690" w:type="dxa"/>
            <w:noWrap w:val="0"/>
            <w:vAlign w:val="center"/>
          </w:tcPr>
          <w:p w14:paraId="7D6203B0">
            <w:pPr>
              <w:keepNext w:val="0"/>
              <w:keepLines w:val="0"/>
              <w:widowControl/>
              <w:suppressLineNumbers w:val="0"/>
              <w:ind w:firstLine="400" w:firstLineChars="20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教师机</w:t>
            </w:r>
          </w:p>
        </w:tc>
        <w:tc>
          <w:tcPr>
            <w:tcW w:w="5928" w:type="dxa"/>
            <w:noWrap w:val="0"/>
            <w:vAlign w:val="center"/>
          </w:tcPr>
          <w:p w14:paraId="579CB5F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一、硬件配置：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（1）基本要求：国产自主品牌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（2）机箱：机箱≥7L，支持侧板挂环锁、Kinsington锁和主板报警蜂鸣器；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（3）处理器：处理器采用板载设计，采用国产海光3350处理器，八核芯，主频3.0GHz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（4）内存：16GB DDR4 内存，配置≥2个内存插槽；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（5）显卡：2G独立显卡,支持VGA+HDMI接口，支持4K视频输出；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（6）硬盘：≥512GB M.2接口NVME协议SSD，最高可支持1TB SSD，最大支持2块3.5英寸机械硬盘扩展，单块容量最大2T，配置1T；</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（7）电源：电源功率≤300W；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（8）网络：1个RJ45 10/100/1000自适应以太网口；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（9）接口扩展： 1个PCIe x16，2个PCIe x1扩展槽；USB接口不少于8个，前置USB3.0数量≥4个, 前置TYPE C数量≥1个，音频接口：麦克风1个，耳机1个；后端3个Audio音频输出接口；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（10）免工具拆卸机箱、带顶置提手，便于维护；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(11)显示器：配置≥23.8寸LED显示器，与主机同品牌，分辨率1920*1080，显示器自带理线装置，便于整理线缆，保持桌面整洁；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二、软件部分：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（一）操作系统：支持国产银河麒麟桌面操作系统V10，支持国产统信桌面操作系统V20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（二）支持桌面云管理平台和学生机对接；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（三）计算机备授课系统：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1、资源平台：1.学科资源丰富，覆盖K12全学段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2.教师个人资源和课堂板书、录制的微课可一键上传到教师空间并支持公开到校本资源库；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3.错题本：自动汇总学生错题到学生空间同时汇总全班错题到教师空间；老师可按课本、章节、题型、错误率、正确率进行筛选。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教师云空间：教师可在云空间中进行备课、组卷、班级管理、素质评价等操作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备课系统：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教师可在PPT中登录进入教师云空间，一键调取题库、错题集、微课、素材等云端资源；支持在线插入试题、视频、网站链接、思维导图、视频音频等，课件完成可同步至云端存储；2.支持从云端试题库、个人试题库和错题集选择试题，进行智能组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3.支持本地备课和云端备课两种方式，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授课系统1.课堂调取云端资源进行授课，支持本地导入和云端调取两种授课方式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1.课堂互动：支持针对学生个人或小组课堂表现进行加分评价，按学期查看得分排行榜及详情；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2.微课录制：支持老师将课堂中的重点内容进行录制，可同步录制老师声音、板书和ppt展示等内容，课后支持一键上传云平台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其它要求：计算机备授课系统星号部分功能需要提供功能截图保障实现。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（四）教学教研平台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1、后台采用B/S架构设计，能够支持教育局、集团校、学校管理者在Windows、web上进行操作，支持微信和账号登录、支持教育局、区域、学校、自定义角色、教师角色切换。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2、支持省市县区校一体化教研体系，组织架构支持省、市、县教育局、集团校、学区、学校。管理体系支持行政管理体系及教研管理体系。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3、支持教师角色数据分析，展示信息化数据、教学的备课授课课后数据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4、支持教研数据展示，包含但不限于集体备课、听课评课、一师一优课、主题研讨等多种活动形式的教研数据。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5、支持资源建设数据展示，包含但不限于成果总数、教研活动数、论文著作数等。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6、支持班级管理数据，包含但不限于班级互动、家校互动数据。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7、支持学校、区域、教育局数据看板展示，支持从信息化数据、集体备课、听评课、一师一优课教研数据，教研资源建设数据等多个维度，展示教育局信息化整体情况，协助领导者科学决策与管理。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教育局、区域、学校、教育局的集体备课活动。支持选择不同区域、不同教育局人员，支持跨区跨校集体备课，支持选择教育局或区域内及教育局区域组织外人员。支持上传多个稿件、支持一屏稿件对比，支持查看该次集体备课数据统计及访问记录。集体备课终稿存到我的成果库。并支持查看集体备课数据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支持集体备课功能：可自主设置集体备课文件类别如课件、学案、试卷、微课、素材、音频等。支持针对本地上传的文件格式：word、PPT一个文档多人同时在线协同编辑和批注。支持省、市、县教育局、集团校实时查询集体备课数据（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10、支持评课表管理：支持自定义设置区域、学校专属评课表，系统预置“一师一优课”模板。支持发布多张评课表，方便同时开展多学科、多个评课活动。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具备听课评课功能：支持管理评课表维度，支持按学科创建评课表。支持评分制和评级制；支持每个维度按优、良中、差进行评级。支持省、市、县教育局创建听评课，支持教育局选择不同区域、不同学校的老师参加听评课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12、支持查看评课报告。支持查看该课程课堂记录报告，课堂记录支持按课堂环节、显示环节时长、教学环节描述、评价内容等。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13、支持查询省、市、县教育局累计听评课次数、创建听评课次数；支持展示该教育局听评课次数最多的老师排行，并展示区域、学校、教师姓名、听评课次数、学科、学段、年级等数据。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14、支持按省、市、县教育局维度，进行录播/线下模式听评课，支持查看听评课开始结束状态，按教师维度，查询该教师听评课数据，并支持查看详细数据。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支持用游戏化的方式及多种工具设置教学设计。教学设计，支持设置开场影音，开场影音支持语音导引和视频导引。支持采用系统音频或自有音频。支持设置场景，场景支持关卡、路径。教学设计支持视频题，视频支持插入交互题，题型支持选择题、排序题、连线题等。教学设计也支持作品题、锦囊、活动评价、整体评价、结束影音。支持对教学设计进行分享。教学设计模块提供体系化的教学设计资源，而不是课件。的教学设计资源支持复制，其支持通过查看教学设计活动的功能，查看完整教学设计活动。需要保障该功能在教研系统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16、支持为用户提供现成的教学设计资源，支持教学设计资源在线复制及在线编辑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17、支持主题研讨：支持省、市、县教育局、学区、集团校创建主题研讨活动，此研讨活动支持评论。需要保障该功能在教研系统内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18、支持问卷调查：支持省、市、县教育局、学区、集团校创建问卷调查活动，此调研活动支持评论，支持自定义问卷。需要保障该功能在教研系统内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19、支持投票活动：支持省、市、县教育局、学区、集团校创建投票活动，此活动支持评论，支持自定义投票试题。需要保障该功能在教研系统内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20、支持一师一优课的活动：支持省、市、县教育局、学区、集团校创建一师一优课活动，此活动支持评论，支持设置活动评审人员及评审规则、设置活动评奖，支持使用常规活动模板和自定义活动模板，需要保障该功能在教研系统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21、支持设置学校目标与计划：可以在系统中录入学校计划，方便学校相关教师了解学校目标与计划。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22、支持教研组计划：以不同学科不同年级教研组为单位，可以在系统中录入教研组计划，也支持与教研活动例如集体备课、听评课相关联，支持填写集体备课和听评课的次数及具体内容。方便教研管理者掌握相关进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23、支持教研日历，老师可以清晰通过教研日历，查看每周和他相关的所有教研活动默认显示当前周，支持但不限于集体备课、听课评课、一师一优课、主题讨论等，并可以通过日历迅速进入相应的教研活动（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24、支持设置教师专业发展，支持上传教师参与的教研活动、教师培训、公开课、教师荣誉、评优获奖、课题研究、论文著作。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25、支持设置教师专业发展阶段管理，支持灵活设置专业发展阶段，例如：适应期、成长期等，可进行编辑与修改。支持设置教师发展成果类型。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26、支持教育局、区域、校本教学教研的成果管理，教育局、区域、校本成果目录支持自定义，方便各学科、各类型文件的分组管理。同时支持资源成果的批量移动、删除。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27、支持区域、学校管理者发起在线收集资料的任务，老师按照在线任务要求上传资料，支持管理者将收集上来的资料分类归档管理（投标时提供此功能界面截图证明并加盖供应商公章）。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28、能够支持管理者创建教师的教研组织结构和行政模式的组织架构。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29、支持设立省、市、县教育局管理员等不同角色，支持对教育局相关人员进行角色自主定义，进行人员权限管理。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30、支持省、市、县教育局管理员可对下属机构进行审核。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31、老师无需下载app，直接通过小程序可查看教研任务、教研笔记、集体备课和听评课操作（投标时提供此功能界面截图证明并加盖供应商公章）。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32、支持自动生成教师个人综合素质评价报告，报告需包含职业能力、职业成长、职业工作在内的3项个人积分数据统计图，并支持将全部教师积分数据形成校园统计分析报表，并可针对教师积分进行排名，激励教师职业能力提升（投标时提供此功能界面截图证明并加盖供应商公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三、质量及服务保证：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1、服务：三年上门保修，符合政府采购节能和3C证书提供。</w:t>
            </w:r>
          </w:p>
        </w:tc>
        <w:tc>
          <w:tcPr>
            <w:tcW w:w="736" w:type="dxa"/>
            <w:noWrap w:val="0"/>
            <w:vAlign w:val="center"/>
          </w:tcPr>
          <w:p w14:paraId="754F8E0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53F225B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3984323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18A30B0">
            <w:pPr>
              <w:keepNext w:val="0"/>
              <w:keepLines w:val="0"/>
              <w:widowControl/>
              <w:suppressLineNumbers w:val="0"/>
              <w:jc w:val="center"/>
              <w:textAlignment w:val="center"/>
              <w:rPr>
                <w:rFonts w:hint="eastAsia"/>
                <w:color w:val="auto"/>
                <w:highlight w:val="none"/>
                <w:vertAlign w:val="baseline"/>
                <w:lang w:val="en-US" w:eastAsia="zh-CN"/>
              </w:rPr>
            </w:pPr>
          </w:p>
        </w:tc>
      </w:tr>
      <w:tr w14:paraId="45FD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D826E3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3</w:t>
            </w:r>
          </w:p>
        </w:tc>
        <w:tc>
          <w:tcPr>
            <w:tcW w:w="1690" w:type="dxa"/>
            <w:noWrap w:val="0"/>
            <w:vAlign w:val="center"/>
          </w:tcPr>
          <w:p w14:paraId="1F02140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教师电脑桌椅</w:t>
            </w:r>
          </w:p>
        </w:tc>
        <w:tc>
          <w:tcPr>
            <w:tcW w:w="5928" w:type="dxa"/>
            <w:noWrap w:val="0"/>
            <w:vAlign w:val="center"/>
          </w:tcPr>
          <w:p w14:paraId="6766F95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双人桌要求：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1、规格尺寸≥1200*600*750，颜色要求：原木色；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2、后置机位直腿设计，柜门前开，单锁中置，栅栏网片经过环保喷砂除锈，静电喷塑等工艺；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3、桌面采用2.5cm厚E1级别三聚氰胺板材，板材特点防污耐磨防腐蚀硬度高不易变形，封边截面采用优质PVC封边条，高温热熔胶经封边机一次注塑成型技术，耐磨粘度高，不易开裂；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3、桌面设有两个电源孔材质位pp材质方便电脑过线；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4、桌腿40*40mm方管厚度0.9mm，外表为全环保喷塑工艺，环保无味，耐用；桌脚底部使用专用ABS防滑垫，防止桌子滑动，防止地面划伤；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凳子要求：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1、规格：约630*570*970mm；材料：椅背：PP尼龙+颐达网+固定护腰设计；椅座：颐达网+纯海绵+曲木板；扶手：PT尼龙固定扶手；气杆：三级850*70mm行程黑色气压棒；椅脚：38mm直径；椅轮：50*33mmPU尼龙轮。</w:t>
            </w:r>
          </w:p>
        </w:tc>
        <w:tc>
          <w:tcPr>
            <w:tcW w:w="736" w:type="dxa"/>
            <w:noWrap w:val="0"/>
            <w:vAlign w:val="center"/>
          </w:tcPr>
          <w:p w14:paraId="12D1CFC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222DE62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张</w:t>
            </w:r>
          </w:p>
        </w:tc>
        <w:tc>
          <w:tcPr>
            <w:tcW w:w="3381" w:type="dxa"/>
            <w:noWrap w:val="0"/>
            <w:vAlign w:val="center"/>
          </w:tcPr>
          <w:p w14:paraId="54DAC50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764A68B">
            <w:pPr>
              <w:keepNext w:val="0"/>
              <w:keepLines w:val="0"/>
              <w:widowControl/>
              <w:suppressLineNumbers w:val="0"/>
              <w:jc w:val="center"/>
              <w:textAlignment w:val="center"/>
              <w:rPr>
                <w:rFonts w:hint="eastAsia"/>
                <w:color w:val="auto"/>
                <w:highlight w:val="none"/>
                <w:vertAlign w:val="baseline"/>
                <w:lang w:val="en-US" w:eastAsia="zh-CN"/>
              </w:rPr>
            </w:pPr>
          </w:p>
        </w:tc>
      </w:tr>
      <w:tr w14:paraId="06B1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C90F80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4</w:t>
            </w:r>
          </w:p>
        </w:tc>
        <w:tc>
          <w:tcPr>
            <w:tcW w:w="1690" w:type="dxa"/>
            <w:noWrap w:val="0"/>
            <w:vAlign w:val="center"/>
          </w:tcPr>
          <w:p w14:paraId="68842BD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学生桌椅</w:t>
            </w:r>
          </w:p>
        </w:tc>
        <w:tc>
          <w:tcPr>
            <w:tcW w:w="5928" w:type="dxa"/>
            <w:noWrap w:val="0"/>
            <w:vAlign w:val="center"/>
          </w:tcPr>
          <w:p w14:paraId="591E1AE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双人桌要求：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1、规格尺寸≥1200*600*750，颜色要求：原木色；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2、后置机位直腿设计，柜门前开，单锁中置，栅栏网片经过环保喷砂除锈，静电喷塑等工艺；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3、桌面采用2.5cm厚E1级别三聚氰胺板材，板材特点防污耐磨防腐蚀硬度高不易变形，封边截面采用优质PVC封边条，高温热熔胶经封边机一次注塑成型技术，耐磨粘度高，不易开裂；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3、桌面设有两个电源孔材质位pp材质方便电脑过线；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4、桌腿40*40mm方管厚度0.9mm，外表为全环保喷塑工艺，环保无味，耐用；桌脚底部使用专用ABS防滑垫，防止桌子滑动，防止地面划伤；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凳子要求：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1、配套钢架方凳2个；规格尺寸≥340*240*450,与双人桌同色；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2、凳面采用2.5cm厚E1级别三聚氰胺板材，板材特点防污耐磨防腐蚀硬度高不易变形，封边截面采用优质PVC封边条，高温热熔胶经封边机一次注塑成型技术，耐磨粘度高，不易开裂。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3、凳腿采用25*25mm方管，外表为全环保喷塑工艺，环保无味，耐用！桌脚底部使用专用ABS防滑垫，防止凳子滑动；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服务要求：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1、三年质保</w:t>
            </w:r>
          </w:p>
        </w:tc>
        <w:tc>
          <w:tcPr>
            <w:tcW w:w="736" w:type="dxa"/>
            <w:noWrap w:val="0"/>
            <w:vAlign w:val="center"/>
          </w:tcPr>
          <w:p w14:paraId="45C24640">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84</w:t>
            </w:r>
          </w:p>
        </w:tc>
        <w:tc>
          <w:tcPr>
            <w:tcW w:w="834" w:type="dxa"/>
            <w:noWrap w:val="0"/>
            <w:vAlign w:val="center"/>
          </w:tcPr>
          <w:p w14:paraId="2515C1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张</w:t>
            </w:r>
          </w:p>
        </w:tc>
        <w:tc>
          <w:tcPr>
            <w:tcW w:w="3381" w:type="dxa"/>
            <w:noWrap w:val="0"/>
            <w:vAlign w:val="center"/>
          </w:tcPr>
          <w:p w14:paraId="3754857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CAAAED8">
            <w:pPr>
              <w:keepNext w:val="0"/>
              <w:keepLines w:val="0"/>
              <w:widowControl/>
              <w:suppressLineNumbers w:val="0"/>
              <w:jc w:val="center"/>
              <w:textAlignment w:val="center"/>
              <w:rPr>
                <w:rFonts w:hint="eastAsia"/>
                <w:color w:val="auto"/>
                <w:highlight w:val="none"/>
                <w:vertAlign w:val="baseline"/>
                <w:lang w:val="en-US" w:eastAsia="zh-CN"/>
              </w:rPr>
            </w:pPr>
          </w:p>
        </w:tc>
      </w:tr>
      <w:tr w14:paraId="17CF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06EC66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5</w:t>
            </w:r>
          </w:p>
        </w:tc>
        <w:tc>
          <w:tcPr>
            <w:tcW w:w="1690" w:type="dxa"/>
            <w:noWrap w:val="0"/>
            <w:vAlign w:val="center"/>
          </w:tcPr>
          <w:p w14:paraId="3207E95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交换机</w:t>
            </w:r>
          </w:p>
        </w:tc>
        <w:tc>
          <w:tcPr>
            <w:tcW w:w="5928" w:type="dxa"/>
            <w:noWrap w:val="0"/>
            <w:vAlign w:val="center"/>
          </w:tcPr>
          <w:p w14:paraId="1E56446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1、千兆电口≥24，10/100/1000Base-T电口，2个10G Base-XSFP+光口</w:t>
            </w:r>
          </w:p>
        </w:tc>
        <w:tc>
          <w:tcPr>
            <w:tcW w:w="736" w:type="dxa"/>
            <w:noWrap w:val="0"/>
            <w:vAlign w:val="center"/>
          </w:tcPr>
          <w:p w14:paraId="29D67B3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w:t>
            </w:r>
          </w:p>
        </w:tc>
        <w:tc>
          <w:tcPr>
            <w:tcW w:w="834" w:type="dxa"/>
            <w:noWrap w:val="0"/>
            <w:vAlign w:val="center"/>
          </w:tcPr>
          <w:p w14:paraId="4D453C7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c>
          <w:tcPr>
            <w:tcW w:w="3381" w:type="dxa"/>
            <w:noWrap w:val="0"/>
            <w:vAlign w:val="center"/>
          </w:tcPr>
          <w:p w14:paraId="26E23CA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288E2A2">
            <w:pPr>
              <w:keepNext w:val="0"/>
              <w:keepLines w:val="0"/>
              <w:widowControl/>
              <w:suppressLineNumbers w:val="0"/>
              <w:jc w:val="center"/>
              <w:textAlignment w:val="center"/>
              <w:rPr>
                <w:rFonts w:hint="eastAsia"/>
                <w:color w:val="auto"/>
                <w:highlight w:val="none"/>
                <w:vertAlign w:val="baseline"/>
                <w:lang w:val="en-US" w:eastAsia="zh-CN"/>
              </w:rPr>
            </w:pPr>
          </w:p>
        </w:tc>
      </w:tr>
      <w:tr w14:paraId="61A5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6C5F02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6</w:t>
            </w:r>
          </w:p>
        </w:tc>
        <w:tc>
          <w:tcPr>
            <w:tcW w:w="1690" w:type="dxa"/>
            <w:noWrap w:val="0"/>
            <w:vAlign w:val="center"/>
          </w:tcPr>
          <w:p w14:paraId="77BC6AD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路由器</w:t>
            </w:r>
          </w:p>
        </w:tc>
        <w:tc>
          <w:tcPr>
            <w:tcW w:w="5928" w:type="dxa"/>
            <w:noWrap w:val="0"/>
            <w:vAlign w:val="center"/>
          </w:tcPr>
          <w:p w14:paraId="0E5D87C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散热方式：自然散热类型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防火墙：支持防火墙LAN输出口：千兆网口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机身材质：金属天线：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LAN口类型：电口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USB口适用面积：&gt;200㎡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Wan口数量：1个AP管理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LAN口数量：2个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无总带机量：100终端</w:t>
            </w:r>
          </w:p>
        </w:tc>
        <w:tc>
          <w:tcPr>
            <w:tcW w:w="736" w:type="dxa"/>
            <w:noWrap w:val="0"/>
            <w:vAlign w:val="center"/>
          </w:tcPr>
          <w:p w14:paraId="353234E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76A24E4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c>
          <w:tcPr>
            <w:tcW w:w="3381" w:type="dxa"/>
            <w:noWrap w:val="0"/>
            <w:vAlign w:val="center"/>
          </w:tcPr>
          <w:p w14:paraId="4E53ADD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DF612A8">
            <w:pPr>
              <w:keepNext w:val="0"/>
              <w:keepLines w:val="0"/>
              <w:widowControl/>
              <w:suppressLineNumbers w:val="0"/>
              <w:jc w:val="center"/>
              <w:textAlignment w:val="center"/>
              <w:rPr>
                <w:rFonts w:hint="eastAsia"/>
                <w:color w:val="auto"/>
                <w:highlight w:val="none"/>
                <w:vertAlign w:val="baseline"/>
                <w:lang w:val="en-US" w:eastAsia="zh-CN"/>
              </w:rPr>
            </w:pPr>
          </w:p>
        </w:tc>
      </w:tr>
      <w:tr w14:paraId="3529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B6504D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7</w:t>
            </w:r>
          </w:p>
        </w:tc>
        <w:tc>
          <w:tcPr>
            <w:tcW w:w="1690" w:type="dxa"/>
            <w:noWrap w:val="0"/>
            <w:vAlign w:val="center"/>
          </w:tcPr>
          <w:p w14:paraId="1ED4119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系统集成</w:t>
            </w:r>
          </w:p>
        </w:tc>
        <w:tc>
          <w:tcPr>
            <w:tcW w:w="5928" w:type="dxa"/>
            <w:noWrap w:val="0"/>
            <w:vAlign w:val="center"/>
          </w:tcPr>
          <w:p w14:paraId="3D06371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计算机教室桌凳安装服务器部署安装；每台计算机（终端）及网络布设安装；过道耐压弧形走线槽等工程所需配件的安装调试；网络交换机、机柜、电源空开、网线、电源电缆、线槽、电源插排等布设安装；系统软件、教学应用软件、教学资源等安装调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2.所有货物到各个项目学校的运输、培训服务。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3、含教室29U交换机机柜；</w:t>
            </w:r>
          </w:p>
        </w:tc>
        <w:tc>
          <w:tcPr>
            <w:tcW w:w="736" w:type="dxa"/>
            <w:noWrap w:val="0"/>
            <w:vAlign w:val="center"/>
          </w:tcPr>
          <w:p w14:paraId="03C2BA5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68F2AF8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批</w:t>
            </w:r>
          </w:p>
        </w:tc>
        <w:tc>
          <w:tcPr>
            <w:tcW w:w="3381" w:type="dxa"/>
            <w:noWrap w:val="0"/>
            <w:vAlign w:val="center"/>
          </w:tcPr>
          <w:p w14:paraId="7D28B97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39F1B3AB">
            <w:pPr>
              <w:keepNext w:val="0"/>
              <w:keepLines w:val="0"/>
              <w:widowControl/>
              <w:suppressLineNumbers w:val="0"/>
              <w:jc w:val="center"/>
              <w:textAlignment w:val="center"/>
              <w:rPr>
                <w:rFonts w:hint="eastAsia"/>
                <w:color w:val="auto"/>
                <w:highlight w:val="none"/>
                <w:vertAlign w:val="baseline"/>
                <w:lang w:val="en-US" w:eastAsia="zh-CN"/>
              </w:rPr>
            </w:pPr>
          </w:p>
        </w:tc>
      </w:tr>
      <w:tr w14:paraId="6C41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0DB0DAF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8</w:t>
            </w:r>
          </w:p>
        </w:tc>
        <w:tc>
          <w:tcPr>
            <w:tcW w:w="1690" w:type="dxa"/>
            <w:noWrap w:val="0"/>
            <w:vAlign w:val="center"/>
          </w:tcPr>
          <w:p w14:paraId="741AC49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color w:val="auto"/>
                <w:highlight w:val="none"/>
                <w:vertAlign w:val="baseline"/>
              </w:rPr>
              <w:t>86英寸</w:t>
            </w:r>
            <w:r>
              <w:rPr>
                <w:rFonts w:hint="eastAsia"/>
                <w:color w:val="auto"/>
                <w:highlight w:val="none"/>
                <w:vertAlign w:val="baseline"/>
                <w:lang w:val="en-US" w:eastAsia="zh-CN"/>
              </w:rPr>
              <w:t>教学交互智能互联平板</w:t>
            </w:r>
          </w:p>
        </w:tc>
        <w:tc>
          <w:tcPr>
            <w:tcW w:w="5928" w:type="dxa"/>
            <w:shd w:val="clear" w:color="auto" w:fill="auto"/>
            <w:noWrap w:val="0"/>
            <w:vAlign w:val="top"/>
          </w:tcPr>
          <w:p w14:paraId="702BB8FC">
            <w:pPr>
              <w:rPr>
                <w:rFonts w:hint="eastAsia"/>
                <w:color w:val="auto"/>
                <w:highlight w:val="none"/>
              </w:rPr>
            </w:pPr>
            <w:r>
              <w:rPr>
                <w:rFonts w:hint="eastAsia"/>
                <w:color w:val="auto"/>
                <w:highlight w:val="none"/>
              </w:rPr>
              <w:t>一、教师教研集体备课</w:t>
            </w:r>
          </w:p>
          <w:p w14:paraId="2D6329B9">
            <w:pPr>
              <w:rPr>
                <w:rFonts w:hint="eastAsia"/>
                <w:color w:val="auto"/>
                <w:highlight w:val="none"/>
              </w:rPr>
            </w:pPr>
            <w:r>
              <w:rPr>
                <w:rFonts w:hint="eastAsia"/>
                <w:color w:val="auto"/>
                <w:highlight w:val="none"/>
              </w:rPr>
              <w:t>▲1、校本资源库：支持实现校本资源共建共享。</w:t>
            </w:r>
          </w:p>
          <w:p w14:paraId="06DE8732">
            <w:pPr>
              <w:rPr>
                <w:rFonts w:hint="eastAsia"/>
                <w:color w:val="auto"/>
                <w:highlight w:val="none"/>
              </w:rPr>
            </w:pPr>
            <w:r>
              <w:rPr>
                <w:rFonts w:hint="eastAsia"/>
                <w:color w:val="auto"/>
                <w:highlight w:val="none"/>
              </w:rPr>
              <w:t>①资源上传：支持上传课件、教案、胶囊及多媒体文件，其中多媒体资源类型与格式包括：文档：doc、docx、pdf、ppt、pptx、xlsx、xls；图片：bmp、jpg、png、jpeg、gif；视频：mp4、webm；音频：wav、mp3、ogg；</w:t>
            </w:r>
          </w:p>
          <w:p w14:paraId="4EE9C913">
            <w:pPr>
              <w:rPr>
                <w:rFonts w:hint="eastAsia"/>
                <w:color w:val="auto"/>
                <w:highlight w:val="none"/>
              </w:rPr>
            </w:pPr>
            <w:r>
              <w:rPr>
                <w:rFonts w:hint="eastAsia"/>
                <w:color w:val="auto"/>
                <w:highlight w:val="none"/>
              </w:rPr>
              <w:t>②批量上传：支持课件、教案、胶囊以文件夹的形式批量上传。</w:t>
            </w:r>
          </w:p>
          <w:p w14:paraId="7258C61B">
            <w:pPr>
              <w:rPr>
                <w:rFonts w:hint="eastAsia"/>
                <w:color w:val="auto"/>
                <w:highlight w:val="none"/>
              </w:rPr>
            </w:pPr>
            <w:r>
              <w:rPr>
                <w:rFonts w:hint="eastAsia"/>
                <w:color w:val="auto"/>
                <w:highlight w:val="none"/>
              </w:rPr>
              <w:t>③资源搜索：支持树形结构目录，可进行资源分类及查找，支持全局资源搜索，按年级、学科筛选资源，支持查找资源后定位到当前资源文件夹。</w:t>
            </w:r>
          </w:p>
          <w:p w14:paraId="6D096C24">
            <w:pPr>
              <w:rPr>
                <w:rFonts w:hint="eastAsia"/>
                <w:color w:val="auto"/>
                <w:highlight w:val="none"/>
              </w:rPr>
            </w:pPr>
            <w:r>
              <w:rPr>
                <w:rFonts w:hint="eastAsia"/>
                <w:color w:val="auto"/>
                <w:highlight w:val="none"/>
              </w:rPr>
              <w:t>④查看及预览：支持查看资源文件夹的创建者，资源的上传作者，更新时间数据。校本资源支持在线预览。支持切换列表模式/宫格模式查看资源。</w:t>
            </w:r>
          </w:p>
          <w:p w14:paraId="3E87AD4F">
            <w:pPr>
              <w:rPr>
                <w:rFonts w:hint="eastAsia"/>
                <w:color w:val="auto"/>
                <w:highlight w:val="none"/>
              </w:rPr>
            </w:pPr>
            <w:r>
              <w:rPr>
                <w:rFonts w:hint="eastAsia"/>
                <w:color w:val="auto"/>
                <w:highlight w:val="none"/>
              </w:rPr>
              <w:t>⑤资源管理：支持教师对本人上传的校本资源进行分类移动，删除或重命名。</w:t>
            </w:r>
          </w:p>
          <w:p w14:paraId="46D06843">
            <w:pPr>
              <w:rPr>
                <w:rFonts w:hint="eastAsia"/>
                <w:color w:val="auto"/>
                <w:highlight w:val="none"/>
              </w:rPr>
            </w:pPr>
            <w:r>
              <w:rPr>
                <w:rFonts w:hint="eastAsia"/>
                <w:color w:val="auto"/>
                <w:highlight w:val="none"/>
              </w:rPr>
              <w:t>⑥备课应用：在交互式备授课软件中，支持获取校本多媒体资源到本地查看，也可选择插入校本资源库中的多媒体资源，实现校内资源的共建共享。</w:t>
            </w:r>
          </w:p>
          <w:p w14:paraId="658744BE">
            <w:pPr>
              <w:rPr>
                <w:rFonts w:hint="eastAsia"/>
                <w:color w:val="auto"/>
                <w:highlight w:val="none"/>
              </w:rPr>
            </w:pPr>
            <w:r>
              <w:rPr>
                <w:rFonts w:hint="eastAsia"/>
                <w:color w:val="auto"/>
                <w:highlight w:val="none"/>
              </w:rPr>
              <w:t>▲2、集体备课：支持实现信息化集体备课。</w:t>
            </w:r>
          </w:p>
          <w:p w14:paraId="0CD394A0">
            <w:pPr>
              <w:rPr>
                <w:rFonts w:hint="eastAsia"/>
                <w:color w:val="auto"/>
                <w:highlight w:val="none"/>
              </w:rPr>
            </w:pPr>
            <w:r>
              <w:rPr>
                <w:rFonts w:hint="eastAsia"/>
                <w:color w:val="auto"/>
                <w:highlight w:val="none"/>
              </w:rPr>
              <w:t>①发起集备：支持选择教案、课件、胶囊资源上传发起集备研讨，支持设置多重访问权限，通过手机号搜索即可邀请外校老师，可用于跨校教研场景。</w:t>
            </w:r>
          </w:p>
          <w:p w14:paraId="47DE8340">
            <w:pPr>
              <w:rPr>
                <w:rFonts w:hint="eastAsia"/>
                <w:color w:val="auto"/>
                <w:highlight w:val="none"/>
              </w:rPr>
            </w:pPr>
            <w:r>
              <w:rPr>
                <w:rFonts w:hint="eastAsia"/>
                <w:color w:val="auto"/>
                <w:highlight w:val="none"/>
              </w:rPr>
              <w:t>②进入集备：支持搜索集备名称/老师昵称、或按照学科/学段/年级/教材章节、我参与的/我发起的几个维度进行筛选查看，支持电脑端进入集备页面。</w:t>
            </w:r>
          </w:p>
          <w:p w14:paraId="2366B9D1">
            <w:pPr>
              <w:rPr>
                <w:rFonts w:hint="eastAsia"/>
                <w:color w:val="auto"/>
                <w:highlight w:val="none"/>
              </w:rPr>
            </w:pPr>
            <w:r>
              <w:rPr>
                <w:rFonts w:hint="eastAsia"/>
                <w:color w:val="auto"/>
                <w:highlight w:val="none"/>
              </w:rPr>
              <w:t>③集备研讨：参备人可通过评论区发表观点，可对他人评论的观点进行点赞，评论消息支持实时提醒，支持图片的上传。</w:t>
            </w:r>
          </w:p>
          <w:p w14:paraId="477997B4">
            <w:pPr>
              <w:rPr>
                <w:rFonts w:hint="eastAsia"/>
                <w:color w:val="auto"/>
                <w:highlight w:val="none"/>
              </w:rPr>
            </w:pPr>
            <w:r>
              <w:rPr>
                <w:rFonts w:hint="eastAsia"/>
                <w:color w:val="auto"/>
                <w:highlight w:val="none"/>
              </w:rPr>
              <w:t>④在线批注：参备人在可在线对教案进行随文式批注，追加批注，回复以及查看实时批注消息。支持对课件进行打点式批注，可通过批注定位研讨内容，完成协同备课。</w:t>
            </w:r>
          </w:p>
          <w:p w14:paraId="52EC1DD0">
            <w:pPr>
              <w:rPr>
                <w:rFonts w:hint="eastAsia"/>
                <w:color w:val="auto"/>
                <w:highlight w:val="none"/>
              </w:rPr>
            </w:pPr>
            <w:r>
              <w:rPr>
                <w:rFonts w:hint="eastAsia"/>
                <w:color w:val="auto"/>
                <w:highlight w:val="none"/>
              </w:rPr>
              <w:t>⑤稿件编辑：完成本次研讨后，主备人可直接进入编辑页面编辑课件/教案，发布新稿件后，备课组进入下一轮研讨，更新稿件后会给参备老师同步教研动态。</w:t>
            </w:r>
          </w:p>
          <w:p w14:paraId="2DFDCCB6">
            <w:pPr>
              <w:rPr>
                <w:rFonts w:hint="eastAsia"/>
                <w:color w:val="auto"/>
                <w:highlight w:val="none"/>
              </w:rPr>
            </w:pPr>
            <w:r>
              <w:rPr>
                <w:rFonts w:hint="eastAsia"/>
                <w:color w:val="auto"/>
                <w:highlight w:val="none"/>
              </w:rPr>
              <w:t>⑥稿件对比：可对集备中多稿的课件/教案/胶囊进行内容的横向对比，支持批注研讨过程数据对比回溯；</w:t>
            </w:r>
          </w:p>
          <w:p w14:paraId="1E2A8025">
            <w:pPr>
              <w:rPr>
                <w:rFonts w:hint="eastAsia"/>
                <w:color w:val="auto"/>
                <w:highlight w:val="none"/>
              </w:rPr>
            </w:pPr>
            <w:r>
              <w:rPr>
                <w:rFonts w:hint="eastAsia"/>
                <w:color w:val="auto"/>
                <w:highlight w:val="none"/>
              </w:rPr>
              <w:t>⑦获取稿件：参备成员可以随时获取和下载每一稿中的集备稿件到云课件，进行编辑或引用。</w:t>
            </w:r>
          </w:p>
          <w:p w14:paraId="577284AE">
            <w:pPr>
              <w:rPr>
                <w:rFonts w:hint="eastAsia"/>
                <w:color w:val="auto"/>
                <w:highlight w:val="none"/>
              </w:rPr>
            </w:pPr>
            <w:r>
              <w:rPr>
                <w:rFonts w:hint="eastAsia"/>
                <w:color w:val="auto"/>
                <w:highlight w:val="none"/>
              </w:rPr>
              <w:t>⑧完成集备：完成研讨后，可生成集体备课报告。集备终稿会自动上传到校本资源库，主备人可自定义上传目录，参备人可前往校本资源库获取集备终稿。</w:t>
            </w:r>
          </w:p>
          <w:p w14:paraId="131C2E6E">
            <w:pPr>
              <w:rPr>
                <w:rFonts w:hint="eastAsia"/>
                <w:color w:val="auto"/>
                <w:highlight w:val="none"/>
              </w:rPr>
            </w:pPr>
            <w:r>
              <w:rPr>
                <w:rFonts w:hint="eastAsia"/>
                <w:color w:val="auto"/>
                <w:highlight w:val="none"/>
              </w:rPr>
              <w:t>⑨生成集备报告：支持生成集备报告，报告生成后，参备人可查看具体报告内容和下载集备报告。报告内包含集备信息、数据统计、研讨记录的具体内容。</w:t>
            </w:r>
          </w:p>
          <w:p w14:paraId="0FFD4636">
            <w:pPr>
              <w:rPr>
                <w:rFonts w:hint="eastAsia"/>
                <w:color w:val="auto"/>
                <w:highlight w:val="none"/>
              </w:rPr>
            </w:pPr>
            <w:r>
              <w:rPr>
                <w:rFonts w:hint="eastAsia"/>
                <w:color w:val="auto"/>
                <w:highlight w:val="none"/>
              </w:rPr>
              <w:t>⑩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p>
          <w:p w14:paraId="36C590C7">
            <w:pPr>
              <w:rPr>
                <w:rFonts w:hint="eastAsia"/>
                <w:color w:val="auto"/>
                <w:highlight w:val="none"/>
              </w:rPr>
            </w:pPr>
            <w:r>
              <w:rPr>
                <w:rFonts w:hint="eastAsia"/>
                <w:color w:val="auto"/>
                <w:highlight w:val="none"/>
              </w:rPr>
              <w:t>⑪集备妙记：支持语音及视频会议记录，为音视频回放自动生成字幕，对音视频研讨过程中的关键词和对话进行智能提炼，支持倍速播放，回溯研讨内容。</w:t>
            </w:r>
          </w:p>
          <w:p w14:paraId="36DC1FE2">
            <w:pPr>
              <w:rPr>
                <w:rFonts w:hint="eastAsia"/>
                <w:color w:val="auto"/>
                <w:highlight w:val="none"/>
              </w:rPr>
            </w:pPr>
            <w:r>
              <w:rPr>
                <w:rFonts w:hint="eastAsia"/>
                <w:color w:val="auto"/>
                <w:highlight w:val="none"/>
              </w:rPr>
              <w:t>▲3、集体备课混合教研模式：支持在授课模式下，使用交互式智能平板快速发起集体备课，开展即时的线下交流研讨，支持在线完成活动签到、资源共享，对整个线下研讨的过程进行记录。</w:t>
            </w:r>
          </w:p>
          <w:p w14:paraId="6BB9F2A6">
            <w:pPr>
              <w:rPr>
                <w:rFonts w:hint="eastAsia"/>
                <w:color w:val="auto"/>
                <w:highlight w:val="none"/>
              </w:rPr>
            </w:pPr>
            <w:r>
              <w:rPr>
                <w:rFonts w:hint="eastAsia"/>
                <w:color w:val="auto"/>
                <w:highlight w:val="none"/>
              </w:rPr>
              <w:t>①大屏模式：通过集体备课列表，在已发起的集备项目中支持大屏模式，开启线下研讨。</w:t>
            </w:r>
          </w:p>
          <w:p w14:paraId="5BAD39AC">
            <w:pPr>
              <w:rPr>
                <w:rFonts w:hint="eastAsia"/>
                <w:color w:val="auto"/>
                <w:highlight w:val="none"/>
              </w:rPr>
            </w:pPr>
            <w:r>
              <w:rPr>
                <w:rFonts w:hint="eastAsia"/>
                <w:color w:val="auto"/>
                <w:highlight w:val="none"/>
              </w:rPr>
              <w:t>②共享资源：主备老师支持现场上传文件（包括课件、教案、胶囊和多媒体资源）用于研讨，参备老师也可通过扫码上传需要的资源文件，即时与教师们开展研讨。</w:t>
            </w:r>
          </w:p>
          <w:p w14:paraId="6E1D5DDA">
            <w:pPr>
              <w:rPr>
                <w:rFonts w:hint="eastAsia"/>
                <w:color w:val="auto"/>
                <w:highlight w:val="none"/>
              </w:rPr>
            </w:pPr>
            <w:r>
              <w:rPr>
                <w:rFonts w:hint="eastAsia"/>
                <w:color w:val="auto"/>
                <w:highlight w:val="none"/>
              </w:rPr>
              <w:t>③设置签到：在集体备课研讨前主备老师可以设置签到环节，选择签到时长，现场的老师扫码即可完成签到。</w:t>
            </w:r>
          </w:p>
          <w:p w14:paraId="50C6A355">
            <w:pPr>
              <w:rPr>
                <w:rFonts w:hint="eastAsia"/>
                <w:color w:val="auto"/>
                <w:highlight w:val="none"/>
              </w:rPr>
            </w:pPr>
            <w:r>
              <w:rPr>
                <w:rFonts w:hint="eastAsia"/>
                <w:color w:val="auto"/>
                <w:highlight w:val="none"/>
              </w:rPr>
              <w:t>④调取黑板：支持调用黑板应用，老师现场完成板书/讨论。</w:t>
            </w:r>
          </w:p>
          <w:p w14:paraId="6DDA87F9">
            <w:pPr>
              <w:rPr>
                <w:rFonts w:hint="eastAsia"/>
                <w:color w:val="auto"/>
                <w:highlight w:val="none"/>
              </w:rPr>
            </w:pPr>
            <w:r>
              <w:rPr>
                <w:rFonts w:hint="eastAsia"/>
                <w:color w:val="auto"/>
                <w:highlight w:val="none"/>
              </w:rPr>
              <w:t>⑤分享集备：支持分享二维码，现场或线上的老师可进入集备查看资源并参与研讨批注。</w:t>
            </w:r>
          </w:p>
          <w:p w14:paraId="613C44C3">
            <w:pPr>
              <w:rPr>
                <w:rFonts w:hint="eastAsia"/>
                <w:color w:val="auto"/>
                <w:highlight w:val="none"/>
              </w:rPr>
            </w:pPr>
            <w:r>
              <w:rPr>
                <w:rFonts w:hint="eastAsia"/>
                <w:color w:val="auto"/>
                <w:highlight w:val="none"/>
              </w:rPr>
              <w:t>▲4、听评课：支持实现电子化听评课。</w:t>
            </w:r>
          </w:p>
          <w:p w14:paraId="7167F8DD">
            <w:pPr>
              <w:rPr>
                <w:rFonts w:hint="eastAsia"/>
                <w:color w:val="auto"/>
                <w:highlight w:val="none"/>
              </w:rPr>
            </w:pPr>
            <w:r>
              <w:rPr>
                <w:rFonts w:hint="eastAsia"/>
                <w:color w:val="auto"/>
                <w:highlight w:val="none"/>
              </w:rPr>
              <w:t>①邀请评课：支持在授课模式中发起授课评价，根据课程和评课表生成二维码，可选择是否分享课件，若选择分享课件，评课人通过扫码即可参与评课并获取课件。</w:t>
            </w:r>
          </w:p>
          <w:p w14:paraId="235F2A6B">
            <w:pPr>
              <w:rPr>
                <w:rFonts w:hint="eastAsia"/>
                <w:color w:val="auto"/>
                <w:highlight w:val="none"/>
              </w:rPr>
            </w:pPr>
            <w:r>
              <w:rPr>
                <w:rFonts w:hint="eastAsia"/>
                <w:color w:val="auto"/>
                <w:highlight w:val="none"/>
              </w:rPr>
              <w:t>②查看评课记录：支持在我的学校中查看我评的课、我讲的课的历史评价记录。</w:t>
            </w:r>
          </w:p>
          <w:p w14:paraId="5F41DA52">
            <w:pPr>
              <w:rPr>
                <w:rFonts w:hint="eastAsia"/>
                <w:color w:val="auto"/>
                <w:highlight w:val="none"/>
              </w:rPr>
            </w:pPr>
            <w:r>
              <w:rPr>
                <w:rFonts w:hint="eastAsia"/>
                <w:color w:val="auto"/>
                <w:highlight w:val="none"/>
              </w:rPr>
              <w:t>③导出评课报告和听课记录：支持导出我讲的课的评课报告为PDF文档，支持导出我评的课的评课表为WORD文档。</w:t>
            </w:r>
          </w:p>
          <w:p w14:paraId="6D826AB2">
            <w:pPr>
              <w:rPr>
                <w:rFonts w:hint="eastAsia"/>
                <w:color w:val="auto"/>
                <w:highlight w:val="none"/>
              </w:rPr>
            </w:pPr>
            <w:r>
              <w:rPr>
                <w:rFonts w:hint="eastAsia"/>
                <w:color w:val="auto"/>
                <w:highlight w:val="none"/>
              </w:rPr>
              <w:t>④直播回放：直播评课全过程支持回放并自动生成字幕，支持回放视频形成回放链接分享，可直接下载导出，用于老师回顾课堂内容，分析老师的课堂表现和教学情况。</w:t>
            </w:r>
          </w:p>
          <w:p w14:paraId="486B8CFD">
            <w:pPr>
              <w:rPr>
                <w:rFonts w:hint="eastAsia"/>
                <w:color w:val="auto"/>
                <w:highlight w:val="none"/>
              </w:rPr>
            </w:pPr>
            <w:r>
              <w:rPr>
                <w:rFonts w:hint="eastAsia"/>
                <w:color w:val="auto"/>
                <w:highlight w:val="none"/>
              </w:rPr>
              <w:t>⑤AI课堂数据分析：一览课堂重要数据，智能分析授课内容生成高频词云，提炼师生互动生成课堂问答，老师可掌握课堂的重点与方向。</w:t>
            </w:r>
          </w:p>
          <w:p w14:paraId="362630FE">
            <w:pPr>
              <w:rPr>
                <w:rFonts w:hint="eastAsia"/>
                <w:color w:val="auto"/>
                <w:highlight w:val="none"/>
              </w:rPr>
            </w:pPr>
            <w:r>
              <w:rPr>
                <w:rFonts w:hint="eastAsia"/>
                <w:color w:val="auto"/>
                <w:highlight w:val="none"/>
              </w:rPr>
              <w:t>听评课-教师评课授课记录</w:t>
            </w:r>
          </w:p>
          <w:p w14:paraId="41D20391">
            <w:pPr>
              <w:rPr>
                <w:rFonts w:hint="eastAsia"/>
                <w:color w:val="auto"/>
                <w:highlight w:val="none"/>
              </w:rPr>
            </w:pPr>
            <w:r>
              <w:rPr>
                <w:rFonts w:hint="eastAsia"/>
                <w:color w:val="auto"/>
                <w:highlight w:val="none"/>
              </w:rPr>
              <w:t>1、评课列表：在评课列表中可查看[我评的课]的所有记录，评课记录云端存储，不怕丢失。</w:t>
            </w:r>
          </w:p>
          <w:p w14:paraId="3E847746">
            <w:pPr>
              <w:rPr>
                <w:rFonts w:hint="eastAsia"/>
                <w:color w:val="auto"/>
                <w:highlight w:val="none"/>
              </w:rPr>
            </w:pPr>
            <w:r>
              <w:rPr>
                <w:rFonts w:hint="eastAsia"/>
                <w:color w:val="auto"/>
                <w:highlight w:val="none"/>
              </w:rPr>
              <w:t>2、评课表导出：支持评课表导出，便于存档和检查。</w:t>
            </w:r>
          </w:p>
          <w:p w14:paraId="30D5C891">
            <w:pPr>
              <w:rPr>
                <w:rFonts w:hint="eastAsia"/>
                <w:color w:val="auto"/>
                <w:highlight w:val="none"/>
              </w:rPr>
            </w:pPr>
            <w:r>
              <w:rPr>
                <w:rFonts w:hint="eastAsia"/>
                <w:color w:val="auto"/>
                <w:highlight w:val="none"/>
              </w:rPr>
              <w:t>3、授课列表：在授课列表中可查看[我讲的课]的所有记录，讲课记录云端存储，方便查阅，</w:t>
            </w:r>
          </w:p>
          <w:p w14:paraId="03995ABF">
            <w:pPr>
              <w:rPr>
                <w:rFonts w:hint="eastAsia"/>
                <w:color w:val="auto"/>
                <w:highlight w:val="none"/>
              </w:rPr>
            </w:pPr>
            <w:r>
              <w:rPr>
                <w:rFonts w:hint="eastAsia"/>
                <w:color w:val="auto"/>
                <w:highlight w:val="none"/>
              </w:rPr>
              <w:t>4、导出评课报告：系统自动生成评课报告，并支持一键导出PDF。</w:t>
            </w:r>
          </w:p>
          <w:p w14:paraId="56C16B7D">
            <w:pPr>
              <w:rPr>
                <w:rFonts w:hint="eastAsia"/>
                <w:color w:val="auto"/>
                <w:highlight w:val="none"/>
              </w:rPr>
            </w:pPr>
            <w:r>
              <w:rPr>
                <w:rFonts w:hint="eastAsia"/>
                <w:color w:val="auto"/>
                <w:highlight w:val="none"/>
              </w:rPr>
              <w:t>听评课-直播听评课</w:t>
            </w:r>
          </w:p>
          <w:p w14:paraId="5C290F51">
            <w:pPr>
              <w:rPr>
                <w:rFonts w:hint="eastAsia"/>
                <w:color w:val="auto"/>
                <w:highlight w:val="none"/>
              </w:rPr>
            </w:pPr>
            <w:r>
              <w:rPr>
                <w:rFonts w:hint="eastAsia"/>
                <w:color w:val="auto"/>
                <w:highlight w:val="none"/>
              </w:rPr>
              <w:t>支持通过实时音视频将课堂教学现场进行实况直播，实现异地听课、评课，直播听评课结束后生成直播回放，使课堂教学研究与课堂教学同步进行，参与听课、评课教师。</w:t>
            </w:r>
          </w:p>
          <w:p w14:paraId="2AF7A537">
            <w:pPr>
              <w:rPr>
                <w:rFonts w:hint="eastAsia"/>
                <w:color w:val="auto"/>
                <w:highlight w:val="none"/>
              </w:rPr>
            </w:pPr>
            <w:r>
              <w:rPr>
                <w:rFonts w:hint="eastAsia"/>
                <w:color w:val="auto"/>
                <w:highlight w:val="none"/>
              </w:rPr>
              <w:t>①直播听评课：支持授课老师发起直播听评课，使用手机进行录影，听课老师可查看课堂直播。</w:t>
            </w:r>
          </w:p>
          <w:p w14:paraId="7FEB0342">
            <w:pPr>
              <w:rPr>
                <w:rFonts w:hint="eastAsia"/>
                <w:color w:val="auto"/>
                <w:highlight w:val="none"/>
              </w:rPr>
            </w:pPr>
            <w:r>
              <w:rPr>
                <w:rFonts w:hint="eastAsia"/>
                <w:color w:val="auto"/>
                <w:highlight w:val="none"/>
              </w:rPr>
              <w:t>②听课提醒：支持查看评课邀请信息和直播开启预告，及时进入直播课堂，进行听课评价。</w:t>
            </w:r>
          </w:p>
          <w:p w14:paraId="5A549FBA">
            <w:pPr>
              <w:rPr>
                <w:rFonts w:hint="eastAsia"/>
                <w:color w:val="auto"/>
                <w:highlight w:val="none"/>
              </w:rPr>
            </w:pPr>
            <w:r>
              <w:rPr>
                <w:rFonts w:hint="eastAsia"/>
                <w:color w:val="auto"/>
                <w:highlight w:val="none"/>
              </w:rPr>
              <w:t>③听课交流：支持主动发布“开启了直播”、“关闭直播”课堂状态，及时同步课堂进度。支持远程观看课堂直播时同步在听课交流区发表文字、快捷表情和照片内容，记录与分享听课想法。</w:t>
            </w:r>
          </w:p>
          <w:p w14:paraId="4F49EFEA">
            <w:pPr>
              <w:rPr>
                <w:rFonts w:hint="eastAsia"/>
                <w:color w:val="auto"/>
                <w:highlight w:val="none"/>
              </w:rPr>
            </w:pPr>
            <w:r>
              <w:rPr>
                <w:rFonts w:hint="eastAsia"/>
                <w:color w:val="auto"/>
                <w:highlight w:val="none"/>
              </w:rPr>
              <w:t>④直播回放：支持查看课堂录影回放，回顾课堂内容，分析老师的课堂表现和教学情况。</w:t>
            </w:r>
          </w:p>
          <w:p w14:paraId="623E16E7">
            <w:pPr>
              <w:rPr>
                <w:rFonts w:hint="eastAsia"/>
                <w:color w:val="auto"/>
                <w:highlight w:val="none"/>
              </w:rPr>
            </w:pPr>
            <w:r>
              <w:rPr>
                <w:rFonts w:hint="eastAsia"/>
                <w:color w:val="auto"/>
                <w:highlight w:val="none"/>
              </w:rPr>
              <w:t>⑤提供推流地址，支持网络推流输出，可实时推流给资源平台，实现平台直播。</w:t>
            </w:r>
          </w:p>
          <w:p w14:paraId="01858E36">
            <w:pPr>
              <w:rPr>
                <w:rFonts w:hint="eastAsia"/>
                <w:color w:val="auto"/>
                <w:highlight w:val="none"/>
              </w:rPr>
            </w:pPr>
            <w:r>
              <w:rPr>
                <w:rFonts w:hint="eastAsia"/>
                <w:color w:val="auto"/>
                <w:highlight w:val="none"/>
              </w:rPr>
              <w:t>⑥支持绑定互动录播电脑主机发起直播。</w:t>
            </w:r>
          </w:p>
          <w:p w14:paraId="74994482">
            <w:pPr>
              <w:rPr>
                <w:rFonts w:hint="eastAsia"/>
                <w:color w:val="auto"/>
                <w:highlight w:val="none"/>
              </w:rPr>
            </w:pPr>
            <w:r>
              <w:rPr>
                <w:rFonts w:hint="eastAsia"/>
                <w:color w:val="auto"/>
                <w:highlight w:val="none"/>
              </w:rPr>
              <w:t>5、创建教研组：在电脑端进入备课组空间实现组内备课资源共享，集体备课共研。</w:t>
            </w:r>
          </w:p>
          <w:p w14:paraId="162CFE18">
            <w:pPr>
              <w:rPr>
                <w:rFonts w:hint="eastAsia"/>
                <w:color w:val="auto"/>
                <w:highlight w:val="none"/>
              </w:rPr>
            </w:pPr>
            <w:r>
              <w:rPr>
                <w:rFonts w:hint="eastAsia"/>
                <w:color w:val="auto"/>
                <w:highlight w:val="none"/>
              </w:rPr>
              <w:t>①共享备课资源：支持选择教材和对应的章节目录，添加课件/教案/胶囊/多媒体文件/集体备课项目到组内一起研讨，支持同步到校本资源库。</w:t>
            </w:r>
          </w:p>
          <w:p w14:paraId="184BF234">
            <w:pPr>
              <w:rPr>
                <w:rFonts w:hint="eastAsia"/>
                <w:color w:val="auto"/>
                <w:highlight w:val="none"/>
              </w:rPr>
            </w:pPr>
            <w:r>
              <w:rPr>
                <w:rFonts w:hint="eastAsia"/>
                <w:color w:val="auto"/>
                <w:highlight w:val="none"/>
              </w:rPr>
              <w:t>②搜索备课资源：支持点击选择教材，通过教材章节目录找到对应的课程教学资料和集备项目，支持筛选老师查看其添加的备课资源。</w:t>
            </w:r>
          </w:p>
          <w:p w14:paraId="020C89A8">
            <w:pPr>
              <w:rPr>
                <w:rFonts w:hint="eastAsia"/>
                <w:color w:val="auto"/>
                <w:highlight w:val="none"/>
              </w:rPr>
            </w:pPr>
            <w:r>
              <w:rPr>
                <w:rFonts w:hint="eastAsia"/>
                <w:color w:val="auto"/>
                <w:highlight w:val="none"/>
              </w:rPr>
              <w:t>③获取备课资源：点击可预览资源内容，并获取到云课件中应用。</w:t>
            </w:r>
          </w:p>
          <w:p w14:paraId="513238B1">
            <w:pPr>
              <w:rPr>
                <w:rFonts w:hint="eastAsia"/>
                <w:color w:val="auto"/>
                <w:highlight w:val="none"/>
              </w:rPr>
            </w:pPr>
            <w:r>
              <w:rPr>
                <w:rFonts w:hint="eastAsia"/>
                <w:color w:val="auto"/>
                <w:highlight w:val="none"/>
              </w:rPr>
              <w:t>④进入集备项目：点击章节下的集体备课项目可进入集体备课页面，参与研讨或回顾研讨内容。</w:t>
            </w:r>
          </w:p>
          <w:p w14:paraId="53460D15">
            <w:pPr>
              <w:rPr>
                <w:rFonts w:hint="eastAsia"/>
                <w:color w:val="auto"/>
                <w:highlight w:val="none"/>
              </w:rPr>
            </w:pPr>
            <w:r>
              <w:rPr>
                <w:rFonts w:hint="eastAsia"/>
                <w:color w:val="auto"/>
                <w:highlight w:val="none"/>
              </w:rPr>
              <w:t>⑤查看数据统计：支持查看不同时间/教材下的小组成员的备课资源和集备数据，支持对数据进行排序查看。</w:t>
            </w:r>
          </w:p>
          <w:p w14:paraId="50DF9616">
            <w:pPr>
              <w:rPr>
                <w:rFonts w:hint="eastAsia"/>
                <w:color w:val="auto"/>
                <w:highlight w:val="none"/>
              </w:rPr>
            </w:pPr>
            <w:r>
              <w:rPr>
                <w:rFonts w:hint="eastAsia"/>
                <w:color w:val="auto"/>
                <w:highlight w:val="none"/>
              </w:rPr>
              <w:t>⑥添加成员：支持搜索名称或手机号添加老师进入备课组。</w:t>
            </w:r>
          </w:p>
          <w:p w14:paraId="5974A30D">
            <w:pPr>
              <w:rPr>
                <w:rFonts w:hint="eastAsia"/>
                <w:color w:val="auto"/>
                <w:highlight w:val="none"/>
              </w:rPr>
            </w:pPr>
          </w:p>
          <w:p w14:paraId="6706E819">
            <w:pPr>
              <w:rPr>
                <w:rFonts w:hint="eastAsia"/>
                <w:color w:val="auto"/>
                <w:highlight w:val="none"/>
              </w:rPr>
            </w:pPr>
            <w:r>
              <w:rPr>
                <w:rFonts w:hint="eastAsia"/>
                <w:color w:val="auto"/>
                <w:highlight w:val="none"/>
              </w:rPr>
              <w:t>二、电子云教案</w:t>
            </w:r>
          </w:p>
          <w:p w14:paraId="18BEDB75">
            <w:pPr>
              <w:rPr>
                <w:rFonts w:hint="eastAsia"/>
                <w:color w:val="auto"/>
                <w:highlight w:val="none"/>
              </w:rPr>
            </w:pPr>
            <w:r>
              <w:rPr>
                <w:rFonts w:hint="eastAsia"/>
                <w:color w:val="auto"/>
                <w:highlight w:val="none"/>
              </w:rPr>
              <w:t>▲1、云教案内容可自动同步至云空间。支持以链接方式进行定向式分享和开放式分享。接收者可直接在桌面浏览器、微信内打开预览，可将云教案转存至个人云空间。云教案支持导出为PDF格式。（响应文件中须出具检验结果符合或者优于本项参数的国家认可的第三方认证（检测）机构出具的带有CMA或CNAS标志的检测报告）</w:t>
            </w:r>
          </w:p>
          <w:p w14:paraId="17FBC275">
            <w:pPr>
              <w:rPr>
                <w:rFonts w:hint="eastAsia"/>
                <w:color w:val="auto"/>
                <w:highlight w:val="none"/>
              </w:rPr>
            </w:pPr>
            <w:r>
              <w:rPr>
                <w:rFonts w:hint="eastAsia"/>
                <w:color w:val="auto"/>
                <w:highlight w:val="none"/>
              </w:rPr>
              <w:t>▲2、支持将Word文档转换为云教案，支持解析文本、表格通用元素。（响应文件中须出具检验结果符合或者优于本项参数的国家认可的第三方认证（检测）机构出具的带有CMA或CNAS标志的检测报告）</w:t>
            </w:r>
          </w:p>
          <w:p w14:paraId="6086471D">
            <w:pPr>
              <w:rPr>
                <w:rFonts w:hint="eastAsia"/>
                <w:color w:val="auto"/>
                <w:highlight w:val="none"/>
              </w:rPr>
            </w:pPr>
            <w:r>
              <w:rPr>
                <w:rFonts w:hint="eastAsia"/>
                <w:color w:val="auto"/>
                <w:highlight w:val="none"/>
              </w:rPr>
              <w:t>▲3、云教案支持插入表格、图片、音视频、文档附件。支持的音视频格式：mp3、mp4、ogg、wav、webm；支持的文档格式：pdf、doc、docx、xls、xlsx。</w:t>
            </w:r>
          </w:p>
          <w:p w14:paraId="4B5DCEC0">
            <w:pPr>
              <w:rPr>
                <w:rFonts w:hint="eastAsia"/>
                <w:color w:val="auto"/>
                <w:highlight w:val="none"/>
              </w:rPr>
            </w:pPr>
            <w:r>
              <w:rPr>
                <w:rFonts w:hint="eastAsia"/>
                <w:color w:val="auto"/>
                <w:highlight w:val="none"/>
              </w:rPr>
              <w:t>▲4、提供教案模板以供老师撰写教案，预置模板包含表格式、提纲式、集备式、多课时式、单元设计式不少于7个。支持校本模板，管理员在教研管理后台设置校本模板后，老师可在云教案模板调用。（响应文件中须出具检验结果符合或者优于本项参数的国家认可的第三方认证（检测）机构出具的带有CMA或CNAS标志的检测报告）</w:t>
            </w:r>
          </w:p>
          <w:p w14:paraId="2019FA34">
            <w:pPr>
              <w:rPr>
                <w:rFonts w:hint="eastAsia"/>
                <w:color w:val="auto"/>
                <w:highlight w:val="none"/>
              </w:rPr>
            </w:pPr>
            <w:r>
              <w:rPr>
                <w:rFonts w:hint="eastAsia"/>
                <w:color w:val="auto"/>
                <w:highlight w:val="none"/>
              </w:rPr>
              <w:t>▲5、云教案与云课件可一对多关联绑定，产生绑定后，在课件页和教案页均支持在同一面板打开关联的云课件或云教案预览，便于老师备课时相互对照。（响应文件中须出具检验结果符合或者优于本项参数的国家认可的第三方认证（检测）机构出具的带有CMA或CNAS标志的检测报告）</w:t>
            </w:r>
          </w:p>
          <w:p w14:paraId="3E274769">
            <w:pPr>
              <w:rPr>
                <w:rFonts w:hint="eastAsia"/>
                <w:color w:val="auto"/>
                <w:highlight w:val="none"/>
              </w:rPr>
            </w:pPr>
            <w:r>
              <w:rPr>
                <w:rFonts w:hint="eastAsia"/>
                <w:color w:val="auto"/>
                <w:highlight w:val="none"/>
              </w:rPr>
              <w:t>▲6、云教案内支持插入课件页，可调用云空间中的课件列表，按单页或整份插入教案。插入后的课件可以窗口形式预览，可直接在窗口内进行翻页、元素移动、课堂活动操作、思维导图展开收起、形状工具、蒙层工具、笔工具的交互。可一键切换至全屏模式，全屏模式下支持批注和手势擦除。（响应文件中须出具检验结果符合或者优于本项参数的国家认可的第三方认证（检测）机构出具的带有CMA或CNAS标志的检测报告）</w:t>
            </w:r>
          </w:p>
          <w:p w14:paraId="645862AE">
            <w:pPr>
              <w:rPr>
                <w:rFonts w:hint="eastAsia"/>
                <w:color w:val="auto"/>
                <w:highlight w:val="none"/>
              </w:rPr>
            </w:pPr>
            <w:r>
              <w:rPr>
                <w:rFonts w:hint="eastAsia"/>
                <w:color w:val="auto"/>
                <w:highlight w:val="none"/>
              </w:rPr>
              <w:t>▲7、云教案提供授课模式，可在云教案预览页面点击授课进入全屏演示模式，也可在授课端直接打开云教案列表进入。授课模式下支持使用笔工具书写批注，且可上下左右漫游。（响应文件中须出具检验结果符合或者优于本项参数的国家认可的第三方认证（检测）机构出具的带有CMA或CNAS标志的检测报告）</w:t>
            </w:r>
          </w:p>
          <w:p w14:paraId="7668D097">
            <w:pPr>
              <w:rPr>
                <w:rFonts w:hint="eastAsia"/>
                <w:color w:val="auto"/>
                <w:highlight w:val="none"/>
              </w:rPr>
            </w:pPr>
            <w:r>
              <w:rPr>
                <w:rFonts w:hint="eastAsia"/>
                <w:color w:val="auto"/>
                <w:highlight w:val="none"/>
              </w:rPr>
              <w:t>▲8、可一键插入思维导图，支持直接在教案页面的轻量化编辑，进入全屏后可设置更多导图格式。</w:t>
            </w:r>
          </w:p>
          <w:p w14:paraId="01C982FF">
            <w:pPr>
              <w:rPr>
                <w:rFonts w:hint="eastAsia"/>
                <w:color w:val="auto"/>
                <w:highlight w:val="none"/>
              </w:rPr>
            </w:pPr>
            <w:r>
              <w:rPr>
                <w:rFonts w:hint="eastAsia"/>
                <w:color w:val="auto"/>
                <w:highlight w:val="none"/>
              </w:rPr>
              <w:t>▲9、教案授课模式下，课件页、思维导图、插入的PDF、Word等文件均支持全屏预览板书。</w:t>
            </w:r>
          </w:p>
          <w:p w14:paraId="5E8B3AFD">
            <w:pPr>
              <w:rPr>
                <w:rFonts w:hint="eastAsia"/>
                <w:color w:val="auto"/>
                <w:highlight w:val="none"/>
              </w:rPr>
            </w:pPr>
          </w:p>
          <w:p w14:paraId="263046D4">
            <w:pPr>
              <w:rPr>
                <w:rFonts w:hint="eastAsia"/>
                <w:color w:val="auto"/>
                <w:highlight w:val="none"/>
              </w:rPr>
            </w:pPr>
            <w:r>
              <w:rPr>
                <w:rFonts w:hint="eastAsia"/>
                <w:color w:val="auto"/>
                <w:highlight w:val="none"/>
              </w:rPr>
              <w:t>三、电脑模块配置要求</w:t>
            </w:r>
          </w:p>
          <w:p w14:paraId="6DF669F9">
            <w:pPr>
              <w:rPr>
                <w:rFonts w:hint="eastAsia"/>
                <w:color w:val="auto"/>
                <w:highlight w:val="none"/>
              </w:rPr>
            </w:pPr>
            <w:r>
              <w:rPr>
                <w:rFonts w:hint="eastAsia"/>
                <w:color w:val="auto"/>
                <w:highlight w:val="none"/>
              </w:rPr>
              <w:t>1.采用抽拉内置式模块化电脑，抽拉内置式，PC模块可插入整机，可实现无单独接线的插拔。无需工具即可快速拆卸电脑模块。</w:t>
            </w:r>
          </w:p>
          <w:p w14:paraId="32F498D5">
            <w:pPr>
              <w:rPr>
                <w:rFonts w:hint="eastAsia"/>
                <w:color w:val="auto"/>
                <w:highlight w:val="none"/>
              </w:rPr>
            </w:pPr>
            <w:r>
              <w:rPr>
                <w:rFonts w:hint="eastAsia"/>
                <w:color w:val="auto"/>
                <w:highlight w:val="none"/>
              </w:rPr>
              <w:t>▲2.搭载Intel 十二代酷睿i5或以上配置CPU，内存：16GB DDR4内存或以上配置。硬盘：512 GB SSD固态硬盘或以上配置。</w:t>
            </w:r>
          </w:p>
          <w:p w14:paraId="0C1E6B2B">
            <w:pPr>
              <w:rPr>
                <w:rFonts w:hint="eastAsia"/>
                <w:color w:val="auto"/>
                <w:highlight w:val="none"/>
              </w:rPr>
            </w:pPr>
            <w:r>
              <w:rPr>
                <w:rFonts w:hint="eastAsia"/>
                <w:color w:val="auto"/>
                <w:highlight w:val="none"/>
              </w:rPr>
              <w:t>3.采用按压式卡扣，无需工具即可快速拆卸电脑模块。</w:t>
            </w:r>
          </w:p>
          <w:p w14:paraId="141E17F5">
            <w:pPr>
              <w:rPr>
                <w:rFonts w:hint="eastAsia"/>
                <w:color w:val="auto"/>
                <w:highlight w:val="none"/>
              </w:rPr>
            </w:pPr>
            <w:r>
              <w:rPr>
                <w:rFonts w:hint="eastAsia"/>
                <w:color w:val="auto"/>
                <w:highlight w:val="none"/>
              </w:rPr>
              <w:t>4.PC模块可抽拉式插入整机，可实现无单独接线的拔插，和整机的连接采用万兆级接口，传输速率≥10Gbps。</w:t>
            </w:r>
          </w:p>
          <w:p w14:paraId="50F0E70A">
            <w:pPr>
              <w:rPr>
                <w:rFonts w:hint="eastAsia"/>
                <w:color w:val="auto"/>
                <w:highlight w:val="none"/>
              </w:rPr>
            </w:pPr>
            <w:r>
              <w:rPr>
                <w:rFonts w:hint="eastAsia"/>
                <w:color w:val="auto"/>
                <w:highlight w:val="none"/>
              </w:rPr>
              <w:t>▲5.须配备正版操作系统。</w:t>
            </w:r>
          </w:p>
          <w:p w14:paraId="362A56A6">
            <w:pPr>
              <w:rPr>
                <w:rFonts w:hint="eastAsia"/>
                <w:color w:val="auto"/>
                <w:highlight w:val="none"/>
              </w:rPr>
            </w:pPr>
          </w:p>
          <w:p w14:paraId="2FC12CAD">
            <w:pPr>
              <w:rPr>
                <w:rFonts w:hint="eastAsia"/>
                <w:color w:val="auto"/>
                <w:highlight w:val="none"/>
              </w:rPr>
            </w:pPr>
            <w:r>
              <w:rPr>
                <w:rFonts w:hint="eastAsia"/>
                <w:color w:val="auto"/>
                <w:highlight w:val="none"/>
                <w:lang w:val="en-US" w:eastAsia="zh-CN"/>
              </w:rPr>
              <w:t>四</w:t>
            </w:r>
            <w:r>
              <w:rPr>
                <w:rFonts w:hint="eastAsia"/>
                <w:color w:val="auto"/>
                <w:highlight w:val="none"/>
              </w:rPr>
              <w:t>、整体设计</w:t>
            </w:r>
          </w:p>
          <w:p w14:paraId="1FE970FA">
            <w:pPr>
              <w:rPr>
                <w:rFonts w:hint="eastAsia"/>
                <w:color w:val="auto"/>
                <w:highlight w:val="none"/>
              </w:rPr>
            </w:pPr>
            <w:r>
              <w:rPr>
                <w:rFonts w:hint="eastAsia"/>
                <w:color w:val="auto"/>
                <w:highlight w:val="none"/>
              </w:rPr>
              <w:t>1、整机采用一体设计，外部无任何可见内部功能模块连接线。边角采用弧形设计，表面无尖锐边缘或凸起。</w:t>
            </w:r>
          </w:p>
          <w:p w14:paraId="667A9500">
            <w:pPr>
              <w:rPr>
                <w:rFonts w:hint="eastAsia"/>
                <w:color w:val="auto"/>
                <w:highlight w:val="none"/>
              </w:rPr>
            </w:pPr>
            <w:r>
              <w:rPr>
                <w:rFonts w:hint="eastAsia"/>
                <w:color w:val="auto"/>
                <w:highlight w:val="none"/>
              </w:rPr>
              <w:t>2、整机采用全金属外壳设计，屏幕边缘采用金属圆角包边防护，整机背板采用金属材质，有效屏蔽内部电路器件辐射；防潮耐盐雾蚀锈，适应多种教学环境。</w:t>
            </w:r>
          </w:p>
          <w:p w14:paraId="42DBF4C5">
            <w:pPr>
              <w:rPr>
                <w:rFonts w:hint="eastAsia"/>
                <w:color w:val="auto"/>
                <w:highlight w:val="none"/>
              </w:rPr>
            </w:pPr>
            <w:r>
              <w:rPr>
                <w:rFonts w:hint="eastAsia"/>
                <w:color w:val="auto"/>
                <w:highlight w:val="none"/>
              </w:rPr>
              <w:t>▲3、整机屏幕采用≥86英寸液晶显示器。整机采用超高清LED液晶显示屏，显示比例16:9，分辨率3840×2160。</w:t>
            </w:r>
          </w:p>
          <w:p w14:paraId="5C891B9B">
            <w:pPr>
              <w:rPr>
                <w:rFonts w:hint="eastAsia"/>
                <w:color w:val="auto"/>
                <w:highlight w:val="none"/>
              </w:rPr>
            </w:pPr>
            <w:r>
              <w:rPr>
                <w:rFonts w:hint="eastAsia"/>
                <w:color w:val="auto"/>
                <w:highlight w:val="none"/>
              </w:rPr>
              <w:t>4、侧置输入接口具备≥2路HDMI、≥1路RS232、≥1路USB接口；侧置输出接口具备≥1路音频输出、≥1路触控USB输出；前置输入接口具备≥3路USB接口（包含≥1路Type-C、≥2路USB）。</w:t>
            </w:r>
          </w:p>
          <w:p w14:paraId="090C8D29">
            <w:pPr>
              <w:rPr>
                <w:rFonts w:hint="eastAsia"/>
                <w:color w:val="auto"/>
                <w:highlight w:val="none"/>
              </w:rPr>
            </w:pPr>
            <w:r>
              <w:rPr>
                <w:rFonts w:hint="eastAsia"/>
                <w:color w:val="auto"/>
                <w:highlight w:val="none"/>
              </w:rPr>
              <w:t>5、嵌入式系统版本不低于Android 13，内存≥2GB，存储空间≥7GB。</w:t>
            </w:r>
          </w:p>
          <w:p w14:paraId="2EC0B174">
            <w:pPr>
              <w:rPr>
                <w:rFonts w:hint="eastAsia"/>
                <w:color w:val="auto"/>
                <w:highlight w:val="none"/>
              </w:rPr>
            </w:pPr>
            <w:r>
              <w:rPr>
                <w:rFonts w:hint="eastAsia"/>
                <w:color w:val="auto"/>
                <w:highlight w:val="none"/>
              </w:rPr>
              <w:t>▲6、钢化玻璃表面硬度≥8H。采用红外触控技术，支持Windows系统中进行40点或以上触控，支持在Android系统中进行40点或以上触控。（响应文件中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255FEBEC">
            <w:pPr>
              <w:rPr>
                <w:rFonts w:hint="eastAsia"/>
                <w:color w:val="auto"/>
                <w:highlight w:val="none"/>
              </w:rPr>
            </w:pPr>
            <w:r>
              <w:rPr>
                <w:rFonts w:hint="eastAsia"/>
                <w:color w:val="auto"/>
                <w:highlight w:val="none"/>
              </w:rPr>
              <w:t>7、从内部Android通道切换到内部PC通道后，触摸框在1s内达到可触控状态。从内部PC通道切换到外部通道后，触摸框在3s内达到可触控状态。</w:t>
            </w:r>
          </w:p>
          <w:p w14:paraId="69BA5D3C">
            <w:pPr>
              <w:rPr>
                <w:rFonts w:hint="eastAsia"/>
                <w:color w:val="auto"/>
                <w:highlight w:val="none"/>
              </w:rPr>
            </w:pPr>
            <w:r>
              <w:rPr>
                <w:rFonts w:hint="eastAsia"/>
                <w:color w:val="auto"/>
                <w:highlight w:val="none"/>
              </w:rPr>
              <w:t>8、前置USB接口支持Android系统、Windows系统读取外接移动存储设备。</w:t>
            </w:r>
          </w:p>
          <w:p w14:paraId="78535105">
            <w:pPr>
              <w:rPr>
                <w:rFonts w:hint="eastAsia"/>
                <w:color w:val="auto"/>
                <w:highlight w:val="none"/>
              </w:rPr>
            </w:pPr>
            <w:r>
              <w:rPr>
                <w:rFonts w:hint="eastAsia"/>
                <w:color w:val="auto"/>
                <w:highlight w:val="none"/>
              </w:rPr>
              <w:t>9、部署单根网线可实现Android、Windows系统双系统有线网络连通。</w:t>
            </w:r>
          </w:p>
          <w:p w14:paraId="51993478">
            <w:pPr>
              <w:rPr>
                <w:rFonts w:hint="eastAsia"/>
                <w:color w:val="auto"/>
                <w:highlight w:val="none"/>
              </w:rPr>
            </w:pPr>
            <w:r>
              <w:rPr>
                <w:rFonts w:hint="eastAsia"/>
                <w:color w:val="auto"/>
                <w:highlight w:val="none"/>
              </w:rPr>
              <w:t>10、整机能感应并自动调节屏幕亮度来达到在不同光照环境下的不同亮度显示效果，此功能可自行开启或关闭。</w:t>
            </w:r>
          </w:p>
          <w:p w14:paraId="20D77AA5">
            <w:pPr>
              <w:rPr>
                <w:rFonts w:hint="eastAsia"/>
                <w:color w:val="auto"/>
                <w:highlight w:val="none"/>
              </w:rPr>
            </w:pPr>
            <w:r>
              <w:rPr>
                <w:rFonts w:hint="eastAsia"/>
                <w:color w:val="auto"/>
                <w:highlight w:val="none"/>
              </w:rPr>
              <w:t>11、采用全物理钢化玻璃，有效保护屏幕显示画面，整机采用防眩光玻璃，屏幕支持防眩光功能，玻璃表面采用纳米材料镀膜环保工艺，书写更加顺滑，防眩光效果更加优异。</w:t>
            </w:r>
          </w:p>
          <w:p w14:paraId="11A4D018">
            <w:pPr>
              <w:rPr>
                <w:rFonts w:hint="eastAsia"/>
                <w:color w:val="auto"/>
                <w:highlight w:val="none"/>
              </w:rPr>
            </w:pPr>
          </w:p>
          <w:p w14:paraId="646B5658">
            <w:pPr>
              <w:rPr>
                <w:rFonts w:hint="eastAsia"/>
                <w:color w:val="auto"/>
                <w:highlight w:val="none"/>
              </w:rPr>
            </w:pPr>
            <w:r>
              <w:rPr>
                <w:rFonts w:hint="eastAsia"/>
                <w:color w:val="auto"/>
                <w:highlight w:val="none"/>
                <w:lang w:val="en-US" w:eastAsia="zh-CN"/>
              </w:rPr>
              <w:t>五</w:t>
            </w:r>
            <w:r>
              <w:rPr>
                <w:rFonts w:hint="eastAsia"/>
                <w:color w:val="auto"/>
                <w:highlight w:val="none"/>
              </w:rPr>
              <w:t>、音视频教学功能：</w:t>
            </w:r>
          </w:p>
          <w:p w14:paraId="5EA85875">
            <w:pPr>
              <w:rPr>
                <w:rFonts w:hint="eastAsia"/>
                <w:color w:val="auto"/>
                <w:highlight w:val="none"/>
              </w:rPr>
            </w:pPr>
            <w:r>
              <w:rPr>
                <w:rFonts w:hint="eastAsia"/>
                <w:color w:val="auto"/>
                <w:highlight w:val="none"/>
              </w:rPr>
              <w:t>▲1、整机内置2.2声道扬声器，位于设备上边框，顶置朝前发声，前朝向≥10W高音扬声器2个，上朝向≥20W中低音扬声器2个，额定总功率≥60W。整机可选择高级音效设置，支持在左右声道平衡显示范围中进行更改；中低频段显示调节范围125Hz～1KHz，高频段显示调节范围 2KHz～16KHz，分贝显示-12dB～12dB 调节范围。（响应文件中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0D3E9FAD">
            <w:pPr>
              <w:rPr>
                <w:rFonts w:hint="eastAsia"/>
                <w:color w:val="auto"/>
                <w:highlight w:val="none"/>
              </w:rPr>
            </w:pPr>
            <w:r>
              <w:rPr>
                <w:rFonts w:hint="eastAsia"/>
                <w:color w:val="auto"/>
                <w:highlight w:val="none"/>
              </w:rPr>
              <w:t>▲2、整机内置非独立外扩展的8阵列麦克风，拾音角度≥180°，可用于对教室环境音频进行采集，拾音距离≥12m，整机内置扬声器采用缝隙发声技术，喇叭采用槽式开口设计，不大于5.8mm。（响应文件中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58C84E97">
            <w:pPr>
              <w:rPr>
                <w:rFonts w:hint="eastAsia"/>
                <w:color w:val="auto"/>
                <w:highlight w:val="none"/>
              </w:rPr>
            </w:pPr>
            <w:r>
              <w:rPr>
                <w:rFonts w:hint="eastAsia"/>
                <w:color w:val="auto"/>
                <w:highlight w:val="none"/>
              </w:rPr>
              <w:t>▲3、整机扬声器在100%音量下，可做到1米处声压级≥88db，10米处声压级≥79dB；</w:t>
            </w:r>
          </w:p>
          <w:p w14:paraId="78630885">
            <w:pPr>
              <w:rPr>
                <w:rFonts w:hint="eastAsia"/>
                <w:color w:val="auto"/>
                <w:highlight w:val="none"/>
              </w:rPr>
            </w:pPr>
            <w:r>
              <w:rPr>
                <w:rFonts w:hint="eastAsia"/>
                <w:color w:val="auto"/>
                <w:highlight w:val="none"/>
              </w:rPr>
              <w:t>4、内置摄像头、麦克风无需外接线材连接，无任何可见外接线材及模块化拼接痕迹，未占用整机设备端口。</w:t>
            </w:r>
          </w:p>
          <w:p w14:paraId="0810E9E9">
            <w:pPr>
              <w:rPr>
                <w:rFonts w:hint="eastAsia"/>
                <w:color w:val="auto"/>
                <w:highlight w:val="none"/>
              </w:rPr>
            </w:pPr>
            <w:r>
              <w:rPr>
                <w:rFonts w:hint="eastAsia"/>
                <w:color w:val="auto"/>
                <w:highlight w:val="none"/>
              </w:rPr>
              <w:t>▲5、支持标准、听力、观影和AI空间感知音效模式，AI空间感知音效模式可通过内置麦克风采集教室物理环境声音，自动生成符合当前教室物理环境的频段、音量、音效。（响应文件中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2FC8AC04">
            <w:pPr>
              <w:rPr>
                <w:rFonts w:hint="eastAsia"/>
                <w:color w:val="auto"/>
                <w:highlight w:val="none"/>
              </w:rPr>
            </w:pPr>
            <w:r>
              <w:rPr>
                <w:rFonts w:hint="eastAsia"/>
                <w:color w:val="auto"/>
                <w:highlight w:val="none"/>
              </w:rPr>
              <w:t>6、整机色域覆盖率（NTSC）≥72%</w:t>
            </w:r>
          </w:p>
          <w:p w14:paraId="0EF7203C">
            <w:pPr>
              <w:rPr>
                <w:rFonts w:hint="eastAsia"/>
                <w:color w:val="auto"/>
                <w:highlight w:val="none"/>
              </w:rPr>
            </w:pPr>
            <w:r>
              <w:rPr>
                <w:rFonts w:hint="eastAsia"/>
                <w:color w:val="auto"/>
                <w:highlight w:val="none"/>
              </w:rPr>
              <w:t>7、整机背光系统支持DC调光方式，多级亮度调节，支持白颜色背景下最暗亮度≤100nit，用于提升显示对比度。灰度等级≥256级。</w:t>
            </w:r>
          </w:p>
          <w:p w14:paraId="44C89FCD">
            <w:pPr>
              <w:rPr>
                <w:rFonts w:hint="eastAsia"/>
                <w:color w:val="auto"/>
                <w:highlight w:val="none"/>
              </w:rPr>
            </w:pPr>
            <w:r>
              <w:rPr>
                <w:rFonts w:hint="eastAsia"/>
                <w:color w:val="auto"/>
                <w:highlight w:val="none"/>
              </w:rPr>
              <w:t>▲8、整机支持色彩空间可选，包含标准模式和sRGB模式，在sRGB模式下可做到高色准△E≤1。（响应文件中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26836E6C">
            <w:pPr>
              <w:rPr>
                <w:rFonts w:hint="eastAsia"/>
                <w:color w:val="auto"/>
                <w:highlight w:val="none"/>
              </w:rPr>
            </w:pPr>
            <w:r>
              <w:rPr>
                <w:rFonts w:hint="eastAsia"/>
                <w:color w:val="auto"/>
                <w:highlight w:val="none"/>
              </w:rPr>
              <w:t>9、整机采用硬件低蓝光背光技术，在源头减少有害蓝光波段能量，蓝光占比（有害蓝光415～455nm能量综合）/（整体蓝光400～500能量综合）＜50%，低蓝光保护显示不偏色、不泛黄。</w:t>
            </w:r>
          </w:p>
          <w:p w14:paraId="5C5DC695">
            <w:pPr>
              <w:rPr>
                <w:rFonts w:hint="eastAsia"/>
                <w:color w:val="auto"/>
                <w:highlight w:val="none"/>
              </w:rPr>
            </w:pPr>
            <w:r>
              <w:rPr>
                <w:rFonts w:hint="eastAsia"/>
                <w:color w:val="auto"/>
                <w:highlight w:val="none"/>
              </w:rPr>
              <w:t>▲10、支持标准、多媒体和节能三种图像模式调节，整机系统支持手势上滑调出人工智能画质调节模式（AI-PQ），在安卓通道下可根据屏幕内容自动调节画质参数，当屏幕出现人物、建筑、夜景等元素时，自动调整对比度、饱和度、锐利度、色调色相值、高光/阴影。（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2B6308D9">
            <w:pPr>
              <w:rPr>
                <w:rFonts w:hint="eastAsia"/>
                <w:color w:val="auto"/>
                <w:highlight w:val="none"/>
              </w:rPr>
            </w:pPr>
            <w:r>
              <w:rPr>
                <w:rFonts w:hint="eastAsia"/>
                <w:color w:val="auto"/>
                <w:highlight w:val="none"/>
              </w:rPr>
              <w:t>11、支持自定义图像设置，可对对比度、屏幕色温、图像亮度、亮度范围、色彩空间调节设置。</w:t>
            </w:r>
          </w:p>
          <w:p w14:paraId="6B807597">
            <w:pPr>
              <w:rPr>
                <w:rFonts w:hint="eastAsia"/>
                <w:color w:val="auto"/>
                <w:highlight w:val="none"/>
              </w:rPr>
            </w:pPr>
            <w:r>
              <w:rPr>
                <w:rFonts w:hint="eastAsia"/>
                <w:color w:val="auto"/>
                <w:highlight w:val="none"/>
              </w:rPr>
              <w:t>12、整机视网膜蓝光危害（蓝光加权辐射亮度LB）满足IEC TR 62778:2014蓝光危害RG0级别</w:t>
            </w:r>
          </w:p>
          <w:p w14:paraId="0010A274">
            <w:pPr>
              <w:rPr>
                <w:rFonts w:hint="eastAsia"/>
                <w:color w:val="auto"/>
                <w:highlight w:val="none"/>
              </w:rPr>
            </w:pPr>
            <w:r>
              <w:rPr>
                <w:rFonts w:hint="eastAsia"/>
                <w:color w:val="auto"/>
                <w:highlight w:val="none"/>
              </w:rPr>
              <w:t>▲13、整机全通道支持纸质护眼模式，可实现画面纹理的实时调整；支持纸质纹理：牛皮纸、素描纸、宣纸、水彩纸；支持透明度调节；支持色温调节，纸质护眼模式下，显示画面各像素点灰度不规则，减少背景干扰。</w:t>
            </w:r>
          </w:p>
          <w:p w14:paraId="425DE8E2">
            <w:pPr>
              <w:rPr>
                <w:rFonts w:hint="eastAsia"/>
                <w:color w:val="auto"/>
                <w:highlight w:val="none"/>
              </w:rPr>
            </w:pPr>
            <w:r>
              <w:rPr>
                <w:rFonts w:hint="eastAsia"/>
                <w:color w:val="auto"/>
                <w:highlight w:val="none"/>
              </w:rPr>
              <w:t>14、三合一电源按键，同一电源物理按键完成Android系统和Windows系统的开机、节能熄屏、关机操作；关机状态下按按键开机；开机状态下按按键实现节能熄屏/唤醒，长按按键实现关机。</w:t>
            </w:r>
          </w:p>
          <w:p w14:paraId="2D9131FB">
            <w:pPr>
              <w:rPr>
                <w:rFonts w:hint="eastAsia"/>
                <w:color w:val="auto"/>
                <w:highlight w:val="none"/>
              </w:rPr>
            </w:pPr>
            <w:r>
              <w:rPr>
                <w:rFonts w:hint="eastAsia"/>
                <w:color w:val="auto"/>
                <w:highlight w:val="none"/>
              </w:rPr>
              <w:t>▲15、整机具备至少6个前置按键，可实现开关机、调出中控菜单、音量+/-、护眼、录屏操作。</w:t>
            </w:r>
          </w:p>
          <w:p w14:paraId="693BBF3F">
            <w:pPr>
              <w:rPr>
                <w:rFonts w:hint="eastAsia"/>
                <w:color w:val="auto"/>
                <w:highlight w:val="none"/>
              </w:rPr>
            </w:pPr>
            <w:r>
              <w:rPr>
                <w:rFonts w:hint="eastAsia"/>
                <w:color w:val="auto"/>
                <w:highlight w:val="none"/>
              </w:rPr>
              <w:t>16、支持经典护眼模式，可通过前置面板物理功能按键一键启用经典护眼模式，设备支持通过前置面板物理按键一键启动录屏功能，可将屏幕中显示的课件、音频内容与人声同时录制。</w:t>
            </w:r>
          </w:p>
          <w:p w14:paraId="105D34B1">
            <w:pPr>
              <w:rPr>
                <w:rFonts w:hint="eastAsia"/>
                <w:color w:val="auto"/>
                <w:highlight w:val="none"/>
              </w:rPr>
            </w:pPr>
            <w:r>
              <w:rPr>
                <w:rFonts w:hint="eastAsia"/>
                <w:color w:val="auto"/>
                <w:highlight w:val="none"/>
              </w:rPr>
              <w:t>17、前置USB接口具备防撞挡板设计，防撞挡板采用转轴式翻转。</w:t>
            </w:r>
          </w:p>
          <w:p w14:paraId="39A94B79">
            <w:pPr>
              <w:rPr>
                <w:rFonts w:hint="eastAsia"/>
                <w:color w:val="auto"/>
                <w:highlight w:val="none"/>
              </w:rPr>
            </w:pPr>
            <w:r>
              <w:rPr>
                <w:rFonts w:hint="eastAsia"/>
                <w:color w:val="auto"/>
                <w:highlight w:val="none"/>
              </w:rPr>
              <w:t>▲18、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14435565">
            <w:pPr>
              <w:rPr>
                <w:rFonts w:hint="eastAsia"/>
                <w:color w:val="auto"/>
                <w:highlight w:val="none"/>
              </w:rPr>
            </w:pPr>
            <w:r>
              <w:rPr>
                <w:rFonts w:hint="eastAsia"/>
                <w:color w:val="auto"/>
                <w:highlight w:val="none"/>
              </w:rPr>
              <w:t>▲19、整机无需外接无线网卡，在Android和Windows系统下可实现Wi-Fi无线上网连接、AP无线热点发射和BT蓝牙连接功能，Wi-Fi和AP热点工作距离≥11m，整机支持蓝牙Bluetooth 5.4标准，固件版本号HCI13.0/LMP13.0。（响应文件中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7CD8735B">
            <w:pPr>
              <w:rPr>
                <w:rFonts w:hint="eastAsia"/>
                <w:color w:val="auto"/>
                <w:highlight w:val="none"/>
              </w:rPr>
            </w:pPr>
            <w:r>
              <w:rPr>
                <w:rFonts w:hint="eastAsia"/>
                <w:color w:val="auto"/>
                <w:highlight w:val="none"/>
              </w:rPr>
              <w:t>20、整机支持发出频率为18kHz-22kHz超声波信号，智能手机通过麦克风接收后，智能手机与整机无需在同一局域网内，可实现配对，一键投屏，用户无需手动输入投屏码或扫码获取投屏码；</w:t>
            </w:r>
          </w:p>
          <w:p w14:paraId="125711F1">
            <w:pPr>
              <w:rPr>
                <w:rFonts w:hint="eastAsia"/>
                <w:color w:val="auto"/>
                <w:highlight w:val="none"/>
              </w:rPr>
            </w:pPr>
            <w:r>
              <w:rPr>
                <w:rFonts w:hint="eastAsia"/>
                <w:color w:val="auto"/>
                <w:highlight w:val="none"/>
              </w:rPr>
              <w:t>▲21、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21AB3119">
            <w:pPr>
              <w:rPr>
                <w:rFonts w:hint="eastAsia"/>
                <w:color w:val="auto"/>
                <w:highlight w:val="none"/>
              </w:rPr>
            </w:pPr>
            <w:r>
              <w:rPr>
                <w:rFonts w:hint="eastAsia"/>
                <w:color w:val="auto"/>
                <w:highlight w:val="none"/>
              </w:rPr>
              <w:t>▲22、整机PC端支持主动发现蓝牙外设从而连接（无需整机进入发现模式），支持连接外部蓝牙音箱播放音频。</w:t>
            </w:r>
          </w:p>
          <w:p w14:paraId="58AD6F79">
            <w:pPr>
              <w:rPr>
                <w:rFonts w:hint="eastAsia"/>
                <w:color w:val="auto"/>
                <w:highlight w:val="none"/>
              </w:rPr>
            </w:pPr>
            <w:r>
              <w:rPr>
                <w:rFonts w:hint="eastAsia"/>
                <w:color w:val="auto"/>
                <w:highlight w:val="none"/>
              </w:rPr>
              <w:t>▲23、整机内置双WiFi6无线网卡（不接受外接），在Android和Windows系统下，可实现Wi-Fi无线上网连接、AP无线热点发射，在Android下支持无线设备同时连接数量≥32个，在Windows系统下支持无线设备同时连接≥8个；（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5696A525">
            <w:pPr>
              <w:rPr>
                <w:rFonts w:hint="eastAsia"/>
                <w:color w:val="auto"/>
                <w:highlight w:val="none"/>
              </w:rPr>
            </w:pPr>
            <w:r>
              <w:rPr>
                <w:rFonts w:hint="eastAsia"/>
                <w:color w:val="auto"/>
                <w:highlight w:val="none"/>
              </w:rPr>
              <w:t>24、整机无需外接无线网卡，在Windows系统下接入无线网络，切换到嵌入式Android系统下可直接实现无线上网功能，不需手动重复设置。</w:t>
            </w:r>
          </w:p>
          <w:p w14:paraId="5E1FB754">
            <w:pPr>
              <w:rPr>
                <w:rFonts w:hint="eastAsia"/>
                <w:color w:val="auto"/>
                <w:highlight w:val="none"/>
              </w:rPr>
            </w:pPr>
            <w:r>
              <w:rPr>
                <w:rFonts w:hint="eastAsia"/>
                <w:color w:val="auto"/>
                <w:highlight w:val="none"/>
              </w:rPr>
              <w:t>25、Wi-Fi及AP热点支持频段2.4GHz/5GHz ，Wi-Fi制式支持IEEE 802.11 a/b/g/n/ac/ax；支持版本Wi-Fi6。</w:t>
            </w:r>
          </w:p>
          <w:p w14:paraId="50DB96A2">
            <w:pPr>
              <w:rPr>
                <w:rFonts w:hint="eastAsia"/>
                <w:color w:val="auto"/>
                <w:highlight w:val="none"/>
              </w:rPr>
            </w:pPr>
            <w:r>
              <w:rPr>
                <w:rFonts w:hint="eastAsia"/>
                <w:color w:val="auto"/>
                <w:highlight w:val="none"/>
              </w:rPr>
              <w:t>26、整机内置摄像头（非外扩），PC通道下支持通过视频展台软件调用摄像头进行二维码扫码识别。</w:t>
            </w:r>
          </w:p>
          <w:p w14:paraId="750C788C">
            <w:pPr>
              <w:rPr>
                <w:rFonts w:hint="eastAsia"/>
                <w:color w:val="auto"/>
                <w:highlight w:val="none"/>
              </w:rPr>
            </w:pPr>
            <w:r>
              <w:rPr>
                <w:rFonts w:hint="eastAsia"/>
                <w:color w:val="auto"/>
                <w:highlight w:val="none"/>
              </w:rPr>
              <w:t>27、具备摄像头工作指示灯，摄像头运行时，有指示灯提示。</w:t>
            </w:r>
          </w:p>
          <w:p w14:paraId="32FA64A3">
            <w:pPr>
              <w:rPr>
                <w:rFonts w:hint="eastAsia"/>
                <w:color w:val="auto"/>
                <w:highlight w:val="none"/>
              </w:rPr>
            </w:pPr>
            <w:r>
              <w:rPr>
                <w:rFonts w:hint="eastAsia"/>
                <w:color w:val="auto"/>
                <w:highlight w:val="none"/>
              </w:rPr>
              <w:t>▲28、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65BD1E59">
            <w:pPr>
              <w:rPr>
                <w:rFonts w:hint="eastAsia"/>
                <w:color w:val="auto"/>
                <w:highlight w:val="none"/>
              </w:rPr>
            </w:pPr>
            <w:r>
              <w:rPr>
                <w:rFonts w:hint="eastAsia"/>
                <w:color w:val="auto"/>
                <w:highlight w:val="none"/>
              </w:rPr>
              <w:t>▲29、整机上边框内置非独式广角摄像头和智能拼接摄像头， 均支持 3D 降噪算法和数字宽动态范围成像WDR 技术，支持输出 MJPG、 H.264 视频格式。（响应文件中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1C44AD61">
            <w:pPr>
              <w:rPr>
                <w:rFonts w:hint="eastAsia"/>
                <w:color w:val="auto"/>
                <w:highlight w:val="none"/>
              </w:rPr>
            </w:pPr>
            <w:r>
              <w:rPr>
                <w:rFonts w:hint="eastAsia"/>
                <w:color w:val="auto"/>
                <w:highlight w:val="none"/>
              </w:rPr>
              <w:t>▲30、整机上边框内置非独立的广角高清摄像头，在距离整机1.7米情况下，且拍摄范围可以覆盖摄像头垂直法线左右距离大于等于4米，可以实现人脸识别。（响应文件中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4D985574">
            <w:pPr>
              <w:rPr>
                <w:rFonts w:hint="eastAsia"/>
                <w:color w:val="auto"/>
                <w:highlight w:val="none"/>
              </w:rPr>
            </w:pPr>
            <w:r>
              <w:rPr>
                <w:rFonts w:hint="eastAsia"/>
                <w:color w:val="auto"/>
                <w:highlight w:val="none"/>
              </w:rPr>
              <w:t>▲31、整机上边框内置非独立式智能拼接摄像头，支持清晰度TV lines ≥ 1600 lines，视场角≥141度且水平视场角≥139度，可拍摄≥1600万像素的照片，支持输出8192×2048分辨率的照片和视频，支持画面畸变矫正功能 。（响应文件中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12519B60">
            <w:pPr>
              <w:rPr>
                <w:rFonts w:hint="eastAsia"/>
                <w:color w:val="auto"/>
                <w:highlight w:val="none"/>
              </w:rPr>
            </w:pPr>
            <w:r>
              <w:rPr>
                <w:rFonts w:hint="eastAsia"/>
                <w:color w:val="auto"/>
                <w:highlight w:val="none"/>
              </w:rPr>
              <w:t>▲32、整机支持距离摄像头位置≥10米距离的AI识别人脸，整机摄像头支持人脸识别、清点人数、随机抽人；识别所有学生，显示标记，然后随机抽选，同时显示标记不少于60人。</w:t>
            </w:r>
          </w:p>
          <w:p w14:paraId="0A1D6F07">
            <w:pPr>
              <w:rPr>
                <w:rFonts w:hint="eastAsia"/>
                <w:color w:val="auto"/>
                <w:highlight w:val="none"/>
              </w:rPr>
            </w:pPr>
            <w:r>
              <w:rPr>
                <w:rFonts w:hint="eastAsia"/>
                <w:color w:val="auto"/>
                <w:highlight w:val="none"/>
              </w:rPr>
              <w:t>▲33、整机支持上边框内置非独立摄像头模组，同时输出至少 3 路视频流，同时支持课堂远程巡课、课堂教学数据采集、本地画面预览（拍照或视频录制）。（响应文件中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378D29BB">
            <w:pPr>
              <w:rPr>
                <w:rFonts w:hint="eastAsia"/>
                <w:color w:val="auto"/>
                <w:highlight w:val="none"/>
              </w:rPr>
            </w:pPr>
            <w:r>
              <w:rPr>
                <w:rFonts w:hint="eastAsia"/>
                <w:color w:val="auto"/>
                <w:highlight w:val="none"/>
              </w:rPr>
              <w:t>34、整机支持通过人脸识别进行登录账号。整机摄像头支持环境色温判断，根据环境调节合适的显示图像效果。</w:t>
            </w:r>
          </w:p>
          <w:p w14:paraId="46E8F9A5">
            <w:pPr>
              <w:rPr>
                <w:rFonts w:hint="eastAsia"/>
                <w:color w:val="auto"/>
                <w:highlight w:val="none"/>
              </w:rPr>
            </w:pPr>
          </w:p>
          <w:p w14:paraId="74A101A7">
            <w:pPr>
              <w:rPr>
                <w:rFonts w:hint="eastAsia"/>
                <w:color w:val="auto"/>
                <w:highlight w:val="none"/>
              </w:rPr>
            </w:pPr>
            <w:r>
              <w:rPr>
                <w:rFonts w:hint="eastAsia"/>
                <w:color w:val="auto"/>
                <w:highlight w:val="none"/>
                <w:lang w:val="en-US" w:eastAsia="zh-CN"/>
              </w:rPr>
              <w:t>六</w:t>
            </w:r>
            <w:r>
              <w:rPr>
                <w:rFonts w:hint="eastAsia"/>
                <w:color w:val="auto"/>
                <w:highlight w:val="none"/>
              </w:rPr>
              <w:t>、整机功能和触摸系统：</w:t>
            </w:r>
          </w:p>
          <w:p w14:paraId="7B8ED1DC">
            <w:pPr>
              <w:rPr>
                <w:rFonts w:hint="eastAsia"/>
                <w:color w:val="auto"/>
                <w:highlight w:val="none"/>
              </w:rPr>
            </w:pPr>
            <w:r>
              <w:rPr>
                <w:rFonts w:hint="eastAsia"/>
                <w:color w:val="auto"/>
                <w:highlight w:val="none"/>
              </w:rPr>
              <w:t>1、 支持Windows 7、Windows 8、Windows 10、Windows 11、Linux、Mac Os、UOS和麒麟系统外置电脑操作系统接入时，无需安装触摸驱动。</w:t>
            </w:r>
          </w:p>
          <w:p w14:paraId="1432EF1F">
            <w:pPr>
              <w:rPr>
                <w:rFonts w:hint="eastAsia"/>
                <w:color w:val="auto"/>
                <w:highlight w:val="none"/>
              </w:rPr>
            </w:pPr>
            <w:r>
              <w:rPr>
                <w:rFonts w:hint="eastAsia"/>
                <w:color w:val="auto"/>
                <w:highlight w:val="none"/>
              </w:rPr>
              <w:t>2、 触摸分辨率32768×32768。</w:t>
            </w:r>
          </w:p>
          <w:p w14:paraId="1FAC5C6F">
            <w:pPr>
              <w:rPr>
                <w:rFonts w:hint="eastAsia"/>
                <w:color w:val="auto"/>
                <w:highlight w:val="none"/>
              </w:rPr>
            </w:pPr>
            <w:r>
              <w:rPr>
                <w:rFonts w:hint="eastAsia"/>
                <w:color w:val="auto"/>
                <w:highlight w:val="none"/>
              </w:rPr>
              <w:t>3、 整机系统支持书写触控延迟≤25ms，整机触控书写功能集成预测算法，在书写速度≥50cm/s，支持笔迹距离笔的距离小于20mm。</w:t>
            </w:r>
          </w:p>
          <w:p w14:paraId="7234E129">
            <w:pPr>
              <w:rPr>
                <w:rFonts w:hint="eastAsia"/>
                <w:color w:val="auto"/>
                <w:highlight w:val="none"/>
              </w:rPr>
            </w:pPr>
            <w:r>
              <w:rPr>
                <w:rFonts w:hint="eastAsia"/>
                <w:color w:val="auto"/>
                <w:highlight w:val="none"/>
              </w:rPr>
              <w:t>4、 触摸响应时间≤4ms，触摸最小识别物≤3mm。整机屏幕触摸有效识别高度不超过1.5mm，即触摸物体距离玻璃外表面高度不超过1.5mm时，触摸屏识别为点击操作。</w:t>
            </w:r>
          </w:p>
          <w:p w14:paraId="550D450C">
            <w:pPr>
              <w:rPr>
                <w:rFonts w:hint="eastAsia"/>
                <w:color w:val="auto"/>
                <w:highlight w:val="none"/>
              </w:rPr>
            </w:pPr>
            <w:r>
              <w:rPr>
                <w:rFonts w:hint="eastAsia"/>
                <w:color w:val="auto"/>
                <w:highlight w:val="none"/>
              </w:rPr>
              <w:t>▲5、整机支持提笔书写，在Windows系统下可实现无需点击任意功能入口，当检测到红外笔笔尖接触屏幕时，自动进入书写模式。支持同一支笔，笔头、笔尾书写不同的颜色，且颜色可自定义。（响应文件中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3F422E72">
            <w:pPr>
              <w:rPr>
                <w:rFonts w:hint="eastAsia"/>
                <w:color w:val="auto"/>
                <w:highlight w:val="none"/>
              </w:rPr>
            </w:pPr>
            <w:r>
              <w:rPr>
                <w:rFonts w:hint="eastAsia"/>
                <w:color w:val="auto"/>
                <w:highlight w:val="none"/>
              </w:rPr>
              <w:t>▲6、整机触摸支持动态压力感应，支持无任何电子功能的普通书写笔在整机上书写或点压时，整机能感应压力变化，书写或点压过程笔迹呈现不同粗细。整机支持手笔分离，通过提笔即写唤醒批注功能后，可进行手笔分离功能，使用笔正常书写，使用手指可以操作应用，进行点击操作。（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50666952">
            <w:pPr>
              <w:rPr>
                <w:rFonts w:hint="eastAsia"/>
                <w:color w:val="auto"/>
                <w:highlight w:val="none"/>
              </w:rPr>
            </w:pPr>
            <w:r>
              <w:rPr>
                <w:rFonts w:hint="eastAsia"/>
                <w:color w:val="auto"/>
                <w:highlight w:val="none"/>
              </w:rPr>
              <w:t>7、 支持智能板擦功能，系统可根据触控物体的形状自动识别出实物板擦，可擦除电子白板中的内容，无需依赖外部电子设备。</w:t>
            </w:r>
          </w:p>
          <w:p w14:paraId="137BB86B">
            <w:pPr>
              <w:rPr>
                <w:rFonts w:hint="eastAsia"/>
                <w:color w:val="auto"/>
                <w:highlight w:val="none"/>
              </w:rPr>
            </w:pPr>
            <w:r>
              <w:rPr>
                <w:rFonts w:hint="eastAsia"/>
                <w:color w:val="auto"/>
                <w:highlight w:val="none"/>
              </w:rPr>
              <w:t>8、 触摸屏具有防遮挡功能，触摸接收器在单点或多点遮挡后仍能正常书写。</w:t>
            </w:r>
          </w:p>
          <w:p w14:paraId="6152003B">
            <w:pPr>
              <w:rPr>
                <w:rFonts w:hint="eastAsia"/>
                <w:color w:val="auto"/>
                <w:highlight w:val="none"/>
              </w:rPr>
            </w:pPr>
            <w:r>
              <w:rPr>
                <w:rFonts w:hint="eastAsia"/>
                <w:color w:val="auto"/>
                <w:highlight w:val="none"/>
              </w:rPr>
              <w:t>9、 外接电脑设备连接整机且触摸信号连通时，外接电脑设备可直接读取整机前置USB接口的移动存储设备数据，连接整机前置USB接口的翻页笔和无线键鼠外接设备可直接使用于外接电脑。</w:t>
            </w:r>
          </w:p>
          <w:p w14:paraId="022C12E2">
            <w:pPr>
              <w:rPr>
                <w:rFonts w:hint="eastAsia"/>
                <w:color w:val="auto"/>
                <w:highlight w:val="none"/>
              </w:rPr>
            </w:pPr>
            <w:r>
              <w:rPr>
                <w:rFonts w:hint="eastAsia"/>
                <w:color w:val="auto"/>
                <w:highlight w:val="none"/>
              </w:rPr>
              <w:t>10、支持智能U盘锁功能，整机可设置触摸及按键锁定，锁定后无法随意自由操作，需要使用时插入USB key可解锁。</w:t>
            </w:r>
          </w:p>
          <w:p w14:paraId="4CAF243C">
            <w:pPr>
              <w:rPr>
                <w:rFonts w:hint="eastAsia"/>
                <w:color w:val="auto"/>
                <w:highlight w:val="none"/>
              </w:rPr>
            </w:pPr>
            <w:r>
              <w:rPr>
                <w:rFonts w:hint="eastAsia"/>
                <w:color w:val="auto"/>
                <w:highlight w:val="none"/>
              </w:rPr>
              <w:t>11、整机具备前置Type-C接口，通过Type-C接口实现音视频输入，外接电脑设备经双头Type-C线连接至整机，即可把外接电脑设备画面投到整机上，同时在整机上操作画面，可实现触摸电脑的操作，无需再连接触控USB线。</w:t>
            </w:r>
          </w:p>
          <w:p w14:paraId="207CAB40">
            <w:pPr>
              <w:rPr>
                <w:rFonts w:hint="eastAsia"/>
                <w:color w:val="auto"/>
                <w:highlight w:val="none"/>
              </w:rPr>
            </w:pPr>
            <w:r>
              <w:rPr>
                <w:rFonts w:hint="eastAsia"/>
                <w:color w:val="auto"/>
                <w:highlight w:val="none"/>
              </w:rPr>
              <w:t>12、外接电脑设备经双头Type-C线连接至整机，可调用整机内置的摄像头、麦克风、扬声器，在外接电脑即可控制整机拍摄教室画面。</w:t>
            </w:r>
          </w:p>
          <w:p w14:paraId="578019D6">
            <w:pPr>
              <w:rPr>
                <w:rFonts w:hint="eastAsia"/>
                <w:color w:val="auto"/>
                <w:highlight w:val="none"/>
              </w:rPr>
            </w:pPr>
            <w:r>
              <w:rPr>
                <w:rFonts w:hint="eastAsia"/>
                <w:color w:val="auto"/>
                <w:highlight w:val="none"/>
              </w:rPr>
              <w:t>13、前置Type-C接口，支持通过不带转换转置的外部线缆，实现外接电脑HDMI信号的接入显示。</w:t>
            </w:r>
          </w:p>
          <w:p w14:paraId="3DCCF42C">
            <w:pPr>
              <w:rPr>
                <w:rFonts w:hint="eastAsia"/>
                <w:color w:val="auto"/>
                <w:highlight w:val="none"/>
              </w:rPr>
            </w:pPr>
            <w:r>
              <w:rPr>
                <w:rFonts w:hint="eastAsia"/>
                <w:color w:val="auto"/>
                <w:highlight w:val="none"/>
              </w:rPr>
              <w:t>14、整机关机状态下，通过长按电源键进入设置界面后，可点击屏幕选择恢复Android系统及Windows操作系统到出厂默认状态，无需额外工具辅助。</w:t>
            </w:r>
          </w:p>
          <w:p w14:paraId="2F2F029C">
            <w:pPr>
              <w:rPr>
                <w:rFonts w:hint="eastAsia"/>
                <w:color w:val="auto"/>
                <w:highlight w:val="none"/>
              </w:rPr>
            </w:pPr>
            <w:r>
              <w:rPr>
                <w:rFonts w:hint="eastAsia"/>
                <w:color w:val="auto"/>
                <w:highlight w:val="none"/>
              </w:rPr>
              <w:t>15、整机关机状态下，通过长按电源键进入设置界面后，可点击屏幕选择故障检测、系统还原功能，系统还原可单独还原PC系统，单独还原整机系统。</w:t>
            </w:r>
          </w:p>
          <w:p w14:paraId="4357ED53">
            <w:pPr>
              <w:rPr>
                <w:rFonts w:hint="eastAsia"/>
                <w:color w:val="auto"/>
                <w:highlight w:val="none"/>
              </w:rPr>
            </w:pPr>
            <w:r>
              <w:rPr>
                <w:rFonts w:hint="eastAsia"/>
                <w:color w:val="auto"/>
                <w:highlight w:val="none"/>
              </w:rPr>
              <w:t>16、在整机全信号源通道下，支持十指长按屏幕5秒和遥控器两种方式实现触摸锁定及解锁，触摸锁定时整机无法被触控操作。</w:t>
            </w:r>
          </w:p>
          <w:p w14:paraId="032A5300">
            <w:pPr>
              <w:rPr>
                <w:rFonts w:hint="eastAsia"/>
                <w:color w:val="auto"/>
                <w:highlight w:val="none"/>
              </w:rPr>
            </w:pPr>
            <w:r>
              <w:rPr>
                <w:rFonts w:hint="eastAsia"/>
                <w:color w:val="auto"/>
                <w:highlight w:val="none"/>
              </w:rPr>
              <w:t>17、支持通道自动跳转功能，如整机处于正常使用状态，HDMI信号接入时，能自动识别并切换到对应的HDMI信号源通道，且断开后能回到上一通道。</w:t>
            </w:r>
          </w:p>
          <w:p w14:paraId="174A430B">
            <w:pPr>
              <w:rPr>
                <w:rFonts w:hint="eastAsia"/>
                <w:color w:val="auto"/>
                <w:highlight w:val="none"/>
              </w:rPr>
            </w:pPr>
            <w:r>
              <w:rPr>
                <w:rFonts w:hint="eastAsia"/>
                <w:color w:val="auto"/>
                <w:highlight w:val="none"/>
              </w:rPr>
              <w:t>18、在HDMI、Android以及Windows信号源模式下，整机屏幕支持手势下移实现半屏显示，半屏显示时可通过点击上方屏幕返回全屏。</w:t>
            </w:r>
          </w:p>
          <w:p w14:paraId="044BA692">
            <w:pPr>
              <w:rPr>
                <w:rFonts w:hint="eastAsia"/>
                <w:color w:val="auto"/>
                <w:highlight w:val="none"/>
              </w:rPr>
            </w:pPr>
            <w:r>
              <w:rPr>
                <w:rFonts w:hint="eastAsia"/>
                <w:color w:val="auto"/>
                <w:highlight w:val="none"/>
              </w:rPr>
              <w:t>19、支持半屏模式，将Windows显示画面上半部分下拉到屏幕下半部分显示，此时依然可以正常触控操作Windows系统；点击非Windows显示画面区域（屏幕上半部分），即可退出该模式。</w:t>
            </w:r>
          </w:p>
          <w:p w14:paraId="48BA6350">
            <w:pPr>
              <w:rPr>
                <w:rFonts w:hint="eastAsia"/>
                <w:color w:val="auto"/>
                <w:highlight w:val="none"/>
              </w:rPr>
            </w:pPr>
            <w:r>
              <w:rPr>
                <w:rFonts w:hint="eastAsia"/>
                <w:color w:val="auto"/>
                <w:highlight w:val="none"/>
              </w:rPr>
              <w:t>20、支持通道记忆功能，开机默认回到最近一次关机时的显示通道。</w:t>
            </w:r>
          </w:p>
          <w:p w14:paraId="7A7A4737">
            <w:pPr>
              <w:rPr>
                <w:rFonts w:hint="eastAsia"/>
                <w:color w:val="auto"/>
                <w:highlight w:val="none"/>
              </w:rPr>
            </w:pPr>
            <w:r>
              <w:rPr>
                <w:rFonts w:hint="eastAsia"/>
                <w:color w:val="auto"/>
                <w:highlight w:val="none"/>
              </w:rPr>
              <w:t>21、支持外接信号输入时自动唤醒功能，整机处于关机通电状态，外接电脑显示信号通过HDMI传输线连接至整机时，整机可智能识别外接电脑设备信号输入并自动开机。</w:t>
            </w:r>
          </w:p>
          <w:p w14:paraId="6461ADA0">
            <w:pPr>
              <w:rPr>
                <w:rFonts w:hint="eastAsia"/>
                <w:color w:val="auto"/>
                <w:highlight w:val="none"/>
              </w:rPr>
            </w:pPr>
            <w:r>
              <w:rPr>
                <w:rFonts w:hint="eastAsia"/>
                <w:color w:val="auto"/>
                <w:highlight w:val="none"/>
              </w:rPr>
              <w:t>22、整机内置专业硬件自检维护工具（非第三方工具），支持对整机内部的板卡及部件模块进行故障检测、系统还原功能。</w:t>
            </w:r>
          </w:p>
          <w:p w14:paraId="601FC700">
            <w:pPr>
              <w:rPr>
                <w:rFonts w:hint="eastAsia"/>
                <w:color w:val="auto"/>
                <w:highlight w:val="none"/>
              </w:rPr>
            </w:pPr>
            <w:r>
              <w:rPr>
                <w:rFonts w:hint="eastAsia"/>
                <w:color w:val="auto"/>
                <w:highlight w:val="none"/>
              </w:rPr>
              <w:t>23、当整机处于黑暗环境中并无人操作，一分钟后整机将可以自动进入熄屏模式。</w:t>
            </w:r>
          </w:p>
          <w:p w14:paraId="372F02E8">
            <w:pPr>
              <w:rPr>
                <w:rFonts w:hint="eastAsia"/>
                <w:color w:val="auto"/>
                <w:highlight w:val="none"/>
              </w:rPr>
            </w:pPr>
            <w:r>
              <w:rPr>
                <w:rFonts w:hint="eastAsia"/>
                <w:color w:val="auto"/>
                <w:highlight w:val="none"/>
              </w:rPr>
              <w:t>24、支持将自定义图片、动画设置为开机画面。</w:t>
            </w:r>
          </w:p>
          <w:p w14:paraId="15861CF6">
            <w:pPr>
              <w:rPr>
                <w:rFonts w:hint="eastAsia"/>
                <w:color w:val="auto"/>
                <w:highlight w:val="none"/>
              </w:rPr>
            </w:pPr>
          </w:p>
          <w:p w14:paraId="7D7689A6">
            <w:pPr>
              <w:rPr>
                <w:rFonts w:hint="eastAsia"/>
                <w:color w:val="auto"/>
                <w:highlight w:val="none"/>
              </w:rPr>
            </w:pPr>
            <w:r>
              <w:rPr>
                <w:rFonts w:hint="eastAsia"/>
                <w:color w:val="auto"/>
                <w:highlight w:val="none"/>
                <w:lang w:val="en-US" w:eastAsia="zh-CN"/>
              </w:rPr>
              <w:t>七</w:t>
            </w:r>
            <w:r>
              <w:rPr>
                <w:rFonts w:hint="eastAsia"/>
                <w:color w:val="auto"/>
                <w:highlight w:val="none"/>
              </w:rPr>
              <w:t>、整机中控系统管理：</w:t>
            </w:r>
          </w:p>
          <w:p w14:paraId="18FDF514">
            <w:pPr>
              <w:rPr>
                <w:rFonts w:hint="eastAsia"/>
                <w:color w:val="auto"/>
                <w:highlight w:val="none"/>
              </w:rPr>
            </w:pPr>
            <w:r>
              <w:rPr>
                <w:rFonts w:hint="eastAsia"/>
                <w:color w:val="auto"/>
                <w:highlight w:val="none"/>
              </w:rPr>
              <w:t>1、 支持通过Type-C接口U盘进行文件传输，兼容Type-C接口手机充电。type-C 支持最大充电功率15W。</w:t>
            </w:r>
          </w:p>
          <w:p w14:paraId="7CE1746C">
            <w:pPr>
              <w:rPr>
                <w:rFonts w:hint="eastAsia"/>
                <w:color w:val="auto"/>
                <w:highlight w:val="none"/>
              </w:rPr>
            </w:pPr>
            <w:r>
              <w:rPr>
                <w:rFonts w:hint="eastAsia"/>
                <w:color w:val="auto"/>
                <w:highlight w:val="none"/>
              </w:rPr>
              <w:t>2、 整机在五分钟内处于无信号接收状态时，能够自动关机。整机具备供电保护模块，能够检测内置电脑是否插好在位，在内置电脑未在位的情况下，内置电脑无法上电工作。</w:t>
            </w:r>
          </w:p>
          <w:p w14:paraId="68D0FC61">
            <w:pPr>
              <w:rPr>
                <w:rFonts w:hint="eastAsia"/>
                <w:color w:val="auto"/>
                <w:highlight w:val="none"/>
              </w:rPr>
            </w:pPr>
            <w:r>
              <w:rPr>
                <w:rFonts w:hint="eastAsia"/>
                <w:color w:val="auto"/>
                <w:highlight w:val="none"/>
              </w:rPr>
              <w:t>3、 支持云端在线系统固件升级。触摸屏在照度100k lx（勒克司）环境下仍能正常工作。</w:t>
            </w:r>
          </w:p>
          <w:p w14:paraId="43E08616">
            <w:pPr>
              <w:rPr>
                <w:rFonts w:hint="eastAsia"/>
                <w:color w:val="auto"/>
                <w:highlight w:val="none"/>
              </w:rPr>
            </w:pPr>
            <w:r>
              <w:rPr>
                <w:rFonts w:hint="eastAsia"/>
                <w:color w:val="auto"/>
                <w:highlight w:val="none"/>
              </w:rPr>
              <w:t>嵌入式Android操作系统下，白板支持对已经书写的笔迹和形状的颜色进行更换，在嵌入式系统下使用白板软件时，整机可自行调节屏幕亮度。</w:t>
            </w:r>
          </w:p>
          <w:p w14:paraId="2C1255B2">
            <w:pPr>
              <w:rPr>
                <w:rFonts w:hint="eastAsia"/>
                <w:color w:val="auto"/>
                <w:highlight w:val="none"/>
              </w:rPr>
            </w:pPr>
            <w:r>
              <w:rPr>
                <w:rFonts w:hint="eastAsia"/>
                <w:color w:val="auto"/>
                <w:highlight w:val="none"/>
              </w:rPr>
              <w:t>4、嵌入式Android操作系统下，互动白板支持不同背景颜色，同时提供学科背景，如：五线谱、信纸、田字格、英文格、篮球和足球场地平面图。</w:t>
            </w:r>
          </w:p>
          <w:p w14:paraId="1D43F07E">
            <w:pPr>
              <w:rPr>
                <w:rFonts w:hint="eastAsia"/>
                <w:color w:val="auto"/>
                <w:highlight w:val="none"/>
              </w:rPr>
            </w:pPr>
            <w:r>
              <w:rPr>
                <w:rFonts w:hint="eastAsia"/>
                <w:color w:val="auto"/>
                <w:highlight w:val="none"/>
              </w:rPr>
              <w:t>5、无PC状态下，嵌入式系统内置互动白板支持十笔书写及手掌擦除（手掌擦除面积根据手掌与屏幕的接触面大小自动调整），白板书写内容可以PDF、IWB和SVG格式导出。支持10种以上平面图形工具。支持7种以上立体图形工具。</w:t>
            </w:r>
          </w:p>
          <w:p w14:paraId="69135B3C">
            <w:pPr>
              <w:rPr>
                <w:rFonts w:hint="eastAsia"/>
                <w:color w:val="auto"/>
                <w:highlight w:val="none"/>
              </w:rPr>
            </w:pPr>
            <w:r>
              <w:rPr>
                <w:rFonts w:hint="eastAsia"/>
                <w:color w:val="auto"/>
                <w:highlight w:val="none"/>
              </w:rPr>
              <w:t>6、无PC状态下，嵌入式系统内置互动白板支持全局漫游，并能在工具栏中对全局内容进行预览和移动。</w:t>
            </w:r>
          </w:p>
          <w:p w14:paraId="440969AD">
            <w:pPr>
              <w:rPr>
                <w:rFonts w:hint="eastAsia"/>
                <w:color w:val="auto"/>
                <w:highlight w:val="none"/>
              </w:rPr>
            </w:pPr>
            <w:r>
              <w:rPr>
                <w:rFonts w:hint="eastAsia"/>
                <w:color w:val="auto"/>
                <w:highlight w:val="none"/>
              </w:rPr>
              <w:t>7、无PC状态下，嵌入式Android操作系统下可使用白板书写、WPS软件和网页浏览。</w:t>
            </w:r>
          </w:p>
          <w:p w14:paraId="556C25A5">
            <w:pPr>
              <w:rPr>
                <w:rFonts w:hint="eastAsia"/>
                <w:color w:val="auto"/>
                <w:highlight w:val="none"/>
              </w:rPr>
            </w:pPr>
            <w:r>
              <w:rPr>
                <w:rFonts w:hint="eastAsia"/>
                <w:color w:val="auto"/>
                <w:highlight w:val="none"/>
              </w:rPr>
              <w:t>8、在嵌入式Android操作系统下，能对TV多媒体USB所读取到的文件进行自动归类，可分类查找文档、板书、图片、音视频，检索后可直接在界面中打开。</w:t>
            </w:r>
          </w:p>
          <w:p w14:paraId="3657BCB3">
            <w:pPr>
              <w:rPr>
                <w:rFonts w:hint="eastAsia"/>
                <w:color w:val="auto"/>
                <w:highlight w:val="none"/>
              </w:rPr>
            </w:pPr>
            <w:r>
              <w:rPr>
                <w:rFonts w:hint="eastAsia"/>
                <w:color w:val="auto"/>
                <w:highlight w:val="none"/>
              </w:rPr>
              <w:t>9、整机内置全通道侧边栏快捷菜单，小工具、应用软件、快捷设置、亮度/音量调节、教室物联入口。</w:t>
            </w:r>
          </w:p>
          <w:p w14:paraId="229A76D4">
            <w:pPr>
              <w:rPr>
                <w:rFonts w:hint="eastAsia"/>
                <w:color w:val="auto"/>
                <w:highlight w:val="none"/>
              </w:rPr>
            </w:pPr>
            <w:r>
              <w:rPr>
                <w:rFonts w:hint="eastAsia"/>
                <w:color w:val="auto"/>
                <w:highlight w:val="none"/>
              </w:rPr>
              <w:t>10、整机全通道侧边栏支持展示学校名称、设备班级、场地信息。</w:t>
            </w:r>
          </w:p>
          <w:p w14:paraId="2042AC9B">
            <w:pPr>
              <w:rPr>
                <w:rFonts w:hint="eastAsia"/>
                <w:color w:val="auto"/>
                <w:highlight w:val="none"/>
              </w:rPr>
            </w:pPr>
            <w:r>
              <w:rPr>
                <w:rFonts w:hint="eastAsia"/>
                <w:color w:val="auto"/>
                <w:highlight w:val="none"/>
              </w:rPr>
              <w:t>11、整机全通道侧边栏快捷菜单包含如下小工具：批注、降半屏、截屏、放大镜、倒计时、日历、聚光灯、秒表、冻屏、倒数日、答题、节拍器</w:t>
            </w:r>
          </w:p>
          <w:p w14:paraId="42124915">
            <w:pPr>
              <w:rPr>
                <w:rFonts w:hint="eastAsia"/>
                <w:color w:val="auto"/>
                <w:highlight w:val="none"/>
              </w:rPr>
            </w:pPr>
            <w:r>
              <w:rPr>
                <w:rFonts w:hint="eastAsia"/>
                <w:color w:val="auto"/>
                <w:highlight w:val="none"/>
              </w:rPr>
              <w:t>12、整机全通道侧边栏快捷菜单小工具支持自定义，支持设置对应小工具的显示/隐藏。</w:t>
            </w:r>
          </w:p>
          <w:p w14:paraId="518536D2">
            <w:pPr>
              <w:rPr>
                <w:rFonts w:hint="eastAsia"/>
                <w:color w:val="auto"/>
                <w:highlight w:val="none"/>
              </w:rPr>
            </w:pPr>
            <w:r>
              <w:rPr>
                <w:rFonts w:hint="eastAsia"/>
                <w:color w:val="auto"/>
                <w:highlight w:val="none"/>
              </w:rPr>
              <w:t>13、整机全通道侧边栏支持使用批注小工具进行批注讲解，可切换书写笔颜色、截屏保存批注内容、清屏，可根据手与屏幕的接触面积自动调整板擦工具的大小。</w:t>
            </w:r>
          </w:p>
          <w:p w14:paraId="22D3DC2E">
            <w:pPr>
              <w:rPr>
                <w:rFonts w:hint="eastAsia"/>
                <w:color w:val="auto"/>
                <w:highlight w:val="none"/>
              </w:rPr>
            </w:pPr>
            <w:r>
              <w:rPr>
                <w:rFonts w:hint="eastAsia"/>
                <w:color w:val="auto"/>
                <w:highlight w:val="none"/>
              </w:rPr>
              <w:t>14、整机全通道侧边栏支持将设备屏幕降低为半屏幕状态，点击上半屏幕可返回全屏状态。</w:t>
            </w:r>
          </w:p>
          <w:p w14:paraId="779AFFA6">
            <w:pPr>
              <w:rPr>
                <w:rFonts w:hint="eastAsia"/>
                <w:color w:val="auto"/>
                <w:highlight w:val="none"/>
              </w:rPr>
            </w:pPr>
            <w:r>
              <w:rPr>
                <w:rFonts w:hint="eastAsia"/>
                <w:color w:val="auto"/>
                <w:highlight w:val="none"/>
              </w:rPr>
              <w:t>15、整机全通道侧边栏支持自主选择所需截取的屏幕范围，点击截屏可成功截取屏幕，并自动保存。</w:t>
            </w:r>
          </w:p>
          <w:p w14:paraId="4D01A37D">
            <w:pPr>
              <w:rPr>
                <w:rFonts w:hint="eastAsia"/>
                <w:color w:val="auto"/>
                <w:highlight w:val="none"/>
              </w:rPr>
            </w:pPr>
            <w:r>
              <w:rPr>
                <w:rFonts w:hint="eastAsia"/>
                <w:color w:val="auto"/>
                <w:highlight w:val="none"/>
              </w:rPr>
              <w:t>16、整机全通道侧边栏支持放大选中区域内容；并可支持对未选中区域关灯处理，实现聚光灯效果。</w:t>
            </w:r>
          </w:p>
          <w:p w14:paraId="336DF910">
            <w:pPr>
              <w:rPr>
                <w:rFonts w:hint="eastAsia"/>
                <w:color w:val="auto"/>
                <w:highlight w:val="none"/>
              </w:rPr>
            </w:pPr>
            <w:r>
              <w:rPr>
                <w:rFonts w:hint="eastAsia"/>
                <w:color w:val="auto"/>
                <w:highlight w:val="none"/>
              </w:rPr>
              <w:t>17、整机全通道侧边栏支持倒计时、正计时功能；倒计时，输入某特定时间值，可精确到秒，点击开始进入倒计时；正计时，点击开始计时便自动开始，并实时显示时间。</w:t>
            </w:r>
          </w:p>
          <w:p w14:paraId="5970D507">
            <w:pPr>
              <w:rPr>
                <w:rFonts w:hint="eastAsia"/>
                <w:color w:val="auto"/>
                <w:highlight w:val="none"/>
              </w:rPr>
            </w:pPr>
            <w:r>
              <w:rPr>
                <w:rFonts w:hint="eastAsia"/>
                <w:color w:val="auto"/>
                <w:highlight w:val="none"/>
              </w:rPr>
              <w:t>18、整机全通道侧边栏支持打开日历，查看日期。</w:t>
            </w:r>
          </w:p>
          <w:p w14:paraId="02EDD40F">
            <w:pPr>
              <w:rPr>
                <w:rFonts w:hint="eastAsia"/>
                <w:color w:val="auto"/>
                <w:highlight w:val="none"/>
              </w:rPr>
            </w:pPr>
            <w:r>
              <w:rPr>
                <w:rFonts w:hint="eastAsia"/>
                <w:color w:val="auto"/>
                <w:highlight w:val="none"/>
              </w:rPr>
              <w:t>19、整机全通道侧边栏支持聚光灯，支持聚光灯高亮区域大小调节、区域移动。</w:t>
            </w:r>
          </w:p>
          <w:p w14:paraId="74D541DB">
            <w:pPr>
              <w:rPr>
                <w:rFonts w:hint="eastAsia"/>
                <w:color w:val="auto"/>
                <w:highlight w:val="none"/>
              </w:rPr>
            </w:pPr>
            <w:r>
              <w:rPr>
                <w:rFonts w:hint="eastAsia"/>
                <w:color w:val="auto"/>
                <w:highlight w:val="none"/>
              </w:rPr>
              <w:t>20、整机全通道侧边栏支持冻屏，将屏幕画面进行缩放。</w:t>
            </w:r>
          </w:p>
          <w:p w14:paraId="51B62281">
            <w:pPr>
              <w:rPr>
                <w:rFonts w:hint="eastAsia"/>
                <w:color w:val="auto"/>
                <w:highlight w:val="none"/>
              </w:rPr>
            </w:pPr>
            <w:r>
              <w:rPr>
                <w:rFonts w:hint="eastAsia"/>
                <w:color w:val="auto"/>
                <w:highlight w:val="none"/>
              </w:rPr>
              <w:t>21、整机安卓和全部外接通道（HDMI、Type-C）下侧边栏支持设置倒数日。</w:t>
            </w:r>
          </w:p>
          <w:p w14:paraId="01D0E2C5">
            <w:pPr>
              <w:rPr>
                <w:rFonts w:hint="eastAsia"/>
                <w:color w:val="auto"/>
                <w:highlight w:val="none"/>
              </w:rPr>
            </w:pPr>
            <w:r>
              <w:rPr>
                <w:rFonts w:hint="eastAsia"/>
                <w:color w:val="auto"/>
                <w:highlight w:val="none"/>
              </w:rPr>
              <w:t>▲22、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79739D6C">
            <w:pPr>
              <w:rPr>
                <w:rFonts w:hint="eastAsia"/>
                <w:color w:val="auto"/>
                <w:highlight w:val="none"/>
              </w:rPr>
            </w:pPr>
            <w:r>
              <w:rPr>
                <w:rFonts w:hint="eastAsia"/>
                <w:color w:val="auto"/>
                <w:highlight w:val="none"/>
              </w:rPr>
              <w:t>23、整机安卓和全部外接通道（HDMI、Type-c）下侧边栏支持节拍器，支持设置节拍、轻重、节拍播放速度。全通道下可支持通过自定义按键调出该功能。</w:t>
            </w:r>
          </w:p>
          <w:p w14:paraId="03902487">
            <w:pPr>
              <w:rPr>
                <w:rFonts w:hint="eastAsia"/>
                <w:color w:val="auto"/>
                <w:highlight w:val="none"/>
              </w:rPr>
            </w:pPr>
            <w:r>
              <w:rPr>
                <w:rFonts w:hint="eastAsia"/>
                <w:color w:val="auto"/>
                <w:highlight w:val="none"/>
              </w:rPr>
              <w:t>24、整机支持在设备上通过摄像头获取教室内图像并自动识别图像内所有人员，并随机抽选1人。</w:t>
            </w:r>
          </w:p>
          <w:p w14:paraId="0F651C0F">
            <w:pPr>
              <w:rPr>
                <w:rFonts w:hint="eastAsia"/>
                <w:color w:val="auto"/>
                <w:highlight w:val="none"/>
              </w:rPr>
            </w:pPr>
            <w:r>
              <w:rPr>
                <w:rFonts w:hint="eastAsia"/>
                <w:color w:val="auto"/>
                <w:highlight w:val="none"/>
              </w:rPr>
              <w:t>25、整机支持在设备上通过摄像头获取教室内图像并自动识别图像内所有人员，并自动进行人数统计。</w:t>
            </w:r>
          </w:p>
          <w:p w14:paraId="1A3A557B">
            <w:pPr>
              <w:rPr>
                <w:rFonts w:hint="eastAsia"/>
                <w:color w:val="auto"/>
                <w:highlight w:val="none"/>
              </w:rPr>
            </w:pPr>
            <w:r>
              <w:rPr>
                <w:rFonts w:hint="eastAsia"/>
                <w:color w:val="auto"/>
                <w:highlight w:val="none"/>
              </w:rPr>
              <w:t>26、整机支持在设备上，通过侧边栏实现调用windows系统运行、打开文件夹、打开任务管理。</w:t>
            </w:r>
          </w:p>
          <w:p w14:paraId="0D7BEE7A">
            <w:pPr>
              <w:rPr>
                <w:rFonts w:hint="eastAsia"/>
                <w:color w:val="auto"/>
                <w:highlight w:val="none"/>
              </w:rPr>
            </w:pPr>
            <w:r>
              <w:rPr>
                <w:rFonts w:hint="eastAsia"/>
                <w:color w:val="auto"/>
                <w:highlight w:val="none"/>
              </w:rPr>
              <w:t>27、整机Windows通道支持对当前运行中的应用进行窗口最大化、窗口最小化、应用强制关闭。</w:t>
            </w:r>
          </w:p>
          <w:p w14:paraId="58BB1CA8">
            <w:pPr>
              <w:rPr>
                <w:rFonts w:hint="eastAsia"/>
                <w:color w:val="auto"/>
                <w:highlight w:val="none"/>
              </w:rPr>
            </w:pPr>
            <w:r>
              <w:rPr>
                <w:rFonts w:hint="eastAsia"/>
                <w:color w:val="auto"/>
                <w:highlight w:val="none"/>
              </w:rPr>
              <w:t>28、整机Windows通道支持通过侧边栏调取软键盘。整机处于非内置PC通道下，支持通过侧边栏进入PC通道。整机全通道侧边栏快捷菜单支持快捷调节音量、亮度，支持自动亮度模式，支持点击静音按钮静音。</w:t>
            </w:r>
          </w:p>
          <w:p w14:paraId="6C527FC5">
            <w:pPr>
              <w:rPr>
                <w:rFonts w:hint="eastAsia"/>
                <w:color w:val="auto"/>
                <w:highlight w:val="none"/>
              </w:rPr>
            </w:pPr>
            <w:r>
              <w:rPr>
                <w:rFonts w:hint="eastAsia"/>
                <w:color w:val="auto"/>
                <w:highlight w:val="none"/>
              </w:rPr>
              <w:t>29、整机全通道侧边栏快捷菜单中应用软件可以进行切换，无需在已经开启的应用软件全屏模式下退出当前应用再选择更换。整机全通道侧边栏支持自定义快捷菜单，支持windows 应用固定，可将应用固定后，在侧边栏进行快捷打开。</w:t>
            </w:r>
          </w:p>
          <w:p w14:paraId="14901BF5">
            <w:pPr>
              <w:rPr>
                <w:rFonts w:hint="eastAsia"/>
                <w:color w:val="auto"/>
                <w:highlight w:val="none"/>
              </w:rPr>
            </w:pPr>
            <w:r>
              <w:rPr>
                <w:rFonts w:hint="eastAsia"/>
                <w:color w:val="auto"/>
                <w:highlight w:val="none"/>
              </w:rPr>
              <w:t>30、整机全通道侧边栏快捷菜单中可实时查看物联设备的连接情况，点击设备图标即可调出中控菜单进行管控。整机全通道侧边栏快捷菜单支持简洁模式和常规模式切换。</w:t>
            </w:r>
          </w:p>
          <w:p w14:paraId="486B9A02">
            <w:pPr>
              <w:rPr>
                <w:rFonts w:hint="eastAsia"/>
                <w:color w:val="auto"/>
                <w:highlight w:val="none"/>
              </w:rPr>
            </w:pPr>
            <w:r>
              <w:rPr>
                <w:rFonts w:hint="eastAsia"/>
                <w:color w:val="auto"/>
                <w:highlight w:val="none"/>
              </w:rPr>
              <w:t>31、整机全通道侧边栏快捷菜单简洁模式，可进行打开批注、降半屏、主页的基础操作。</w:t>
            </w:r>
          </w:p>
          <w:p w14:paraId="6F284DB6">
            <w:pPr>
              <w:rPr>
                <w:rFonts w:hint="eastAsia"/>
                <w:color w:val="auto"/>
                <w:highlight w:val="none"/>
              </w:rPr>
            </w:pPr>
            <w:r>
              <w:rPr>
                <w:rFonts w:hint="eastAsia"/>
                <w:color w:val="auto"/>
                <w:highlight w:val="none"/>
              </w:rPr>
              <w:t>整机内置触摸中控菜单，在整机全信号源通道下通过手势在屏幕上调取该触摸菜单；支持信号源通道切换、护眼、声音调节功能；支持切换智能息屏、经典护眼模式、纸质护眼模式、自动亮度模式；并可支持调节音量、亮度，支持自动亮度模式，支持点击静音按钮静音。</w:t>
            </w:r>
          </w:p>
          <w:p w14:paraId="36E31AEE">
            <w:pPr>
              <w:rPr>
                <w:rFonts w:hint="eastAsia"/>
                <w:color w:val="auto"/>
                <w:highlight w:val="none"/>
              </w:rPr>
            </w:pPr>
            <w:r>
              <w:rPr>
                <w:rFonts w:hint="eastAsia"/>
                <w:color w:val="auto"/>
                <w:highlight w:val="none"/>
              </w:rPr>
              <w:t>32、整机内置触摸中控菜单，可查看当前正在运行的应用，支持应用切换，在全屏应用下无需退出全屏应用即可进行切换；支持应用关闭，以及关闭所有应用。</w:t>
            </w:r>
          </w:p>
          <w:p w14:paraId="708069CE">
            <w:pPr>
              <w:rPr>
                <w:rFonts w:hint="eastAsia"/>
                <w:color w:val="auto"/>
                <w:highlight w:val="none"/>
              </w:rPr>
            </w:pPr>
          </w:p>
          <w:p w14:paraId="172D8B37">
            <w:pPr>
              <w:rPr>
                <w:rFonts w:hint="eastAsia"/>
                <w:color w:val="auto"/>
                <w:highlight w:val="none"/>
              </w:rPr>
            </w:pPr>
            <w:r>
              <w:rPr>
                <w:rFonts w:hint="eastAsia"/>
                <w:color w:val="auto"/>
                <w:highlight w:val="none"/>
                <w:lang w:val="en-US" w:eastAsia="zh-CN"/>
              </w:rPr>
              <w:t>八</w:t>
            </w:r>
            <w:r>
              <w:rPr>
                <w:rFonts w:hint="eastAsia"/>
                <w:color w:val="auto"/>
                <w:highlight w:val="none"/>
              </w:rPr>
              <w:t>、教学桌面功能：</w:t>
            </w:r>
          </w:p>
          <w:p w14:paraId="57598FC7">
            <w:pPr>
              <w:rPr>
                <w:rFonts w:hint="eastAsia"/>
                <w:color w:val="auto"/>
                <w:highlight w:val="none"/>
              </w:rPr>
            </w:pPr>
            <w:r>
              <w:rPr>
                <w:rFonts w:hint="eastAsia"/>
                <w:color w:val="auto"/>
                <w:highlight w:val="none"/>
              </w:rPr>
              <w:t>1、整机设备开机启动后，自动进入教学桌面，支持账号登录、退出，自动获取个人云端教学课件列表，并可进入全部课件列表。</w:t>
            </w:r>
          </w:p>
          <w:p w14:paraId="72CEA661">
            <w:pPr>
              <w:rPr>
                <w:rFonts w:hint="eastAsia"/>
                <w:color w:val="auto"/>
                <w:highlight w:val="none"/>
              </w:rPr>
            </w:pPr>
            <w:r>
              <w:rPr>
                <w:rFonts w:hint="eastAsia"/>
                <w:color w:val="auto"/>
                <w:highlight w:val="none"/>
              </w:rPr>
              <w:t>2、整机设备支持多种身份识别方式，可通过账号登录、手机扫码登录，并支持账号安全登录检测。</w:t>
            </w:r>
          </w:p>
          <w:p w14:paraId="770DFDB8">
            <w:pPr>
              <w:rPr>
                <w:rFonts w:hint="eastAsia"/>
                <w:color w:val="auto"/>
                <w:highlight w:val="none"/>
              </w:rPr>
            </w:pPr>
            <w:r>
              <w:rPr>
                <w:rFonts w:hint="eastAsia"/>
                <w:color w:val="auto"/>
                <w:highlight w:val="none"/>
              </w:rPr>
              <w:t>3、 整机设备支持统一互通的用户身份认证服务，账号登录后，打开教学白板软件教学应用工具时无需再次输入账号密码重复登录。</w:t>
            </w:r>
          </w:p>
          <w:p w14:paraId="7BAAE490">
            <w:pPr>
              <w:rPr>
                <w:rFonts w:hint="eastAsia"/>
                <w:color w:val="auto"/>
                <w:highlight w:val="none"/>
              </w:rPr>
            </w:pPr>
            <w:r>
              <w:rPr>
                <w:rFonts w:hint="eastAsia"/>
                <w:color w:val="auto"/>
                <w:highlight w:val="none"/>
              </w:rPr>
              <w:t>▲4、整机设备教学桌面支持教学常用的教学白板软件和文件管理软件软件；教学桌面首页支持自定义桌面应用，支持展示8个应用入口。并提供进入本机所有应用的入口。可将应用编辑到教学桌面首页，编辑方式支持从教学桌面首页进入编辑，支持在全部应用列表中进入编辑 2 种方式。教学桌面首页应用支持无需进入应用编辑页面，在首页指定应用上长按进行移除。（响应文件中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250E0ECB">
            <w:pPr>
              <w:rPr>
                <w:rFonts w:hint="eastAsia"/>
                <w:color w:val="auto"/>
                <w:highlight w:val="none"/>
              </w:rPr>
            </w:pPr>
            <w:r>
              <w:rPr>
                <w:rFonts w:hint="eastAsia"/>
                <w:color w:val="auto"/>
                <w:highlight w:val="none"/>
              </w:rPr>
              <w:t>▲5、整机设备教学桌面支持查看设备盘符，支持本地磁盘和外接 U 盘、移动硬盘，点击即可打开该磁盘查看磁盘文件。教学桌面支持显示存储空间状态，当存储空间即将满载时候进行红色标记明显提示。（响应文件中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319BFC66">
            <w:pPr>
              <w:rPr>
                <w:rFonts w:hint="eastAsia"/>
                <w:color w:val="auto"/>
                <w:highlight w:val="none"/>
              </w:rPr>
            </w:pPr>
            <w:r>
              <w:rPr>
                <w:rFonts w:hint="eastAsia"/>
                <w:color w:val="auto"/>
                <w:highlight w:val="none"/>
              </w:rPr>
              <w:t>6、整机设备教学桌面支持推荐应用，推荐应用支持移除，整机设备教学桌面支持进行应用卸载，设备教学桌面的教师登录账号后，可自动获取并在桌面显示最近使用的教学课件，点击课件可直接进入授课模式；并支持查看所有个人教学课件资源。</w:t>
            </w:r>
          </w:p>
          <w:p w14:paraId="179F12E6">
            <w:pPr>
              <w:rPr>
                <w:rFonts w:hint="eastAsia"/>
                <w:color w:val="auto"/>
                <w:highlight w:val="none"/>
              </w:rPr>
            </w:pPr>
            <w:r>
              <w:rPr>
                <w:rFonts w:hint="eastAsia"/>
                <w:color w:val="auto"/>
                <w:highlight w:val="none"/>
              </w:rPr>
              <w:t>7、整机设备教学桌面支持进行壁纸编辑，内置10张以上壁纸，并支持自定义壁纸，设备教学桌面支持 U 盘、移动硬盘外接存储设备直接在桌面显示，无需打开文件浏览器即可查看文件列表，并且支持文件打开。支持查看全部文件列表以及按照文档、图片、音视频分类方式查看文件列表。</w:t>
            </w:r>
          </w:p>
          <w:p w14:paraId="17F1FB34">
            <w:pPr>
              <w:rPr>
                <w:rFonts w:hint="eastAsia"/>
                <w:color w:val="auto"/>
                <w:highlight w:val="none"/>
              </w:rPr>
            </w:pPr>
            <w:r>
              <w:rPr>
                <w:rFonts w:hint="eastAsia"/>
                <w:color w:val="auto"/>
                <w:highlight w:val="none"/>
              </w:rPr>
              <w:t>8、 整机设备教学桌面U盘文件查看窗口支持使用文件浏览器打开U盘，支持进行通道切换，当设备有其他输入源时，可在桌面点击信号源进行输入源切换。</w:t>
            </w:r>
          </w:p>
          <w:p w14:paraId="3ED968D6">
            <w:pPr>
              <w:rPr>
                <w:rFonts w:hint="eastAsia"/>
                <w:color w:val="auto"/>
                <w:highlight w:val="none"/>
              </w:rPr>
            </w:pPr>
            <w:r>
              <w:rPr>
                <w:rFonts w:hint="eastAsia"/>
                <w:color w:val="auto"/>
                <w:highlight w:val="none"/>
              </w:rPr>
              <w:t>9、整机设备教学桌面支持进行锁屏操作，整机设备教学桌面支持进行重启、关机操作。</w:t>
            </w:r>
          </w:p>
          <w:p w14:paraId="4F65DA5C">
            <w:pPr>
              <w:rPr>
                <w:rFonts w:hint="eastAsia"/>
                <w:color w:val="auto"/>
                <w:highlight w:val="none"/>
              </w:rPr>
            </w:pPr>
            <w:r>
              <w:rPr>
                <w:rFonts w:hint="eastAsia"/>
                <w:color w:val="auto"/>
                <w:highlight w:val="none"/>
              </w:rPr>
              <w:t>▲10、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72EA1D9D">
            <w:pPr>
              <w:rPr>
                <w:rFonts w:hint="eastAsia"/>
                <w:color w:val="auto"/>
                <w:highlight w:val="none"/>
              </w:rPr>
            </w:pPr>
            <w:r>
              <w:rPr>
                <w:rFonts w:hint="eastAsia"/>
                <w:color w:val="auto"/>
                <w:highlight w:val="none"/>
              </w:rPr>
              <w:t>11、整机Windows通道支持文件传输应用，可将手机文件传输到整机上，无需借助第三方网页、第三方应用，传输文件格式支持：pptx、pdf、docx、txt、xlsx、enbx、jpg、png、gif、svg、mp4、rmvb、avi、3gp、wmv、flv、mkv、mp3、wav、wma、ogg、zip。</w:t>
            </w:r>
          </w:p>
          <w:p w14:paraId="467255FD">
            <w:pPr>
              <w:rPr>
                <w:rFonts w:hint="eastAsia"/>
                <w:color w:val="auto"/>
                <w:highlight w:val="none"/>
              </w:rPr>
            </w:pPr>
            <w:r>
              <w:rPr>
                <w:rFonts w:hint="eastAsia"/>
                <w:color w:val="auto"/>
                <w:highlight w:val="none"/>
              </w:rPr>
              <w:t>12、整机Windows通道支持文件传输应用，支持通过扫码、wifi直联、超声三种方式与手机进行握手连接，实现文件传输功能，Windows 通道支持文件传输应用，传输方式支持公网传输、局域网传输、WiFi 直连传输，接收的文件支持单份删除；接收的文件支持手动全部清空，为防止误清空，全部清空需要经过二次确认。</w:t>
            </w:r>
          </w:p>
          <w:p w14:paraId="34502ECD">
            <w:pPr>
              <w:rPr>
                <w:rFonts w:hint="eastAsia"/>
                <w:color w:val="auto"/>
                <w:highlight w:val="none"/>
              </w:rPr>
            </w:pPr>
            <w:r>
              <w:rPr>
                <w:rFonts w:hint="eastAsia"/>
                <w:color w:val="auto"/>
                <w:highlight w:val="none"/>
              </w:rPr>
              <w:t>13、整机Windows通道支持文件传输应用，支持打开文件所在文件夹，开启该应用后，可自动打开整机热点，并在文件传输应用中显示热点信息，无需手动在设置中查看热点。</w:t>
            </w:r>
          </w:p>
          <w:p w14:paraId="3EB2675C">
            <w:pPr>
              <w:rPr>
                <w:rFonts w:hint="eastAsia"/>
                <w:color w:val="auto"/>
                <w:highlight w:val="none"/>
              </w:rPr>
            </w:pPr>
            <w:r>
              <w:rPr>
                <w:rFonts w:hint="eastAsia"/>
                <w:color w:val="auto"/>
                <w:highlight w:val="none"/>
              </w:rPr>
              <w:t>▲14、整机设备自带地震预警软件。支持在地震预警页面中获取位置，可以手动进行位置校准。支持在地震预警页面中选择提醒阈值。支持在地震预警界面中开启和关闭地震预警服务。（响应文件中</w:t>
            </w:r>
            <w:r>
              <w:rPr>
                <w:rFonts w:hint="eastAsia"/>
                <w:color w:val="auto"/>
                <w:highlight w:val="none"/>
                <w:lang w:eastAsia="zh-CN"/>
              </w:rPr>
              <w:t>须出具</w:t>
            </w:r>
            <w:r>
              <w:rPr>
                <w:rFonts w:hint="eastAsia"/>
                <w:color w:val="auto"/>
                <w:highlight w:val="none"/>
              </w:rPr>
              <w:t>检验结果符合或者优于此条技术参数的经国家认可的第三方检验（检测）机构出具的带有CMA或CNAS标志的检验/检测报告复印件）</w:t>
            </w:r>
          </w:p>
          <w:p w14:paraId="685F0B73">
            <w:pPr>
              <w:rPr>
                <w:rFonts w:hint="eastAsia"/>
                <w:color w:val="auto"/>
                <w:highlight w:val="none"/>
              </w:rPr>
            </w:pPr>
          </w:p>
          <w:p w14:paraId="692DB781">
            <w:pPr>
              <w:rPr>
                <w:rFonts w:hint="eastAsia"/>
                <w:color w:val="auto"/>
                <w:highlight w:val="none"/>
              </w:rPr>
            </w:pPr>
            <w:r>
              <w:rPr>
                <w:rFonts w:hint="eastAsia"/>
                <w:color w:val="auto"/>
                <w:highlight w:val="none"/>
              </w:rPr>
              <w:t>九、教学备授课软件要求</w:t>
            </w:r>
          </w:p>
          <w:p w14:paraId="1D2EFF89">
            <w:pPr>
              <w:rPr>
                <w:rFonts w:hint="eastAsia"/>
                <w:color w:val="auto"/>
                <w:highlight w:val="none"/>
              </w:rPr>
            </w:pPr>
            <w:r>
              <w:rPr>
                <w:rFonts w:hint="eastAsia"/>
                <w:color w:val="auto"/>
                <w:highlight w:val="none"/>
              </w:rPr>
              <w:t>（一）整体设计：</w:t>
            </w:r>
          </w:p>
          <w:p w14:paraId="689B64BF">
            <w:pPr>
              <w:rPr>
                <w:rFonts w:hint="eastAsia"/>
                <w:color w:val="auto"/>
                <w:highlight w:val="none"/>
              </w:rPr>
            </w:pPr>
            <w:r>
              <w:rPr>
                <w:rFonts w:hint="eastAsia"/>
                <w:color w:val="auto"/>
                <w:highlight w:val="none"/>
              </w:rPr>
              <w:t>▲1、支持为教师提供可扩展至100TB的云存储空间，教师可在个人云空间上传存储互动课件、云教案和其他教学资源。支持上传的资源格式有：</w:t>
            </w:r>
          </w:p>
          <w:p w14:paraId="42718A96">
            <w:pPr>
              <w:rPr>
                <w:rFonts w:hint="eastAsia"/>
                <w:color w:val="auto"/>
                <w:highlight w:val="none"/>
              </w:rPr>
            </w:pPr>
            <w:r>
              <w:rPr>
                <w:rFonts w:hint="eastAsia"/>
                <w:color w:val="auto"/>
                <w:highlight w:val="none"/>
              </w:rPr>
              <w:t>文档：ppt、pptx、word、pdf、excel；</w:t>
            </w:r>
          </w:p>
          <w:p w14:paraId="0E790EAD">
            <w:pPr>
              <w:rPr>
                <w:rFonts w:hint="eastAsia"/>
                <w:color w:val="auto"/>
                <w:highlight w:val="none"/>
              </w:rPr>
            </w:pPr>
            <w:r>
              <w:rPr>
                <w:rFonts w:hint="eastAsia"/>
                <w:color w:val="auto"/>
                <w:highlight w:val="none"/>
              </w:rPr>
              <w:t>图片：bmp、png、jpg、jpeg、gif；</w:t>
            </w:r>
          </w:p>
          <w:p w14:paraId="23C840EE">
            <w:pPr>
              <w:rPr>
                <w:rFonts w:hint="eastAsia"/>
                <w:color w:val="auto"/>
                <w:highlight w:val="none"/>
              </w:rPr>
            </w:pPr>
            <w:r>
              <w:rPr>
                <w:rFonts w:hint="eastAsia"/>
                <w:color w:val="auto"/>
                <w:highlight w:val="none"/>
              </w:rPr>
              <w:t>音视频：mp3、wav、wma、ogg、aac、mp4、rmvb、wmv、avi、rm、3gp、mkv、flv、mov、svg、swf。</w:t>
            </w:r>
          </w:p>
          <w:p w14:paraId="1CDA1365">
            <w:pPr>
              <w:rPr>
                <w:rFonts w:hint="eastAsia"/>
                <w:color w:val="auto"/>
                <w:highlight w:val="none"/>
              </w:rPr>
            </w:pPr>
            <w:r>
              <w:rPr>
                <w:rFonts w:hint="eastAsia"/>
                <w:color w:val="auto"/>
                <w:highlight w:val="none"/>
              </w:rPr>
              <w:t>2、支持移动调整文件及文件夹的层级，支持对文件进行重命名、删除操作。互动课件与其他教学资源的云空间相互独立；教师可新建课件组或素材文件夹对教学资源进行个性化的分类与标记；多媒体素材库内的素材可插入互动课件，互动课件内的多媒体素材可在课件内直接上传至多媒体素材存储空间，支持教师调用、采集教学素材。</w:t>
            </w:r>
          </w:p>
          <w:p w14:paraId="7F5A7127">
            <w:pPr>
              <w:rPr>
                <w:rFonts w:hint="eastAsia"/>
                <w:color w:val="auto"/>
                <w:highlight w:val="none"/>
              </w:rPr>
            </w:pPr>
            <w:r>
              <w:rPr>
                <w:rFonts w:hint="eastAsia"/>
                <w:color w:val="auto"/>
                <w:highlight w:val="none"/>
              </w:rPr>
              <w:t>3、为使用方全体教师配备个人账号，形成一体的信息化教学账号体系；根据教师账号信息将教师云空间匹配至对应学校、学科校本资源库。支持通过数字账号、微信二维码、硬件密钥方式登录教师个人账号。</w:t>
            </w:r>
          </w:p>
          <w:p w14:paraId="0D73FA02">
            <w:pPr>
              <w:rPr>
                <w:rFonts w:hint="eastAsia"/>
                <w:color w:val="auto"/>
                <w:highlight w:val="none"/>
              </w:rPr>
            </w:pPr>
            <w:r>
              <w:rPr>
                <w:rFonts w:hint="eastAsia"/>
                <w:color w:val="auto"/>
                <w:highlight w:val="none"/>
              </w:rPr>
              <w:t>（响应文件中须出具检验结果符合或者优于本项参数的国家认可的第三方认证（检测）机构出具的带有CMA或CNAS标志的检测报告）</w:t>
            </w:r>
          </w:p>
          <w:p w14:paraId="41DA13B6">
            <w:pPr>
              <w:rPr>
                <w:rFonts w:hint="eastAsia"/>
                <w:color w:val="auto"/>
                <w:highlight w:val="none"/>
              </w:rPr>
            </w:pPr>
            <w:r>
              <w:rPr>
                <w:rFonts w:hint="eastAsia"/>
                <w:color w:val="auto"/>
                <w:highlight w:val="none"/>
              </w:rPr>
              <w:t>4、互动课件支持定向分享，分享者可将互动课件、课件组推送至指定接收方账号的云空间，接收方可在云空间接收并打开分享课件。（响应文件中须出具检验结果符合或者优于本项参数的国家认可的第三方认证（检测）机构出具的带有CMA或CNAS标志的检测报告）</w:t>
            </w:r>
          </w:p>
          <w:p w14:paraId="59391433">
            <w:pPr>
              <w:rPr>
                <w:rFonts w:hint="eastAsia"/>
                <w:color w:val="auto"/>
                <w:highlight w:val="none"/>
              </w:rPr>
            </w:pPr>
            <w:r>
              <w:rPr>
                <w:rFonts w:hint="eastAsia"/>
                <w:color w:val="auto"/>
                <w:highlight w:val="none"/>
              </w:rPr>
              <w:t>互动课件支持开放式云分享，分享者可将互动课件、课件组以公开或加密的web链接和二维码形式进行分享，分享链接可设置访问有效期。（响应文件中须出具检验结果符合或者优于本项参数的国家认可的第三方认证（检测）机构出具的带有CMA或CNAS标志的检测报告）</w:t>
            </w:r>
          </w:p>
          <w:p w14:paraId="75569699">
            <w:pPr>
              <w:rPr>
                <w:rFonts w:hint="eastAsia"/>
                <w:color w:val="auto"/>
                <w:highlight w:val="none"/>
              </w:rPr>
            </w:pPr>
            <w:r>
              <w:rPr>
                <w:rFonts w:hint="eastAsia"/>
                <w:color w:val="auto"/>
                <w:highlight w:val="none"/>
              </w:rPr>
              <w:t>5、提供拼音卡片、古诗词、汉字卡片、中文听写、数学画板、字母卡片、英汉词典、英文听写、化学实验、元素周期、化学方程、物理线图、星球至少20种学科工具，可一键插入课件。学科工具支持教师自主设置在首页显示的功能，且该设置在备课和授课端之间可以同步。（响应文件中须出具检验结果符合或者优于本项参数的国家认可的第三方认证（检测）机构出具的带有CMA或CNAS标志的检测报告）</w:t>
            </w:r>
          </w:p>
          <w:p w14:paraId="2437DE81">
            <w:pPr>
              <w:rPr>
                <w:rFonts w:hint="eastAsia"/>
                <w:color w:val="auto"/>
                <w:highlight w:val="none"/>
              </w:rPr>
            </w:pPr>
            <w:r>
              <w:rPr>
                <w:rFonts w:hint="eastAsia"/>
                <w:color w:val="auto"/>
                <w:highlight w:val="none"/>
              </w:rPr>
              <w:t>▲6、提供互动式教学课件资源，包含学科教育各学段各地区教材版本不少于88个；包含学科教育各学段教材版本全部教学章节、专题教育多个主题教育、特殊教育三大分类不少于160000份的交互动课件。</w:t>
            </w:r>
          </w:p>
          <w:p w14:paraId="5446218A">
            <w:pPr>
              <w:rPr>
                <w:rFonts w:hint="eastAsia"/>
                <w:color w:val="auto"/>
                <w:highlight w:val="none"/>
              </w:rPr>
            </w:pPr>
            <w:r>
              <w:rPr>
                <w:rFonts w:hint="eastAsia"/>
                <w:color w:val="auto"/>
                <w:highlight w:val="none"/>
              </w:rPr>
              <w:t>7、按照下载量、课件质量、相关性每天动态更新课件列表，提供按章节、主题筛选和关键词搜索，支持模糊搜索。并提供默认排序、最多获取和最新上架三种排序方式。</w:t>
            </w:r>
          </w:p>
          <w:p w14:paraId="4EA12095">
            <w:pPr>
              <w:rPr>
                <w:rFonts w:hint="eastAsia"/>
                <w:color w:val="auto"/>
                <w:highlight w:val="none"/>
              </w:rPr>
            </w:pPr>
            <w:r>
              <w:rPr>
                <w:rFonts w:hint="eastAsia"/>
                <w:color w:val="auto"/>
                <w:highlight w:val="none"/>
              </w:rPr>
              <w:t>课件支持直接预览并下载，预览时支持拖动课堂活动、形状、几何、文本元素；下载时课件可同步至教师个人云空间；课件支持教师在线评分。</w:t>
            </w:r>
          </w:p>
          <w:p w14:paraId="763152E5">
            <w:pPr>
              <w:rPr>
                <w:rFonts w:hint="eastAsia"/>
                <w:color w:val="auto"/>
                <w:highlight w:val="none"/>
              </w:rPr>
            </w:pPr>
            <w:r>
              <w:rPr>
                <w:rFonts w:hint="eastAsia"/>
                <w:color w:val="auto"/>
                <w:highlight w:val="none"/>
              </w:rPr>
              <w:t>（响应文件中须出具检验结果符合或者优于本项参数的国家认可的第三方认证（检测）机构出具的带有CMA或CNAS标志的检测报告）</w:t>
            </w:r>
          </w:p>
          <w:p w14:paraId="6F0AA4E1">
            <w:pPr>
              <w:rPr>
                <w:rFonts w:hint="eastAsia"/>
                <w:color w:val="auto"/>
                <w:highlight w:val="none"/>
              </w:rPr>
            </w:pPr>
            <w:r>
              <w:rPr>
                <w:rFonts w:hint="eastAsia"/>
                <w:color w:val="auto"/>
                <w:highlight w:val="none"/>
              </w:rPr>
              <w:t>▲8、AI智能备课助手：</w:t>
            </w:r>
          </w:p>
          <w:p w14:paraId="51D05500">
            <w:pPr>
              <w:rPr>
                <w:rFonts w:hint="eastAsia"/>
                <w:color w:val="auto"/>
                <w:highlight w:val="none"/>
              </w:rPr>
            </w:pPr>
            <w:r>
              <w:rPr>
                <w:rFonts w:hint="eastAsia"/>
                <w:color w:val="auto"/>
                <w:highlight w:val="none"/>
              </w:rPr>
              <w:t>在备课场景中支持搜索课件库课件资源，具有不少于15万份的课件资源，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p>
          <w:p w14:paraId="7BD95AF4">
            <w:pPr>
              <w:rPr>
                <w:rFonts w:hint="eastAsia"/>
                <w:color w:val="auto"/>
                <w:highlight w:val="none"/>
              </w:rPr>
            </w:pPr>
            <w:r>
              <w:rPr>
                <w:rFonts w:hint="eastAsia"/>
                <w:color w:val="auto"/>
                <w:highlight w:val="none"/>
              </w:rPr>
              <w:t>（响应文件中须出具检验结果符合或者优于本项参数的国家认可的第三方认证（检测）机构出具的带有CMA或CNAS标志的检测报告）</w:t>
            </w:r>
          </w:p>
          <w:p w14:paraId="1907F026">
            <w:pPr>
              <w:rPr>
                <w:rFonts w:hint="eastAsia"/>
                <w:color w:val="auto"/>
                <w:highlight w:val="none"/>
              </w:rPr>
            </w:pPr>
            <w:r>
              <w:rPr>
                <w:rFonts w:hint="eastAsia"/>
                <w:color w:val="auto"/>
                <w:highlight w:val="none"/>
              </w:rPr>
              <w:t>9、采用备授课一体化框架设计，教师可根据教学场景自由切换类PPT界面的备课模式与触控交互教学模式，适用于教室、办公室等不同教学环境。</w:t>
            </w:r>
          </w:p>
          <w:p w14:paraId="1FB2674A">
            <w:pPr>
              <w:rPr>
                <w:rFonts w:hint="eastAsia"/>
                <w:color w:val="auto"/>
                <w:highlight w:val="none"/>
              </w:rPr>
            </w:pPr>
            <w:r>
              <w:rPr>
                <w:rFonts w:hint="eastAsia"/>
                <w:color w:val="auto"/>
                <w:highlight w:val="none"/>
              </w:rPr>
              <w:t>10、互动课件内容的编辑修改无需人为保存即可自动同步至云空间，可根据教师需要调整云空间自动同步的时间间隔。本地课件则不会自动同步到云空间以保证数据安全。编辑多份互动课件时，教师可一键将所有处于编辑状态的课件同步到互动课件云空间。</w:t>
            </w:r>
          </w:p>
          <w:p w14:paraId="0322E27E">
            <w:pPr>
              <w:rPr>
                <w:rFonts w:hint="eastAsia"/>
                <w:color w:val="auto"/>
                <w:highlight w:val="none"/>
              </w:rPr>
            </w:pPr>
            <w:r>
              <w:rPr>
                <w:rFonts w:hint="eastAsia"/>
                <w:color w:val="auto"/>
                <w:highlight w:val="none"/>
              </w:rPr>
              <w:t>▲11、支持PPT的原生解析，教师可将pptx课件转化为互动教学课件，支持单份导入和批量文件夹导入两种导入方式，保留pptx原文件中的文字、图片、表格等对象及动画的可编辑性，并可为课件增加互动教学元素。（响应文件中须出具检验结果符合或者优于本项参数的国家认可的第三方认证（检测）机构出具的带有CMA或CNAS标志的检测报告）</w:t>
            </w:r>
          </w:p>
          <w:p w14:paraId="7C40C2BE">
            <w:pPr>
              <w:rPr>
                <w:rFonts w:hint="eastAsia"/>
                <w:color w:val="auto"/>
                <w:highlight w:val="none"/>
              </w:rPr>
            </w:pPr>
            <w:r>
              <w:rPr>
                <w:rFonts w:hint="eastAsia"/>
                <w:color w:val="auto"/>
                <w:highlight w:val="none"/>
              </w:rPr>
              <w:t>▲12、支持将互动课件导出为pptx、pdf、H5或web链接。导出的课件支持在多终端(包含windows、Macos、iOS、安卓、国产化系统)进行二次编辑。（响应文件中须出具检验结果符合或者优于本项参数的国家认可的第三方认证（检测）机构出具的带有CMA或CNAS标志的检测报告）</w:t>
            </w:r>
          </w:p>
          <w:p w14:paraId="7201E81A">
            <w:pPr>
              <w:rPr>
                <w:rFonts w:hint="eastAsia"/>
                <w:color w:val="auto"/>
                <w:highlight w:val="none"/>
              </w:rPr>
            </w:pPr>
            <w:r>
              <w:rPr>
                <w:rFonts w:hint="eastAsia"/>
                <w:color w:val="auto"/>
                <w:highlight w:val="none"/>
              </w:rPr>
              <w:t>13、课件回收站功能：按照删除时间存储已删除课件，支持用户在3天内自主或彻底删除单份/多份/全部已删除课件</w:t>
            </w:r>
          </w:p>
          <w:p w14:paraId="50C2005E">
            <w:pPr>
              <w:rPr>
                <w:rFonts w:hint="eastAsia"/>
                <w:color w:val="auto"/>
                <w:highlight w:val="none"/>
              </w:rPr>
            </w:pPr>
            <w:r>
              <w:rPr>
                <w:rFonts w:hint="eastAsia"/>
                <w:color w:val="auto"/>
                <w:highlight w:val="none"/>
              </w:rPr>
              <w:t>14、可自由调节课件画面的显示比例，支持16:9、4：3画面显示比，可适配各类显示设备。</w:t>
            </w:r>
          </w:p>
          <w:p w14:paraId="1A1EA599">
            <w:pPr>
              <w:rPr>
                <w:rFonts w:hint="eastAsia"/>
                <w:color w:val="auto"/>
                <w:highlight w:val="none"/>
              </w:rPr>
            </w:pPr>
            <w:r>
              <w:rPr>
                <w:rFonts w:hint="eastAsia"/>
                <w:color w:val="auto"/>
                <w:highlight w:val="none"/>
              </w:rPr>
              <w:t>▲15、具备云端静默推送下载功能，无需用户手动下载即可实现应用的在线升级，升级具有信息验证机制。</w:t>
            </w:r>
          </w:p>
          <w:p w14:paraId="215559A1">
            <w:pPr>
              <w:rPr>
                <w:rFonts w:hint="eastAsia"/>
                <w:color w:val="auto"/>
                <w:highlight w:val="none"/>
              </w:rPr>
            </w:pPr>
            <w:r>
              <w:rPr>
                <w:rFonts w:hint="eastAsia"/>
                <w:color w:val="auto"/>
                <w:highlight w:val="none"/>
              </w:rPr>
              <w:t>▲16、全文快速搜索：支持在课件中通过快捷键(Ctrl+F)调用搜索控件，输入文本即可查找课件内文本框、形状、表格中对应的文本匹配项。（响应文件中须出具检验结果符合或者优于本项参数的国家认可的第三方认证（检测）机构出具的带有CMA或CNAS标志的检测报告）</w:t>
            </w:r>
          </w:p>
          <w:p w14:paraId="43BFBD4A">
            <w:pPr>
              <w:rPr>
                <w:rFonts w:hint="eastAsia"/>
                <w:color w:val="auto"/>
                <w:highlight w:val="none"/>
              </w:rPr>
            </w:pPr>
            <w:r>
              <w:rPr>
                <w:rFonts w:hint="eastAsia"/>
                <w:color w:val="auto"/>
                <w:highlight w:val="none"/>
              </w:rPr>
              <w:t>17、胶囊式微课功能内置于交互式课件工具中，支持快速录制胶囊式微课，微课可录制保存音频和课件的互动操作。</w:t>
            </w:r>
          </w:p>
          <w:p w14:paraId="4EDA2C34">
            <w:pPr>
              <w:rPr>
                <w:rFonts w:hint="eastAsia"/>
                <w:color w:val="auto"/>
                <w:highlight w:val="none"/>
              </w:rPr>
            </w:pPr>
            <w:r>
              <w:rPr>
                <w:rFonts w:hint="eastAsia"/>
                <w:color w:val="auto"/>
                <w:highlight w:val="none"/>
              </w:rPr>
              <w:t>（二）基础教学工具</w:t>
            </w:r>
          </w:p>
          <w:p w14:paraId="501CB9B1">
            <w:pPr>
              <w:rPr>
                <w:rFonts w:hint="eastAsia"/>
                <w:color w:val="auto"/>
                <w:highlight w:val="none"/>
              </w:rPr>
            </w:pPr>
            <w:r>
              <w:rPr>
                <w:rFonts w:hint="eastAsia"/>
                <w:color w:val="auto"/>
                <w:highlight w:val="none"/>
              </w:rPr>
              <w:t>1、内置课堂教学、简约、插画、科技、古风等不少于70个课件主题模板供教师选用，且教师可自定义课件背景。</w:t>
            </w:r>
          </w:p>
          <w:p w14:paraId="3D2B3B0F">
            <w:pPr>
              <w:rPr>
                <w:rFonts w:hint="eastAsia"/>
                <w:color w:val="auto"/>
                <w:highlight w:val="none"/>
              </w:rPr>
            </w:pPr>
            <w:r>
              <w:rPr>
                <w:rFonts w:hint="eastAsia"/>
                <w:color w:val="auto"/>
                <w:highlight w:val="none"/>
              </w:rPr>
              <w:t>2、排版：支持对多对象的叠放层级、对齐方式进行设置，可批量组合、锁定课件对象。对象移动时自动弹出对齐线及等距线辅助排版。</w:t>
            </w:r>
          </w:p>
          <w:p w14:paraId="50427CF3">
            <w:pPr>
              <w:rPr>
                <w:rFonts w:hint="eastAsia"/>
                <w:color w:val="auto"/>
                <w:highlight w:val="none"/>
              </w:rPr>
            </w:pPr>
            <w:r>
              <w:rPr>
                <w:rFonts w:hint="eastAsia"/>
                <w:color w:val="auto"/>
                <w:highlight w:val="none"/>
              </w:rPr>
              <w:t>3、提供截图工具，可对课件内容、桌面内容快速截图，可自由调整截屏范围，截屏内容直接插入课件。</w:t>
            </w:r>
          </w:p>
          <w:p w14:paraId="2462AC2A">
            <w:pPr>
              <w:rPr>
                <w:rFonts w:hint="eastAsia"/>
                <w:color w:val="auto"/>
                <w:highlight w:val="none"/>
              </w:rPr>
            </w:pPr>
            <w:r>
              <w:rPr>
                <w:rFonts w:hint="eastAsia"/>
                <w:color w:val="auto"/>
                <w:highlight w:val="none"/>
              </w:rPr>
              <w:t>4、支持课件内所有的元素对象创建超链接，可链接到对象所在课件的相关页面、网页、文档等。</w:t>
            </w:r>
          </w:p>
          <w:p w14:paraId="18552DC0">
            <w:pPr>
              <w:rPr>
                <w:rFonts w:hint="eastAsia"/>
                <w:color w:val="auto"/>
                <w:highlight w:val="none"/>
              </w:rPr>
            </w:pPr>
            <w:r>
              <w:rPr>
                <w:rFonts w:hint="eastAsia"/>
                <w:color w:val="auto"/>
                <w:highlight w:val="none"/>
              </w:rPr>
              <w:t>5、文本工具：可插入文本框输入文本并支持文本样式设置：字体、字号、颜色、加粗、倾斜、下划线、上下角标、项目符号。支持段落样式设置：顶部对齐、垂直居中对齐、底端对齐缩进、行高、文本缩进等进行设置。文本、段落的样式支持格式刷快速复制，提升备课效率。预置不少于15种艺术字效果，便于教师调用美化课件。</w:t>
            </w:r>
          </w:p>
          <w:p w14:paraId="74E9AA7B">
            <w:pPr>
              <w:rPr>
                <w:rFonts w:hint="eastAsia"/>
                <w:color w:val="auto"/>
                <w:highlight w:val="none"/>
              </w:rPr>
            </w:pPr>
            <w:r>
              <w:rPr>
                <w:rFonts w:hint="eastAsia"/>
                <w:color w:val="auto"/>
                <w:highlight w:val="none"/>
              </w:rPr>
              <w:t>6、图形工具：提供直线、箭头、正方形、圆角四边形、平行四边形、圆形、等腰三角形、直角三角形、菱形、梯形、五边形等基本几何图形以及对话框、五角星、大括号、旗子等特殊图形。</w:t>
            </w:r>
          </w:p>
          <w:p w14:paraId="3F9F833C">
            <w:pPr>
              <w:rPr>
                <w:rFonts w:hint="eastAsia"/>
                <w:color w:val="auto"/>
                <w:highlight w:val="none"/>
              </w:rPr>
            </w:pPr>
            <w:r>
              <w:rPr>
                <w:rFonts w:hint="eastAsia"/>
                <w:color w:val="auto"/>
                <w:highlight w:val="none"/>
              </w:rPr>
              <w:t>7、具备图形自由创作工具，教师可自由绘制复杂的任意多边图形及曲边图形；教师自主创作的图形可存储至个人云空间便于后续使用。</w:t>
            </w:r>
          </w:p>
          <w:p w14:paraId="56831087">
            <w:pPr>
              <w:rPr>
                <w:rFonts w:hint="eastAsia"/>
                <w:color w:val="auto"/>
                <w:highlight w:val="none"/>
              </w:rPr>
            </w:pPr>
            <w:r>
              <w:rPr>
                <w:rFonts w:hint="eastAsia"/>
                <w:color w:val="auto"/>
                <w:highlight w:val="none"/>
              </w:rPr>
              <w:t>8、图形具备旋转、镜像克隆、多图形等距对齐等功能，便于教师快速完成图形排版。</w:t>
            </w:r>
          </w:p>
          <w:p w14:paraId="291C0E6E">
            <w:pPr>
              <w:rPr>
                <w:rFonts w:hint="eastAsia"/>
                <w:color w:val="auto"/>
                <w:highlight w:val="none"/>
              </w:rPr>
            </w:pPr>
            <w:r>
              <w:rPr>
                <w:rFonts w:hint="eastAsia"/>
                <w:color w:val="auto"/>
                <w:highlight w:val="none"/>
              </w:rPr>
              <w:t>支持对图形样式设置：图形颜色、阴影、倒影、透明度、边框等样式设置；支持图形旋转中心调整。</w:t>
            </w:r>
          </w:p>
          <w:p w14:paraId="3A32CDE6">
            <w:pPr>
              <w:rPr>
                <w:rFonts w:hint="eastAsia"/>
                <w:color w:val="auto"/>
                <w:highlight w:val="none"/>
              </w:rPr>
            </w:pPr>
            <w:r>
              <w:rPr>
                <w:rFonts w:hint="eastAsia"/>
                <w:color w:val="auto"/>
                <w:highlight w:val="none"/>
              </w:rPr>
              <w:t>9、图片工具：内置图片处理功能，无需借助专业图片处理软件即可对课件内的图片进行快速抠图，图片主体处理后边缘无明显毛边，且处理后的图片可直接上传至教师云空间供后续复用。</w:t>
            </w:r>
          </w:p>
          <w:p w14:paraId="120DCD68">
            <w:pPr>
              <w:rPr>
                <w:rFonts w:hint="eastAsia"/>
                <w:color w:val="auto"/>
                <w:highlight w:val="none"/>
              </w:rPr>
            </w:pPr>
            <w:r>
              <w:rPr>
                <w:rFonts w:hint="eastAsia"/>
                <w:color w:val="auto"/>
                <w:highlight w:val="none"/>
              </w:rPr>
              <w:t>10、内置图片裁切功能，无需调用截图工具即可直接对课件内的图片进行裁切，裁切面积可自由调整。</w:t>
            </w:r>
          </w:p>
          <w:p w14:paraId="657CD218">
            <w:pPr>
              <w:rPr>
                <w:rFonts w:hint="eastAsia"/>
                <w:color w:val="auto"/>
                <w:highlight w:val="none"/>
              </w:rPr>
            </w:pPr>
            <w:r>
              <w:rPr>
                <w:rFonts w:hint="eastAsia"/>
                <w:color w:val="auto"/>
                <w:highlight w:val="none"/>
              </w:rPr>
              <w:t>11、蒙层工具：可一键为课件文本、图片、形状等对象添加蒙层将其隐藏，授课模式下可通过橡皮擦工具、或手势擦除蒙层展现隐藏内容。</w:t>
            </w:r>
          </w:p>
          <w:p w14:paraId="55D184F5">
            <w:pPr>
              <w:rPr>
                <w:rFonts w:hint="eastAsia"/>
                <w:color w:val="auto"/>
                <w:highlight w:val="none"/>
              </w:rPr>
            </w:pPr>
            <w:r>
              <w:rPr>
                <w:rFonts w:hint="eastAsia"/>
                <w:color w:val="auto"/>
                <w:highlight w:val="none"/>
              </w:rPr>
              <w:t>12、兼容传统课件制作工具的组合快捷按键，支持如加粗（Ctrl+B）、文字居中（Ctrl+E）等教师熟悉的组合按键，鼠标悬停至功能按键时自动提示组合快捷键，内置组合快捷键数量不少于50个。</w:t>
            </w:r>
          </w:p>
          <w:p w14:paraId="0FD0FE92">
            <w:pPr>
              <w:rPr>
                <w:rFonts w:hint="eastAsia"/>
                <w:color w:val="auto"/>
                <w:highlight w:val="none"/>
              </w:rPr>
            </w:pPr>
            <w:r>
              <w:rPr>
                <w:rFonts w:hint="eastAsia"/>
                <w:color w:val="auto"/>
                <w:highlight w:val="none"/>
              </w:rPr>
              <w:t>13、提供页面备注功能，可一键展开/隐藏备注。方便教师备课过程中记录教学研究思路用于教学反思。</w:t>
            </w:r>
          </w:p>
          <w:p w14:paraId="28294257">
            <w:pPr>
              <w:rPr>
                <w:rFonts w:hint="eastAsia"/>
                <w:color w:val="auto"/>
                <w:highlight w:val="none"/>
              </w:rPr>
            </w:pPr>
            <w:r>
              <w:rPr>
                <w:rFonts w:hint="eastAsia"/>
                <w:color w:val="auto"/>
                <w:highlight w:val="none"/>
              </w:rPr>
              <w:t>14、备课模式下界面工具菜单支持自定义设置，教师可增减符合自身备课习惯的学科工具，自设工具菜单与教师云空间账号绑定，在任意终端登录教师账号备课自动同步备课工具菜单。</w:t>
            </w:r>
          </w:p>
          <w:p w14:paraId="266CA741">
            <w:pPr>
              <w:rPr>
                <w:rFonts w:hint="eastAsia"/>
                <w:color w:val="auto"/>
                <w:highlight w:val="none"/>
              </w:rPr>
            </w:pPr>
            <w:r>
              <w:rPr>
                <w:rFonts w:hint="eastAsia"/>
                <w:color w:val="auto"/>
                <w:highlight w:val="none"/>
              </w:rPr>
              <w:t>15、动画：提供至少30种应用于文本、形状、图片等课件元素的触发动画，可对动画的设置触发条件、动画声效、动画时长、动画延迟和动画方向进行自定义设置。支持对任意课件元素自定义路径动画，可自由绘制动画移动轨迹使课件元素沿轨迹路径进行移动。一个课件元素支持同时设置多组出现、消失、路径动画。</w:t>
            </w:r>
          </w:p>
          <w:p w14:paraId="2D43C87F">
            <w:pPr>
              <w:rPr>
                <w:rFonts w:hint="eastAsia"/>
                <w:color w:val="auto"/>
                <w:highlight w:val="none"/>
              </w:rPr>
            </w:pPr>
            <w:r>
              <w:rPr>
                <w:rFonts w:hint="eastAsia"/>
                <w:color w:val="auto"/>
                <w:highlight w:val="none"/>
              </w:rPr>
              <w:t>16、音视频播放组件：支持课件内嵌图片、音视频等多媒体文件，兼容以下格式：mp3、wav、ogg、aac、mp4、rmvb、wmv、3gp、mkv、flv、mov、png、bmp、jpg、jpeg、gif、svg。支持对音频、视频文件进行关键帧标记，可在音、视频进度条任意位置自由设置关键帧播放节点，便于快速定位讲解关键教学内容。</w:t>
            </w:r>
          </w:p>
          <w:p w14:paraId="3528DCBE">
            <w:pPr>
              <w:rPr>
                <w:rFonts w:hint="eastAsia"/>
                <w:color w:val="auto"/>
                <w:highlight w:val="none"/>
              </w:rPr>
            </w:pPr>
            <w:r>
              <w:rPr>
                <w:rFonts w:hint="eastAsia"/>
                <w:color w:val="auto"/>
                <w:highlight w:val="none"/>
              </w:rPr>
              <w:t>17、提供单次播放、循环播放、跨页面播放和自动播放等播放模式。跨页面播放可设置音频进行部分页面播放和全页面播放。</w:t>
            </w:r>
          </w:p>
          <w:p w14:paraId="0D81211B">
            <w:pPr>
              <w:rPr>
                <w:rFonts w:hint="eastAsia"/>
                <w:color w:val="auto"/>
                <w:highlight w:val="none"/>
              </w:rPr>
            </w:pPr>
            <w:r>
              <w:rPr>
                <w:rFonts w:hint="eastAsia"/>
                <w:color w:val="auto"/>
                <w:highlight w:val="none"/>
              </w:rPr>
              <w:t>18、交互表格工具：具备交互表格功能，课件可自由插入表格，预置不少于5种表格样式，支持边框、底纹设置，自由合并单元格；表格支持自由输入文本，且根据文本内容可一键自动调整行列宽高；表格通过表格首行首列交接处的按键可一键精准增加行列；具备遮罩功能，表格中任一单元格可添加遮罩掩盖单元格内容，授课模式点击即可取消遮罩，便于教师交互式教学</w:t>
            </w:r>
          </w:p>
          <w:p w14:paraId="7C8B6E14">
            <w:pPr>
              <w:rPr>
                <w:rFonts w:hint="eastAsia"/>
                <w:color w:val="auto"/>
                <w:highlight w:val="none"/>
              </w:rPr>
            </w:pPr>
            <w:r>
              <w:rPr>
                <w:rFonts w:hint="eastAsia"/>
                <w:color w:val="auto"/>
                <w:highlight w:val="none"/>
              </w:rPr>
              <w:t>19、学科思维导图工具：内嵌学科思维导图功能，提供思维导图、鱼骨图及组织结构图等知识结构化工具，提供不少于8种预设模板，可自由增删或拖拽编辑知识节点，并支持在节点上插入图片、音频、视频、网页链接、课件页面等教学知识内容，便于建构知识结构；学科思维导图知识点可逐级、逐个展开，导图工具具备归纳总结功能，可将相邻知识节点一键快速归纳，并添加文本、图片、音频、视频等辅助讲解，进行知识点关联发散。思维导图支持自定义连接线、节点样式。</w:t>
            </w:r>
          </w:p>
          <w:p w14:paraId="45A376EF">
            <w:pPr>
              <w:rPr>
                <w:rFonts w:hint="eastAsia"/>
                <w:color w:val="auto"/>
                <w:highlight w:val="none"/>
              </w:rPr>
            </w:pPr>
            <w:r>
              <w:rPr>
                <w:rFonts w:hint="eastAsia"/>
                <w:color w:val="auto"/>
                <w:highlight w:val="none"/>
              </w:rPr>
              <w:t>20、图表工具：提供柱状图、扇形图、折线图等互动图表，每类图表预置不少于5种样式，支持图表文字、背景、透明度设置；柱状图、折线图可一键转置互换坐标轴类别；图表支持三维模式旋转展示。</w:t>
            </w:r>
          </w:p>
          <w:p w14:paraId="094E0FB6">
            <w:pPr>
              <w:rPr>
                <w:rFonts w:hint="eastAsia"/>
                <w:color w:val="auto"/>
                <w:highlight w:val="none"/>
              </w:rPr>
            </w:pPr>
            <w:r>
              <w:rPr>
                <w:rFonts w:hint="eastAsia"/>
                <w:color w:val="auto"/>
                <w:highlight w:val="none"/>
              </w:rPr>
              <w:t>（三）教学课堂活动：</w:t>
            </w:r>
          </w:p>
          <w:p w14:paraId="24B83EEB">
            <w:pPr>
              <w:rPr>
                <w:rFonts w:hint="eastAsia"/>
                <w:color w:val="auto"/>
                <w:highlight w:val="none"/>
              </w:rPr>
            </w:pPr>
            <w:r>
              <w:rPr>
                <w:rFonts w:hint="eastAsia"/>
                <w:color w:val="auto"/>
                <w:highlight w:val="none"/>
              </w:rPr>
              <w:t>▲1、课堂互动游戏支持云储存，编辑完成的活动可一键存储至教师云空间，便于在不同课件中直接调用，无需反复编辑。（响应文件中须出具检验结果符合或者优于本项参数的国家认可的第三方认证（检测）机构出具的带有CMA或CNAS标志的检测报告）</w:t>
            </w:r>
          </w:p>
          <w:p w14:paraId="4142C161">
            <w:pPr>
              <w:rPr>
                <w:rFonts w:hint="eastAsia"/>
                <w:color w:val="auto"/>
                <w:highlight w:val="none"/>
              </w:rPr>
            </w:pPr>
            <w:r>
              <w:rPr>
                <w:rFonts w:hint="eastAsia"/>
                <w:color w:val="auto"/>
                <w:highlight w:val="none"/>
              </w:rPr>
              <w:t>▲2、AI智能生成课堂活动：具有课堂活动智能填写功能，支持选词填空、判断对错和趣味选择三大课堂活动。</w:t>
            </w:r>
          </w:p>
          <w:p w14:paraId="0451A052">
            <w:pPr>
              <w:rPr>
                <w:rFonts w:hint="eastAsia"/>
                <w:color w:val="auto"/>
                <w:highlight w:val="none"/>
              </w:rPr>
            </w:pPr>
            <w:r>
              <w:rPr>
                <w:rFonts w:hint="eastAsia"/>
                <w:color w:val="auto"/>
                <w:highlight w:val="none"/>
              </w:rPr>
              <w:t>3、输入文本后可以一键解析，自动将文本内容结构化填充至题干和正确选项，完成课堂活动的制作。</w:t>
            </w:r>
          </w:p>
          <w:p w14:paraId="304EB5ED">
            <w:pPr>
              <w:rPr>
                <w:rFonts w:hint="eastAsia"/>
                <w:color w:val="auto"/>
                <w:highlight w:val="none"/>
              </w:rPr>
            </w:pPr>
            <w:r>
              <w:rPr>
                <w:rFonts w:hint="eastAsia"/>
                <w:color w:val="auto"/>
                <w:highlight w:val="none"/>
              </w:rPr>
              <w:t>（响应文件中须出具检验结果符合或者优于本项参数的国家认可的第三方认证（检测）机构出具的带有CMA或CNAS标志的检测报告）</w:t>
            </w:r>
          </w:p>
          <w:p w14:paraId="49985096">
            <w:pPr>
              <w:rPr>
                <w:rFonts w:hint="eastAsia"/>
                <w:color w:val="auto"/>
                <w:highlight w:val="none"/>
              </w:rPr>
            </w:pPr>
            <w:r>
              <w:rPr>
                <w:rFonts w:hint="eastAsia"/>
                <w:color w:val="auto"/>
                <w:highlight w:val="none"/>
              </w:rPr>
              <w:t>4、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14:paraId="35E0B27C">
            <w:pPr>
              <w:rPr>
                <w:rFonts w:hint="eastAsia"/>
                <w:color w:val="auto"/>
                <w:highlight w:val="none"/>
              </w:rPr>
            </w:pPr>
            <w:r>
              <w:rPr>
                <w:rFonts w:hint="eastAsia"/>
                <w:color w:val="auto"/>
                <w:highlight w:val="none"/>
              </w:rPr>
              <w:t>▲5、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14:paraId="43ADF8B6">
            <w:pPr>
              <w:rPr>
                <w:rFonts w:hint="eastAsia"/>
                <w:color w:val="auto"/>
                <w:highlight w:val="none"/>
              </w:rPr>
            </w:pPr>
            <w:r>
              <w:rPr>
                <w:rFonts w:hint="eastAsia"/>
                <w:color w:val="auto"/>
                <w:highlight w:val="none"/>
              </w:rPr>
              <w:t>▲6、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14:paraId="1F010548">
            <w:pPr>
              <w:rPr>
                <w:rFonts w:hint="eastAsia"/>
                <w:color w:val="auto"/>
                <w:highlight w:val="none"/>
              </w:rPr>
            </w:pPr>
            <w:r>
              <w:rPr>
                <w:rFonts w:hint="eastAsia"/>
                <w:color w:val="auto"/>
                <w:highlight w:val="none"/>
              </w:rPr>
              <w:t>7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5C7E67FB">
            <w:pPr>
              <w:rPr>
                <w:rFonts w:hint="eastAsia"/>
                <w:color w:val="auto"/>
                <w:highlight w:val="none"/>
              </w:rPr>
            </w:pPr>
            <w:r>
              <w:rPr>
                <w:rFonts w:hint="eastAsia"/>
                <w:color w:val="auto"/>
                <w:highlight w:val="none"/>
              </w:rPr>
              <w:t>▲8、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70A5B5C9">
            <w:pPr>
              <w:rPr>
                <w:rFonts w:hint="eastAsia"/>
                <w:color w:val="auto"/>
                <w:highlight w:val="none"/>
              </w:rPr>
            </w:pPr>
            <w:r>
              <w:rPr>
                <w:rFonts w:hint="eastAsia"/>
                <w:color w:val="auto"/>
                <w:highlight w:val="none"/>
              </w:rPr>
              <w:t>9、趣味选择游戏：支持双人或两组学生展开竞争，对选择题选项抢答。支持单选和多选两种类型，提供不少于3种难度、4种游戏模板选择。支持记录和展示学生作答结果，便于课堂知识点对比讲解。</w:t>
            </w:r>
          </w:p>
          <w:p w14:paraId="7718850B">
            <w:pPr>
              <w:rPr>
                <w:rFonts w:hint="eastAsia"/>
                <w:color w:val="auto"/>
                <w:highlight w:val="none"/>
              </w:rPr>
            </w:pPr>
            <w:r>
              <w:rPr>
                <w:rFonts w:hint="eastAsia"/>
                <w:color w:val="auto"/>
                <w:highlight w:val="none"/>
              </w:rPr>
              <w:t>（四）学科工具和教学资源</w:t>
            </w:r>
          </w:p>
          <w:p w14:paraId="33E506C8">
            <w:pPr>
              <w:rPr>
                <w:rFonts w:hint="eastAsia"/>
                <w:color w:val="auto"/>
                <w:highlight w:val="none"/>
              </w:rPr>
            </w:pPr>
            <w:r>
              <w:rPr>
                <w:rFonts w:hint="eastAsia"/>
                <w:color w:val="auto"/>
                <w:highlight w:val="none"/>
              </w:rPr>
              <w:t>1、语文工具</w:t>
            </w:r>
          </w:p>
          <w:p w14:paraId="660332A2">
            <w:pPr>
              <w:rPr>
                <w:rFonts w:hint="eastAsia"/>
                <w:color w:val="auto"/>
                <w:highlight w:val="none"/>
              </w:rPr>
            </w:pPr>
            <w:r>
              <w:rPr>
                <w:rFonts w:hint="eastAsia"/>
                <w:color w:val="auto"/>
                <w:highlight w:val="none"/>
              </w:rPr>
              <w:t>1）古诗词：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w:t>
            </w:r>
          </w:p>
          <w:p w14:paraId="6CB96D32">
            <w:pPr>
              <w:rPr>
                <w:rFonts w:hint="eastAsia"/>
                <w:color w:val="auto"/>
                <w:highlight w:val="none"/>
              </w:rPr>
            </w:pPr>
            <w:r>
              <w:rPr>
                <w:rFonts w:hint="eastAsia"/>
                <w:color w:val="auto"/>
                <w:highlight w:val="none"/>
              </w:rPr>
              <w:t>2）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14:paraId="04B4CE24">
            <w:pPr>
              <w:rPr>
                <w:rFonts w:hint="eastAsia"/>
                <w:color w:val="auto"/>
                <w:highlight w:val="none"/>
              </w:rPr>
            </w:pPr>
            <w:r>
              <w:rPr>
                <w:rFonts w:hint="eastAsia"/>
                <w:color w:val="auto"/>
                <w:highlight w:val="none"/>
              </w:rPr>
              <w:t>3）汉字：具备汉字生字卡不少于5000个，可展示该汉字的部首、读音、笔画顺序、笔画数量等。直观展示汉字读音、部首、笔画数量，笔画书写支持分步展示和连续展示，教师可一次性生成多个汉字生字卡，同步生成数量不少于5个。</w:t>
            </w:r>
          </w:p>
          <w:p w14:paraId="57BCE627">
            <w:pPr>
              <w:rPr>
                <w:rFonts w:hint="eastAsia"/>
                <w:color w:val="auto"/>
                <w:highlight w:val="none"/>
              </w:rPr>
            </w:pPr>
            <w:r>
              <w:rPr>
                <w:rFonts w:hint="eastAsia"/>
                <w:color w:val="auto"/>
                <w:highlight w:val="none"/>
              </w:rPr>
              <w:t>4）拼音：支持在四线三格中自由输入拼音，可选择四声并支持一键点读。有单个字母和连续输入两种方式。</w:t>
            </w:r>
          </w:p>
          <w:p w14:paraId="14DC9D19">
            <w:pPr>
              <w:rPr>
                <w:rFonts w:hint="eastAsia"/>
                <w:color w:val="auto"/>
                <w:highlight w:val="none"/>
              </w:rPr>
            </w:pPr>
            <w:r>
              <w:rPr>
                <w:rFonts w:hint="eastAsia"/>
                <w:color w:val="auto"/>
                <w:highlight w:val="none"/>
              </w:rPr>
              <w:t>2、数学工具</w:t>
            </w:r>
          </w:p>
          <w:p w14:paraId="1A7D62BA">
            <w:pPr>
              <w:rPr>
                <w:rFonts w:hint="eastAsia"/>
                <w:color w:val="auto"/>
                <w:highlight w:val="none"/>
              </w:rPr>
            </w:pPr>
            <w:r>
              <w:rPr>
                <w:rFonts w:hint="eastAsia"/>
                <w:color w:val="auto"/>
                <w:highlight w:val="none"/>
              </w:rPr>
              <w:t>▲1）数学函数公式：支持中英文、数学公式的编辑输入，可快速输入方程组、脱式运算，提供不少于70个数学符号及模板；预置不少于40个常用数学公式，无需编辑一键插入。</w:t>
            </w:r>
          </w:p>
          <w:p w14:paraId="595FC48A">
            <w:pPr>
              <w:rPr>
                <w:rFonts w:hint="eastAsia"/>
                <w:color w:val="auto"/>
                <w:highlight w:val="none"/>
              </w:rPr>
            </w:pPr>
            <w:r>
              <w:rPr>
                <w:rFonts w:hint="eastAsia"/>
                <w:color w:val="auto"/>
                <w:highlight w:val="none"/>
              </w:rPr>
              <w:t>2）数学函数图像：可快速生成包含一次函数一次函数、二次函数、幂函数、指数函数、对数函数、三角函数等图像，也可自定义输入函数表达式生成图像；在同一坐标轴上支持同时绘制6个及以上函数表达式。可缩放函数图像与坐标轴，可显示坐标网格，函数图生成后可重新编辑。</w:t>
            </w:r>
          </w:p>
          <w:p w14:paraId="5E9012B6">
            <w:pPr>
              <w:rPr>
                <w:rFonts w:hint="eastAsia"/>
                <w:color w:val="auto"/>
                <w:highlight w:val="none"/>
              </w:rPr>
            </w:pPr>
            <w:r>
              <w:rPr>
                <w:rFonts w:hint="eastAsia"/>
                <w:color w:val="auto"/>
                <w:highlight w:val="none"/>
              </w:rPr>
              <w:t>3、几何工具</w:t>
            </w:r>
          </w:p>
          <w:p w14:paraId="342F3CE2">
            <w:pPr>
              <w:rPr>
                <w:rFonts w:hint="eastAsia"/>
                <w:color w:val="auto"/>
                <w:highlight w:val="none"/>
              </w:rPr>
            </w:pPr>
            <w:r>
              <w:rPr>
                <w:rFonts w:hint="eastAsia"/>
                <w:color w:val="auto"/>
                <w:highlight w:val="none"/>
              </w:rPr>
              <w:t>1）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14:paraId="71678A98">
            <w:pPr>
              <w:rPr>
                <w:rFonts w:hint="eastAsia"/>
                <w:color w:val="auto"/>
                <w:highlight w:val="none"/>
              </w:rPr>
            </w:pPr>
            <w:r>
              <w:rPr>
                <w:rFonts w:hint="eastAsia"/>
                <w:color w:val="auto"/>
                <w:highlight w:val="none"/>
              </w:rPr>
              <w:t>2）可自由绘制长方体、立方体、圆柱体、圆锥等几何图形。任意调节几何体的大小尺寸，支持几何图形按比例放大缩小和通过单独调整长宽高（半径/高）改变几何体大小。</w:t>
            </w:r>
          </w:p>
          <w:p w14:paraId="46A102A9">
            <w:pPr>
              <w:rPr>
                <w:rFonts w:hint="eastAsia"/>
                <w:color w:val="auto"/>
                <w:highlight w:val="none"/>
              </w:rPr>
            </w:pPr>
            <w:r>
              <w:rPr>
                <w:rFonts w:hint="eastAsia"/>
                <w:color w:val="auto"/>
                <w:highlight w:val="none"/>
              </w:rPr>
              <w:t>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14:paraId="5F255D2B">
            <w:pPr>
              <w:rPr>
                <w:rFonts w:hint="eastAsia"/>
                <w:color w:val="auto"/>
                <w:highlight w:val="none"/>
              </w:rPr>
            </w:pPr>
            <w:r>
              <w:rPr>
                <w:rFonts w:hint="eastAsia"/>
                <w:color w:val="auto"/>
                <w:highlight w:val="none"/>
              </w:rPr>
              <w:t>3）具备几何体智能吸附功能：同类几何体相互靠近时，可智能识别吸附。</w:t>
            </w:r>
          </w:p>
          <w:p w14:paraId="64DBCF8F">
            <w:pPr>
              <w:rPr>
                <w:rFonts w:hint="eastAsia"/>
                <w:color w:val="auto"/>
                <w:highlight w:val="none"/>
              </w:rPr>
            </w:pPr>
            <w:r>
              <w:rPr>
                <w:rFonts w:hint="eastAsia"/>
                <w:color w:val="auto"/>
                <w:highlight w:val="none"/>
              </w:rPr>
              <w:t>4）数学画板：</w:t>
            </w:r>
          </w:p>
          <w:p w14:paraId="67996003">
            <w:pPr>
              <w:rPr>
                <w:rFonts w:hint="eastAsia"/>
                <w:color w:val="auto"/>
                <w:highlight w:val="none"/>
              </w:rPr>
            </w:pPr>
            <w:r>
              <w:rPr>
                <w:rFonts w:hint="eastAsia"/>
                <w:color w:val="auto"/>
                <w:highlight w:val="none"/>
              </w:rPr>
              <w:t>①支持课件中插入在线数学画板，授课时一键打开使用。</w:t>
            </w:r>
          </w:p>
          <w:p w14:paraId="4E021452">
            <w:pPr>
              <w:rPr>
                <w:rFonts w:hint="eastAsia"/>
                <w:color w:val="auto"/>
                <w:highlight w:val="none"/>
              </w:rPr>
            </w:pPr>
            <w:r>
              <w:rPr>
                <w:rFonts w:hint="eastAsia"/>
                <w:color w:val="auto"/>
                <w:highlight w:val="none"/>
              </w:rPr>
              <w:t>②提供不少于500个数学画板资源，按照小学、初中、高中学段数学学科主要知识点分类，便于教师查找使用。</w:t>
            </w:r>
          </w:p>
          <w:p w14:paraId="5BAC0624">
            <w:pPr>
              <w:rPr>
                <w:rFonts w:hint="eastAsia"/>
                <w:color w:val="auto"/>
                <w:highlight w:val="none"/>
              </w:rPr>
            </w:pPr>
            <w:r>
              <w:rPr>
                <w:rFonts w:hint="eastAsia"/>
                <w:color w:val="auto"/>
                <w:highlight w:val="none"/>
              </w:rPr>
              <w:t>③内置画板课件展示生动直观，可动态展示平面几何的变化：如小学几何四边形，可动态演示四边形的不同形态间的变化；中学函数的平方差公式讲解，可将平方差公式通过图形具象展示其计算原理。</w:t>
            </w:r>
          </w:p>
          <w:p w14:paraId="4E5598BB">
            <w:pPr>
              <w:rPr>
                <w:rFonts w:hint="eastAsia"/>
                <w:color w:val="auto"/>
                <w:highlight w:val="none"/>
              </w:rPr>
            </w:pPr>
            <w:r>
              <w:rPr>
                <w:rFonts w:hint="eastAsia"/>
                <w:color w:val="auto"/>
                <w:highlight w:val="none"/>
              </w:rPr>
              <w:t>④提供个人画板供教师自由创作，具备点、线、面等基础元素和线段中点、椭圆焦点、极坐标方程等数十种数学常用工具。创建后可一键将画板无缝嵌入课件。"</w:t>
            </w:r>
          </w:p>
          <w:p w14:paraId="651EBB3D">
            <w:pPr>
              <w:rPr>
                <w:rFonts w:hint="eastAsia"/>
                <w:color w:val="auto"/>
                <w:highlight w:val="none"/>
              </w:rPr>
            </w:pPr>
            <w:r>
              <w:rPr>
                <w:rFonts w:hint="eastAsia"/>
                <w:color w:val="auto"/>
                <w:highlight w:val="none"/>
              </w:rPr>
              <w:t>▲4、英语工具</w:t>
            </w:r>
          </w:p>
          <w:p w14:paraId="60BF0687">
            <w:pPr>
              <w:rPr>
                <w:rFonts w:hint="eastAsia"/>
                <w:color w:val="auto"/>
                <w:highlight w:val="none"/>
              </w:rPr>
            </w:pPr>
            <w:r>
              <w:rPr>
                <w:rFonts w:hint="eastAsia"/>
                <w:color w:val="auto"/>
                <w:highlight w:val="none"/>
              </w:rPr>
              <w:t>1）AI智能英语工具：软件内置的AI智能语义分析模块，可对输入的英文文本的拼写、句型、语法进行错误检查，并支持一键纠错。</w:t>
            </w:r>
          </w:p>
          <w:p w14:paraId="48A758A3">
            <w:pPr>
              <w:rPr>
                <w:rFonts w:hint="eastAsia"/>
                <w:color w:val="auto"/>
                <w:highlight w:val="none"/>
              </w:rPr>
            </w:pPr>
            <w:r>
              <w:rPr>
                <w:rFonts w:hint="eastAsia"/>
                <w:color w:val="auto"/>
                <w:highlight w:val="none"/>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14:paraId="3FCC531C">
            <w:pPr>
              <w:rPr>
                <w:rFonts w:hint="eastAsia"/>
                <w:color w:val="auto"/>
                <w:highlight w:val="none"/>
              </w:rPr>
            </w:pPr>
            <w:r>
              <w:rPr>
                <w:rFonts w:hint="eastAsia"/>
                <w:color w:val="auto"/>
                <w:highlight w:val="none"/>
              </w:rPr>
              <w:t>▲3）AI音标助手：支持浏览和插入国际音标表，可直接点击发音，支持已整表和单个音标卡片插入。支持智能将字母、单词、句子转写为音标，并可一键插入到备课课件中形成文本。</w:t>
            </w:r>
          </w:p>
          <w:p w14:paraId="4AB38BB3">
            <w:pPr>
              <w:rPr>
                <w:rFonts w:hint="eastAsia"/>
                <w:color w:val="auto"/>
                <w:highlight w:val="none"/>
              </w:rPr>
            </w:pPr>
            <w:r>
              <w:rPr>
                <w:rFonts w:hint="eastAsia"/>
                <w:color w:val="auto"/>
                <w:highlight w:val="none"/>
              </w:rPr>
              <w:t>4）四线三格：配置英语学科四线三格，可直接键入人教版英语辅助教材配套的手写字体。</w:t>
            </w:r>
          </w:p>
          <w:p w14:paraId="00700E63">
            <w:pPr>
              <w:rPr>
                <w:rFonts w:hint="eastAsia"/>
                <w:color w:val="auto"/>
                <w:highlight w:val="none"/>
              </w:rPr>
            </w:pPr>
            <w:r>
              <w:rPr>
                <w:rFonts w:hint="eastAsia"/>
                <w:color w:val="auto"/>
                <w:highlight w:val="none"/>
              </w:rPr>
              <w:t>听写：配置英语学科听写工具，覆盖小初高不少于8000个英语单词，支持自定义选择单词。自定义听写频率和次数，一键生成听写卡；授课模式支持一键开启听写朗读。"</w:t>
            </w:r>
          </w:p>
          <w:p w14:paraId="4E084273">
            <w:pPr>
              <w:rPr>
                <w:rFonts w:hint="eastAsia"/>
                <w:color w:val="auto"/>
                <w:highlight w:val="none"/>
              </w:rPr>
            </w:pPr>
            <w:r>
              <w:rPr>
                <w:rFonts w:hint="eastAsia"/>
                <w:color w:val="auto"/>
                <w:highlight w:val="none"/>
              </w:rPr>
              <w:t>5、化学工具</w:t>
            </w:r>
          </w:p>
          <w:p w14:paraId="690C5AB8">
            <w:pPr>
              <w:rPr>
                <w:rFonts w:hint="eastAsia"/>
                <w:color w:val="auto"/>
                <w:highlight w:val="none"/>
              </w:rPr>
            </w:pPr>
            <w:r>
              <w:rPr>
                <w:rFonts w:hint="eastAsia"/>
                <w:color w:val="auto"/>
                <w:highlight w:val="none"/>
              </w:rPr>
              <w:t>1）化学方程式编辑器：提供化学方程式快速编辑工具，当输入一个化学元素时，软件界面将自动显示出和该元素相关的多个常用化学反应方程式，可直接选择使用。插入后的化学方程式可重新编辑。</w:t>
            </w:r>
          </w:p>
          <w:p w14:paraId="3EF2DE6A">
            <w:pPr>
              <w:rPr>
                <w:rFonts w:hint="eastAsia"/>
                <w:color w:val="auto"/>
                <w:highlight w:val="none"/>
              </w:rPr>
            </w:pPr>
            <w:r>
              <w:rPr>
                <w:rFonts w:hint="eastAsia"/>
                <w:color w:val="auto"/>
                <w:highlight w:val="none"/>
              </w:rPr>
              <w:t>6、物理工具</w:t>
            </w:r>
          </w:p>
          <w:p w14:paraId="29DA8C73">
            <w:pPr>
              <w:rPr>
                <w:rFonts w:hint="eastAsia"/>
                <w:color w:val="auto"/>
                <w:highlight w:val="none"/>
              </w:rPr>
            </w:pPr>
            <w:r>
              <w:rPr>
                <w:rFonts w:hint="eastAsia"/>
                <w:color w:val="auto"/>
                <w:highlight w:val="none"/>
              </w:rPr>
              <w:t>物理线图：支持自由绘制物理线图，提供元件库和模板库不少于30个组件，支持自动吸附连接线，画布可无限漫游。绘制后的线图可一键插入到备课课件中并支持二次编辑。老师可将常用的线图保存至个人云盘方便二次调用。"</w:t>
            </w:r>
          </w:p>
          <w:p w14:paraId="6F921EEB">
            <w:pPr>
              <w:rPr>
                <w:rFonts w:hint="eastAsia"/>
                <w:color w:val="auto"/>
                <w:highlight w:val="none"/>
              </w:rPr>
            </w:pPr>
            <w:r>
              <w:rPr>
                <w:rFonts w:hint="eastAsia"/>
                <w:color w:val="auto"/>
                <w:highlight w:val="none"/>
              </w:rPr>
              <w:t>7、地理工具</w:t>
            </w:r>
          </w:p>
          <w:p w14:paraId="15C5A4E1">
            <w:pPr>
              <w:rPr>
                <w:rFonts w:hint="eastAsia"/>
                <w:color w:val="auto"/>
                <w:highlight w:val="none"/>
              </w:rPr>
            </w:pPr>
            <w:r>
              <w:rPr>
                <w:rFonts w:hint="eastAsia"/>
                <w:color w:val="auto"/>
                <w:highlight w:val="none"/>
              </w:rPr>
              <w:t>1）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w:t>
            </w:r>
          </w:p>
          <w:p w14:paraId="24223A33">
            <w:pPr>
              <w:rPr>
                <w:rFonts w:hint="eastAsia"/>
                <w:color w:val="auto"/>
                <w:highlight w:val="none"/>
              </w:rPr>
            </w:pPr>
            <w:r>
              <w:rPr>
                <w:rFonts w:hint="eastAsia"/>
                <w:color w:val="auto"/>
                <w:highlight w:val="none"/>
              </w:rPr>
              <w:t>2）支持地球模型直接进行平面/立体转换，清晰展现地球表面的六大板块、降水分布、气温分布、气候分布、人口分布、表层洋流、陆地自然带、海平面等压线等内容。"</w:t>
            </w:r>
          </w:p>
          <w:p w14:paraId="08573B8F">
            <w:pPr>
              <w:rPr>
                <w:rFonts w:hint="eastAsia"/>
                <w:color w:val="auto"/>
                <w:highlight w:val="none"/>
              </w:rPr>
            </w:pPr>
            <w:r>
              <w:rPr>
                <w:rFonts w:hint="eastAsia"/>
                <w:color w:val="auto"/>
                <w:highlight w:val="none"/>
              </w:rPr>
              <w:t>8、美术工具：</w:t>
            </w:r>
          </w:p>
          <w:p w14:paraId="711A9BE2">
            <w:pPr>
              <w:rPr>
                <w:rFonts w:hint="eastAsia"/>
                <w:color w:val="auto"/>
                <w:highlight w:val="none"/>
              </w:rPr>
            </w:pPr>
            <w:r>
              <w:rPr>
                <w:rFonts w:hint="eastAsia"/>
                <w:color w:val="auto"/>
                <w:highlight w:val="none"/>
              </w:rPr>
              <w:t>1）内置专用美术画板工具，提供铅笔、毛笔、油画笔等笔触，具备符合绘画调色教学需求的模拟调色盘，可选择不同颜色混合调色，便于学生理解调色合成过程。"</w:t>
            </w:r>
          </w:p>
          <w:p w14:paraId="5237509B">
            <w:pPr>
              <w:rPr>
                <w:rFonts w:hint="eastAsia"/>
                <w:color w:val="auto"/>
                <w:highlight w:val="none"/>
              </w:rPr>
            </w:pPr>
            <w:r>
              <w:rPr>
                <w:rFonts w:hint="eastAsia"/>
                <w:color w:val="auto"/>
                <w:highlight w:val="none"/>
              </w:rPr>
              <w:t>9、多学科题库</w:t>
            </w:r>
          </w:p>
          <w:p w14:paraId="57C67579">
            <w:pPr>
              <w:rPr>
                <w:rFonts w:hint="eastAsia"/>
                <w:color w:val="auto"/>
                <w:highlight w:val="none"/>
              </w:rPr>
            </w:pPr>
            <w:r>
              <w:rPr>
                <w:rFonts w:hint="eastAsia"/>
                <w:color w:val="auto"/>
                <w:highlight w:val="none"/>
              </w:rPr>
              <w:t>1）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14:paraId="6C18BCAA">
            <w:pPr>
              <w:rPr>
                <w:rFonts w:hint="eastAsia"/>
                <w:color w:val="auto"/>
                <w:highlight w:val="none"/>
              </w:rPr>
            </w:pPr>
            <w:r>
              <w:rPr>
                <w:rFonts w:hint="eastAsia"/>
                <w:color w:val="auto"/>
                <w:highlight w:val="none"/>
              </w:rPr>
              <w:t>▲2）支持多种格式的试题批量上传，包含.doc、.docx、.png、.jpeg、.jpg等类型，并可自动转换为电子试题，便于老师优质试题的收集使用和作业布置。</w:t>
            </w:r>
          </w:p>
          <w:p w14:paraId="6100A301">
            <w:pPr>
              <w:rPr>
                <w:rFonts w:hint="eastAsia"/>
                <w:color w:val="auto"/>
                <w:highlight w:val="none"/>
              </w:rPr>
            </w:pPr>
            <w:r>
              <w:rPr>
                <w:rFonts w:hint="eastAsia"/>
                <w:color w:val="auto"/>
                <w:highlight w:val="none"/>
              </w:rPr>
              <w:t>（响应文件中须出具检验结果符合或者优于本项参数的国家认可的第三方认证（检测）机构出具的带有CMA或CNAS标志的检测报告）</w:t>
            </w:r>
          </w:p>
          <w:p w14:paraId="138844A1">
            <w:pPr>
              <w:rPr>
                <w:rFonts w:hint="eastAsia"/>
                <w:color w:val="auto"/>
                <w:highlight w:val="none"/>
              </w:rPr>
            </w:pPr>
            <w:r>
              <w:rPr>
                <w:rFonts w:hint="eastAsia"/>
                <w:color w:val="auto"/>
                <w:highlight w:val="none"/>
              </w:rPr>
              <w:t>10、学科微课视频</w:t>
            </w:r>
          </w:p>
          <w:p w14:paraId="1448FB05">
            <w:pPr>
              <w:rPr>
                <w:rFonts w:hint="eastAsia"/>
                <w:color w:val="auto"/>
                <w:highlight w:val="none"/>
              </w:rPr>
            </w:pPr>
            <w:r>
              <w:rPr>
                <w:rFonts w:hint="eastAsia"/>
                <w:color w:val="auto"/>
                <w:highlight w:val="none"/>
              </w:rPr>
              <w:t>1）多学科微课视频：提供涵盖小学、初中、高中微课程视频。微课内容可在线点播，下载至课件播放。微课视频支持视频关键帧打点标记，播放过程中可一键跳转至标记位置，同时支持一键对视频内容进行截图插入课件。</w:t>
            </w:r>
          </w:p>
          <w:p w14:paraId="737D50FF">
            <w:pPr>
              <w:rPr>
                <w:rFonts w:hint="eastAsia"/>
                <w:color w:val="auto"/>
                <w:highlight w:val="none"/>
              </w:rPr>
            </w:pPr>
            <w:r>
              <w:rPr>
                <w:rFonts w:hint="eastAsia"/>
                <w:color w:val="auto"/>
                <w:highlight w:val="none"/>
              </w:rPr>
              <w:t>▲2）党建微课视频：提供100节党建微课视频，包含革命篇、建设篇、改革篇、复兴篇4个篇章。微课内容可在线点播，下载至课件播放。微课视频支持视频关键帧打点标记，播放过程中可一键跳转至标记位置，同时支持一键对视频内容进行截图插入课件。</w:t>
            </w:r>
          </w:p>
          <w:p w14:paraId="3A19F5DC">
            <w:pPr>
              <w:rPr>
                <w:rFonts w:hint="eastAsia"/>
                <w:color w:val="auto"/>
                <w:highlight w:val="none"/>
              </w:rPr>
            </w:pPr>
            <w:r>
              <w:rPr>
                <w:rFonts w:hint="eastAsia"/>
                <w:color w:val="auto"/>
                <w:highlight w:val="none"/>
              </w:rPr>
              <w:t>（响应文件中须出具检验结果符合或者优于本项参数的国家认可的第三方认证（检测）机构出具的带有CMA或CNAS标志的检测报告）</w:t>
            </w:r>
          </w:p>
          <w:p w14:paraId="36C0F0DD">
            <w:pPr>
              <w:rPr>
                <w:rFonts w:hint="eastAsia"/>
                <w:color w:val="auto"/>
                <w:highlight w:val="none"/>
              </w:rPr>
            </w:pPr>
            <w:r>
              <w:rPr>
                <w:rFonts w:hint="eastAsia"/>
                <w:color w:val="auto"/>
                <w:highlight w:val="none"/>
              </w:rPr>
              <w:t>11、素材库</w:t>
            </w:r>
          </w:p>
          <w:p w14:paraId="4E9896C7">
            <w:pPr>
              <w:rPr>
                <w:rFonts w:hint="eastAsia"/>
                <w:color w:val="auto"/>
                <w:highlight w:val="none"/>
              </w:rPr>
            </w:pPr>
            <w:r>
              <w:rPr>
                <w:rFonts w:hint="eastAsia"/>
                <w:color w:val="auto"/>
                <w:highlight w:val="none"/>
              </w:rPr>
              <w:t>▲1）免费备课素材：提供超过500个备课素材，包含人物形象、卡通动物、拟人动物、水果蔬菜13个分类，高清无版权图片，全免费，直接插入备课端进行使用即可。"</w:t>
            </w:r>
          </w:p>
          <w:p w14:paraId="5ADA939B">
            <w:pPr>
              <w:rPr>
                <w:rFonts w:hint="eastAsia"/>
                <w:color w:val="auto"/>
                <w:highlight w:val="none"/>
              </w:rPr>
            </w:pPr>
            <w:r>
              <w:rPr>
                <w:rFonts w:hint="eastAsia"/>
                <w:color w:val="auto"/>
                <w:highlight w:val="none"/>
              </w:rPr>
              <w:t>12、仿真实验工具：</w:t>
            </w:r>
          </w:p>
          <w:p w14:paraId="45F9C483">
            <w:pPr>
              <w:rPr>
                <w:rFonts w:hint="eastAsia"/>
                <w:color w:val="auto"/>
                <w:highlight w:val="none"/>
              </w:rPr>
            </w:pPr>
            <w:r>
              <w:rPr>
                <w:rFonts w:hint="eastAsia"/>
                <w:color w:val="auto"/>
                <w:highlight w:val="none"/>
              </w:rPr>
              <w:t>初中理化生：</w:t>
            </w:r>
          </w:p>
          <w:p w14:paraId="60D20D71">
            <w:pPr>
              <w:rPr>
                <w:rFonts w:hint="eastAsia"/>
                <w:color w:val="auto"/>
                <w:highlight w:val="none"/>
              </w:rPr>
            </w:pPr>
            <w:r>
              <w:rPr>
                <w:rFonts w:hint="eastAsia"/>
                <w:color w:val="auto"/>
                <w:highlight w:val="none"/>
              </w:rPr>
              <w:t>1）所有实验内容都可以支持在实验操作的过程中查看具体的实验内容简介，可查看的内容简介至少应包含：实验目的、实验器材、实验步骤等，方便老师在使用中快速了解具体实验内容，提高老师课堂教学效率。</w:t>
            </w:r>
          </w:p>
          <w:p w14:paraId="5A34AE8F">
            <w:pPr>
              <w:rPr>
                <w:rFonts w:hint="eastAsia"/>
                <w:color w:val="auto"/>
                <w:highlight w:val="none"/>
              </w:rPr>
            </w:pPr>
            <w:r>
              <w:rPr>
                <w:rFonts w:hint="eastAsia"/>
                <w:color w:val="auto"/>
                <w:highlight w:val="none"/>
              </w:rPr>
              <w:t> ▲2）所有学科软件要求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w:t>
            </w:r>
          </w:p>
          <w:p w14:paraId="2D1598A3">
            <w:pPr>
              <w:rPr>
                <w:rFonts w:hint="eastAsia"/>
                <w:color w:val="auto"/>
                <w:highlight w:val="none"/>
              </w:rPr>
            </w:pPr>
            <w:r>
              <w:rPr>
                <w:rFonts w:hint="eastAsia"/>
                <w:color w:val="auto"/>
                <w:highlight w:val="none"/>
              </w:rPr>
              <w:t>▲3）所有学科软件要求至少包含实验：托里拆利实验、空气推动塞子时，内能减少、通电螺线管的磁场是什么样的、聚乙烯塑料的热塑性、测定空气中的氧气含量、一氧化碳与氧化铁的反应、氧气的实验室制取和性质、模拟膈肌的运动、膝跳反射、非生物因素对某种动物的影响、观察鸡卵的结构。</w:t>
            </w:r>
          </w:p>
          <w:p w14:paraId="39496725">
            <w:pPr>
              <w:rPr>
                <w:rFonts w:hint="eastAsia"/>
                <w:color w:val="auto"/>
                <w:highlight w:val="none"/>
              </w:rPr>
            </w:pPr>
            <w:r>
              <w:rPr>
                <w:rFonts w:hint="eastAsia"/>
                <w:color w:val="auto"/>
                <w:highlight w:val="none"/>
              </w:rPr>
              <w:t>▲4）软件要求对于理科学习中较为抽象的实验原理提供可视化展示，物理中如电流的方向、力的方向、磁场电场等，化学中如：反应装置中物质的量的变化、分子运动的模拟、正在发生的化学反应方程式等。生物中如：人体生理运动中多个器官的同步运动现象等。</w:t>
            </w:r>
          </w:p>
          <w:p w14:paraId="29C2FBBB">
            <w:pPr>
              <w:rPr>
                <w:rFonts w:hint="eastAsia"/>
                <w:color w:val="auto"/>
                <w:highlight w:val="none"/>
              </w:rPr>
            </w:pPr>
            <w:r>
              <w:rPr>
                <w:rFonts w:hint="eastAsia"/>
                <w:color w:val="auto"/>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0B071D3F">
            <w:pPr>
              <w:rPr>
                <w:rFonts w:hint="eastAsia"/>
                <w:color w:val="auto"/>
                <w:highlight w:val="none"/>
              </w:rPr>
            </w:pPr>
            <w:r>
              <w:rPr>
                <w:rFonts w:hint="eastAsia"/>
                <w:color w:val="auto"/>
                <w:highlight w:val="none"/>
              </w:rPr>
              <w:t>6）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w:t>
            </w:r>
          </w:p>
          <w:p w14:paraId="7646C96D">
            <w:pPr>
              <w:rPr>
                <w:rFonts w:hint="eastAsia"/>
                <w:color w:val="auto"/>
                <w:highlight w:val="none"/>
              </w:rPr>
            </w:pPr>
            <w:r>
              <w:rPr>
                <w:rFonts w:hint="eastAsia"/>
                <w:color w:val="auto"/>
                <w:highlight w:val="none"/>
              </w:rPr>
              <w:t> ▲7）软件要求提供的全部实验支持在任意视角下对实验进行观察和交互式操作。允许用户在实验操作空间中根据需求自由旋转观察视角，要求所有实验中的模型为3D高精度模型，支持无极放大，实验模型高保真。</w:t>
            </w:r>
          </w:p>
          <w:p w14:paraId="36693C75">
            <w:pPr>
              <w:rPr>
                <w:rFonts w:hint="eastAsia"/>
                <w:color w:val="auto"/>
                <w:highlight w:val="none"/>
              </w:rPr>
            </w:pPr>
            <w:r>
              <w:rPr>
                <w:rFonts w:hint="eastAsia"/>
                <w:color w:val="auto"/>
                <w:highlight w:val="none"/>
              </w:rPr>
              <w:t> ▲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4DBCB4CE">
            <w:pPr>
              <w:rPr>
                <w:rFonts w:hint="eastAsia"/>
                <w:color w:val="auto"/>
                <w:highlight w:val="none"/>
              </w:rPr>
            </w:pPr>
            <w:r>
              <w:rPr>
                <w:rFonts w:hint="eastAsia"/>
                <w:color w:val="auto"/>
                <w:highlight w:val="none"/>
              </w:rPr>
              <w:t>9）以上所有软件功能要求在同一软件系统平台中进行操作，方便用户管理、使用。</w:t>
            </w:r>
          </w:p>
          <w:p w14:paraId="0D71E5F9">
            <w:pPr>
              <w:rPr>
                <w:rFonts w:hint="eastAsia"/>
                <w:color w:val="auto"/>
                <w:highlight w:val="none"/>
              </w:rPr>
            </w:pPr>
            <w:r>
              <w:rPr>
                <w:rFonts w:hint="eastAsia"/>
                <w:color w:val="auto"/>
                <w:highlight w:val="none"/>
              </w:rPr>
              <w:t>高中理化生：</w:t>
            </w:r>
          </w:p>
          <w:p w14:paraId="5083D15B">
            <w:pPr>
              <w:rPr>
                <w:rFonts w:hint="eastAsia"/>
                <w:color w:val="auto"/>
                <w:highlight w:val="none"/>
              </w:rPr>
            </w:pPr>
            <w:r>
              <w:rPr>
                <w:rFonts w:hint="eastAsia"/>
                <w:color w:val="auto"/>
                <w:highlight w:val="none"/>
              </w:rPr>
              <w:t>1） 要求提供的所有实验内容都可以支持在实验操作的过程中查看具体的实验内容简介，可查看的内容简介至少应包含：实验目的、实验器材、实验步骤等，方便老师在使用中快速了解具体实验内容，提高老师课堂教学效率。</w:t>
            </w:r>
          </w:p>
          <w:p w14:paraId="7E3A33BC">
            <w:pPr>
              <w:rPr>
                <w:rFonts w:hint="eastAsia"/>
                <w:color w:val="auto"/>
                <w:highlight w:val="none"/>
              </w:rPr>
            </w:pPr>
            <w:r>
              <w:rPr>
                <w:rFonts w:hint="eastAsia"/>
                <w:color w:val="auto"/>
                <w:highlight w:val="none"/>
              </w:rPr>
              <w:t>▲2）所有学科软件要求提供的实验内容模块需根据知识点分类。物理需包含：直线运动、牛顿运动定律、力与物体平衡、功和机械能、机械振动机械波、光学、动量、原子物理、曲线运动、电磁学、热学、；化学需包含：化学与技术、化学实验、重要的无机物、物质结构与性质、化学反应原理、化学与生活、有机化学基础、化学基本概念；生物需包含：细胞的分子组成与结构、细胞代谢、细胞的生命历程与遗传的细胞学基础、遗传的分子基础、变异与进化、生命活动的调节、生物与环境、生殖与个体发育。</w:t>
            </w:r>
          </w:p>
          <w:p w14:paraId="448AA6A6">
            <w:pPr>
              <w:rPr>
                <w:rFonts w:hint="eastAsia"/>
                <w:color w:val="auto"/>
                <w:highlight w:val="none"/>
              </w:rPr>
            </w:pPr>
            <w:r>
              <w:rPr>
                <w:rFonts w:hint="eastAsia"/>
                <w:color w:val="auto"/>
                <w:highlight w:val="none"/>
              </w:rPr>
              <w:t>▲3）所有学科软件要求至少包含实验：用双缝干涉测量光的波长、渡河问题、观察全反射现象、验证环形电流的磁场方向、示波管原理、铝热反应、铁粉与水蒸气反应、蛋白质的性质——盐析、乙醛的银镜反应、建立减数分裂中染色体变化的模型、绿叶中色素的提取与分离、制作DNA双螺旋结构模型、土壤微生物的分解作用、蛙的个体发育过程。</w:t>
            </w:r>
          </w:p>
          <w:p w14:paraId="35D5CDAE">
            <w:pPr>
              <w:rPr>
                <w:rFonts w:hint="eastAsia"/>
                <w:color w:val="auto"/>
                <w:highlight w:val="none"/>
              </w:rPr>
            </w:pPr>
            <w:r>
              <w:rPr>
                <w:rFonts w:hint="eastAsia"/>
                <w:color w:val="auto"/>
                <w:highlight w:val="none"/>
              </w:rPr>
              <w:t>▲4）软件要求对于理科学习中较为抽象的实验原理提供可视化展示，物理中如电流的方向、力的方向、磁场电场等，化学中如：反应装置中物质的量的变化、分子运动的模拟、正在发生的化学反应方程式等。</w:t>
            </w:r>
          </w:p>
          <w:p w14:paraId="5C6364B7">
            <w:pPr>
              <w:rPr>
                <w:rFonts w:hint="eastAsia"/>
                <w:color w:val="auto"/>
                <w:highlight w:val="none"/>
              </w:rPr>
            </w:pPr>
            <w:r>
              <w:rPr>
                <w:rFonts w:hint="eastAsia"/>
                <w:color w:val="auto"/>
                <w:highlight w:val="none"/>
              </w:rPr>
              <w:t>▲5）软件提供的实验内容要求具备极强的硬件适用性及延伸性，要求提供的资源内容已经可以应用在VR、3D中，当老师需要使用全沉浸式教学时，可通过二次采购同样的实验资源软件在VR、3D、VR/3D融合硬件中安装使用。</w:t>
            </w:r>
          </w:p>
          <w:p w14:paraId="601C33E3">
            <w:pPr>
              <w:rPr>
                <w:rFonts w:hint="eastAsia"/>
                <w:color w:val="auto"/>
                <w:highlight w:val="none"/>
              </w:rPr>
            </w:pPr>
            <w:r>
              <w:rPr>
                <w:rFonts w:hint="eastAsia"/>
                <w:color w:val="auto"/>
                <w:highlight w:val="none"/>
              </w:rPr>
              <w:t>7）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 </w:t>
            </w:r>
          </w:p>
          <w:p w14:paraId="05BBD327">
            <w:pPr>
              <w:rPr>
                <w:rFonts w:hint="eastAsia"/>
                <w:color w:val="auto"/>
                <w:highlight w:val="none"/>
              </w:rPr>
            </w:pPr>
            <w:r>
              <w:rPr>
                <w:rFonts w:hint="eastAsia"/>
                <w:color w:val="auto"/>
                <w:highlight w:val="none"/>
              </w:rPr>
              <w:t>▲7）软件要求提供的全部实验支持在任意视角下对实验进行观察和交互式操作。允许用户在实验操作空间中根据需求自由旋转观察视角，要求所有实验中的模型为3D高精度模型，支持无极放大，实验模型高保真。</w:t>
            </w:r>
          </w:p>
          <w:p w14:paraId="73720A47">
            <w:pPr>
              <w:rPr>
                <w:rFonts w:hint="eastAsia"/>
                <w:color w:val="auto"/>
                <w:highlight w:val="none"/>
              </w:rPr>
            </w:pPr>
            <w:r>
              <w:rPr>
                <w:rFonts w:hint="eastAsia"/>
                <w:color w:val="auto"/>
                <w:highlight w:val="none"/>
              </w:rPr>
              <w:t>▲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p>
          <w:p w14:paraId="68F1170D">
            <w:pPr>
              <w:rPr>
                <w:rFonts w:hint="eastAsia"/>
                <w:color w:val="auto"/>
                <w:highlight w:val="none"/>
              </w:rPr>
            </w:pPr>
            <w:r>
              <w:rPr>
                <w:rFonts w:hint="eastAsia"/>
                <w:color w:val="auto"/>
                <w:highlight w:val="none"/>
              </w:rPr>
              <w:t>8）以上所有软件功能要求在同一软件系统平台中进行操作，方便用户管理、使用。</w:t>
            </w:r>
          </w:p>
          <w:p w14:paraId="549A391D">
            <w:pPr>
              <w:rPr>
                <w:rFonts w:hint="eastAsia"/>
                <w:color w:val="auto"/>
                <w:highlight w:val="none"/>
              </w:rPr>
            </w:pPr>
            <w:r>
              <w:rPr>
                <w:rFonts w:hint="eastAsia"/>
                <w:color w:val="auto"/>
                <w:highlight w:val="none"/>
              </w:rPr>
              <w:t>（五）授课工具</w:t>
            </w:r>
          </w:p>
          <w:p w14:paraId="6E693D1B">
            <w:pPr>
              <w:rPr>
                <w:rFonts w:hint="eastAsia"/>
                <w:color w:val="auto"/>
                <w:highlight w:val="none"/>
              </w:rPr>
            </w:pPr>
            <w:r>
              <w:rPr>
                <w:rFonts w:hint="eastAsia"/>
                <w:color w:val="auto"/>
                <w:highlight w:val="none"/>
              </w:rPr>
              <w:t>1、擦除：提供精细点擦除、笔迹全屏清除，手势擦除方式。手势擦除面积可根据教师手掌与屏幕的接触面积自动判定调整擦除面积大小。</w:t>
            </w:r>
          </w:p>
          <w:p w14:paraId="448D57B8">
            <w:pPr>
              <w:rPr>
                <w:rFonts w:hint="eastAsia"/>
                <w:color w:val="auto"/>
                <w:highlight w:val="none"/>
              </w:rPr>
            </w:pPr>
            <w:r>
              <w:rPr>
                <w:rFonts w:hint="eastAsia"/>
                <w:color w:val="auto"/>
                <w:highlight w:val="none"/>
              </w:rPr>
              <w:t>2、提供多种翻页按键布局，翻页按键可分布于屏幕单侧或左右两侧，支持上下翻页、课件页面预览及页面非线性跳转。</w:t>
            </w:r>
          </w:p>
          <w:p w14:paraId="6B1202BC">
            <w:pPr>
              <w:rPr>
                <w:rFonts w:hint="eastAsia"/>
                <w:color w:val="auto"/>
                <w:highlight w:val="none"/>
              </w:rPr>
            </w:pPr>
            <w:r>
              <w:rPr>
                <w:rFonts w:hint="eastAsia"/>
                <w:color w:val="auto"/>
                <w:highlight w:val="none"/>
              </w:rPr>
              <w:t>3、板中板：支持授课过程中调用板中板辅助教学，可进行批注、加页及背景色切换；板中板支持插入图片、音视频素材进行独立讲解，不影响课件主画面。板中板可以转换为小窗口，小窗口支持拖动和缩放。</w:t>
            </w:r>
          </w:p>
          <w:p w14:paraId="6E6D4396">
            <w:pPr>
              <w:rPr>
                <w:rFonts w:hint="eastAsia"/>
                <w:color w:val="auto"/>
                <w:highlight w:val="none"/>
              </w:rPr>
            </w:pPr>
            <w:r>
              <w:rPr>
                <w:rFonts w:hint="eastAsia"/>
                <w:color w:val="auto"/>
                <w:highlight w:val="none"/>
              </w:rPr>
              <w:t>4、书写：支持多人同时书写，可自由调整笔迹颜色及笔触粗细，书写颜色及粗细设置面板支持浮窗模式，可自由调整至白板界面任意位置，便于教师授课使用。</w:t>
            </w:r>
          </w:p>
          <w:p w14:paraId="104CD6D8">
            <w:pPr>
              <w:rPr>
                <w:rFonts w:hint="eastAsia"/>
                <w:color w:val="auto"/>
                <w:highlight w:val="none"/>
              </w:rPr>
            </w:pPr>
            <w:r>
              <w:rPr>
                <w:rFonts w:hint="eastAsia"/>
                <w:color w:val="auto"/>
                <w:highlight w:val="none"/>
              </w:rPr>
              <w:t>5、图章笔：提供不少于15种图案样式，可在画布任意位置书写。</w:t>
            </w:r>
          </w:p>
          <w:p w14:paraId="17ED8E74">
            <w:pPr>
              <w:rPr>
                <w:rFonts w:hint="eastAsia"/>
                <w:color w:val="auto"/>
                <w:highlight w:val="none"/>
              </w:rPr>
            </w:pPr>
            <w:r>
              <w:rPr>
                <w:rFonts w:hint="eastAsia"/>
                <w:color w:val="auto"/>
                <w:highlight w:val="none"/>
              </w:rPr>
              <w:t>6、放大镜：支持调用放大镜工具进行局部画面放大，可设置放大比例及聚光灯效果。</w:t>
            </w:r>
          </w:p>
          <w:p w14:paraId="601A23D6">
            <w:pPr>
              <w:rPr>
                <w:rFonts w:hint="eastAsia"/>
                <w:color w:val="auto"/>
                <w:highlight w:val="none"/>
              </w:rPr>
            </w:pPr>
            <w:r>
              <w:rPr>
                <w:rFonts w:hint="eastAsia"/>
                <w:color w:val="auto"/>
                <w:highlight w:val="none"/>
              </w:rPr>
              <w:t>7、撤销重做：支持白板操作撤销和重做，防止误操作影响教学。</w:t>
            </w:r>
          </w:p>
          <w:p w14:paraId="1F0821EA">
            <w:pPr>
              <w:rPr>
                <w:rFonts w:hint="eastAsia"/>
                <w:color w:val="auto"/>
                <w:highlight w:val="none"/>
              </w:rPr>
            </w:pPr>
            <w:r>
              <w:rPr>
                <w:rFonts w:hint="eastAsia"/>
                <w:color w:val="auto"/>
                <w:highlight w:val="none"/>
              </w:rPr>
              <w:t>8、尺规工具：提供直尺、三角板、量角器及圆规工具，尺工具支持旋转、伸缩，可实时显示绘制线条长度；圆规工具可更换笔触颜色，模拟真实圆规作图。</w:t>
            </w:r>
          </w:p>
          <w:p w14:paraId="5742FF2F">
            <w:pPr>
              <w:rPr>
                <w:rFonts w:hint="eastAsia"/>
                <w:color w:val="auto"/>
                <w:highlight w:val="none"/>
              </w:rPr>
            </w:pPr>
            <w:r>
              <w:rPr>
                <w:rFonts w:hint="eastAsia"/>
                <w:color w:val="auto"/>
                <w:highlight w:val="none"/>
              </w:rPr>
              <w:t>9、文件导入：授课时可将图片、音频、视频等多媒体文件导入授课界面，系统自动识别外接移动储存设备并优先显示其中的内容。</w:t>
            </w:r>
          </w:p>
          <w:p w14:paraId="6515FA7E">
            <w:pPr>
              <w:rPr>
                <w:rFonts w:hint="eastAsia"/>
                <w:color w:val="auto"/>
                <w:highlight w:val="none"/>
              </w:rPr>
            </w:pPr>
            <w:r>
              <w:rPr>
                <w:rFonts w:hint="eastAsia"/>
                <w:color w:val="auto"/>
                <w:highlight w:val="none"/>
              </w:rPr>
              <w:t>10、文件导出：支持授课时导出课件导出为图片，课件支持多种格式导出。</w:t>
            </w:r>
          </w:p>
          <w:p w14:paraId="17F90B38">
            <w:pPr>
              <w:rPr>
                <w:rFonts w:hint="eastAsia"/>
                <w:color w:val="auto"/>
                <w:highlight w:val="none"/>
              </w:rPr>
            </w:pPr>
            <w:r>
              <w:rPr>
                <w:rFonts w:hint="eastAsia"/>
                <w:color w:val="auto"/>
                <w:highlight w:val="none"/>
              </w:rPr>
              <w:t>（六）空中在线教学课堂：功能内置于交互式备授课软件中，无需额外安装部署直播软件，可实现语音直播、课件同步、互动工具等远程教学功能</w:t>
            </w:r>
          </w:p>
          <w:p w14:paraId="663BA9B5">
            <w:pPr>
              <w:rPr>
                <w:rFonts w:hint="eastAsia"/>
                <w:color w:val="auto"/>
                <w:highlight w:val="none"/>
              </w:rPr>
            </w:pPr>
            <w:r>
              <w:rPr>
                <w:rFonts w:hint="eastAsia"/>
                <w:color w:val="auto"/>
                <w:highlight w:val="none"/>
              </w:rPr>
              <w:t>1、一键开课：教师可一键开课生成课程海报；学生扫描课程海报微信二维码即可加入直播课堂，无需额外安装APP。</w:t>
            </w:r>
          </w:p>
          <w:p w14:paraId="5A509D2C">
            <w:pPr>
              <w:rPr>
                <w:rFonts w:hint="eastAsia"/>
                <w:color w:val="auto"/>
                <w:highlight w:val="none"/>
              </w:rPr>
            </w:pPr>
            <w:r>
              <w:rPr>
                <w:rFonts w:hint="eastAsia"/>
                <w:color w:val="auto"/>
                <w:highlight w:val="none"/>
              </w:rPr>
              <w:t>2、文本聊天工具：学生可在直播课堂打字提问、互动，学生提问内容实时传递至教师；</w:t>
            </w:r>
          </w:p>
          <w:p w14:paraId="1BB586E9">
            <w:pPr>
              <w:rPr>
                <w:rFonts w:hint="eastAsia"/>
                <w:color w:val="auto"/>
                <w:highlight w:val="none"/>
              </w:rPr>
            </w:pPr>
            <w:r>
              <w:rPr>
                <w:rFonts w:hint="eastAsia"/>
                <w:color w:val="auto"/>
                <w:highlight w:val="none"/>
              </w:rPr>
              <w:t>3、互动答题工具：教师根据讲解内容发布答题板供学生选择作答，学生提交答案后系统自动统计正确率和答题详情。</w:t>
            </w:r>
          </w:p>
          <w:p w14:paraId="6C04AF2A">
            <w:pPr>
              <w:rPr>
                <w:rFonts w:hint="eastAsia"/>
                <w:color w:val="auto"/>
                <w:highlight w:val="none"/>
              </w:rPr>
            </w:pPr>
            <w:r>
              <w:rPr>
                <w:rFonts w:hint="eastAsia"/>
                <w:color w:val="auto"/>
                <w:highlight w:val="none"/>
              </w:rPr>
              <w:t>4、远程互动工具：在直播课堂中，教师可指定授权学生远程互动，学生可在直播的课件画面进行书写、移动、擦除、参与互动活动等，学生操作过程实时同步至班级其他学生，可支持不少于5位学生同时参与远程互动；</w:t>
            </w:r>
          </w:p>
          <w:p w14:paraId="3A351AB6">
            <w:pPr>
              <w:rPr>
                <w:rFonts w:hint="eastAsia"/>
                <w:color w:val="auto"/>
                <w:highlight w:val="none"/>
              </w:rPr>
            </w:pPr>
            <w:r>
              <w:rPr>
                <w:rFonts w:hint="eastAsia"/>
                <w:color w:val="auto"/>
                <w:highlight w:val="none"/>
              </w:rPr>
              <w:t>5、课堂奖励工具：直播过程中可向学生发放奖杯，学生在线学习获得的奖杯数量累积统计。</w:t>
            </w:r>
          </w:p>
          <w:p w14:paraId="5B0FBCA5">
            <w:pPr>
              <w:rPr>
                <w:rFonts w:hint="eastAsia"/>
                <w:color w:val="auto"/>
                <w:highlight w:val="none"/>
              </w:rPr>
            </w:pPr>
            <w:r>
              <w:rPr>
                <w:rFonts w:hint="eastAsia"/>
                <w:color w:val="auto"/>
                <w:highlight w:val="none"/>
              </w:rPr>
              <w:t>6、远程考勤管理：直播课程结束后，后台自动统计报名学生名单和学生学习清单。</w:t>
            </w:r>
          </w:p>
          <w:p w14:paraId="1EE175D9">
            <w:pPr>
              <w:rPr>
                <w:rFonts w:hint="eastAsia"/>
                <w:color w:val="auto"/>
                <w:highlight w:val="none"/>
              </w:rPr>
            </w:pPr>
            <w:r>
              <w:rPr>
                <w:rFonts w:hint="eastAsia"/>
                <w:color w:val="auto"/>
                <w:highlight w:val="none"/>
              </w:rPr>
              <w:t>7、课程回放：课程结束后自动生成直播回放，报名课程的学生可反复学习；回放课程自动保存在云端，支持人工删除。</w:t>
            </w:r>
          </w:p>
          <w:p w14:paraId="62B6E876">
            <w:pPr>
              <w:rPr>
                <w:rFonts w:hint="eastAsia"/>
                <w:color w:val="auto"/>
                <w:highlight w:val="none"/>
              </w:rPr>
            </w:pPr>
          </w:p>
          <w:p w14:paraId="248B4938">
            <w:pPr>
              <w:rPr>
                <w:rFonts w:hint="eastAsia"/>
                <w:color w:val="auto"/>
                <w:highlight w:val="none"/>
              </w:rPr>
            </w:pPr>
            <w:r>
              <w:rPr>
                <w:rFonts w:hint="eastAsia"/>
                <w:color w:val="auto"/>
                <w:highlight w:val="none"/>
              </w:rPr>
              <w:t>十、移动端教学备授课平台</w:t>
            </w:r>
          </w:p>
          <w:p w14:paraId="42627F98">
            <w:pPr>
              <w:rPr>
                <w:rFonts w:hint="eastAsia"/>
                <w:color w:val="auto"/>
                <w:highlight w:val="none"/>
              </w:rPr>
            </w:pPr>
            <w:r>
              <w:rPr>
                <w:rFonts w:hint="eastAsia"/>
                <w:color w:val="auto"/>
                <w:highlight w:val="none"/>
              </w:rPr>
              <w:t>1、教学系统为教师提供对应的移动应用平台，实现备授课过程多终端多场景一体化。</w:t>
            </w:r>
          </w:p>
          <w:p w14:paraId="07776782">
            <w:pPr>
              <w:rPr>
                <w:rFonts w:hint="eastAsia"/>
                <w:color w:val="auto"/>
                <w:highlight w:val="none"/>
              </w:rPr>
            </w:pPr>
            <w:r>
              <w:rPr>
                <w:rFonts w:hint="eastAsia"/>
                <w:color w:val="auto"/>
                <w:highlight w:val="none"/>
              </w:rPr>
              <w:t>2、移动平台支持识别授课端登录状态，授课端处于登录状态时，移动应用平台自动连接移动端与授课端，无需人为操作。</w:t>
            </w:r>
          </w:p>
          <w:p w14:paraId="1C31E576">
            <w:pPr>
              <w:rPr>
                <w:rFonts w:hint="eastAsia"/>
                <w:color w:val="auto"/>
                <w:highlight w:val="none"/>
              </w:rPr>
            </w:pPr>
            <w:r>
              <w:rPr>
                <w:rFonts w:hint="eastAsia"/>
                <w:color w:val="auto"/>
                <w:highlight w:val="none"/>
              </w:rPr>
              <w:t>3、移动平台支持安装在Android 5.0及以上、iOS 9.0及以上系统版本的移动终端。</w:t>
            </w:r>
          </w:p>
          <w:p w14:paraId="583B7143">
            <w:pPr>
              <w:rPr>
                <w:rFonts w:hint="eastAsia"/>
                <w:color w:val="auto"/>
                <w:highlight w:val="none"/>
              </w:rPr>
            </w:pPr>
            <w:r>
              <w:rPr>
                <w:rFonts w:hint="eastAsia"/>
                <w:color w:val="auto"/>
                <w:highlight w:val="none"/>
              </w:rPr>
              <w:t>4、移动端与授课端通过网络实现账号数据对接互通、远程管控、移动授课，无需部署外接设备。</w:t>
            </w:r>
          </w:p>
          <w:p w14:paraId="032C3771">
            <w:pPr>
              <w:rPr>
                <w:rFonts w:hint="eastAsia"/>
                <w:color w:val="auto"/>
                <w:highlight w:val="none"/>
              </w:rPr>
            </w:pPr>
            <w:r>
              <w:rPr>
                <w:rFonts w:hint="eastAsia"/>
                <w:color w:val="auto"/>
                <w:highlight w:val="none"/>
              </w:rPr>
              <w:t>5、移动平台与授课端账号数据联通，可在移动端选择个人云空间内任意课件放映，授课端同步显示课件内容。</w:t>
            </w:r>
          </w:p>
          <w:p w14:paraId="387CD9EF">
            <w:pPr>
              <w:rPr>
                <w:rFonts w:hint="eastAsia"/>
                <w:color w:val="auto"/>
                <w:highlight w:val="none"/>
              </w:rPr>
            </w:pPr>
            <w:r>
              <w:rPr>
                <w:rFonts w:hint="eastAsia"/>
                <w:color w:val="auto"/>
                <w:highlight w:val="none"/>
              </w:rPr>
              <w:t>6、无需局域网环境部署，教师可使用移动端进行课件翻页，课件预览、课件跳页、播放视频、播放课堂活动、展开思维导图。支持横竖屏两种模式。</w:t>
            </w:r>
          </w:p>
          <w:p w14:paraId="233B2FB4">
            <w:pPr>
              <w:rPr>
                <w:rFonts w:hint="eastAsia"/>
                <w:color w:val="auto"/>
                <w:highlight w:val="none"/>
              </w:rPr>
            </w:pPr>
            <w:r>
              <w:rPr>
                <w:rFonts w:hint="eastAsia"/>
                <w:color w:val="auto"/>
                <w:highlight w:val="none"/>
              </w:rPr>
              <w:t>7、支持移动端对授课端远程实时同步书写擦除，提供不少于3种笔触粗细和5种笔迹颜色，支持一键清除书写内容。</w:t>
            </w:r>
          </w:p>
          <w:p w14:paraId="43A4C079">
            <w:pPr>
              <w:rPr>
                <w:rFonts w:hint="eastAsia"/>
                <w:color w:val="auto"/>
                <w:highlight w:val="none"/>
              </w:rPr>
            </w:pPr>
            <w:r>
              <w:rPr>
                <w:rFonts w:hint="eastAsia"/>
                <w:color w:val="auto"/>
                <w:highlight w:val="none"/>
              </w:rPr>
              <w:t>8、支持调用移动端摄像头拍摄照片并直接插入课件，提供文档、普通和彩图3种拍照模式，适用于不同教学场景。</w:t>
            </w:r>
          </w:p>
          <w:p w14:paraId="244A3C3B">
            <w:pPr>
              <w:rPr>
                <w:rFonts w:hint="eastAsia"/>
                <w:color w:val="auto"/>
                <w:highlight w:val="none"/>
              </w:rPr>
            </w:pPr>
            <w:r>
              <w:rPr>
                <w:rFonts w:hint="eastAsia"/>
                <w:color w:val="auto"/>
                <w:highlight w:val="none"/>
              </w:rPr>
              <w:t>9、支持上传移动端本地图片，并发上传数量不少于9张。</w:t>
            </w:r>
          </w:p>
          <w:p w14:paraId="06DE2BCB">
            <w:pPr>
              <w:rPr>
                <w:rFonts w:hint="eastAsia"/>
                <w:color w:val="auto"/>
                <w:highlight w:val="none"/>
              </w:rPr>
            </w:pPr>
            <w:r>
              <w:rPr>
                <w:rFonts w:hint="eastAsia"/>
                <w:color w:val="auto"/>
                <w:highlight w:val="none"/>
              </w:rPr>
              <w:t>10、支持NFC一碰投屏或直播。</w:t>
            </w:r>
          </w:p>
          <w:p w14:paraId="03B4A6C6">
            <w:pPr>
              <w:rPr>
                <w:rFonts w:hint="eastAsia"/>
                <w:color w:val="auto"/>
                <w:highlight w:val="none"/>
              </w:rPr>
            </w:pPr>
            <w:r>
              <w:rPr>
                <w:rFonts w:hint="eastAsia"/>
                <w:color w:val="auto"/>
                <w:highlight w:val="none"/>
              </w:rPr>
              <w:t>11、在局域网环境或无网环境下，可将移动端屏幕实时同步至授课显示端，同屏窗口、全屏显示方式根据移动端界面自动适配。</w:t>
            </w:r>
          </w:p>
          <w:p w14:paraId="450C0624">
            <w:pPr>
              <w:rPr>
                <w:rFonts w:hint="eastAsia"/>
                <w:color w:val="auto"/>
                <w:highlight w:val="none"/>
              </w:rPr>
            </w:pPr>
            <w:r>
              <w:rPr>
                <w:rFonts w:hint="eastAsia"/>
                <w:color w:val="auto"/>
                <w:highlight w:val="none"/>
              </w:rPr>
              <w:t>12、在局域网环境或无网环境下提供直播功能，移动端拍摄画面实时同步至授课显示端，直播窗口、全屏显示方式根据移动端拍摄自动适配，直播画质根据网络状况自动调。</w:t>
            </w:r>
          </w:p>
          <w:p w14:paraId="79754E2C">
            <w:pPr>
              <w:rPr>
                <w:rFonts w:hint="eastAsia"/>
                <w:color w:val="auto"/>
                <w:highlight w:val="none"/>
              </w:rPr>
            </w:pPr>
          </w:p>
          <w:p w14:paraId="04232C29">
            <w:pPr>
              <w:rPr>
                <w:rFonts w:hint="eastAsia"/>
                <w:color w:val="auto"/>
                <w:highlight w:val="none"/>
              </w:rPr>
            </w:pPr>
            <w:r>
              <w:rPr>
                <w:rFonts w:hint="eastAsia"/>
                <w:color w:val="auto"/>
                <w:highlight w:val="none"/>
              </w:rPr>
              <w:t>十一、作业题库</w:t>
            </w:r>
          </w:p>
          <w:p w14:paraId="73AC8D0F">
            <w:pPr>
              <w:rPr>
                <w:rFonts w:hint="eastAsia"/>
                <w:color w:val="auto"/>
                <w:highlight w:val="none"/>
              </w:rPr>
            </w:pPr>
            <w:r>
              <w:rPr>
                <w:rFonts w:hint="eastAsia"/>
                <w:color w:val="auto"/>
                <w:highlight w:val="none"/>
              </w:rPr>
              <w:t>1、创建习题：支持选择题、填空题、判断题、解答题多种类型题目的创建，支持匹配知识点，设定题目难度等。通常可用于练习任务，在线小测，客观题自动批改</w:t>
            </w:r>
          </w:p>
          <w:p w14:paraId="48EB2D3A">
            <w:pPr>
              <w:rPr>
                <w:rFonts w:hint="eastAsia"/>
                <w:color w:val="auto"/>
                <w:highlight w:val="none"/>
              </w:rPr>
            </w:pPr>
            <w:r>
              <w:rPr>
                <w:rFonts w:hint="eastAsia"/>
                <w:color w:val="auto"/>
                <w:highlight w:val="none"/>
              </w:rPr>
              <w:t>2、批量导入习题：支持WORD导出习题，导入后支持对照修改，实时预览，题目可挂靠解析，知识点，可添加题目使用备注。</w:t>
            </w:r>
          </w:p>
          <w:p w14:paraId="02070152">
            <w:pPr>
              <w:rPr>
                <w:rFonts w:hint="eastAsia"/>
                <w:color w:val="auto"/>
                <w:highlight w:val="none"/>
              </w:rPr>
            </w:pPr>
            <w:r>
              <w:rPr>
                <w:rFonts w:hint="eastAsia"/>
                <w:color w:val="auto"/>
                <w:highlight w:val="none"/>
              </w:rPr>
              <w:t>3、习题管理：支持题目按教材章节、难度、题型管理和应用。</w:t>
            </w:r>
          </w:p>
          <w:p w14:paraId="7095DBCF">
            <w:pPr>
              <w:rPr>
                <w:rFonts w:hint="eastAsia"/>
                <w:color w:val="auto"/>
                <w:highlight w:val="none"/>
              </w:rPr>
            </w:pPr>
            <w:r>
              <w:rPr>
                <w:rFonts w:hint="eastAsia"/>
                <w:color w:val="auto"/>
                <w:highlight w:val="none"/>
              </w:rPr>
              <w:t>4、习题应用：支持将习题加入作业，并通过布置作业功能发送到使用端。</w:t>
            </w:r>
          </w:p>
          <w:p w14:paraId="155A040C">
            <w:pPr>
              <w:rPr>
                <w:rFonts w:hint="eastAsia"/>
                <w:color w:val="auto"/>
                <w:highlight w:val="none"/>
              </w:rPr>
            </w:pPr>
            <w:r>
              <w:rPr>
                <w:rFonts w:hint="eastAsia"/>
                <w:color w:val="auto"/>
                <w:highlight w:val="none"/>
              </w:rPr>
              <w:t>5、布置记录：被校内老师布置过的习题会通过作业报告的形式展示布置次数、历史作答正确率，以协助老师判断该题的难度和学生掌握情况。</w:t>
            </w:r>
          </w:p>
          <w:p w14:paraId="5D56AD62">
            <w:pPr>
              <w:rPr>
                <w:rFonts w:hint="eastAsia"/>
                <w:color w:val="auto"/>
                <w:highlight w:val="none"/>
              </w:rPr>
            </w:pPr>
          </w:p>
          <w:p w14:paraId="2F15E137">
            <w:pPr>
              <w:rPr>
                <w:rFonts w:hint="eastAsia"/>
                <w:color w:val="auto"/>
                <w:highlight w:val="none"/>
              </w:rPr>
            </w:pPr>
            <w:r>
              <w:rPr>
                <w:rFonts w:hint="eastAsia"/>
                <w:color w:val="auto"/>
                <w:highlight w:val="none"/>
              </w:rPr>
              <w:t>十二、教学研究管理平台</w:t>
            </w:r>
          </w:p>
          <w:p w14:paraId="55F7C0EE">
            <w:pPr>
              <w:rPr>
                <w:rFonts w:hint="eastAsia"/>
                <w:color w:val="auto"/>
                <w:highlight w:val="none"/>
              </w:rPr>
            </w:pPr>
            <w:r>
              <w:rPr>
                <w:rFonts w:hint="eastAsia"/>
                <w:color w:val="auto"/>
                <w:highlight w:val="none"/>
              </w:rPr>
              <w:t>▲1、为学校提供教研全流程管理服务，包含教学目标与计划、教学设计、集体备课、听课评课、班级氛围的流程管理和数据分析。管理者在教学检查中可以掌握以教研组、备课组为单位的教学资源和集体备数据，了解老师的教学备课工作。支持查看各年级和学科的教研组的教学资源覆盖情况和集体备课数据。支持以时间、教材进行数据筛选，推动老师的备课进度。支持查看备课组下成员的课程资源和集体备课数据概览，支持查看每位成员在不同教材章节下的课程资源上传/获取情况和集体备课的研讨情况。支持以时间、老师、教材章节进行数据筛选。支持导出备课组下全部成员的课程资源和集体备课数据。（响应文件中须出具检验结果符合或者优于本项参数的国家认可的第三方认证（检测）机构出具的带有CMA或CNAS标志的检测报告）</w:t>
            </w:r>
          </w:p>
          <w:p w14:paraId="1F7F934A">
            <w:pPr>
              <w:rPr>
                <w:rFonts w:hint="eastAsia"/>
                <w:color w:val="auto"/>
                <w:highlight w:val="none"/>
              </w:rPr>
            </w:pPr>
            <w:r>
              <w:rPr>
                <w:rFonts w:hint="eastAsia"/>
                <w:color w:val="auto"/>
                <w:highlight w:val="none"/>
              </w:rPr>
              <w:t>2、可查看集体备课的开展统计情况及老师参与集体备课的记录。支持以时间、学科进行筛选，支持输入集体备课名称/主备人名称，进行全局搜索。支持查看集体备课名称，主备人、所属学科、年级、参备老师数、稿数、浏览数、评论数、批注数、评论点赞数、集体备课状态和创建时间等数据。管理员可随时查看学校集体备课详情，查看集体备课的详细内容并给予指导评论，同时支持管理员删除集体备课活动和导出集体备课记录数据表格。支持查看以老师维度统计的集体备课记录，查看老师所属学段学科、发起次数、参备次数、评论数、批注数、最近集体备课时间等数据。支持管理员导出教师集体备课记录数据表格。</w:t>
            </w:r>
          </w:p>
          <w:p w14:paraId="33B3BFE3">
            <w:pPr>
              <w:rPr>
                <w:rFonts w:hint="eastAsia"/>
                <w:color w:val="auto"/>
                <w:highlight w:val="none"/>
              </w:rPr>
            </w:pPr>
            <w:r>
              <w:rPr>
                <w:rFonts w:hint="eastAsia"/>
                <w:color w:val="auto"/>
                <w:highlight w:val="none"/>
              </w:rPr>
              <w:t>▲3、可查看课程的评价统计情况及教师对课程的评价记录。支持以时间、评课表、学科进行筛选，支持输入课程名称/老师名称，进行全局搜索。支持查看以课程维度的评价记录，包括课件名称、授课老师、所属学科、本节课的评课人数、总评价平均分及授课时间，通过点击操作“详情”可查看具体评价情况，支持管理员删除评价记录和导出课程评价记录数据表格。点击课程详情可以查看评课报告，可以查看该课程的总分和各板块得分，支持导出为PDF文件。支持查看课程下所有老师的评课表，可以批量导出为Word文件。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表格。支持自定义设置学校专属评课表，系统预置中央电教馆“一师一优课，一课一名师”、“教师通用评课表-评分制”模板供使用。点评支持评分题、主观题等评价及拍照上传图片等功能。支持发布多张评课表，同时开展多学科、多个评课活动。评课表支持在线预览和设置权限，听课老师权限可以选择公开，无需登录/需要登录用户账号/绑定本校且需登录用户账号等选项。（响应文件中须出具检验结果符合或者优于本项参数的国家认可的第三方认证（检测）机构出具的带有CMA或CNAS标志的检测报告）</w:t>
            </w:r>
          </w:p>
          <w:p w14:paraId="5F010EBB">
            <w:pPr>
              <w:rPr>
                <w:rFonts w:hint="eastAsia"/>
                <w:color w:val="auto"/>
                <w:highlight w:val="none"/>
              </w:rPr>
            </w:pPr>
            <w:r>
              <w:rPr>
                <w:rFonts w:hint="eastAsia"/>
                <w:color w:val="auto"/>
                <w:highlight w:val="none"/>
              </w:rPr>
              <w:t>4、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3232216F">
            <w:pPr>
              <w:rPr>
                <w:rFonts w:hint="eastAsia"/>
                <w:color w:val="auto"/>
                <w:highlight w:val="none"/>
              </w:rPr>
            </w:pPr>
            <w:r>
              <w:rPr>
                <w:rFonts w:hint="eastAsia"/>
                <w:color w:val="auto"/>
                <w:highlight w:val="none"/>
              </w:rPr>
              <w:t>▲5、全校听评课数据统一汇总，数据包含全校本月评课节数，本月评课次数，累计评课节数和累计评课次数，了解听评课教研活动的开展情况。支持按评课人数/评课平均分查看全校排行详细数据。支持对不同评课维度得分进行统计，计算平均分并找出评分薄弱项，同时支持查看全校的课程评价记录和得分详情、教师评价记录，并可一键导出Excel表格。支持导出课程的评课报告为PDF文件，支持批量导出课程下所有老师的评课表为Word文件。（响应文件中须出具检验结果符合或者优于本项参数的国家认可的第三方认证（检测）机构出具的带有CMA或CNAS标志的检测报告）</w:t>
            </w:r>
          </w:p>
          <w:p w14:paraId="130187B3">
            <w:pPr>
              <w:rPr>
                <w:rFonts w:hint="eastAsia"/>
                <w:color w:val="auto"/>
                <w:highlight w:val="none"/>
              </w:rPr>
            </w:pPr>
            <w:r>
              <w:rPr>
                <w:rFonts w:hint="eastAsia"/>
                <w:color w:val="auto"/>
                <w:highlight w:val="none"/>
              </w:rPr>
              <w:t>▲6、支持管理员在教研数字化管理平台后台移动、删除、重命名教师上传至校本库的课件、教案、微课及多媒体等资源。校本资源库提供学科目录模板/教材目录模板，管理者可搭建校本资源目录框架，以文件夹的形式进行分组，进行各年级学科的资源管理。支持以文件夹的维度进行权限设置，设置某个文件夹仅有权限的部门或者老师可见，同时支持按文件夹的维度进行课件的批量移动、删除。支持树形结构目录，进行资源分类及查找，支持全局资源搜索，按年级、学科筛选资源，支持查找资源后定位到当前资源文件夹。支持查看资源文件夹的创建者，资源的上传作者，更新时间、校本容量等数据。校本资源支持在线预览。管理员可对校本资源进行分类移动，删除或重命名，资源目录在编辑的界面支持同级拖拽移动。（响应文件中须出具检验结果符合或者优于本项参数的国家认可的第三方认证（检测）机构出具的带有CMA或CNAS标志的检测报告）</w:t>
            </w:r>
          </w:p>
          <w:p w14:paraId="01010EBF">
            <w:pPr>
              <w:rPr>
                <w:rFonts w:hint="eastAsia"/>
                <w:color w:val="auto"/>
                <w:highlight w:val="none"/>
              </w:rPr>
            </w:pPr>
          </w:p>
          <w:p w14:paraId="1BA567AD">
            <w:pPr>
              <w:rPr>
                <w:rFonts w:hint="eastAsia"/>
                <w:color w:val="auto"/>
                <w:highlight w:val="none"/>
              </w:rPr>
            </w:pPr>
            <w:r>
              <w:rPr>
                <w:rFonts w:hint="eastAsia"/>
                <w:color w:val="auto"/>
                <w:highlight w:val="none"/>
              </w:rPr>
              <w:t>十三、无线传屏教学系统</w:t>
            </w:r>
          </w:p>
          <w:p w14:paraId="0365724B">
            <w:pPr>
              <w:rPr>
                <w:rFonts w:hint="eastAsia"/>
                <w:color w:val="auto"/>
                <w:highlight w:val="none"/>
              </w:rPr>
            </w:pPr>
            <w:r>
              <w:rPr>
                <w:rFonts w:hint="eastAsia"/>
                <w:color w:val="auto"/>
                <w:highlight w:val="none"/>
              </w:rPr>
              <w:t>1、支持操作系统：Win7/Win8/Win8.1/Win10/Mac OS10.10及以上。</w:t>
            </w:r>
          </w:p>
          <w:p w14:paraId="6CB9B392">
            <w:pPr>
              <w:rPr>
                <w:rFonts w:hint="eastAsia"/>
                <w:color w:val="auto"/>
                <w:highlight w:val="none"/>
              </w:rPr>
            </w:pPr>
            <w:r>
              <w:rPr>
                <w:rFonts w:hint="eastAsia"/>
                <w:color w:val="auto"/>
                <w:highlight w:val="none"/>
              </w:rPr>
              <w:t>2、传输延迟≤90ms，帧率达到20fps-30fps。</w:t>
            </w:r>
          </w:p>
          <w:p w14:paraId="0D41884E">
            <w:pPr>
              <w:rPr>
                <w:rFonts w:hint="eastAsia"/>
                <w:color w:val="auto"/>
                <w:highlight w:val="none"/>
              </w:rPr>
            </w:pPr>
            <w:r>
              <w:rPr>
                <w:rFonts w:hint="eastAsia"/>
                <w:color w:val="auto"/>
                <w:highlight w:val="none"/>
              </w:rPr>
              <w:t>3、无线传屏软硬件均支持win10系统扩展屏显示。</w:t>
            </w:r>
          </w:p>
          <w:p w14:paraId="7F966770">
            <w:pPr>
              <w:rPr>
                <w:rFonts w:hint="eastAsia"/>
                <w:color w:val="auto"/>
                <w:highlight w:val="none"/>
              </w:rPr>
            </w:pPr>
            <w:r>
              <w:rPr>
                <w:rFonts w:hint="eastAsia"/>
                <w:color w:val="auto"/>
                <w:highlight w:val="none"/>
              </w:rPr>
              <w:t>4、可以仅对一个窗口进行无线投屏，其他窗口内容不做展示，保证数据的隐私。</w:t>
            </w:r>
          </w:p>
          <w:p w14:paraId="2EFF12E7">
            <w:pPr>
              <w:rPr>
                <w:rFonts w:hint="eastAsia"/>
                <w:color w:val="auto"/>
                <w:highlight w:val="none"/>
              </w:rPr>
            </w:pPr>
            <w:r>
              <w:rPr>
                <w:rFonts w:hint="eastAsia"/>
                <w:color w:val="auto"/>
                <w:highlight w:val="none"/>
              </w:rPr>
              <w:t>5、无线传屏视频数据加密，加密方式：国密SM4，保障数据传输安全。</w:t>
            </w:r>
          </w:p>
          <w:p w14:paraId="78CA8767">
            <w:pPr>
              <w:rPr>
                <w:rFonts w:hint="eastAsia"/>
                <w:color w:val="auto"/>
                <w:highlight w:val="none"/>
              </w:rPr>
            </w:pPr>
            <w:r>
              <w:rPr>
                <w:rFonts w:hint="eastAsia"/>
                <w:color w:val="auto"/>
                <w:highlight w:val="none"/>
              </w:rPr>
              <w:t>6、软件传屏码可以在整机任何页面进行常显，也可设置取消，方便软件传屏连接。</w:t>
            </w:r>
          </w:p>
          <w:p w14:paraId="2A1065E2">
            <w:pPr>
              <w:rPr>
                <w:rFonts w:hint="eastAsia"/>
                <w:color w:val="auto"/>
                <w:highlight w:val="none"/>
              </w:rPr>
            </w:pPr>
            <w:r>
              <w:rPr>
                <w:rFonts w:hint="eastAsia"/>
                <w:color w:val="auto"/>
                <w:highlight w:val="none"/>
              </w:rPr>
              <w:t>传屏之后，在屏幕上部中间部分显示工具栏，可以进行基本的操作（具体包括触摸回传控制，勿扰模式，暂停投屏等）</w:t>
            </w:r>
          </w:p>
          <w:p w14:paraId="00462211">
            <w:pPr>
              <w:rPr>
                <w:rFonts w:hint="eastAsia"/>
                <w:color w:val="auto"/>
                <w:highlight w:val="none"/>
              </w:rPr>
            </w:pPr>
            <w:r>
              <w:rPr>
                <w:rFonts w:hint="eastAsia"/>
                <w:color w:val="auto"/>
                <w:highlight w:val="none"/>
              </w:rPr>
              <w:t>7、传屏开启勿扰模式之后，不允许其他人在进行传屏，沉浸模式，避免在使用过程中，用户经常被其他人传屏顶替掉，造成使用中断。</w:t>
            </w:r>
          </w:p>
          <w:p w14:paraId="0C63CB30">
            <w:pPr>
              <w:rPr>
                <w:rFonts w:hint="eastAsia"/>
                <w:color w:val="auto"/>
                <w:highlight w:val="none"/>
              </w:rPr>
            </w:pPr>
            <w:r>
              <w:rPr>
                <w:rFonts w:hint="eastAsia"/>
                <w:color w:val="auto"/>
                <w:highlight w:val="none"/>
              </w:rPr>
              <w:t>8、可通过传屏工具栏暂停投屏功能进行画面冻结暂停，投屏电脑可自主进行其他操作，不影响整机的冻结画面内容显示。</w:t>
            </w:r>
          </w:p>
          <w:p w14:paraId="78D0F720">
            <w:pPr>
              <w:rPr>
                <w:rFonts w:hint="eastAsia"/>
                <w:color w:val="auto"/>
                <w:highlight w:val="none"/>
              </w:rPr>
            </w:pPr>
            <w:r>
              <w:rPr>
                <w:rFonts w:hint="eastAsia"/>
                <w:color w:val="auto"/>
                <w:highlight w:val="none"/>
              </w:rPr>
              <w:t>9、可通过软件可自动发现近场可投屏的会议设备，选择即可投屏，无需手动配对。</w:t>
            </w:r>
          </w:p>
          <w:p w14:paraId="52BE86F3">
            <w:pPr>
              <w:rPr>
                <w:rFonts w:hint="eastAsia"/>
                <w:color w:val="auto"/>
                <w:highlight w:val="none"/>
              </w:rPr>
            </w:pPr>
          </w:p>
          <w:p w14:paraId="5626544F">
            <w:pPr>
              <w:rPr>
                <w:rFonts w:hint="eastAsia"/>
                <w:color w:val="auto"/>
                <w:highlight w:val="none"/>
              </w:rPr>
            </w:pPr>
            <w:r>
              <w:rPr>
                <w:rFonts w:hint="eastAsia"/>
                <w:color w:val="auto"/>
                <w:highlight w:val="none"/>
              </w:rPr>
              <w:t>十四、教学学情分析系统</w:t>
            </w:r>
          </w:p>
          <w:p w14:paraId="7D03E458">
            <w:pPr>
              <w:rPr>
                <w:rFonts w:hint="eastAsia"/>
                <w:color w:val="auto"/>
                <w:highlight w:val="none"/>
              </w:rPr>
            </w:pPr>
            <w:r>
              <w:rPr>
                <w:rFonts w:hint="eastAsia"/>
                <w:color w:val="auto"/>
                <w:highlight w:val="none"/>
              </w:rPr>
              <w:t>1、统计考勤：互动反馈系统支持无感考勤功能，学生连接成功后名字可显示在签到列表上，签到列表实时统计已签到人数，并查看未到的人员。</w:t>
            </w:r>
          </w:p>
          <w:p w14:paraId="51A04D35">
            <w:pPr>
              <w:rPr>
                <w:rFonts w:hint="eastAsia"/>
                <w:color w:val="auto"/>
                <w:highlight w:val="none"/>
              </w:rPr>
            </w:pPr>
            <w:r>
              <w:rPr>
                <w:rFonts w:hint="eastAsia"/>
                <w:color w:val="auto"/>
                <w:highlight w:val="none"/>
              </w:rPr>
              <w:t>2、班级创建：支持老师主动创建班级，创建成功后，每次登录教师端即可直接进入班级列表，选择班级进入课堂。</w:t>
            </w:r>
          </w:p>
          <w:p w14:paraId="4FE2B219">
            <w:pPr>
              <w:rPr>
                <w:rFonts w:hint="eastAsia"/>
                <w:color w:val="auto"/>
                <w:highlight w:val="none"/>
              </w:rPr>
            </w:pPr>
            <w:r>
              <w:rPr>
                <w:rFonts w:hint="eastAsia"/>
                <w:color w:val="auto"/>
                <w:highlight w:val="none"/>
              </w:rPr>
              <w:t>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w:t>
            </w:r>
          </w:p>
          <w:p w14:paraId="3F1ACD65">
            <w:pPr>
              <w:rPr>
                <w:rFonts w:hint="eastAsia"/>
                <w:color w:val="auto"/>
                <w:highlight w:val="none"/>
              </w:rPr>
            </w:pPr>
            <w:r>
              <w:rPr>
                <w:rFonts w:hint="eastAsia"/>
                <w:color w:val="auto"/>
                <w:highlight w:val="none"/>
              </w:rPr>
              <w:t>4、抢答抽选：互动反馈系统支持抢答、抽选功能，活跃课堂氛围。</w:t>
            </w:r>
          </w:p>
          <w:p w14:paraId="3836DF44">
            <w:pPr>
              <w:rPr>
                <w:rFonts w:hint="eastAsia"/>
                <w:color w:val="auto"/>
                <w:highlight w:val="none"/>
              </w:rPr>
            </w:pPr>
            <w:r>
              <w:rPr>
                <w:rFonts w:hint="eastAsia"/>
                <w:color w:val="auto"/>
                <w:highlight w:val="none"/>
              </w:rPr>
              <w:t>5、观点云词：互动反馈系统支持主观观点收集功能，支持学生们自主提交不多于200字的观点评论，并自动生成班级关键词云，点击关键词可查看对应学生名单和具体评论信息。</w:t>
            </w:r>
          </w:p>
          <w:p w14:paraId="6E2FC90F">
            <w:pPr>
              <w:rPr>
                <w:rFonts w:hint="eastAsia"/>
                <w:color w:val="auto"/>
                <w:highlight w:val="none"/>
              </w:rPr>
            </w:pPr>
            <w:r>
              <w:rPr>
                <w:rFonts w:hint="eastAsia"/>
                <w:color w:val="auto"/>
                <w:highlight w:val="none"/>
              </w:rPr>
              <w:t xml:space="preserve">6、学情报告；互动反馈系统在上课结束后支持实时生成课程报告，课堂报告支持查看签到人数，课堂互动总数，平均参与度，提问个数，支持查看考勤详情，互动详情和提问详情。 </w:t>
            </w:r>
          </w:p>
          <w:p w14:paraId="41E2B5A5">
            <w:pPr>
              <w:rPr>
                <w:rFonts w:hint="eastAsia"/>
                <w:color w:val="auto"/>
                <w:highlight w:val="none"/>
              </w:rPr>
            </w:pPr>
          </w:p>
          <w:p w14:paraId="2BD11626">
            <w:pPr>
              <w:rPr>
                <w:rFonts w:hint="eastAsia"/>
                <w:color w:val="auto"/>
                <w:highlight w:val="none"/>
              </w:rPr>
            </w:pPr>
            <w:r>
              <w:rPr>
                <w:rFonts w:hint="eastAsia"/>
                <w:color w:val="auto"/>
                <w:highlight w:val="none"/>
              </w:rPr>
              <w:t>十五、光能黑板</w:t>
            </w:r>
          </w:p>
          <w:p w14:paraId="40A16AF8">
            <w:pPr>
              <w:rPr>
                <w:rFonts w:hint="eastAsia"/>
                <w:color w:val="auto"/>
                <w:highlight w:val="none"/>
              </w:rPr>
            </w:pPr>
            <w:r>
              <w:rPr>
                <w:rFonts w:hint="eastAsia"/>
                <w:color w:val="auto"/>
                <w:highlight w:val="none"/>
              </w:rPr>
              <w:t>（一）硬件要求</w:t>
            </w:r>
          </w:p>
          <w:p w14:paraId="39CE28CD">
            <w:pPr>
              <w:rPr>
                <w:rFonts w:hint="eastAsia"/>
                <w:color w:val="auto"/>
                <w:highlight w:val="none"/>
              </w:rPr>
            </w:pPr>
            <w:r>
              <w:rPr>
                <w:rFonts w:hint="eastAsia"/>
                <w:color w:val="auto"/>
                <w:highlight w:val="none"/>
              </w:rPr>
              <w:t>1、单块光能黑板≥1290（长）*1158（高）mm。每套由两块内板组合。</w:t>
            </w:r>
          </w:p>
          <w:p w14:paraId="599CAC4A">
            <w:pPr>
              <w:rPr>
                <w:rFonts w:hint="eastAsia"/>
                <w:color w:val="auto"/>
                <w:highlight w:val="none"/>
              </w:rPr>
            </w:pPr>
            <w:r>
              <w:rPr>
                <w:rFonts w:hint="eastAsia"/>
                <w:color w:val="auto"/>
                <w:highlight w:val="none"/>
              </w:rPr>
              <w:t>2、采用任何硬度适中的工具均可在板面进行书写，无需专用耗材，消除了粉笔粉尘对师生构成的健康隐患。</w:t>
            </w:r>
          </w:p>
          <w:p w14:paraId="258B2DC8">
            <w:pPr>
              <w:rPr>
                <w:rFonts w:hint="eastAsia"/>
                <w:color w:val="auto"/>
                <w:highlight w:val="none"/>
              </w:rPr>
            </w:pPr>
            <w:r>
              <w:rPr>
                <w:rFonts w:hint="eastAsia"/>
                <w:color w:val="auto"/>
                <w:highlight w:val="none"/>
              </w:rPr>
              <w:t>▲3、光能黑板应无频闪、无背光，上膜不应产生眩光。板书笔迹可视距离40米，可视角度≥150°，对比度≥150:1。</w:t>
            </w:r>
          </w:p>
          <w:p w14:paraId="49222EC7">
            <w:pPr>
              <w:rPr>
                <w:rFonts w:hint="eastAsia"/>
                <w:color w:val="auto"/>
                <w:highlight w:val="none"/>
              </w:rPr>
            </w:pPr>
            <w:r>
              <w:rPr>
                <w:rFonts w:hint="eastAsia"/>
                <w:color w:val="auto"/>
                <w:highlight w:val="none"/>
              </w:rPr>
              <w:t>▲4、光能黑板的光泽度不高于30光泽单位。</w:t>
            </w:r>
          </w:p>
          <w:p w14:paraId="27DCF3B8">
            <w:pPr>
              <w:rPr>
                <w:rFonts w:hint="eastAsia"/>
                <w:color w:val="auto"/>
                <w:highlight w:val="none"/>
              </w:rPr>
            </w:pPr>
            <w:r>
              <w:rPr>
                <w:rFonts w:hint="eastAsia"/>
                <w:color w:val="auto"/>
                <w:highlight w:val="none"/>
              </w:rPr>
              <w:t>▲5、书写膜的透光率不低于87%，雾度不高于40%。</w:t>
            </w:r>
          </w:p>
          <w:p w14:paraId="78B41AEF">
            <w:pPr>
              <w:rPr>
                <w:rFonts w:hint="eastAsia"/>
                <w:color w:val="auto"/>
                <w:highlight w:val="none"/>
              </w:rPr>
            </w:pPr>
            <w:r>
              <w:rPr>
                <w:rFonts w:hint="eastAsia"/>
                <w:color w:val="auto"/>
                <w:highlight w:val="none"/>
              </w:rPr>
              <w:t>6、一键擦除：按下一键擦除按键，可实现板书的全部擦除，擦除后无明显残留痕迹。</w:t>
            </w:r>
          </w:p>
          <w:p w14:paraId="2F6DF531">
            <w:pPr>
              <w:rPr>
                <w:rFonts w:hint="eastAsia"/>
                <w:color w:val="auto"/>
                <w:highlight w:val="none"/>
              </w:rPr>
            </w:pPr>
            <w:r>
              <w:rPr>
                <w:rFonts w:hint="eastAsia"/>
                <w:color w:val="auto"/>
                <w:highlight w:val="none"/>
              </w:rPr>
              <w:t>7、局部擦除：可使用板擦和手势对板书进行局部擦除。擦除精度小于10mm*10mm，擦除延时＜60ms。光能板具有独立供电装置，可在液晶屏关机的情况下独立使用，不影响局部擦除功能。</w:t>
            </w:r>
          </w:p>
          <w:p w14:paraId="638ED07E">
            <w:pPr>
              <w:rPr>
                <w:rFonts w:hint="eastAsia"/>
                <w:color w:val="auto"/>
                <w:highlight w:val="none"/>
              </w:rPr>
            </w:pPr>
            <w:r>
              <w:rPr>
                <w:rFonts w:hint="eastAsia"/>
                <w:color w:val="auto"/>
                <w:highlight w:val="none"/>
              </w:rPr>
              <w:t>8、板内设有电压补偿机制，可以通过手势按压书写板板面的特定位置，控制书写板内部电压高低，以调节擦除灵敏度。</w:t>
            </w:r>
          </w:p>
          <w:p w14:paraId="67273E96">
            <w:pPr>
              <w:rPr>
                <w:rFonts w:hint="eastAsia"/>
                <w:color w:val="auto"/>
                <w:highlight w:val="none"/>
              </w:rPr>
            </w:pPr>
            <w:r>
              <w:rPr>
                <w:rFonts w:hint="eastAsia"/>
                <w:color w:val="auto"/>
                <w:highlight w:val="none"/>
              </w:rPr>
              <w:t>▲9、设备内提供的电池组保护电路，符合标准要求，并通过带二次锂电池的设备的充电安全防护。黑板通过恒定力和冲击试验，机械强度符合标准要求。</w:t>
            </w:r>
          </w:p>
          <w:p w14:paraId="443EC9AA">
            <w:pPr>
              <w:rPr>
                <w:rFonts w:hint="eastAsia"/>
                <w:color w:val="auto"/>
                <w:highlight w:val="none"/>
              </w:rPr>
            </w:pPr>
            <w:r>
              <w:rPr>
                <w:rFonts w:hint="eastAsia"/>
                <w:color w:val="auto"/>
                <w:highlight w:val="none"/>
              </w:rPr>
              <w:t>10、黑板表面具有暗格，用以提供给师生在书写板书时的直线参照，可避免板书歪斜。黑板表面可吸附磁贴、磁扣等教学工具，便于老师教学使用。</w:t>
            </w:r>
          </w:p>
          <w:p w14:paraId="760C43D7">
            <w:pPr>
              <w:rPr>
                <w:rFonts w:hint="eastAsia"/>
                <w:color w:val="auto"/>
                <w:highlight w:val="none"/>
              </w:rPr>
            </w:pPr>
            <w:r>
              <w:rPr>
                <w:rFonts w:hint="eastAsia"/>
                <w:color w:val="auto"/>
                <w:highlight w:val="none"/>
              </w:rPr>
              <w:t>11、光能黑板通过低温-30℃，高温80℃，恒定湿热40℃、95%RH测试，产品外观无变形、损坏等现象，通电运行正常。</w:t>
            </w:r>
          </w:p>
          <w:p w14:paraId="6E84B8E0">
            <w:pPr>
              <w:rPr>
                <w:rFonts w:hint="eastAsia"/>
                <w:color w:val="auto"/>
                <w:highlight w:val="none"/>
              </w:rPr>
            </w:pPr>
            <w:r>
              <w:rPr>
                <w:rFonts w:hint="eastAsia"/>
                <w:color w:val="auto"/>
                <w:highlight w:val="none"/>
              </w:rPr>
              <w:t>12、边框采用铝合金材质，坚固耐用，具有较好的耐腐蚀特性。</w:t>
            </w:r>
          </w:p>
          <w:p w14:paraId="0B722874">
            <w:pPr>
              <w:rPr>
                <w:rFonts w:hint="eastAsia"/>
                <w:color w:val="auto"/>
                <w:highlight w:val="none"/>
              </w:rPr>
            </w:pPr>
            <w:r>
              <w:rPr>
                <w:rFonts w:hint="eastAsia"/>
                <w:color w:val="auto"/>
                <w:highlight w:val="none"/>
              </w:rPr>
              <w:t>13、采用一体式按键指示灯，可通过不同颜色、闪烁等方式表示擦除、电量不足等工作状态。每块光能黑板具备DC接口*2和USB接口*2，方便用户使用。</w:t>
            </w:r>
          </w:p>
          <w:p w14:paraId="232B0CE6">
            <w:pPr>
              <w:rPr>
                <w:rFonts w:hint="eastAsia"/>
                <w:color w:val="auto"/>
                <w:highlight w:val="none"/>
              </w:rPr>
            </w:pPr>
            <w:r>
              <w:rPr>
                <w:rFonts w:hint="eastAsia"/>
                <w:color w:val="auto"/>
                <w:highlight w:val="none"/>
              </w:rPr>
              <w:t>▲14、光能黑板通过抗电强度1500V试验，无击穿现象，符合GB4943的安全要求。</w:t>
            </w:r>
          </w:p>
          <w:p w14:paraId="34946618">
            <w:pPr>
              <w:rPr>
                <w:rFonts w:hint="eastAsia"/>
                <w:color w:val="auto"/>
                <w:highlight w:val="none"/>
              </w:rPr>
            </w:pPr>
            <w:r>
              <w:rPr>
                <w:rFonts w:hint="eastAsia"/>
                <w:color w:val="auto"/>
                <w:highlight w:val="none"/>
              </w:rPr>
              <w:t>▲15、产品的最大工作电流（瞬间电流）≤1000mA。</w:t>
            </w:r>
          </w:p>
          <w:p w14:paraId="55E16803">
            <w:pPr>
              <w:rPr>
                <w:rFonts w:hint="eastAsia"/>
                <w:color w:val="auto"/>
                <w:highlight w:val="none"/>
              </w:rPr>
            </w:pPr>
            <w:r>
              <w:rPr>
                <w:rFonts w:hint="eastAsia"/>
                <w:color w:val="auto"/>
                <w:highlight w:val="none"/>
              </w:rPr>
              <w:t>16、为让老师能够快速调取交互软件，方便使用功能，光能黑板上应具有实用快捷键。</w:t>
            </w:r>
          </w:p>
          <w:p w14:paraId="6DE1481B">
            <w:pPr>
              <w:rPr>
                <w:rFonts w:hint="eastAsia"/>
                <w:color w:val="auto"/>
                <w:highlight w:val="none"/>
              </w:rPr>
            </w:pPr>
            <w:r>
              <w:rPr>
                <w:rFonts w:hint="eastAsia"/>
                <w:color w:val="auto"/>
                <w:highlight w:val="none"/>
              </w:rPr>
              <w:t>（二）软件要求</w:t>
            </w:r>
          </w:p>
          <w:p w14:paraId="15126B43">
            <w:pPr>
              <w:rPr>
                <w:rFonts w:hint="eastAsia"/>
                <w:color w:val="auto"/>
                <w:highlight w:val="none"/>
              </w:rPr>
            </w:pPr>
            <w:r>
              <w:rPr>
                <w:rFonts w:hint="eastAsia"/>
                <w:color w:val="auto"/>
                <w:highlight w:val="none"/>
              </w:rPr>
              <w:t>1、左、右光能黑板可与触控一体机进行互动，将光能黑板的内容与触控一体机无缝连接，教师在光能黑板上的书写内容可同步显示在触控一体机上。</w:t>
            </w:r>
          </w:p>
          <w:p w14:paraId="4578C592">
            <w:pPr>
              <w:rPr>
                <w:rFonts w:hint="eastAsia"/>
                <w:color w:val="auto"/>
                <w:highlight w:val="none"/>
              </w:rPr>
            </w:pPr>
            <w:r>
              <w:rPr>
                <w:rFonts w:hint="eastAsia"/>
                <w:color w:val="auto"/>
                <w:highlight w:val="none"/>
              </w:rPr>
              <w:t>2、为便于老师记忆和操作，板书界面与电脑桌面/PPT课件之间，采用同一个按键来回切换，方便快捷。</w:t>
            </w:r>
          </w:p>
          <w:p w14:paraId="70B60A1E">
            <w:pPr>
              <w:rPr>
                <w:rFonts w:hint="eastAsia"/>
                <w:color w:val="auto"/>
                <w:highlight w:val="none"/>
              </w:rPr>
            </w:pPr>
            <w:r>
              <w:rPr>
                <w:rFonts w:hint="eastAsia"/>
                <w:color w:val="auto"/>
                <w:highlight w:val="none"/>
              </w:rPr>
              <w:t>3、光能黑板具有两种书写记录模式，支持单板书写记录内容为一个单页面，也可以支持多板同时书写时记录在一个页面上；</w:t>
            </w:r>
          </w:p>
          <w:p w14:paraId="1C814DBC">
            <w:pPr>
              <w:rPr>
                <w:rFonts w:hint="eastAsia"/>
                <w:color w:val="auto"/>
                <w:highlight w:val="none"/>
              </w:rPr>
            </w:pPr>
            <w:r>
              <w:rPr>
                <w:rFonts w:hint="eastAsia"/>
                <w:color w:val="auto"/>
                <w:highlight w:val="none"/>
              </w:rPr>
              <w:t>4、当不需要板书传输到软件显示界面时，可以使用分屏功能，断开黑板与大屏的传输，使其成为互不影响的多块黑板。</w:t>
            </w:r>
          </w:p>
          <w:p w14:paraId="4DFF6584">
            <w:pPr>
              <w:rPr>
                <w:rFonts w:hint="eastAsia"/>
                <w:color w:val="auto"/>
                <w:highlight w:val="none"/>
              </w:rPr>
            </w:pPr>
            <w:r>
              <w:rPr>
                <w:rFonts w:hint="eastAsia"/>
                <w:color w:val="auto"/>
                <w:highlight w:val="none"/>
              </w:rPr>
              <w:t>5、设置不同的软件端笔迹颜色，可实现老师对于教学重点的标识及批注；</w:t>
            </w:r>
          </w:p>
          <w:p w14:paraId="338C77A6">
            <w:pPr>
              <w:rPr>
                <w:rFonts w:hint="eastAsia"/>
                <w:color w:val="auto"/>
                <w:highlight w:val="none"/>
              </w:rPr>
            </w:pPr>
            <w:r>
              <w:rPr>
                <w:rFonts w:hint="eastAsia"/>
                <w:color w:val="auto"/>
                <w:highlight w:val="none"/>
              </w:rPr>
              <w:t>6、在保存的板书当中进行翻页，查找已经存储的板书内容。</w:t>
            </w:r>
          </w:p>
          <w:p w14:paraId="3FCB86B8">
            <w:pPr>
              <w:rPr>
                <w:rFonts w:hint="eastAsia"/>
                <w:color w:val="auto"/>
                <w:highlight w:val="none"/>
              </w:rPr>
            </w:pPr>
            <w:r>
              <w:rPr>
                <w:rFonts w:hint="eastAsia"/>
                <w:color w:val="auto"/>
                <w:highlight w:val="none"/>
              </w:rPr>
              <w:t>7、能直接预览所有存储的板书；</w:t>
            </w:r>
          </w:p>
          <w:p w14:paraId="19C20DD5">
            <w:pPr>
              <w:rPr>
                <w:rFonts w:hint="eastAsia"/>
                <w:color w:val="auto"/>
                <w:highlight w:val="none"/>
              </w:rPr>
            </w:pPr>
            <w:r>
              <w:rPr>
                <w:rFonts w:hint="eastAsia"/>
                <w:color w:val="auto"/>
                <w:highlight w:val="none"/>
              </w:rPr>
              <w:t>8、黑板的板书即时保存到软件当中，通过翻页可找回并显示，保存时不清除黑板的板书内容。</w:t>
            </w:r>
          </w:p>
          <w:p w14:paraId="24EB4C38">
            <w:pPr>
              <w:rPr>
                <w:rFonts w:hint="eastAsia"/>
                <w:color w:val="auto"/>
                <w:highlight w:val="none"/>
              </w:rPr>
            </w:pPr>
            <w:r>
              <w:rPr>
                <w:rFonts w:hint="eastAsia"/>
                <w:color w:val="auto"/>
                <w:highlight w:val="none"/>
              </w:rPr>
              <w:t>9、对板书的电子文档进行分享，可以存储在本地PC端，同时生产二维码，便于师生扫码获取。</w:t>
            </w:r>
          </w:p>
          <w:p w14:paraId="2CABB196">
            <w:pPr>
              <w:rPr>
                <w:rFonts w:hint="eastAsia"/>
                <w:color w:val="auto"/>
                <w:highlight w:val="none"/>
              </w:rPr>
            </w:pPr>
            <w:r>
              <w:rPr>
                <w:rFonts w:hint="eastAsia"/>
                <w:color w:val="auto"/>
                <w:highlight w:val="none"/>
              </w:rPr>
              <w:t>10、可以对课堂的板书和讲解进行录制，生成视频文档，利于学生课后复习回放。</w:t>
            </w:r>
          </w:p>
          <w:p w14:paraId="51076FF9">
            <w:pPr>
              <w:rPr>
                <w:rFonts w:hint="eastAsia"/>
                <w:color w:val="auto"/>
                <w:highlight w:val="none"/>
              </w:rPr>
            </w:pPr>
          </w:p>
          <w:p w14:paraId="5DCC667E">
            <w:pPr>
              <w:rPr>
                <w:rFonts w:hint="eastAsia"/>
                <w:color w:val="auto"/>
                <w:highlight w:val="none"/>
              </w:rPr>
            </w:pPr>
            <w:r>
              <w:rPr>
                <w:rFonts w:hint="eastAsia"/>
                <w:color w:val="auto"/>
                <w:highlight w:val="none"/>
              </w:rPr>
              <w:t>十六、售后服务要求</w:t>
            </w:r>
          </w:p>
          <w:p w14:paraId="2D0EB749">
            <w:pPr>
              <w:rPr>
                <w:rFonts w:hint="eastAsia"/>
                <w:color w:val="auto"/>
                <w:highlight w:val="none"/>
              </w:rPr>
            </w:pPr>
            <w:r>
              <w:rPr>
                <w:rFonts w:hint="eastAsia"/>
                <w:color w:val="auto"/>
                <w:highlight w:val="none"/>
              </w:rPr>
              <w:t>1、全国24小时免费电话保修、二维码扫描保修、区域化驻地技术工程师专线保修；</w:t>
            </w:r>
          </w:p>
          <w:p w14:paraId="38D2EC73">
            <w:pPr>
              <w:rPr>
                <w:rFonts w:hint="eastAsia"/>
                <w:color w:val="auto"/>
                <w:highlight w:val="none"/>
              </w:rPr>
            </w:pPr>
            <w:r>
              <w:rPr>
                <w:rFonts w:hint="eastAsia"/>
                <w:color w:val="auto"/>
                <w:highlight w:val="none"/>
              </w:rPr>
              <w:t>2、微信售后报修服务：快速输入相关问题及所在区域进行在线保修，贴心服务人员实时在线提供客服专线报修，更好更快的解决售后故障问题带来的使用不便；提供八大模块的问题查询及解决方案，现场完成简单故障的快速修复指导。</w:t>
            </w:r>
          </w:p>
          <w:p w14:paraId="58EAC86C">
            <w:pPr>
              <w:rPr>
                <w:rFonts w:hint="eastAsia" w:ascii="Tahoma" w:hAnsi="Tahoma" w:eastAsia="等线" w:cs="Tahoma"/>
                <w:color w:val="auto"/>
                <w:kern w:val="2"/>
                <w:sz w:val="21"/>
                <w:szCs w:val="24"/>
                <w:highlight w:val="none"/>
                <w:vertAlign w:val="baseline"/>
                <w:lang w:val="en-US" w:eastAsia="zh-CN" w:bidi="ar-SA"/>
              </w:rPr>
            </w:pPr>
            <w:r>
              <w:rPr>
                <w:rFonts w:hint="eastAsia"/>
                <w:color w:val="auto"/>
                <w:highlight w:val="none"/>
              </w:rPr>
              <w:t>3、打“▲”号条款为重要技术参数，投标人必须满足否则中标无效。中标公示期内若有其他投标人质疑情况下，中标单位必须提供与标书技术要求及功能符合的全部样品一套至用户处进行整体性能与标书文件核对，协助质疑答复。</w:t>
            </w:r>
          </w:p>
        </w:tc>
        <w:tc>
          <w:tcPr>
            <w:tcW w:w="736" w:type="dxa"/>
            <w:noWrap w:val="0"/>
            <w:vAlign w:val="center"/>
          </w:tcPr>
          <w:p w14:paraId="5EBAF25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7F3E165C">
            <w:pPr>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3381" w:type="dxa"/>
            <w:noWrap w:val="0"/>
            <w:vAlign w:val="center"/>
          </w:tcPr>
          <w:p w14:paraId="24B97D3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4ED236B6">
            <w:pPr>
              <w:keepNext w:val="0"/>
              <w:keepLines w:val="0"/>
              <w:widowControl/>
              <w:suppressLineNumbers w:val="0"/>
              <w:jc w:val="center"/>
              <w:textAlignment w:val="center"/>
              <w:rPr>
                <w:rFonts w:hint="eastAsia"/>
                <w:color w:val="auto"/>
                <w:highlight w:val="none"/>
                <w:vertAlign w:val="baseline"/>
                <w:lang w:val="en-US" w:eastAsia="zh-CN"/>
              </w:rPr>
            </w:pPr>
          </w:p>
        </w:tc>
      </w:tr>
      <w:tr w14:paraId="673A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11EF381D">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9</w:t>
            </w:r>
          </w:p>
        </w:tc>
        <w:tc>
          <w:tcPr>
            <w:tcW w:w="1690" w:type="dxa"/>
            <w:noWrap w:val="0"/>
            <w:vAlign w:val="center"/>
          </w:tcPr>
          <w:p w14:paraId="6C89737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壁挂式视频展台</w:t>
            </w:r>
          </w:p>
        </w:tc>
        <w:tc>
          <w:tcPr>
            <w:tcW w:w="5928" w:type="dxa"/>
            <w:noWrap w:val="0"/>
            <w:vAlign w:val="center"/>
          </w:tcPr>
          <w:p w14:paraId="53D7A659">
            <w:pPr>
              <w:keepNext w:val="0"/>
              <w:keepLines w:val="0"/>
              <w:widowControl/>
              <w:suppressLineNumbers w:val="0"/>
              <w:jc w:val="left"/>
              <w:textAlignment w:val="center"/>
              <w:rPr>
                <w:rFonts w:hint="eastAsia" w:ascii="宋体" w:hAnsi="宋体" w:eastAsia="等线"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一、硬件要求：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1.采用≥800万像素摄像头；采用 USB电源直接供电，无需额外配置电源适配器；箱内USB连线采用隐藏式设计，箱内无可见连线且USB口下出。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2.A4大小拍摄幅面，1080P动态视频预览达到30帧/秒。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3.整机采用圆弧式设计，无锐角；托板可承重3kg，同时托板采用磁吸吸附式机构。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4.展示托板正上方具备LED补光灯补光灯开关采用触摸按键设计，同时可通过视频展台软件直接控制开关；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5.摄像头支持自动对焦；摄像头部分进行外壳防护等级试验，防护等级达到IP4X级别。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二、软件要求：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1.支持对展台画面进行放大、缩小、旋转、自适应、冻结画面等操作。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2.支持展台画面实时批注，预设多种笔划粗细及颜色供选择，且支持对展台画面联同批注内容进行同步缩放、移动。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3.支持展台画面拍照截图并进行多图预览，可对任一图片进行全屏显示。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4.老师可在一体机或电脑上选择延时拍照功能，支持5秒或10秒延时模式，可调整拍摄内容。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5.具备图像增强功能，可自动裁剪背景并增强文字显示，使文档画面更清晰。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6.可选择图像、文本或动态等多种情景模式，适应不同展示内容。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7.二维码扫码：打开扫一扫功能后，将书本上的二维码放入扫描框内即可自动扫描，并进入系统浏览器获取二维码的链接内容，可获取电子教学资源。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8.支持故障自动检测，在软件无法出现展台拍摄画面时，自动出现检测链接，检测“无画面”的原因，并给出引导性解决方案。可判断硬件连接、显卡驱动、摄像头占用、软件版本等问题。</w:t>
            </w:r>
          </w:p>
        </w:tc>
        <w:tc>
          <w:tcPr>
            <w:tcW w:w="736" w:type="dxa"/>
            <w:noWrap w:val="0"/>
            <w:vAlign w:val="center"/>
          </w:tcPr>
          <w:p w14:paraId="559B0336">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7168926E">
            <w:pPr>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3381" w:type="dxa"/>
            <w:noWrap w:val="0"/>
            <w:vAlign w:val="center"/>
          </w:tcPr>
          <w:p w14:paraId="1FDA451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07ECC40C">
            <w:pPr>
              <w:keepNext w:val="0"/>
              <w:keepLines w:val="0"/>
              <w:widowControl/>
              <w:suppressLineNumbers w:val="0"/>
              <w:jc w:val="center"/>
              <w:textAlignment w:val="center"/>
              <w:rPr>
                <w:rFonts w:hint="eastAsia"/>
                <w:color w:val="auto"/>
                <w:highlight w:val="none"/>
                <w:vertAlign w:val="baseline"/>
                <w:lang w:val="en-US" w:eastAsia="zh-CN"/>
              </w:rPr>
            </w:pPr>
          </w:p>
        </w:tc>
      </w:tr>
      <w:tr w14:paraId="6A84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77E23298">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10</w:t>
            </w:r>
          </w:p>
        </w:tc>
        <w:tc>
          <w:tcPr>
            <w:tcW w:w="1690" w:type="dxa"/>
            <w:noWrap w:val="0"/>
            <w:vAlign w:val="center"/>
          </w:tcPr>
          <w:p w14:paraId="446779C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一体化有源音箱</w:t>
            </w:r>
          </w:p>
        </w:tc>
        <w:tc>
          <w:tcPr>
            <w:tcW w:w="5928" w:type="dxa"/>
            <w:noWrap w:val="0"/>
            <w:vAlign w:val="center"/>
          </w:tcPr>
          <w:p w14:paraId="0CF55698">
            <w:pPr>
              <w:keepNext w:val="0"/>
              <w:keepLines w:val="0"/>
              <w:widowControl/>
              <w:suppressLineNumbers w:val="0"/>
              <w:jc w:val="left"/>
              <w:textAlignment w:val="center"/>
              <w:rPr>
                <w:rFonts w:hint="eastAsia" w:ascii="宋体" w:hAnsi="宋体" w:eastAsia="等线"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1.采用功放与有源音箱一体化设计，内置麦克风无线接收模块，帮助教师实现多媒体扩音以及本地扩声功能。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2.输出额定功率≥ 2x15W。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3.音箱灵敏度≥85dB，1W/1M。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4.信噪比≥80dB@额定功率、A计权。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5.全频喇叭单元尺寸≥5英寸。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6.THD+N≤1%。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7.声频响110Hz-16kHz。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8.距离音箱10米处声压级≥75dB。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9.具备≥1路电源开关、1路LINE IN、1路USB 接口。USB接口可外接U盘设备对音箱固件进行升级。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10.支持无线麦克风扩音接收，采用Wi-Fi射频2.4GHz与 5GHz双频段传输，有效避免环境中运营商U段（700MHz）的信号干扰。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11.采用红外对码方式，避免连接到其他教室音箱。可快速完成与教学扩声麦克风对码，无需繁琐操作。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12.配置独立音频数字信号处理芯片，支持啸叫抑制功能。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13.支持蓝牙无线接收，可分享移动设备上的音频。支持密码模式，防止学生连接。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14.支持安卓手机通过蓝牙无线连接音箱，实现控制有源音箱的音量、设置蓝牙名称、设置蓝牙密码等功能，方便教师对音箱的管控。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15.支持交互智能平板显示设备通过蓝牙无线连接音箱，实现控制有源音箱的音量的功能。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16.主音箱与副音箱采用有线连接，保证声音还原度。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17.为确保与教室白色墙面一致，音箱采取白色外观设计，更加美观。</w:t>
            </w:r>
          </w:p>
        </w:tc>
        <w:tc>
          <w:tcPr>
            <w:tcW w:w="736" w:type="dxa"/>
            <w:noWrap w:val="0"/>
            <w:vAlign w:val="center"/>
          </w:tcPr>
          <w:p w14:paraId="0270B2A8">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43CF9E35">
            <w:pPr>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对</w:t>
            </w:r>
          </w:p>
        </w:tc>
        <w:tc>
          <w:tcPr>
            <w:tcW w:w="3381" w:type="dxa"/>
            <w:noWrap w:val="0"/>
            <w:vAlign w:val="center"/>
          </w:tcPr>
          <w:p w14:paraId="3BEAA9D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6346CE87">
            <w:pPr>
              <w:keepNext w:val="0"/>
              <w:keepLines w:val="0"/>
              <w:widowControl/>
              <w:suppressLineNumbers w:val="0"/>
              <w:jc w:val="center"/>
              <w:textAlignment w:val="center"/>
              <w:rPr>
                <w:rFonts w:hint="eastAsia"/>
                <w:color w:val="auto"/>
                <w:highlight w:val="none"/>
                <w:vertAlign w:val="baseline"/>
                <w:lang w:val="en-US" w:eastAsia="zh-CN"/>
              </w:rPr>
            </w:pPr>
          </w:p>
        </w:tc>
      </w:tr>
      <w:tr w14:paraId="55E0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2CC37529">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11</w:t>
            </w:r>
          </w:p>
        </w:tc>
        <w:tc>
          <w:tcPr>
            <w:tcW w:w="1690" w:type="dxa"/>
            <w:noWrap w:val="0"/>
            <w:vAlign w:val="center"/>
          </w:tcPr>
          <w:p w14:paraId="2D342115">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智能翻页笔</w:t>
            </w:r>
          </w:p>
        </w:tc>
        <w:tc>
          <w:tcPr>
            <w:tcW w:w="5928" w:type="dxa"/>
            <w:noWrap w:val="0"/>
            <w:vAlign w:val="center"/>
          </w:tcPr>
          <w:p w14:paraId="75D9A387">
            <w:pPr>
              <w:keepNext w:val="0"/>
              <w:keepLines w:val="0"/>
              <w:widowControl/>
              <w:suppressLineNumbers w:val="0"/>
              <w:jc w:val="left"/>
              <w:textAlignment w:val="center"/>
              <w:rPr>
                <w:rFonts w:hint="eastAsia" w:ascii="宋体" w:hAnsi="宋体" w:eastAsia="等线"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1.笔身造型采用圆润一体化笔型设计，表面采用手感漆工艺便于握持；笔身长度≤17cm,笔身直径≤13mm，笔身重量≤18g。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2.笔身配置不少于五个按键，具备上下翻页，智能语音，远程聚光灯/放大，书写颜色切换，兼顾触摸书写以及远程操控的握持姿态；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3.采用锥型笔尖设计，直径≤3mm；同时支持电容，红外触控设备书写，书写最小精度2mm；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4.连续书写距离不小于7km；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5.短按上下翻页按键，可实现白板软件/ppt/pdf等文档上下翻页；长按上下翻页按键3s，可实现ppt播放/退出；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多功能按键：a.短按多功能按键，可实现播放/暂停音视频或flash；b.双击此按键，可实现空鼠/放大镜/聚光灯等功能切换，切换顺序空鼠&gt;放大镜&gt;聚光灯；c.长按此按键即可实现对应功能(空鼠/放大镜/聚光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7.语音：内置麦克风，支持按键唤醒语音识别功能，避免杂音造成误唤醒；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9.支持白板软件内，通过语音控制：切换书写、擦除、选择模式，最小化返回桌面，打开板中板，清空书写批注等操作；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10.支持按键调起批注功能，可通过按键实现批注颜色切换，长按按键可实现橡皮擦功能。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11.为保障用户在不同场景使用智能笔，支持无线dongle及蓝牙两种连接方式，支持蓝牙5.1协议；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12.无线dongle&amp;蓝牙连接距离≥12m，上下翻页/语音控制/远程批注实现距离≥12m，覆盖标准教室；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13.内置锂电池，支持type-c充电，待机时间≥60h，连续书写时间≥8h，从无电到满电的充电时长≤1小时；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支持智能休眠节电，当设备&gt;5min无人操作时，设备自动进入休眠节电模式；</w:t>
            </w:r>
          </w:p>
        </w:tc>
        <w:tc>
          <w:tcPr>
            <w:tcW w:w="736" w:type="dxa"/>
            <w:noWrap w:val="0"/>
            <w:vAlign w:val="center"/>
          </w:tcPr>
          <w:p w14:paraId="3FAC3C2B">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48A13B55">
            <w:pPr>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w:t>
            </w:r>
          </w:p>
        </w:tc>
        <w:tc>
          <w:tcPr>
            <w:tcW w:w="3381" w:type="dxa"/>
            <w:noWrap w:val="0"/>
            <w:vAlign w:val="center"/>
          </w:tcPr>
          <w:p w14:paraId="14B152A9">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17879D6B">
            <w:pPr>
              <w:keepNext w:val="0"/>
              <w:keepLines w:val="0"/>
              <w:widowControl/>
              <w:suppressLineNumbers w:val="0"/>
              <w:jc w:val="center"/>
              <w:textAlignment w:val="center"/>
              <w:rPr>
                <w:rFonts w:hint="eastAsia"/>
                <w:color w:val="auto"/>
                <w:highlight w:val="none"/>
                <w:vertAlign w:val="baseline"/>
                <w:lang w:val="en-US" w:eastAsia="zh-CN"/>
              </w:rPr>
            </w:pPr>
          </w:p>
        </w:tc>
      </w:tr>
      <w:tr w14:paraId="34E8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D7A466F">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12</w:t>
            </w:r>
          </w:p>
        </w:tc>
        <w:tc>
          <w:tcPr>
            <w:tcW w:w="1690" w:type="dxa"/>
            <w:noWrap w:val="0"/>
            <w:vAlign w:val="center"/>
          </w:tcPr>
          <w:p w14:paraId="0DB4C4B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多媒体设备集中管理控制系统</w:t>
            </w:r>
          </w:p>
        </w:tc>
        <w:tc>
          <w:tcPr>
            <w:tcW w:w="5928" w:type="dxa"/>
            <w:noWrap w:val="0"/>
            <w:vAlign w:val="center"/>
          </w:tcPr>
          <w:p w14:paraId="4B7A3513">
            <w:pPr>
              <w:keepNext w:val="0"/>
              <w:keepLines w:val="0"/>
              <w:widowControl/>
              <w:suppressLineNumbers w:val="0"/>
              <w:jc w:val="left"/>
              <w:textAlignment w:val="center"/>
              <w:rPr>
                <w:rFonts w:hint="eastAsia" w:ascii="宋体" w:hAnsi="宋体" w:eastAsia="等线"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一、整体设计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1、管理平台采用B/S混合云架构设计，无需本地额外部署服务器等设备，即可支持对教学信息化设备运行数据的监测。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2、支持在Windows、Linux、Android、IOS等多种操作系统通过网页浏览器登陆操作，提供多种智能身份识别方式：支持通过账号登录、手机扫码登录等方式。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3、管理平台提供管理员移动管理平台，免安装并支持Android、IOS等多种移动操作系统，便于远程管理及告警信息通知。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二、智能教学设备管理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1、管理平台为学校提供专属识别代码，可支持交互智能设备在广域网环境下，输入专属代码接入管理平台即可在通过管理平台可开启或关闭指定交互智能设备的任意磁盘分区数据还原（冰点）保护。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管理平台实时监控已连接的交互智能设备状态，支持多台设备的略缩预览和单设备全屏查看；可远程监控交互智能设备开关机状态、CPU温度、CPU使用率、硬盘空间、硬盘已使用状况、内存容量、内存使用率、管理软件版本、设备ID。</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3、支持不少于 10 台设备的略缩预览。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4、管理平台可对局域网内的交互智能终端进行远程实时控制，能够监控设备当前运行界面，并远程对设备操作界面进行控制。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5、管理平台可控制连接广域网的交互智能设备整机关机、开机和重启；可批量设定智能设备开关机的执行时间，并支持自定义循环模式（循环操作、定时操作）。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6、管理平台可远程对选定的交互智能设备推送动态文字滚动公告，可对公告文字的颜色、粗体以及播放次数、推送时间进行设置。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7、管理平台可远程开启指定交互智能设备倒计日功能并设定倒计日截止日期。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8、管理平台提供巡课值守模式，自动轮循显示所有的交互智能设备使用界面。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9、管理平台实时显示交互智能设备异常的告警提示，并同步将异常信息推送至管理员移动端工作平台。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三、音视频直播功能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1、常见直播时可自动检测当前设备直播环境，并友好提示用户部署环境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2、支持不少于6路直播源并行发起直播，提供不少于4种直播模式（桌面直播、桌面+视频直播、视频直播、音频直播）供选择。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3、直播方可实时查看直播接收方场所的现场画面，实时了解直播情况。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4、支持外接麦克风、摄像头进行直播，提供多种画质选择。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5、支持实时统计显示直播源码率、FPS等数据。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四、安全应用防护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1、管理平台可远程对运行状态 下的交互智能设备批量进行本地系统启动盘的冻结、解冻（冰点保护）。冻结的设备重启后会自动还原到冻结前 的状态，即本地系统启动盘 的数据及系统更改会自动恢复至冻结前状态。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2、管理平台可实时监控开启冰点保护设备数量、安装冰点保护设备数量、磁盘冰冻状态等，并提示冰点风险，方便用户管理一体机系统环境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管理平台可开启或关闭指定交互智能设备的任意磁盘分区数据还原（冰点）保护。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3、管理平台可随时查看所有弹窗拦截的设备数和历史拦截的条数。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4管理平台可开启或关闭全校所有设备的弹窗拦截功能。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5、管理平台可远程批量拦截弹窗，适用于所有关联本学校的交互智能设备。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五、多设备接入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1、平台支持对全校智慧教室的教学信息化设备进行集中运维管理和策略部署。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2、支持多设备接入，与交互智能教学设备、学生智能终端等教学设备对。</w:t>
            </w:r>
          </w:p>
        </w:tc>
        <w:tc>
          <w:tcPr>
            <w:tcW w:w="736" w:type="dxa"/>
            <w:noWrap w:val="0"/>
            <w:vAlign w:val="center"/>
          </w:tcPr>
          <w:p w14:paraId="1C7514BD">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834" w:type="dxa"/>
            <w:noWrap w:val="0"/>
            <w:vAlign w:val="center"/>
          </w:tcPr>
          <w:p w14:paraId="4E2D797A">
            <w:pPr>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3381" w:type="dxa"/>
            <w:noWrap w:val="0"/>
            <w:vAlign w:val="center"/>
          </w:tcPr>
          <w:p w14:paraId="233C97F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tc>
        <w:tc>
          <w:tcPr>
            <w:tcW w:w="710" w:type="dxa"/>
            <w:noWrap w:val="0"/>
            <w:vAlign w:val="center"/>
          </w:tcPr>
          <w:p w14:paraId="51CC11F1">
            <w:pPr>
              <w:keepNext w:val="0"/>
              <w:keepLines w:val="0"/>
              <w:widowControl/>
              <w:suppressLineNumbers w:val="0"/>
              <w:jc w:val="center"/>
              <w:textAlignment w:val="center"/>
              <w:rPr>
                <w:rFonts w:hint="eastAsia"/>
                <w:color w:val="auto"/>
                <w:highlight w:val="none"/>
                <w:vertAlign w:val="baseline"/>
                <w:lang w:val="en-US" w:eastAsia="zh-CN"/>
              </w:rPr>
            </w:pPr>
          </w:p>
        </w:tc>
      </w:tr>
      <w:tr w14:paraId="3C83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7"/>
            <w:noWrap w:val="0"/>
            <w:vAlign w:val="center"/>
          </w:tcPr>
          <w:p w14:paraId="08A9228A">
            <w:pPr>
              <w:keepNext w:val="0"/>
              <w:keepLines w:val="0"/>
              <w:widowControl/>
              <w:suppressLineNumbers w:val="0"/>
              <w:jc w:val="left"/>
              <w:textAlignment w:val="center"/>
              <w:rPr>
                <w:rFonts w:hint="eastAsia"/>
                <w:color w:val="auto"/>
                <w:highlight w:val="none"/>
                <w:vertAlign w:val="baseline"/>
                <w:lang w:val="en-US" w:eastAsia="zh-CN"/>
              </w:rPr>
            </w:pPr>
            <w:r>
              <w:rPr>
                <w:rFonts w:hint="eastAsia"/>
                <w:b/>
                <w:bCs/>
                <w:color w:val="auto"/>
                <w:sz w:val="44"/>
                <w:szCs w:val="44"/>
                <w:highlight w:val="none"/>
                <w:vertAlign w:val="baseline"/>
                <w:lang w:val="en-US" w:eastAsia="zh-CN"/>
              </w:rPr>
              <w:t>教学一体机</w:t>
            </w:r>
          </w:p>
        </w:tc>
      </w:tr>
      <w:tr w14:paraId="534C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5265E8C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690" w:type="dxa"/>
            <w:noWrap w:val="0"/>
            <w:vAlign w:val="center"/>
          </w:tcPr>
          <w:p w14:paraId="0F90B73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86英寸电容智慧黑板</w:t>
            </w:r>
          </w:p>
        </w:tc>
        <w:tc>
          <w:tcPr>
            <w:tcW w:w="5928" w:type="dxa"/>
            <w:noWrap w:val="0"/>
            <w:vAlign w:val="center"/>
          </w:tcPr>
          <w:p w14:paraId="5B524CB4">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一、学生管理系统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1）学生课堂表现评价系统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1、系统支持教师为学生头像增添挂件，可标识班干部、值日生、课代表等树立班级榜样。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2、AI助教功能，通过AI分析学生和班级评价情况，为老师智能提示班级管理决策信息，为学生智能分析成长建议。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系统自带积分和积分兑换功能，除自动根据学生日常行为评价为生成积分外，教师可通过积分兑换功能，自定义设置兑换内容、分值、图标，并对学生的积分进行兑换和扣除。兑换扣除不影响评价记录，仅影响积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4、支持丰富的课堂互动组件，噪音器功能：开启设备麦克风，可识别教室音量，并以可视化的方式呈现，提醒学生课前保持安静；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5、支持丰富的课堂互动组件，接龙抽选功能：系统支持快速对全班学生进行连续性的抽选；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6、支持丰富的课堂互动组件，分组抽选功能：系统支持一次操作从不同分组中抽选单个或多个学生；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2）家校互通共建教学系统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支持教师向其他教师或家长发送通知，支持设置定时发送时间，通知支持超过200字的文本、图片、语音、视频和外部网页链接等形式。教师可设置家长阅读后提供电子回执，可自动分区查看已读未读，并针对性提醒。内置30+模板资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教师发送作业给其他教师或家长，支持设置定时发送时间，作业支持超过200字的文本、图片、视频、语音、文件、外部网页链接等形式。支持插入题库练习题、希沃白板课件。支持家长在线提交作业，作业支持超过200字的文本、图片、视频、语音、外部网页链接等形式。3、教师可设置提交作业截止时间，并能在线批改学生作业，支持评语、语音及量化点评，教师筛选出的优秀作业可展示给班内所有家长。作业支持订正和修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教师发送打卡给其他教师或家长，内置30+模板，支持超过200字的文本、图片、视频、语音、外部网页链接、文件等形式。支持设置打卡时间、定时发送时间，支持给打卡学生自动评价。支持家长在线提交打卡和补交打卡，打卡支持超过200字的文本、图片、视频、语音、5、文件外部网页链接等形式。打卡支持教师在线点评，可生成打卡榜单，显示全班学生打卡情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6、支持教师发送奖状给其他教师或家长，内置10+模板，教师填写学生姓名和奖状内容即可生成并以通知的形式发送。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7、支持教师发送调查给其他教师或家长，内置8模板，支持教师开展选择题类型的调查活动。可设置结束时间，支持匿名调查。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8、支持教师以文本、图片形式点评学生在校表现，相关情况及时通报家长。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9、支持教师将通知、作业、成绩、打卡、调查、奖状和学生表现分享至微信，便于展示及交流使用。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 整体设计：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1、整体外观尺寸：宽≥4200mm，高≥1200mm，厚≤98mm。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2、整机采用全金属外壳，三拼接平面一体化设计。无推拉式结构，外部无任何可见内部功能模块连接线。主副屏过渡平滑，中间无单独边框阻隔。</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3、整机屏幕边缘采用金属圆角包边防护，整机背板采用金属材质，有效屏蔽内部电路器件辐射；防潮耐盐雾蚀锈，适应多种教学环境。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4、主屏支持普通粉笔直接书写。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5、整机两侧副屏可支持以下媒介（普通粉笔、液体粉笔、成膜笔）进行板书书写。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6、整机设备副屏支持磁吸附功能，可以满足带有磁吸的板擦教具进行吸附在副屏上。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▲7、整机屏幕采用≥86英寸液晶显示器。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8、整机采用超高清LED液晶显示屏，显示比例16:9，分辨率3840×2160。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9、侧置输入接口具备2路HDMI、1路RS232、1路USB接口。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10、侧置输出接口具备1路音频输出、1路触控USB输出。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11、前置输入接口具备2路USB接口（包含1路Type-C、2路USB）。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▲12、嵌入式系统版本不低于Android 13。内存≥2GB。存储空间≥7GB。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13、钢化玻璃表面硬度≥8H。</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▲14、采用电容触控方式，支持Windows系统中进行40点或以上触控，支持Android系统中进行40点或以上触控。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15、从内部Android通道切换到内部PC通道后，触摸框在1s内达到可触控状态。从内部PC通道切换到外部通道后，触摸框在3s内达到可触控状态。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16、前置USB接口支持Android系统、Windows系统读取外接移动存储设备。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17、部署单根网线可实现Android、Windows双系统有线网络连通。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18、整机能感应并自动调节屏幕亮度来达到在不同光照环境下的不同亮度显示效果。此功能可自行开启或关闭。</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▲19、PC模块可抽拉式插入整机，可实现无单独接线的插拔。CPU：i5 或以上配置。内存：16GB内存或以上配置。硬盘：512 GB或以上SSD固态硬盘配置。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 整机音视频教学功能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▲1、整机内置2.2声道扬声器，位于设备上边框，顶置朝前发声，前朝向10W高音扬声器2个，上朝向20W中低音扬声器2个，额定总功率60W。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▲2、整机可选择高级音效设置，支持在左右声道平衡显示范围中进行更改；中低频段显示调节范围125Hz～1KHz，高频段显示调节范围 2KHz～16KHz，分贝显示-12dB～12dB 调节范围。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▲3、整机内置非独立外拓展的4阵列麦克风，可用于对教室环境音频进行采集，麦克风拾音距离≥11米。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▲4、整机内置扬声器采用缝隙发声技术，喇叭采用槽式开口设计，不大于5.8mm。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▲5、整机扬声器在100%音量下，可做到1米处声压级≥88dB，10米处声压级≥79dB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6、内置摄像头、麦克风无需外接线材连接，无任何可见外接线材及模块化拼接痕迹，未占用整机设备端口。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▲7、支持标准、听力、观影和AI空间感知音效模式，AI空间感知音效模式可通过内置麦克风采集教室物理环境声音，自动生成符合当前教室物理环境的频段、音量、音效。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8、整机色域覆盖率（NTSC）≥70%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▲9、整机背光系统支持DC调光方式，多级亮度调节，支持白颜色背景下最暗亮度≤100nit，用于提升显示对比度。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10、灰阶等级≥256级。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▲11、整机屏幕蓝光占比（有害蓝光415～455nm能量综合）/（整体蓝光400～500能量综合）＜50%。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12、支持标准、多媒体和节能三种图像模式调节。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13、支持自定义图像设置，可对对比度、屏幕色温、图像亮度、亮度范围、色彩空间调节设置。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▲14、整机系统支持手势上滑调出人工智能画质调节模式（AI-PQ），在安卓通道下可根据屏幕内容自动调节画质参数，当屏幕出现人物、建筑、夜景等元素时，自动调整对比度、饱和度、色调色相值、高光/阴影。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15、整机视网膜蓝光危害（蓝光加权辐射亮度LB）满足IEC TR 62778:2014蓝光危害RG0级别。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整机全通道支持纸质护眼模式，可实现画面纹理的实时调整；支持纸质纹理：牛皮纸、素描纸、水彩纸、水纹纸；支持透明度调节；支持色温调节。纸质护眼模式下，显示画面各像素点灰度不规则，减少背景干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四、 教学工具要求：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1、三合一电源按键，同一电源物理按键完成 Android系统和 Windows 系统的开机、节能熄屏、关机操作；关机状态下按按键开机；开机状态下按按键实现节能熄屏/唤醒，长按按键实现关机。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2、整机具备至少6个前置按键。可实现开关机、调出中控菜单、音量+/-、护眼、录屏操作。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3、支持经典护眼模式，可通过前置面板物理功能按键一键启用经典护眼模式。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▲4、设备支持通过前置面板物理按键一键启动录屏功能，可将屏幕中显示的课件、音频内容与人声同时录制。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设备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6、整机无需外接无线网卡，在Windows系统下可实现Wi-Fi无线上网连接、AP无线热点发射和BT蓝牙连接功能。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7、Wi-Fi和AP热点工作距离≥11m。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▲8、整机支持蓝牙Bluetooth 5.4标准，固件版本号HCI13.0/LMP13.0。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▲9、整机PC端支持主动发现蓝牙外设从而连接（无需整机进入发现模式），支持连接外部蓝牙音箱播放音频。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10、整机支持发出频率为18kHz-22kHz超声波信号，智能手机通过麦克风接收后，智能手机与整机无需在同一局域网内，可实现配对，一键投屏，用户无需手动输入投屏码或扫码获取投屏码。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窗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12、整机无需外接无线网卡，在Windows系统下接入无线网络，切换到嵌入式Android系统下可直接实现无线上网功能，不需手动重复设置。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整机内置双WiFi6无线网卡（不接受外接），在Android和Windows系统下，可实现Wi-Fi无线上网连接、AP无线热点发射。整机内置双WiFi6无线网卡（不接受外接），在Android下支持无线设备同时连接数量≥32个，在Windows系统下支持无线设备同时连接≥8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14、Wi-Fi及AP热点支持频段2.4GHz/5GHz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15、Wi-Fi制式支持IEEE 802.11 a/b/g/n/ac/ax；支持版本Wi-Fi6。</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16、整机内置摄像头（非外扩），PC通道下支持通过视频展台软件调用摄像头进行二维码扫码识别。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17、具备摄像头工作指示灯，摄像头运行时，有指示灯提示。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▲18、整机上边框内置非独立摄像头，可拍摄≥1300万像素数的照片，可拍摄输出4K分辨率的视频。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19、整机摄像头对角线视场角≥120度。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20、整机内置非独立的高清摄像头，可用于远程巡课。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▲21、整机摄像头支持人脸识别、清点人数、随机抽人；识别所有学生，显示标记，然后随机抽选。同时显示标记不少于59人。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22、整机支持通过人脸识别进行账号登录。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23、整机摄像头支持环境色温判断，根据环境调节合适的显示图像效果。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24、支持Windows 7、Windows 8、Windows 10、Windows11、Linux、Mac Os、UOS和麒麟系统外置电脑操作系统接入时，无需安装触摸驱动。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25、书写触控延迟≤25ms；整机触控书写功能集成预测算法，在书写速度≥50cm/s，支持笔迹距离笔的距离小于20mm。触摸响应≤4ms。触摸分辨率32768×32768。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26、支持智能板擦功能，系统可根据触控物体的形状自动识别出实物板擦，可擦除电子白板中的内容，无需依赖外部电子设备。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▲27、外接电脑设备连接整机且触摸信号连通时，外接电脑设备可直接读取整机前置USB接口的移动存储设备数据，连接整机前置USB接口的翻页笔和无线键鼠外接设备可直接使用于外接电脑。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28、支持智能U盘锁功能，整机可设置触摸及按键锁定，锁定后无法随意自由操作，需要使用时插入USB key可解锁。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29、整机关机状态下，通过长按电源键进入设置界面后，可点击屏幕选择恢复Android系统及Windows操作系统到出厂默认状态，无需额外工具辅助。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30、整机关机状态下，通过长按电源键进入设置界面后，可点击屏幕选择故障检测、系统还原功能。系统还原可单独还原PC系统，单独还原整机系统。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31、在整机全信号源通道下，支持十指长按屏幕5秒和遥控器两种方式实现触摸锁定及解锁，触摸锁定时整机无法被触控操作。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32、支持通道自动跳转功能，如整机处于正常使用状态，HDMI信号接入时，能自动识别并切换到对应的HDMI信号源通道，且断开后能回到上一通道。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33、在HDMI、Android以及Windows信号源模式下，整机屏幕支持手势下移实现半屏显示，半屏显示时可通过点击上方屏幕返回全屏。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34、支持半屏模式，将Windows显示画面上半部分下拉到屏幕下半部分显示，此时依然可以正常触控操作Windows系统，点击非Windows显示画面区域（屏幕上半部分），即可退出该模式。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35、支持通道记忆功能，开机默认回到最近一次关机时的显示通道。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36、支持外接信号输入时自动唤醒功能，整机处于关机通电状态，外接电脑显示信号通过HDMI传输线连接至整机时，整机可智能识别外接电脑设备信号输入并自动开机。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37、整机内置专业硬件自检维护工具（非第三方工具），支持对整机内部板卡及部件模块进行故障检测、系统还原功能。整机两侧副屏可支持多种媒介进行板书书写，便于老师完整书写教学内容。整机主屏书写面板采用耐磨玻璃材质，长期书写情况下面板磨损导致的雾度不超过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38、当整机处于黑暗环境中并无人操作，一分钟后整机将可以自动进入熄屏模式。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39、支持将自定义图片、动画设置为开机画面。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40、具备电视遥控功能和电脑键盘常用的F1—F12功能键及Alt+F4、Alt+Tab、Space、Enter、windows快捷按键，可实现一键开启交互白板软件、PPT上下翻页、一键锁定/解锁触摸及整机实体按键、一键熄屏的功能。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41、支持通过Type-C接口U盘进行文件传输，兼容Type-C接口手机充电。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▲42、整机设备自带地震预警软件；支持在地震预警页面中获取位置，可以手动进行位置校准；支持在地震预警页面中选择提醒阈值；支持在地震预警界面中开启和关闭地震预警服务。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（响应文件中须提供具有CNAS认证资质的第三方检测认证机构出具的关于该功能的检测报告复印件）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b/>
                <w:bCs/>
                <w:i w:val="0"/>
                <w:iCs w:val="0"/>
                <w:color w:val="auto"/>
                <w:kern w:val="0"/>
                <w:sz w:val="20"/>
                <w:szCs w:val="20"/>
                <w:highlight w:val="none"/>
                <w:u w:val="none"/>
                <w:lang w:val="en-US" w:eastAsia="zh-CN" w:bidi="ar"/>
              </w:rPr>
              <w:t>五、 安卓备用教学系统要求：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1、嵌入式Android操作系统下，白板支持对已经书写的笔迹和形状和颜色进行更换。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2、在嵌入式系统下使用白板软件时，整机可自行调节屏幕亮度。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3、嵌入式Android操作系统下，互动白板支持不同背景颜色，同时提供学科背景，如：五线谱、信纸、田字格、英文格、篮球和足球场地平面图。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无PC状态下，嵌入式系统内置互动白板支持十笔书写及手掌擦除（手掌擦除面积根据手掌与屏幕的接触面大小自动调整），白板书写内容可以PDF、IWB和SVG格式导出。支持9种以上平面图形工具。支持8种以上立体图形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5、无PC状态下，嵌入式系统内置互动白板支持全局漫游，并能在工具栏中对全局内容进行预览和移动。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6、无PC状态下，嵌入式Android 操作系统下可使用白板书写、WPS 软件和网页浏览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7、在嵌入式Android操作系统下，能对TV多媒体USB所读取到的文件进行自动归类，可分类查找文档、板书、图片、音视频，检索后可直接在界面中打开。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六、教学备授课软件要求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（一）整体设计：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▲1、支持为教师提供可扩展至100TB的云存储空间，教师可在个人云空间上传存储互动课件、云教案和其他教学资源。支持上传的资源格式有：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文档：ppt、pptx、word、pdf、excel；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图片：bmp、png、jpg、jpeg、gif；</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音视频：mp3、wav、wma、ogg、aac、mp4、rmvb、wmv、avi、rm、3gp、mkv、flv、mov、svg、swf。</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移动调整文件及文件夹的层级，支持对文件进行重命名、删除操作。互动课件与其他教学资源的云空间相互独立；教师可新建课件组或素材文件夹对教学资源进行个性化的分类与标记；多媒体素材库内的素材可插入互动课件，互动课件内的多媒体素材可在课件内直接上传至多媒体素材存储空间，支持教师调用、采集教学素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互动课件支持定向分享，分享者可将互动课件、课件组推送至指定接收方账号的云空间，接收方可在云空间接收并打开分享课件。（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互动课件支持开放式云分享，分享者可将互动课件、课件组以公开或加密的web链接和二维码形式进行分享，分享链接可设置访问有效期。（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提供拼音卡片、古诗词、汉字卡片、中文听写、数学画板、字母卡片、英汉词典、英文听写、化学实验、元素周期、化学方程、物理线图、星球至少20种学科工具，可一键插入课件。学科工具支持教师自主设置在首页显示的功能，且该设置在备课和授课端之间可以同步。（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▲6、提供互动式教学课件资源，包含学科教育各学段各地区教材版本不少于88个；包含学科教育各学段教材版本全部教学章节、专题教育多个主题教育、特殊教育三大分类不少于160000份的交互动课件。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7、按照下载量、课件质量、相关性每天动态更新课件列表，提供按章节、主题筛选和关键词搜索，支持模糊搜索。并提供默认排序、最多获取和最新上架三种排序方式。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课件支持直接预览并下载，预览时支持拖动课堂活动、形状、几何、文本元素；下载时课件可同步至教师个人云空间；课件支持教师在线评分。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▲8、AI智能备课助手：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在备课场景中支持搜索课件库课件资源，具有不少于15万份的课件资源，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9、采用备授课一体化框架设计，教师可根据教学场景自由切换类PPT界面的备课模式与触控交互教学模式，适用于教室、办公室等不同教学环境。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互动课件内容的编辑修改无需人为保存即可自动同步至云空间，可根据教师需要调整云空间自动同步的时间间隔。本地课件则不会自动同步到云空间以保证数据安全。编辑多份互动课件时，教师可一键将所有处于编辑状态的课件同步到互动课件云空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支持PPT的原生解析，教师可将pptx课件转化为互动教学课件，支持单份导入和批量文件夹导入两种导入方式，保留pptx原文件中的文字、图片、表格等对象及动画的可编辑性，并可为课件增加互动教学元素。（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支持将互动课件导出为pptx、pdf、H5或web链接。导出的课件支持在多终端(包含windows、Macos、iOS、安卓、国产化系统)进行二次编辑。（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13、课件回收站功能：按照删除时间存储已删除课件，支持用户在3天内自主或彻底删除单份/多份/全部已删除课件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14、可自由调节课件画面的显示比例，支持16:9、4：3画面显示比，可适配各类显示设备。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▲15、具备云端静默推送下载功能，无需用户手动下载即可实现应用的在线升级，升级具有信息验证机制。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全文快速搜索：支持在课件中通过快捷键(Ctrl+F)调用搜索控件，输入文本即可查找课件内文本框、形状、表格中对应的文本匹配项。（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17、胶囊式微课功能内置于交互式课件工具中，支持快速录制胶囊式微课，微课可录制保存音频和课件的互动操作。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（二）基础教学工具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1、内置课堂教学、简约、插画、科技、古风等不少于70个课件主题模板供教师选用，且教师可自定义课件背景。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2、排版：支持对多对象的叠放层级、对齐方式进行设置，可批量组合、锁定课件对象。对象移动时自动弹出对齐线及等距线辅助排版。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3、提供截图工具，可对课件内容、桌面内容快速截图，可自由调整截屏范围，截屏内容直接插入课件。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4、支持课件内所有的元素对象创建超链接，可链接到对象所在课件的相关页面、网页、文档等。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文本工具：可插入文本框输入文本并支持文本样式设置：字体、字号、颜色、加粗、倾斜、下划线、上下角标、项目符号。支持段落样式设置：顶部对齐、垂直居中对齐、底端对齐缩进、行高、文本缩进等进行设置。文本、段落的样式支持格式刷快速复制，提升备课效率。预置不少于15种艺术字效果，便于教师调用美化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6、图形工具：提供直线、箭头、正方形、圆角四边形、平行四边形、圆形、等腰三角形、直角三角形、菱形、梯形、五边形等基本几何图形以及对话框、五角星、大括号、旗子等特殊图形。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7、具备图形自由创作工具，教师可自由绘制复杂的任意多边图形及曲边图形；教师自主创作的图形可存储至个人云空间便于后续使用。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8、图形具备旋转、镜像克隆、多图形等距对齐等功能，便于教师快速完成图形排版。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支持对图形样式设置：图形颜色、阴影、倒影、透明度、边框等样式设置；支持图形旋转中心调整。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9、图片工具：内置图片处理功能，无需借助专业图片处理软件即可对课件内的图片进行快速抠图，图片主体处理后边缘无明显毛边，且处理后的图片可直接上传至教师云空间供后续复用。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10、内置图片裁切功能，无需调用截图工具即可直接对课件内的图片进行裁切，裁切面积可自由调整。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11、蒙层工具：可一键为课件文本、图片、形状等对象添加蒙层将其隐藏，授课模式下可通过橡皮擦工具、或手势擦除蒙层展现隐藏内容。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12、兼容传统课件制作工具的组合快捷按键，支持如加粗（Ctrl+B）、文字居中（Ctrl+E）等教师熟悉的组合按键，鼠标悬停至功能按键时自动提示组合快捷键，内置组合快捷键数量不少于50个。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13、提供页面备注功能，可一键展开/隐藏备注。方便教师备课过程中记录教学研究思路用于教学反思。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14、备课模式下界面工具菜单支持自定义设置，教师可增减符合自身备课习惯的学科工具，自设工具菜单与教师云空间账号绑定，在任意终端登录教师账号备课自动同步备课工具菜单。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动画：提供至少30种应用于文本、形状、图片等课件元素的触发动画，可对动画的设置触发条件、动画声效、动画时长、动画延迟和动画方向进行自定义设置。支持对任意课件元素自定义路径动画，可自由绘制动画移动轨迹使课件元素沿轨迹路径进行移动。一个课件元素支持同时设置多组出现、消失、路径动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音视频播放组件：支持课件内嵌图片、音视频等多媒体文件，兼容以下格式：mp3、wav、ogg、aac、mp4、rmvb、wmv、3gp、mkv、flv、mov、png、bmp、jpg、jpeg、gif、svg。支持对音频、视频文件进行关键帧标记，可在音、视频进度条任意位置自由设置关键帧播放节点，便于快速定位讲解关键教学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17、提供单次播放、循环播放、跨页面播放和自动播放等播放模式。跨页面播放可设置音频进行部分页面播放和全页面播放。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交互表格工具：具备交互表格功能，课件可自由插入表格，预置不少于5种表格样式，支持边框、底纹设置，自由合并单元格；表格支持自由输入文本，且根据文本内容可一键自动调整行列宽高；表格通过表格首行首列交接处的按键可一键精准增加行列；具备遮罩功能，表格中任一单元格可添加遮罩掩盖单元格内容，授课模式点击即可取消遮罩，便于教师交互式教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学科思维导图工具：内嵌学科思维导图功能，提供思维导图、鱼骨图及组织结构图等知识结构化工具，提供不少于8种预设模板，可自由增删或拖拽编辑知识节点，并支持在节点上插入图片、音频、视频、网页链接、课件页面等教学知识内容，便于建构知识结构；学科思维导图知识点可逐级、逐个展开，导图工具具备归纳总结功能，可将相邻知识节点一键快速归纳，并添加文本、图片、音频、视频等辅助讲解，进行知识点关联发散。思维导图支持自定义连接线、节点样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20、图表工具：提供柱状图、扇形图、折线图等互动图表，每类图表预置不少于5种样式，支持图表文字、背景、透明度设置；柱状图、折线图可一键转置互换坐标轴类别；图表支持三维模式旋转展示。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（三）教学课堂活动：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课堂互动游戏支持云储存，编辑完成的活动可一键存储至教师云空间，便于在不同课件中直接调用，无需反复编辑。（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▲2、AI智能生成课堂活动：具有课堂活动智能填写功能，支持选词填空、判断对错和趣味选择三大课堂活动。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3、输入文本后可以一键解析，自动将文本内容结构化填充至题干和正确选项，完成课堂活动的制作。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智能配对游戏：支持创建配对游戏，教师可随意将知识点进行配对。当开始配对游戏时，拖动知识点进行配对，系统将自动判断是否正确。系统至少提供10种游戏模版，且模版样式支持自定义修改，同时支持设置干扰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9、趣味选择游戏：支持双人或两组学生展开竞争，对选择题选项抢答。支持单选和多选两种类型，提供不少于3种难度、4种游戏模板选择。支持记录和展示学生作答结果，便于课堂知识点对比讲解。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（四）学科工具和教学资源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1、语文工具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古诗词：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汉字：具备汉字生字卡不少于5000个，可展示该汉字的部首、读音、笔画顺序、笔画数量等。直观展示汉字读音、部首、笔画数量，笔画书写支持分步展示和连续展示，教师可一次性生成多个汉字生字卡，同步生成数量不少于5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4）拼音：支持在四线三格中自由输入拼音，可选择四声并支持一键点读。有单个字母和连续输入两种方式。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2、数学工具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▲1）数学函数公式：支持中英文、数学公式的编辑输入，可快速输入方程组、脱式运算，提供不少于70个数学符号及模板；预置不少于40个常用数学公式，无需编辑一键插入。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数学函数图像：可快速生成包含一次函数一次函数、二次函数、幂函数、指数函数、对数函数、三角函数等图像，也可自定义输入函数表达式生成图像；在同一坐标轴上支持同时绘制6个及以上函数表达式。可缩放函数图像与坐标轴，可显示坐标网格，函数图生成后可重新编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3、几何工具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2）可自由绘制长方体、立方体、圆柱体、圆锥等几何图形。任意调节几何体的大小尺寸，支持几何图形按比例放大缩小和通过单独调整长宽高（半径/高）改变几何体大小。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为长方体、圆柱体、圆锥等几何体的各面、棱分别填涂颜色，并且可通过360°旋转观察涂色面与未涂色面；几何体支持平面展开，预置长方体、立方体“141、132、222、33”型展开方式，展开后可对涂色面进行查看，有助于学生的空间想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3）具备几何体智能吸附功能：同类几何体相互靠近时，可智能识别吸附。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4）数学画板：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①支持课件中插入在线数学画板，授课时一键打开使用。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②提供不少于500个数学画板资源，按照小学、初中、高中学段数学学科主要知识点分类，便于教师查找使用。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③内置画板课件展示生动直观，可动态展示平面几何的变化：如小学几何四边形，可动态演示四边形的不同形态间的变化；中学函数的平方差公式讲解，可将平方差公式通过图形具象展示其计算原理。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④提供个人画板供教师自由创作，具备点、线、面等基础元素和线段中点、椭圆焦点、极坐标方程等数十种数学常用工具。创建后可一键将画板无缝嵌入课件。"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▲4、英语工具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1）AI智能英语工具：软件内置的AI智能语义分析模块，可对输入的英文文本的拼写、句型、语法进行错误检查，并支持一键纠错。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▲3）AI音标助手：支持浏览和插入国际音标表，可直接点击发音，支持已整表和单个音标卡片插入。支持智能将字母、单词、句子转写为音标，并可一键插入到备课课件中形成文本。</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4）四线三格：配置英语学科四线三格，可直接键入人教版英语辅助教材配套的手写字体。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听写：配置英语学科听写工具，覆盖小初高不少于8000个英语单词，支持自定义选择单词。自定义听写频率和次数，一键生成听写卡；授课模式支持一键开启听写朗读。"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5、化学工具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1）化学方程式编辑器：提供化学方程式快速编辑工具，当输入一个化学元素时，软件界面将自动显示出和该元素相关的多个常用化学反应方程式，可直接选择使用。插入后的化学方程式可重新编辑。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6、物理工具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物理线图：支持自由绘制物理线图，提供元件库和模板库不少于30个组件，支持自动吸附连接线，画布可无限漫游。绘制后的线图可一键插入到备课课件中并支持二次编辑。老师可将常用的线图保存至个人云盘方便二次调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7、地理工具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2）支持地球模型直接进行平面/立体转换，清晰展现地球表面的六大板块、降水分布、气温分布、气候分布、人口分布、表层洋流、陆地自然带、海平面等压线等内容。"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8、美术工具：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1）内置专用美术画板工具，提供铅笔、毛笔、油画笔等笔触，具备符合绘画调色教学需求的模拟调色盘，可选择不同颜色混合调色，便于学生理解调色合成过程。"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9、多学科题库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▲2）支持多种格式的试题批量上传，包含.doc、.docx、.png、.jpeg、.jpg等类型，并可自动转换为电子试题，便于老师优质试题的收集使用和作业布置。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10、学科微课视频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多学科微课视频：提供涵盖小学、初中、高中微课程视频。微课内容可在线点播，下载至课件播放。微课视频支持视频关键帧打点标记，播放过程中可一键跳转至标记位置，同时支持一键对视频内容进行截图插入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党建微课视频：提供100节党建微课视频，包含革命篇、建设篇、改革篇、复兴篇4个篇章。微课内容可在线点播，下载至课件播放。微课视频支持视频关键帧打点标记，播放过程中可一键跳转至标记位置，同时支持一键对视频内容进行截图插入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11、素材库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▲1）免费备课素材：提供超过500个备课素材，包含人物形象、卡通动物、拟人动物、水果蔬菜13个分类，高清无版权图片，全免费，直接插入备课端进行使用即可。"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12、仿真实验工具：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初中理化生：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所有实验内容都可以支持在实验操作的过程中查看具体的实验内容简介，可查看的内容简介至少应包含：实验目的、实验器材、实验步骤等，方便老师在使用中快速了解具体实验内容，提高老师课堂教学效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 ▲2）所有学科软件要求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学科软件要求至少包含实验：托里拆利实验、空气推动塞子时，内能减少、通电螺线管的磁场是什么样的、聚乙烯塑料的热塑性、测定空气中的氧气含量、一氧化碳与氧化铁的反应、氧气的实验室制取和性质、模拟膈肌的运动、膝跳反射、非生物因素对某种动物的影响、观察鸡卵的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软件要求对于理科学习中较为抽象的实验原理提供可视化展示，物理中如电流的方向、力的方向、磁场电场等，化学中如：反应装置中物质的量的变化、分子运动的模拟、正在发生的化学反应方程式等。生物中如：人体生理运动中多个器官的同步运动现象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软件提供的实验内容要求具备极强的硬件适用性及延伸性，要求提供的资源内容已经可以应用在VR、3D中，当老师需要使用全沉浸式教学时，可通过二次采购同样的实验资源软件在VR、3D、VR/3D融合硬件中安装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 ▲7）软件要求提供的全部实验支持在任意视角下对实验进行观察和交互式操作。允许用户在实验操作空间中根据需求自由旋转观察视角，要求所有实验中的模型为3D高精度模型，支持无极放大，实验模型高保真。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 ▲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9）以上所有软件功能要求在同一软件系统平台中进行操作，方便用户管理、使用。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高中理化生：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 要求提供的所有实验内容都可以支持在实验操作的过程中查看具体的实验内容简介，可查看的内容简介至少应包含：实验目的、实验器材、实验步骤等，方便老师在使用中快速了解具体实验内容，提高老师课堂教学效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学科软件要求提供的实验内容模块需根据知识点分类。物理需包含：直线运动、牛顿运动定律、力与物体平衡、功和机械能、机械振动机械波、光学、动量、原子物理、曲线运动、电磁学、热学、；化学需包含：化学与技术、化学实验、重要的无机物、物质结构与性质、化学反应原理、化学与生活、有机化学基础、化学基本概念；生物需包含：细胞的分子组成与结构、细胞代谢、细胞的生命历程与遗传的细胞学基础、遗传的分子基础、变异与进化、生命活动的调节、生物与环境、生殖与个体发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学科软件要求至少包含实验：用双缝干涉测量光的波长、渡河问题、观察全反射现象、验证环形电流的磁场方向、示波管原理、铝热反应、铁粉与水蒸气反应、蛋白质的性质——盐析、乙醛的银镜反应、建立减数分裂中染色体变化的模型、绿叶中色素的提取与分离、制作DNA双螺旋结构模型、土壤微生物的分解作用、蛙的个体发育过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▲4）软件要求对于理科学习中较为抽象的实验原理提供可视化展示，物理中如电流的方向、力的方向、磁场电场等，化学中如：反应装置中物质的量的变化、分子运动的模拟、正在发生的化学反应方程式等。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软件提供的实验内容要求具备极强的硬件适用性及延伸性，要求提供的资源内容已经可以应用在VR、3D中，当老师需要使用全沉浸式教学时，可通过二次采购同样的实验资源软件在VR、3D、VR/3D融合硬件中安装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7）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杜绝下一步、下一步的计算机点击式操作逻辑。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▲7）软件要求提供的全部实验支持在任意视角下对实验进行观察和交互式操作。允许用户在实验操作空间中根据需求自由旋转观察视角，要求所有实验中的模型为3D高精度模型，支持无极放大，实验模型高保真。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为方便在实验交互操作过程中的便捷性及准确性，实验场景中需要在可交互操作的情况下支持锁定/解锁场景功能，要求支持老师在实验操作的任意角度，任意视角进行实验操作观察及场景锁定，锁定后场景不可旋转或平移，但需要支持视角远近缩放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8）以上所有软件功能要求在同一软件系统平台中进行操作，方便用户管理、使用。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（五）授课工具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1、擦除：提供精细点擦除、笔迹全屏清除，手势擦除方式。手势擦除面积可根据教师手掌与屏幕的接触面积自动判定调整擦除面积大小。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2、提供多种翻页按键布局，翻页按键可分布于屏幕单侧或左右两侧，支持上下翻页、课件页面预览及页面非线性跳转。</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3、板中板：支持授课过程中调用板中板辅助教学，可进行批注、加页及背景色切换；板中板支持插入图片、音视频素材进行独立讲解，不影响课件主画面。板中板可以转换为小窗口，小窗口支持拖动和缩放。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4、书写：支持多人同时书写，可自由调整笔迹颜色及笔触粗细，书写颜色及粗细设置面板支持浮窗模式，可自由调整至白板界面任意位置，便于教师授课使用。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5、图章笔：提供不少于15种图案样式，可在画布任意位置书写。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6、放大镜：支持调用放大镜工具进行局部画面放大，可设置放大比例及聚光灯效果。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7、撤销重做：支持白板操作撤销和重做，防止误操作影响教学。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8、尺规工具：提供直尺、三角板、量角器及圆规工具，尺工具支持旋转、伸缩，可实时显示绘制线条长度；圆规工具可更换笔触颜色，模拟真实圆规作图。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9、文件导入：授课时可将图片、音频、视频等多媒体文件导入授课界面，系统自动识别外接移动储存设备并优先显示其中的内容。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10、文件导出：支持授课时导出课件导出为图片，课件支持多种格式导出。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（六）空中在线教学课堂：功能内置于交互式备授课软件中，无需额外安装部署直播软件，可实现语音直播、课件同步、互动工具等远程教学功能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1、一键开课：教师可一键开课生成课程海报；学生扫描课程海报微信二维码即可加入直播课堂，无需额外安装APP。</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2、文本聊天工具：学生可在直播课堂打字提问、互动，学生提问内容实时传递至教师；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3、互动答题工具：教师根据讲解内容发布答题板供学生选择作答，学生提交答案后系统自动统计正确率和答题详情。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远程互动工具：在直播课堂中，教师可指定授权学生远程互动，学生可在直播的课件画面进行书写、移动、擦除、参与互动活动等，学生操作过程实时同步至班级其他学生，可支持不少于5位学生同时参与远程互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5、课堂奖励工具：直播过程中可向学生发放奖杯，学生在线学习获得的奖杯数量累积统计。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6、远程考勤管理：直播课程结束后，后台自动统计报名学生名单和学生学习清单。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7、课程回放：课程结束后自动生成直播回放，报名课程的学生可反复学习；回放课程自动保存在云端，支持人工删除。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七、移动端教学备授课平台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1、教学系统为教师提供对应的移动应用平台，实现备授课过程多终端多场景一体化。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2、移动平台支持识别授课端登录状态，授课端处于登录状态时，移动应用平台自动连接移动端与授课端，无需人为操作。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3、移动平台支持安装在Android 5.0及以上、iOS 9.0及以上系统版本的移动终端。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4、移动端与授课端通过网络实现账号数据对接互通、远程管控、移动授课，无需部署外接设备。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5、移动平台与授课端账号数据联通，可在移动端选择个人云空间内任意课件放映，授课端同步显示课件内容。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6、无需局域网环境部署，教师可使用移动端进行课件翻页，课件预览、课件跳页、播放视频、播放课堂活动、展开思维导图。支持横竖屏两种模式。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7、支持移动端对授课端远程实时同步书写擦除，提供不少于3种笔触粗细和5种笔迹颜色，支持一键清除书写内容。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8、支持调用移动端摄像头拍摄照片并直接插入课件，提供文档、普通和彩图3种拍照模式，适用于不同教学场景。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9、支持上传移动端本地图片，并发上传数量不少于9张。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10、支持NFC一碰投屏或直播。</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11、在局域网环境或无网环境下，可将移动端屏幕实时同步至授课显示端，同屏窗口、全屏显示方式根据移动端界面自动适配。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12、在局域网环境或无网环境下提供直播功能，移动端拍摄画面实时同步至授课显示端，直播窗口、全屏显示方式根据移动端拍摄自动适配，直播画质根据网络状况自动调。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八、作业题库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1、创建习题：支持选择题、填空题、判断题、解答题多种类型题目的创建，支持匹配知识点，设定题目难度等。通常可用于练习任务，在线小测，客观题自动批改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2、批量导入习题：支持WORD导出习题，导入后支持对照修改，实时预览，题目可挂靠解析，知识点，可添加题目使用备注。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3、习题管理：支持题目按教材章节、难度、题型管理和应用。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4、习题应用：支持将习题加入作业，并通过布置作业功能发送到使用端。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5、布置记录：被校内老师布置过的习题会通过作业报告的形式展示布置次数、历史作答正确率，以协助老师判断该题的难度和学生掌握情况。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九、教学研究管理平台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为学校提供教研全流程管理服务，包含教学目标与计划、教学设计、集体备课、听课评课、班级氛围的流程管理和数据分析。管理者在教学检查中可以掌握以教研组、备课组为单位的教学资源和集体备数据，了解老师的教学备课工作。支持查看各年级和学科的教研组的教学资源覆盖情况和集体备课数据。支持以时间、教材进行数据筛选，推动老师的备课进度。支持查看备课组下成员的课程资源和集体备课数据概览，支持查看每位成员在不同教材章节下的课程资源上传/获取情况和集体备课的研讨情况。支持以时间、老师、教材章节进行数据筛选。支持导出备课组下全部成员的课程资源和集体备课数据。（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可查看集体备课的开展统计情况及老师参与集体备课的记录。支持以时间、学科进行筛选，支持输入集体备课名称/主备人名称，进行全局搜索。支持查看集体备课名称，主备人、所属学科、年级、参备老师数、稿数、浏览数、评论数、批注数、评论点赞数、集体备课状态和创建时间等数据。管理员可随时查看学校集体备课详情，查看集体备课的详细内容并给予指导评论，同时支持管理员删除集体备课活动和导出集体备课记录数据表格。支持查看以老师维度统计的集体备课记录，查看老师所属学段学科、发起次数、参备次数、评论数、批注数、最近集体备课时间等数据。支持管理员导出教师集体备课记录数据表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查看课程的评价统计情况及教师对课程的评价记录。支持以时间、评课表、学科进行筛选，支持输入课程名称/老师名称，进行全局搜索。支持查看以课程维度的评价记录，包括课件名称、授课老师、所属学科、本节课的评课人数、总评价平均分及授课时间，通过点击操作“详情”可查看具体评价情况，支持管理员删除评价记录和导出课程评价记录数据表格。点击课程详情可以查看评课报告，可以查看该课程的总分和各板块得分，支持导出为PDF文件。支持查看课程下所有老师的评课表，可以批量导出为Word文件。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表格。支持自定义设置学校专属评课表，系统预置中央电教馆“一师一优课，一课一名师”、“教师通用评课表-评分制”模板供使用。点评支持评分题、主观题等评价及拍照上传图片等功能。支持发布多张评课表，同时开展多学科、多个评课活动。评课表支持在线预览和设置权限，听课老师权限可以选择公开，无需登录/需要登录用户账号/绑定本校且需登录用户账号等选项。（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全校听评课数据统一汇总，数据包含全校本月评课节数，本月评课次数，累计评课节数和累计评课次数，了解听评课教研活动的开展情况。支持按评课人数/评课平均分查看全校排行详细数据。支持对不同评课维度得分进行统计，计算平均分并找出评分薄弱项，同时支持查看全校的课程评价记录和得分详情、教师评价记录，并可一键导出Excel表格。支持导出课程的评课报告为PDF文件，支持批量导出课程下所有老师的评课表为Word文件。（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支持管理员在教研数字化管理平台后台移动、删除、重命名教师上传至校本库的课件、教案、微课及多媒体等资源。校本资源库提供学科目录模板/教材目录模板，管理者可搭建校本资源目录框架，以文件夹的形式进行分组，进行各年级学科的资源管理。支持以文件夹的维度进行权限设置，设置某个文件夹仅有权限的部门或者老师可见，同时支持按文件夹的维度进行课件的批量移动、删除。支持树形结构目录，进行资源分类及查找，支持全局资源搜索，按年级、学科筛选资源，支持查找资源后定位到当前资源文件夹。支持查看资源文件夹的创建者，资源的上传作者，更新时间、校本容量等数据。校本资源支持在线预览。管理员可对校本资源进行分类移动，删除或重命名，资源目录在编辑的界面支持同级拖拽移动。（响应文件中须出具检验结果符合或者优于本项参数的国家认可的第三方认证（检测）机构出具的带有CMA或CNAS标志的检测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十、教师教研集体备课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▲1、校本资源库：支持实现校本资源共建共享。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①资源上传：支持上传课件、教案、胶囊及多媒体文件，其中多媒体资源类型与格式包括：文档：doc、docx、pdf、ppt、pptx、xlsx、xls；图片：bmp、jpg、png、jpeg、gif；视频：mp4、webm；音频：wav、mp3、ogg；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②批量上传：支持课件、教案、胶囊以文件夹的形式批量上传。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③资源搜索：支持树形结构目录，可进行资源分类及查找，支持全局资源搜索，按年级、学科筛选资源，支持查找资源后定位到当前资源文件夹。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④查看及预览：支持查看资源文件夹的创建者，资源的上传作者，更新时间数据。校本资源支持在线预览。支持切换列表模式/宫格模式查看资源。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⑤资源管理：支持教师对本人上传的校本资源进行分类移动，删除或重命名。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⑥备课应用：在交互式备授课软件中，支持获取校本多媒体资源到本地查看，也可选择插入校本资源库中的多媒体资源，实现校内资源的共建共享。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▲2、集体备课：支持实现信息化集体备课。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①发起集备：支持选择教案、课件、胶囊资源上传发起集备研讨，支持设置多重访问权限，通过手机号搜索即可邀请外校老师，可用于跨校教研场景。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②进入集备：支持搜索集备名称/老师昵称、或按照学科/学段/年级/教材章节、我参与的/我发起的几个维度进行筛选查看，支持电脑端进入集备页面。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③集备研讨：参备人可通过评论区发表观点，可对他人评论的观点进行点赞，评论消息支持实时提醒，支持图片的上传。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④在线批注：参备人在可在线对教案进行随文式批注，追加批注，回复以及查看实时批注消息。支持对课件进行打点式批注，可通过批注定位研讨内容，完成协同备课。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⑤稿件编辑：完成本次研讨后，主备人可直接进入编辑页面编辑课件/教案，发布新稿件后，备课组进入下一轮研讨，更新稿件后会给参备老师同步教研动态。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⑥稿件对比：可对集备中多稿的课件/教案/胶囊进行内容的横向对比，支持批注研讨过程数据对比回溯；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⑦获取稿件：参备成员可以随时获取和下载每一稿中的集备稿件到云课件，进行编辑或引用。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⑧完成集备：完成研讨后，可生成集体备课报告。集备终稿会自动上传到校本资源库，主备人可自定义上传目录，参备人可前往校本资源库获取集备终稿。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⑨生成集备报告：支持生成集备报告，报告生成后，参备人可查看具体报告内容和下载集备报告。报告内包含集备信息、数据统计、研讨记录的具体内容。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⑩视频研讨：支持在线发起多人视频研讨，研讨过程中可邀请校内外老师共同参与，会议主持人可对会议进行参会人员的管理，包括邀请发言/开启禁言，共享屏幕等操作，系统自动录制视频研讨全过程，会议结束后可自动形成视频回放记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⑪集备妙记：支持语音及视频会议记录，为音视频回放自动生成字幕，对音视频研讨过程中的关键词和对话进行智能提炼，支持倍速播放，回溯研讨内容。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▲3、集体备课混合教研模式：支持在授课模式下，使用交互式智能平板快速发起集体备课，开展即时的线下交流研讨，支持在线完成活动签到、资源共享，对整个线下研讨的过程进行记录。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①大屏模式：通过集体备课列表，在已发起的集备项目中支持大屏模式，开启线下研讨。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②共享资源：主备老师支持现场上传文件（包括课件、教案、胶囊和多媒体资源）用于研讨，参备老师也可通过扫码上传需要的资源文件，即时与教师们开展研讨。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③设置签到：在集体备课研讨前主备老师可以设置签到环节，选择签到时长，现场的老师扫码即可完成签到。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④调取黑板：支持调用黑板应用，老师现场完成板书/讨论。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⑤分享集备：支持分享二维码，现场或线上的老师可进入集备查看资源并参与研讨批注。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▲4、听评课：支持实现电子化听评课。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①邀请评课：支持在授课模式中发起授课评价，根据课程和评课表生成二维码，可选择是否分享课件，若选择分享课件，评课人通过扫码即可参与评课并获取课件。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②查看评课记录：支持在我的学校中查看我评的课、我讲的课的历史评价记录。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③导出评课报告和听课记录：支持导出我讲的课的评课报告为PDF文档，支持导出我评的课的评课表为WORD文档。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④直播回放：直播评课全过程支持回放并自动生成字幕，支持回放视频形成回放链接分享，可直接下载导出，用于老师回顾课堂内容，分析老师的课堂表现和教学情况。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⑤AI课堂数据分析：一览课堂重要数据，智能分析授课内容生成高频词云，提炼师生互动生成课堂问答，老师可掌握课堂的重点与方向。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听评课-教师评课授课记录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1、评课列表：在评课列表中可查看[我评的课]的所有记录，评课记录云端存储，不怕丢失。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2、评课表导出：支持评课表导出，便于存档和检查。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3、授课列表：在授课列表中可查看[我讲的课]的所有记录，讲课记录云端存储，方便查阅，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4、导出评课报告：系统自动生成评课报告，并支持一键导出PDF。</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听评课-直播听评课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支持通过实时音视频将课堂教学现场进行实况直播，实现异地听课、评课，直播听评课结束后生成直播回放，使课堂教学研究与课堂教学同步进行，参与听课、评课教师。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①直播听评课：支持授课老师发起直播听评课，使用手机进行录影，听课老师可查看课堂直播。</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②听课提醒：支持查看评课邀请信息和直播开启预告，及时进入直播课堂，进行听课评价。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③听课交流：支持主动发布“开启了直播”、“关闭直播”课堂状态，及时同步课堂进度。支持远程观看课堂直播时同步在听课交流区发表文字、快捷表情和照片内容，记录与分享听课想法。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④直播回放：支持查看课堂录影回放，回顾课堂内容，分析老师的课堂表现和教学情况。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⑤提供推流地址，支持网络推流输出，可实时推流给资源平台，实现平台直播。</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⑥支持绑定互动录播电脑主机发起直播。</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十一、售后服务要求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1、全国24小时免费电话保修、二维码扫描保修、区域化驻地技术工程师专线保修；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微信售后报修服务：快速输入相关问题及所在区域进行在线保修，贴心服务人员实时在线提供客服专线报修，更好更快的解决售后故障问题带来的使用不便；提供八大模块的问题查询及解决方案，现场完成简单故障的快速修复指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号条款为重要技术参数，投标人必须满足否则中标无效。中标公示期内若有其他投标人质疑情况下，中标单位必须提供与标书技术要求及功能符合的全部样品一套至用户处进行整体性能与标书文件核对，协助质疑答复。</w:t>
            </w:r>
          </w:p>
        </w:tc>
        <w:tc>
          <w:tcPr>
            <w:tcW w:w="736" w:type="dxa"/>
            <w:noWrap w:val="0"/>
            <w:vAlign w:val="center"/>
          </w:tcPr>
          <w:p w14:paraId="663EC18A">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834" w:type="dxa"/>
            <w:noWrap w:val="0"/>
            <w:vAlign w:val="center"/>
          </w:tcPr>
          <w:p w14:paraId="3315A03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台</w:t>
            </w:r>
          </w:p>
        </w:tc>
        <w:tc>
          <w:tcPr>
            <w:tcW w:w="3381" w:type="dxa"/>
            <w:noWrap w:val="0"/>
            <w:vAlign w:val="center"/>
          </w:tcPr>
          <w:p w14:paraId="1744C18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1879600" cy="618490"/>
                  <wp:effectExtent l="0" t="0" r="0"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4"/>
                          <a:stretch>
                            <a:fillRect/>
                          </a:stretch>
                        </pic:blipFill>
                        <pic:spPr>
                          <a:xfrm>
                            <a:off x="0" y="0"/>
                            <a:ext cx="1879600" cy="618490"/>
                          </a:xfrm>
                          <a:prstGeom prst="rect">
                            <a:avLst/>
                          </a:prstGeom>
                          <a:noFill/>
                          <a:ln>
                            <a:noFill/>
                          </a:ln>
                        </pic:spPr>
                      </pic:pic>
                    </a:graphicData>
                  </a:graphic>
                </wp:inline>
              </w:drawing>
            </w:r>
          </w:p>
        </w:tc>
        <w:tc>
          <w:tcPr>
            <w:tcW w:w="710" w:type="dxa"/>
            <w:noWrap w:val="0"/>
            <w:vAlign w:val="center"/>
          </w:tcPr>
          <w:p w14:paraId="64B14952">
            <w:pPr>
              <w:keepNext w:val="0"/>
              <w:keepLines w:val="0"/>
              <w:widowControl/>
              <w:suppressLineNumbers w:val="0"/>
              <w:jc w:val="center"/>
              <w:textAlignment w:val="center"/>
              <w:rPr>
                <w:rFonts w:hint="eastAsia"/>
                <w:color w:val="auto"/>
                <w:highlight w:val="none"/>
                <w:vertAlign w:val="baseline"/>
                <w:lang w:val="en-US" w:eastAsia="zh-CN"/>
              </w:rPr>
            </w:pPr>
          </w:p>
        </w:tc>
      </w:tr>
      <w:tr w14:paraId="0C36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6D785FA">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690" w:type="dxa"/>
            <w:noWrap w:val="0"/>
            <w:vAlign w:val="center"/>
          </w:tcPr>
          <w:p w14:paraId="3C0ABD0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壁挂式视频展台</w:t>
            </w:r>
          </w:p>
        </w:tc>
        <w:tc>
          <w:tcPr>
            <w:tcW w:w="5928" w:type="dxa"/>
            <w:noWrap w:val="0"/>
            <w:vAlign w:val="center"/>
          </w:tcPr>
          <w:p w14:paraId="77260E5D">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一、硬件要求：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1.采用≥800万像素摄像头；采用 USB电源直接供电，无需额外配置电源适配器；箱内USB连线采用隐藏式设计，箱内无可见连线且USB口下出。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2.A4大小拍摄幅面，1080P动态视频预览达到30帧/秒。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3.整机采用圆弧式设计，无锐角；托板可承重3kg，同时托板采用磁吸吸附式机构。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4.展示托板正上方具备LED补光灯补光灯开关采用触摸按键设计，同时可通过视频展台软件直接控制开关；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5.摄像头支持自动对焦；摄像头部分进行外壳防护等级试验，防护等级达到IP4X级别。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二、软件要求：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1.支持对展台画面进行放大、缩小、旋转、自适应、冻结画面等操作。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2.支持展台画面实时批注，预设多种笔划粗细及颜色供选择，且支持对展台画面联同批注内容进行同步缩放、移动。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3.支持展台画面拍照截图并进行多图预览，可对任一图片进行全屏显示。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4.老师可在一体机或电脑上选择延时拍照功能，支持5秒或10秒延时模式，可调整拍摄内容。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5.具备图像增强功能，可自动裁剪背景并增强文字显示，使文档画面更清晰。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6.可选择图像、文本或动态等多种情景模式，适应不同展示内容。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7.二维码扫码：打开扫一扫功能后，将书本上的二维码放入扫描框内即可自动扫描，并进入系统浏览器获取二维码的链接内容，可获取电子教学资源。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8.支持故障自动检测，在软件无法出现展台拍摄画面时，自动出现检测链接，检测“无画面”的原因，并给出引导性解决方案。可判断硬件连接、显卡驱动、摄像头占用、软件版本等问题。</w:t>
            </w:r>
          </w:p>
        </w:tc>
        <w:tc>
          <w:tcPr>
            <w:tcW w:w="736" w:type="dxa"/>
            <w:noWrap w:val="0"/>
            <w:vAlign w:val="center"/>
          </w:tcPr>
          <w:p w14:paraId="1F542D45">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834" w:type="dxa"/>
            <w:noWrap w:val="0"/>
            <w:vAlign w:val="center"/>
          </w:tcPr>
          <w:p w14:paraId="3AD2BE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个</w:t>
            </w:r>
          </w:p>
        </w:tc>
        <w:tc>
          <w:tcPr>
            <w:tcW w:w="3381" w:type="dxa"/>
            <w:noWrap w:val="0"/>
            <w:vAlign w:val="center"/>
          </w:tcPr>
          <w:p w14:paraId="76F48848">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930275" cy="1035685"/>
                  <wp:effectExtent l="0" t="0" r="9525"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5"/>
                          <a:stretch>
                            <a:fillRect/>
                          </a:stretch>
                        </pic:blipFill>
                        <pic:spPr>
                          <a:xfrm>
                            <a:off x="0" y="0"/>
                            <a:ext cx="930275" cy="1035685"/>
                          </a:xfrm>
                          <a:prstGeom prst="rect">
                            <a:avLst/>
                          </a:prstGeom>
                          <a:noFill/>
                          <a:ln>
                            <a:noFill/>
                          </a:ln>
                        </pic:spPr>
                      </pic:pic>
                    </a:graphicData>
                  </a:graphic>
                </wp:inline>
              </w:drawing>
            </w:r>
          </w:p>
        </w:tc>
        <w:tc>
          <w:tcPr>
            <w:tcW w:w="710" w:type="dxa"/>
            <w:noWrap w:val="0"/>
            <w:vAlign w:val="center"/>
          </w:tcPr>
          <w:p w14:paraId="4B40DA48">
            <w:pPr>
              <w:keepNext w:val="0"/>
              <w:keepLines w:val="0"/>
              <w:widowControl/>
              <w:suppressLineNumbers w:val="0"/>
              <w:jc w:val="center"/>
              <w:textAlignment w:val="center"/>
              <w:rPr>
                <w:rFonts w:hint="eastAsia"/>
                <w:color w:val="auto"/>
                <w:highlight w:val="none"/>
                <w:vertAlign w:val="baseline"/>
                <w:lang w:val="en-US" w:eastAsia="zh-CN"/>
              </w:rPr>
            </w:pPr>
          </w:p>
        </w:tc>
      </w:tr>
      <w:tr w14:paraId="19D4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E8F4C5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690" w:type="dxa"/>
            <w:noWrap w:val="0"/>
            <w:vAlign w:val="center"/>
          </w:tcPr>
          <w:p w14:paraId="46FF56A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一体化有源音箱</w:t>
            </w:r>
          </w:p>
        </w:tc>
        <w:tc>
          <w:tcPr>
            <w:tcW w:w="5928" w:type="dxa"/>
            <w:noWrap w:val="0"/>
            <w:vAlign w:val="center"/>
          </w:tcPr>
          <w:p w14:paraId="1F64155C">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1.采用功放与有源音箱一体化设计，内置麦克风无线接收模块，帮助教师实现多媒体扩音以及本地扩声功能。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2.输出额定功率≥ 2x15W。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3.音箱灵敏度≥85dB，1W/1M。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4.信噪比≥80dB@额定功率、A计权。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5.全频喇叭单元尺寸≥5英寸。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6.THD+N≤1%。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7.声频响110Hz-16kHz。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8.距离音箱10米处声压级≥75dB。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9.具备≥1路电源开关、1路LINE IN、1路USB 接口。USB接口可外接U盘设备对音箱固件进行升级。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10.支持无线麦克风扩音接收，采用Wi-Fi射频2.4GHz与 5GHz双频段传输，有效避免环境中运营商U段（700MHz）的信号干扰。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11.采用红外对码方式，避免连接到其他教室音箱。可快速完成与教学扩声麦克风对码，无需繁琐操作。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12.配置独立音频数字信号处理芯片，支持啸叫抑制功能。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13.支持蓝牙无线接收，可分享移动设备上的音频。支持密码模式，防止学生连接。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14.支持安卓手机通过蓝牙无线连接音箱，实现控制有源音箱的音量、设置蓝牙名称、设置蓝牙密码等功能，方便教师对音箱的管控。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15.支持交互智能平板显示设备通过蓝牙无线连接音箱，实现控制有源音箱的音量的功能。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16.主音箱与副音箱采用有线连接，保证声音还原度。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17.为确保与教室白色墙面一致，音箱采取白色外观设计，更加美观。</w:t>
            </w:r>
          </w:p>
        </w:tc>
        <w:tc>
          <w:tcPr>
            <w:tcW w:w="736" w:type="dxa"/>
            <w:noWrap w:val="0"/>
            <w:vAlign w:val="center"/>
          </w:tcPr>
          <w:p w14:paraId="38F9E353">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834" w:type="dxa"/>
            <w:noWrap w:val="0"/>
            <w:vAlign w:val="center"/>
          </w:tcPr>
          <w:p w14:paraId="0D5F728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对</w:t>
            </w:r>
          </w:p>
        </w:tc>
        <w:tc>
          <w:tcPr>
            <w:tcW w:w="3381" w:type="dxa"/>
            <w:noWrap w:val="0"/>
            <w:vAlign w:val="center"/>
          </w:tcPr>
          <w:p w14:paraId="07A29296">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689610</wp:posOffset>
                  </wp:positionH>
                  <wp:positionV relativeFrom="paragraph">
                    <wp:posOffset>1068070</wp:posOffset>
                  </wp:positionV>
                  <wp:extent cx="671195" cy="1273175"/>
                  <wp:effectExtent l="0" t="0" r="1905" b="9525"/>
                  <wp:wrapNone/>
                  <wp:docPr id="80" name="图片_70"/>
                  <wp:cNvGraphicFramePr/>
                  <a:graphic xmlns:a="http://schemas.openxmlformats.org/drawingml/2006/main">
                    <a:graphicData uri="http://schemas.openxmlformats.org/drawingml/2006/picture">
                      <pic:pic xmlns:pic="http://schemas.openxmlformats.org/drawingml/2006/picture">
                        <pic:nvPicPr>
                          <pic:cNvPr id="80" name="图片_70"/>
                          <pic:cNvPicPr/>
                        </pic:nvPicPr>
                        <pic:blipFill>
                          <a:blip r:embed="rId65"/>
                          <a:stretch>
                            <a:fillRect/>
                          </a:stretch>
                        </pic:blipFill>
                        <pic:spPr>
                          <a:xfrm>
                            <a:off x="0" y="0"/>
                            <a:ext cx="671195" cy="1273175"/>
                          </a:xfrm>
                          <a:prstGeom prst="rect">
                            <a:avLst/>
                          </a:prstGeom>
                          <a:noFill/>
                          <a:ln>
                            <a:noFill/>
                          </a:ln>
                        </pic:spPr>
                      </pic:pic>
                    </a:graphicData>
                  </a:graphic>
                </wp:anchor>
              </w:drawing>
            </w:r>
          </w:p>
        </w:tc>
        <w:tc>
          <w:tcPr>
            <w:tcW w:w="710" w:type="dxa"/>
            <w:noWrap w:val="0"/>
            <w:vAlign w:val="center"/>
          </w:tcPr>
          <w:p w14:paraId="022733AD">
            <w:pPr>
              <w:keepNext w:val="0"/>
              <w:keepLines w:val="0"/>
              <w:widowControl/>
              <w:suppressLineNumbers w:val="0"/>
              <w:jc w:val="center"/>
              <w:textAlignment w:val="center"/>
              <w:rPr>
                <w:rFonts w:hint="eastAsia"/>
                <w:color w:val="auto"/>
                <w:highlight w:val="none"/>
                <w:vertAlign w:val="baseline"/>
                <w:lang w:val="en-US" w:eastAsia="zh-CN"/>
              </w:rPr>
            </w:pPr>
          </w:p>
        </w:tc>
      </w:tr>
      <w:tr w14:paraId="639F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31F30A6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p>
        </w:tc>
        <w:tc>
          <w:tcPr>
            <w:tcW w:w="1690" w:type="dxa"/>
            <w:noWrap w:val="0"/>
            <w:vAlign w:val="center"/>
          </w:tcPr>
          <w:p w14:paraId="31D482C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智能翻页笔</w:t>
            </w:r>
          </w:p>
        </w:tc>
        <w:tc>
          <w:tcPr>
            <w:tcW w:w="5928" w:type="dxa"/>
            <w:noWrap w:val="0"/>
            <w:vAlign w:val="center"/>
          </w:tcPr>
          <w:p w14:paraId="34CA4554">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1.笔身造型采用圆润一体化笔型设计，表面采用手感漆工艺便于握持；笔身长度≤17cm,笔身直径≤13mm，笔身重量≤18g。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2.笔身配置不少于五个按键，具备上下翻页，智能语音，远程聚光灯/放大，书写颜色切换，兼顾触摸书写以及远程操控的握持姿态；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3.采用锥型笔尖设计，直径≤3mm；同时支持电容，红外触控设备书写，书写最小精度2mm；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4.连续书写距离不小于7km；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5.短按上下翻页按键，可实现白板软件/ppt/pdf等文档上下翻页；长按上下翻页按键3s，可实现ppt播放/退出；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多功能按键：a.短按多功能按键，可实现播放/暂停音视频或flash；b.双击此按键，可实现空鼠/放大镜/聚光灯等功能切换，切换顺序空鼠&gt;放大镜&gt;聚光灯；c.长按此按键即可实现对应功能(空鼠/放大镜/聚光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7.语音：内置麦克风，支持按键唤醒语音识别功能，避免杂音造成误唤醒；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9.支持白板软件内，通过语音控制：切换书写、擦除、选择模式，最小化返回桌面，打开板中板，清空书写批注等操作；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10.支持按键调起批注功能，可通过按键实现批注颜色切换，长按按键可实现橡皮擦功能。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11.为保障用户在不同场景使用智能笔，支持无线dongle及蓝牙两种连接方式，支持蓝牙5.1协议；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12.无线dongle&amp;蓝牙连接距离≥12m，上下翻页/语音控制/远程批注实现距离≥12m，覆盖标准教室；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13.内置锂电池，支持type-c充电，待机时间≥60h，连续书写时间≥8h，从无电到满电的充电时长≤1小时；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支持智能休眠节电，当设备&gt;5min无人操作时，设备自动进入休眠节电模式；</w:t>
            </w:r>
          </w:p>
        </w:tc>
        <w:tc>
          <w:tcPr>
            <w:tcW w:w="736" w:type="dxa"/>
            <w:noWrap w:val="0"/>
            <w:vAlign w:val="center"/>
          </w:tcPr>
          <w:p w14:paraId="7CEBE24C">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834" w:type="dxa"/>
            <w:noWrap w:val="0"/>
            <w:vAlign w:val="center"/>
          </w:tcPr>
          <w:p w14:paraId="0A3DC98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w:t>
            </w:r>
          </w:p>
        </w:tc>
        <w:tc>
          <w:tcPr>
            <w:tcW w:w="3381" w:type="dxa"/>
            <w:noWrap w:val="0"/>
            <w:vAlign w:val="center"/>
          </w:tcPr>
          <w:p w14:paraId="78E8179D">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687070" cy="1866900"/>
                  <wp:effectExtent l="0" t="0" r="0" b="1143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27"/>
                          <a:stretch>
                            <a:fillRect/>
                          </a:stretch>
                        </pic:blipFill>
                        <pic:spPr>
                          <a:xfrm rot="-5400000">
                            <a:off x="0" y="0"/>
                            <a:ext cx="687070" cy="1866900"/>
                          </a:xfrm>
                          <a:prstGeom prst="rect">
                            <a:avLst/>
                          </a:prstGeom>
                          <a:noFill/>
                          <a:ln>
                            <a:noFill/>
                          </a:ln>
                        </pic:spPr>
                      </pic:pic>
                    </a:graphicData>
                  </a:graphic>
                </wp:inline>
              </w:drawing>
            </w:r>
          </w:p>
        </w:tc>
        <w:tc>
          <w:tcPr>
            <w:tcW w:w="710" w:type="dxa"/>
            <w:noWrap w:val="0"/>
            <w:vAlign w:val="center"/>
          </w:tcPr>
          <w:p w14:paraId="72FE9E73">
            <w:pPr>
              <w:keepNext w:val="0"/>
              <w:keepLines w:val="0"/>
              <w:widowControl/>
              <w:suppressLineNumbers w:val="0"/>
              <w:jc w:val="center"/>
              <w:textAlignment w:val="center"/>
              <w:rPr>
                <w:rFonts w:hint="eastAsia"/>
                <w:color w:val="auto"/>
                <w:highlight w:val="none"/>
                <w:vertAlign w:val="baseline"/>
                <w:lang w:val="en-US" w:eastAsia="zh-CN"/>
              </w:rPr>
            </w:pPr>
          </w:p>
        </w:tc>
      </w:tr>
      <w:tr w14:paraId="79A9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14:paraId="4F14C22C">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w:t>
            </w:r>
          </w:p>
        </w:tc>
        <w:tc>
          <w:tcPr>
            <w:tcW w:w="1690" w:type="dxa"/>
            <w:noWrap w:val="0"/>
            <w:vAlign w:val="center"/>
          </w:tcPr>
          <w:p w14:paraId="7121A6F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多媒体设备集中管理控制系统</w:t>
            </w:r>
          </w:p>
        </w:tc>
        <w:tc>
          <w:tcPr>
            <w:tcW w:w="5928" w:type="dxa"/>
            <w:noWrap w:val="0"/>
            <w:vAlign w:val="center"/>
          </w:tcPr>
          <w:p w14:paraId="560919C9">
            <w:pPr>
              <w:keepNext w:val="0"/>
              <w:keepLines w:val="0"/>
              <w:widowControl/>
              <w:suppressLineNumbers w:val="0"/>
              <w:jc w:val="left"/>
              <w:textAlignment w:val="center"/>
              <w:rPr>
                <w:rFonts w:hint="eastAsia" w:ascii="宋体" w:hAnsi="宋体" w:cs="宋体"/>
                <w:b/>
                <w:bCs/>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一、整体设计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1、管理平台采用B/S混合云架构设计，无需本地额外部署服务器等设备，即可支持对教学信息化设备运行数据的监测。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2、支持在Windows、Linux、Android、IOS等多种操作系统通过网页浏览器登陆操作，提供多种智能身份识别方式：支持通过账号登录、手机扫码登录等方式。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3、管理平台提供管理员移动管理平台，免安装并支持Android、IOS等多种移动操作系统，便于远程管理及告警信息通知。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二、智能教学设备管理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1、管理平台为学校提供专属识别代码，可支持交互智能设备在广域网环境下，输入专属代码接入管理平台即可在通过管理平台可开启或关闭指定交互智能设备的任意磁盘分区数据还原（冰点）保护。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管理平台实时监控已连接的交互智能设备状态，支持多台设备的略缩预览和单设备全屏查看；可远程监控交互智能设备开关机状态、CPU温度、CPU使用率、硬盘空间、硬盘已使用状况、内存容量、内存使用率、管理软件版本、设备ID。</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3、支持不少于 10 台设备的略缩预览。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4、管理平台可对局域网内的交互智能终端进行远程实时控制，能够监控设备当前运行界面，并远程对设备操作界面进行控制。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5、管理平台可控制连接广域网的交互智能设备整机关机、开机和重启；可批量设定智能设备开关机的执行时间，并支持自定义循环模式（循环操作、定时操作）。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6、管理平台可远程对选定的交互智能设备推送动态文字滚动公告，可对公告文字的颜色、粗体以及播放次数、推送时间进行设置。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7、管理平台可远程开启指定交互智能设备倒计日功能并设定倒计日截止日期。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8、管理平台提供巡课值守模式，自动轮循显示所有的交互智能设备使用界面。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9、管理平台实时显示交互智能设备异常的告警提示，并同步将异常信息推送至管理员移动端工作平台。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三、音视频直播功能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1、常见直播时可自动检测当前设备直播环境，并友好提示用户部署环境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2、支持不少于6路直播源并行发起直播，提供不少于4种直播模式（桌面直播、桌面+视频直播、视频直播、音频直播）供选择。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3、直播方可实时查看直播接收方场所的现场画面，实时了解直播情况。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4、支持外接麦克风、摄像头进行直播，提供多种画质选择。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5、支持实时统计显示直播源码率、FPS等数据。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四、安全应用防护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1、管理平台可远程对运行状态 下的交互智能设备批量进行本地系统启动盘的冻结、解冻（冰点保护）。冻结的设备重启后会自动还原到冻结前 的状态，即本地系统启动盘 的数据及系统更改会自动恢复至冻结前状态。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2、管理平台可实时监控开启冰点保护设备数量、安装冰点保护设备数量、磁盘冰冻状态等，并提示冰点风险，方便用户管理一体机系统环境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管理平台可开启或关闭指定交互智能设备的任意磁盘分区数据还原（冰点）保护。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3、管理平台可随时查看所有弹窗拦截的设备数和历史拦截的条数。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4管理平台可开启或关闭全校所有设备的弹窗拦截功能。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5、管理平台可远程批量拦截弹窗，适用于所有关联本学校的交互智能设备。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五、多设备接入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1、平台支持对全校智慧教室的教学信息化设备进行集中运维管理和策略部署。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2、支持多设备接入，与交互智能教学设备、学生智能终端等教学设备对。</w:t>
            </w:r>
          </w:p>
        </w:tc>
        <w:tc>
          <w:tcPr>
            <w:tcW w:w="736" w:type="dxa"/>
            <w:noWrap w:val="0"/>
            <w:vAlign w:val="center"/>
          </w:tcPr>
          <w:p w14:paraId="6F563F3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834" w:type="dxa"/>
            <w:noWrap w:val="0"/>
            <w:vAlign w:val="center"/>
          </w:tcPr>
          <w:p w14:paraId="7EA174F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套</w:t>
            </w:r>
          </w:p>
        </w:tc>
        <w:tc>
          <w:tcPr>
            <w:tcW w:w="3381" w:type="dxa"/>
            <w:noWrap w:val="0"/>
            <w:vAlign w:val="center"/>
          </w:tcPr>
          <w:p w14:paraId="1E5AAFC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color w:val="auto"/>
                <w:highlight w:val="none"/>
              </w:rPr>
              <w:drawing>
                <wp:inline distT="0" distB="0" distL="114300" distR="114300">
                  <wp:extent cx="1539240" cy="1166495"/>
                  <wp:effectExtent l="0" t="0" r="10160" b="1905"/>
                  <wp:docPr id="8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1"/>
                          <pic:cNvPicPr>
                            <a:picLocks noChangeAspect="1"/>
                          </pic:cNvPicPr>
                        </pic:nvPicPr>
                        <pic:blipFill>
                          <a:blip r:embed="rId28"/>
                          <a:stretch>
                            <a:fillRect/>
                          </a:stretch>
                        </pic:blipFill>
                        <pic:spPr>
                          <a:xfrm>
                            <a:off x="0" y="0"/>
                            <a:ext cx="1539240" cy="1166495"/>
                          </a:xfrm>
                          <a:prstGeom prst="rect">
                            <a:avLst/>
                          </a:prstGeom>
                          <a:noFill/>
                          <a:ln>
                            <a:noFill/>
                          </a:ln>
                        </pic:spPr>
                      </pic:pic>
                    </a:graphicData>
                  </a:graphic>
                </wp:inline>
              </w:drawing>
            </w:r>
          </w:p>
        </w:tc>
        <w:tc>
          <w:tcPr>
            <w:tcW w:w="710" w:type="dxa"/>
            <w:noWrap w:val="0"/>
            <w:vAlign w:val="center"/>
          </w:tcPr>
          <w:p w14:paraId="24E49AEA">
            <w:pPr>
              <w:keepNext w:val="0"/>
              <w:keepLines w:val="0"/>
              <w:widowControl/>
              <w:suppressLineNumbers w:val="0"/>
              <w:jc w:val="center"/>
              <w:textAlignment w:val="center"/>
              <w:rPr>
                <w:rFonts w:hint="eastAsia"/>
                <w:color w:val="auto"/>
                <w:highlight w:val="none"/>
                <w:vertAlign w:val="baseline"/>
                <w:lang w:val="en-US" w:eastAsia="zh-CN"/>
              </w:rPr>
            </w:pPr>
          </w:p>
        </w:tc>
      </w:tr>
    </w:tbl>
    <w:tbl>
      <w:tblPr>
        <w:tblStyle w:val="37"/>
        <w:tblW w:w="14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9732"/>
      </w:tblGrid>
      <w:tr w14:paraId="75CC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14149" w:type="dxa"/>
            <w:gridSpan w:val="2"/>
            <w:vAlign w:val="center"/>
          </w:tcPr>
          <w:p w14:paraId="7B8D0125">
            <w:pPr>
              <w:spacing w:line="440" w:lineRule="exact"/>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本项目预算金额为：A标段：人民币壹佰贰拾贰万柒仟伍佰元整 （1227500.00元），B标段：人民币壹佰叁拾肆万陆仟肆佰贰拾柒元整（1346427.00元），C标段：人民币贰佰玖拾壹万陆仟元整（2916000.00元）</w:t>
            </w:r>
          </w:p>
          <w:p w14:paraId="781768A3">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注：报价方案是唯一确定的，同时不得高于预算金额（最高限价），否则将被视为无效投标。</w:t>
            </w:r>
          </w:p>
        </w:tc>
      </w:tr>
      <w:tr w14:paraId="3BF1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49" w:type="dxa"/>
            <w:gridSpan w:val="2"/>
            <w:vAlign w:val="center"/>
          </w:tcPr>
          <w:p w14:paraId="2D106A97">
            <w:pPr>
              <w:tabs>
                <w:tab w:val="left" w:pos="360"/>
                <w:tab w:val="left" w:pos="425"/>
              </w:tabs>
              <w:spacing w:line="360" w:lineRule="exact"/>
              <w:rPr>
                <w:rFonts w:ascii="宋体" w:hAnsi="宋体" w:eastAsia="宋体" w:cs="宋体"/>
                <w:b/>
                <w:color w:val="auto"/>
                <w:szCs w:val="21"/>
                <w:highlight w:val="none"/>
              </w:rPr>
            </w:pPr>
            <w:r>
              <w:rPr>
                <w:rFonts w:hint="eastAsia" w:ascii="宋体" w:hAnsi="宋体" w:eastAsia="宋体" w:cs="宋体"/>
                <w:b/>
                <w:color w:val="auto"/>
                <w:szCs w:val="21"/>
                <w:highlight w:val="none"/>
              </w:rPr>
              <w:t>二、商务要求表</w:t>
            </w:r>
          </w:p>
        </w:tc>
      </w:tr>
      <w:tr w14:paraId="33F5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40BF6BB5">
            <w:pPr>
              <w:snapToGrid w:val="0"/>
              <w:spacing w:line="360" w:lineRule="exact"/>
              <w:jc w:val="center"/>
              <w:rPr>
                <w:rFonts w:ascii="宋体" w:hAnsi="宋体" w:eastAsia="宋体" w:cs="宋体"/>
                <w:b/>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质保期</w:t>
            </w:r>
          </w:p>
        </w:tc>
        <w:tc>
          <w:tcPr>
            <w:tcW w:w="9732" w:type="dxa"/>
            <w:vAlign w:val="center"/>
          </w:tcPr>
          <w:p w14:paraId="0910CFAB">
            <w:pPr>
              <w:adjustRightInd w:val="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1、质保期从验收合格之日起计算，质保期除“技术参数及性能(配置)要求”中有特别要求的，所有货物质保期3年，质保</w:t>
            </w:r>
            <w:r>
              <w:rPr>
                <w:rFonts w:hint="eastAsia" w:ascii="宋体" w:hAnsi="宋体" w:eastAsia="宋体" w:cs="宋体"/>
                <w:color w:val="auto"/>
                <w:kern w:val="0"/>
                <w:szCs w:val="21"/>
                <w:highlight w:val="none"/>
                <w:lang w:eastAsia="zh-CN"/>
              </w:rPr>
              <w:t>期</w:t>
            </w:r>
            <w:r>
              <w:rPr>
                <w:rFonts w:hint="eastAsia" w:ascii="宋体" w:hAnsi="宋体" w:eastAsia="宋体" w:cs="宋体"/>
                <w:color w:val="auto"/>
                <w:kern w:val="0"/>
                <w:szCs w:val="21"/>
                <w:highlight w:val="none"/>
              </w:rPr>
              <w:t>内产品实行三包。设备终身维护，保修 期内免费更换所有故障零配件，并免费提供设备的系统软件及硬件的安全性改版升级和技术支持，确保设备正常运行。</w:t>
            </w:r>
          </w:p>
          <w:p w14:paraId="389E6651">
            <w:pPr>
              <w:adjustRightInd w:val="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2、质保期所更换的零配件必须是原厂全新的零配件，满足设备运行要求。</w:t>
            </w:r>
          </w:p>
          <w:p w14:paraId="55A61071">
            <w:pPr>
              <w:adjustRightInd w:val="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3、质保期内每年提供4次设备检查保养服务(使用专业检测设备),每次保养及维修均需提供双方签字确认的保养服务工单或维修工单。</w:t>
            </w:r>
          </w:p>
          <w:p w14:paraId="7C5BF90B">
            <w:pPr>
              <w:adjustRightInd w:val="0"/>
              <w:rPr>
                <w:rFonts w:ascii="宋体" w:hAnsi="宋体" w:eastAsia="宋体" w:cs="宋体"/>
                <w:b/>
                <w:color w:val="auto"/>
                <w:szCs w:val="21"/>
                <w:highlight w:val="none"/>
              </w:rPr>
            </w:pPr>
            <w:r>
              <w:rPr>
                <w:rFonts w:hint="eastAsia" w:ascii="宋体" w:hAnsi="宋体" w:eastAsia="宋体" w:cs="宋体"/>
                <w:color w:val="auto"/>
                <w:kern w:val="0"/>
                <w:szCs w:val="21"/>
                <w:highlight w:val="none"/>
              </w:rPr>
              <w:t>4、质量保证期承诺优于国家“三包”规定的，或优于采购文件规定的，按投标人实际承诺执行。</w:t>
            </w:r>
          </w:p>
        </w:tc>
      </w:tr>
      <w:tr w14:paraId="5A28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7A0C84F0">
            <w:pPr>
              <w:snapToGrid w:val="0"/>
              <w:spacing w:line="360" w:lineRule="exact"/>
              <w:jc w:val="center"/>
              <w:rPr>
                <w:rFonts w:ascii="宋体" w:hAnsi="宋体" w:eastAsia="宋体" w:cs="宋体"/>
                <w:b/>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交付使用期及交货地点</w:t>
            </w:r>
          </w:p>
        </w:tc>
        <w:tc>
          <w:tcPr>
            <w:tcW w:w="9732" w:type="dxa"/>
            <w:vAlign w:val="center"/>
          </w:tcPr>
          <w:p w14:paraId="47D13ED4">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交</w:t>
            </w:r>
            <w:r>
              <w:rPr>
                <w:rFonts w:hint="eastAsia" w:ascii="宋体" w:hAnsi="宋体" w:eastAsia="宋体" w:cs="宋体"/>
                <w:color w:val="auto"/>
                <w:highlight w:val="none"/>
                <w:lang w:val="en-US" w:eastAsia="zh-CN"/>
              </w:rPr>
              <w:t>货时间</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合同履约期限</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szCs w:val="21"/>
                <w:highlight w:val="none"/>
              </w:rPr>
              <w:t>签订合</w:t>
            </w:r>
            <w:r>
              <w:rPr>
                <w:rFonts w:hint="eastAsia" w:ascii="宋体" w:hAnsi="宋体" w:eastAsia="宋体" w:cs="宋体"/>
                <w:color w:val="auto"/>
                <w:szCs w:val="21"/>
                <w:highlight w:val="none"/>
                <w:lang w:eastAsia="zh-CN"/>
              </w:rPr>
              <w:t>同之日起</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lang w:eastAsia="zh-CN"/>
              </w:rPr>
              <w:t>日历天内交货</w:t>
            </w:r>
            <w:r>
              <w:rPr>
                <w:rFonts w:hint="eastAsia" w:ascii="宋体" w:hAnsi="宋体" w:eastAsia="宋体" w:cs="宋体"/>
                <w:color w:val="auto"/>
                <w:szCs w:val="21"/>
                <w:highlight w:val="none"/>
              </w:rPr>
              <w:t>并安装调试完毕</w:t>
            </w:r>
            <w:r>
              <w:rPr>
                <w:rFonts w:hint="eastAsia" w:ascii="宋体" w:hAnsi="宋体" w:eastAsia="宋体" w:cs="宋体"/>
                <w:color w:val="auto"/>
                <w:highlight w:val="none"/>
              </w:rPr>
              <w:t>；</w:t>
            </w:r>
          </w:p>
          <w:p w14:paraId="604108A0">
            <w:pPr>
              <w:pStyle w:val="20"/>
              <w:snapToGrid w:val="0"/>
              <w:spacing w:line="360" w:lineRule="exact"/>
              <w:jc w:val="left"/>
              <w:outlineLvl w:val="0"/>
              <w:rPr>
                <w:rFonts w:ascii="宋体" w:hAnsi="宋体" w:eastAsia="宋体" w:cs="宋体"/>
                <w:b/>
                <w:color w:val="auto"/>
                <w:szCs w:val="21"/>
                <w:highlight w:val="none"/>
              </w:rPr>
            </w:pPr>
            <w:r>
              <w:rPr>
                <w:rFonts w:hint="eastAsia" w:ascii="宋体" w:hAnsi="宋体" w:eastAsia="宋体" w:cs="宋体"/>
                <w:color w:val="auto"/>
                <w:highlight w:val="none"/>
              </w:rPr>
              <w:t>交付地点：巴马瑶族自治县教育局指定地点。</w:t>
            </w:r>
          </w:p>
        </w:tc>
      </w:tr>
      <w:tr w14:paraId="554E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5998CC31">
            <w:pPr>
              <w:snapToGrid w:val="0"/>
              <w:spacing w:line="360" w:lineRule="exact"/>
              <w:jc w:val="center"/>
              <w:rPr>
                <w:rFonts w:ascii="宋体" w:hAnsi="宋体" w:eastAsia="宋体" w:cs="宋体"/>
                <w:b/>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售后服务保障或维修响应时间要求</w:t>
            </w:r>
          </w:p>
        </w:tc>
        <w:tc>
          <w:tcPr>
            <w:tcW w:w="9732" w:type="dxa"/>
            <w:vAlign w:val="center"/>
          </w:tcPr>
          <w:p w14:paraId="37F0B6AC">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1.负责送货上门，负责安装调试合格，安装完成后成交供应商负责清理产生的木箱等垃圾，并负责现场培训2～3名相关人员至掌握设备操作及日常维护。安装、调试和培训所需的工具、器材以及差旅费、运费和相关税费，均由成交供应商自理。</w:t>
            </w:r>
          </w:p>
          <w:p w14:paraId="5C9468E9">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2.质量服务要求</w:t>
            </w:r>
          </w:p>
          <w:p w14:paraId="2FB9F6BB">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2.1设备交货时须提供设备合格的检测报告，全套说明书并包括简易的中文操作说明和注意事项，及设备、生产厂家、供货商的相关资质证明。</w:t>
            </w:r>
          </w:p>
          <w:p w14:paraId="5B0E00CC">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2.2设备交付使用后，在质保期如设备发生故障时，如需更换配件，则小配件3个工作日内更换完毕，大配件7个工作日内更换完毕，当配件等待周期大于7个工作日时，成交供应商应按照科室要求提供备用机。配件最后调换，成交供应商提供的配件质保从纠正之日起重新计算质保期。</w:t>
            </w:r>
          </w:p>
          <w:p w14:paraId="4E7E779D">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2.3所供货设备不能涉及任何知识产权方面的法律纠纷。</w:t>
            </w:r>
          </w:p>
          <w:p w14:paraId="7AC28DEA">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2.4售后服务：设备出现故障2小时内响应，24小时内到达现场维修，一般问题应在48小时内解决，重大问题或其它无法迅速解决的问题应在一周内解决（特殊配件更换除外）。</w:t>
            </w:r>
          </w:p>
          <w:p w14:paraId="2E1A342A">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3.各项性能指标达到技术要求的，由供需双方共同签字认可，现场验收。</w:t>
            </w:r>
          </w:p>
          <w:p w14:paraId="27E2EF52">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4.定期回访以及对设备维护。</w:t>
            </w:r>
          </w:p>
          <w:p w14:paraId="5FEF383A">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5.产品生产厂家在中国大陆境内设有可受理售后服务事务的全国统一的免费服务专线电话，如400或800服务电话等。</w:t>
            </w:r>
          </w:p>
          <w:p w14:paraId="5545DEF0">
            <w:pPr>
              <w:snapToGrid w:val="0"/>
              <w:spacing w:line="440" w:lineRule="exact"/>
              <w:rPr>
                <w:rFonts w:ascii="宋体" w:hAnsi="宋体" w:eastAsia="宋体" w:cs="宋体"/>
                <w:color w:val="auto"/>
                <w:highlight w:val="none"/>
              </w:rPr>
            </w:pPr>
            <w:r>
              <w:rPr>
                <w:rFonts w:hint="eastAsia" w:ascii="宋体" w:hAnsi="宋体" w:eastAsia="宋体" w:cs="宋体"/>
                <w:color w:val="auto"/>
                <w:highlight w:val="none"/>
              </w:rPr>
              <w:t>6.质保期内所有其它伴随服务的费用均应包含在合同价中，采购人不再另行支付任何费用。</w:t>
            </w:r>
          </w:p>
          <w:p w14:paraId="2EB30206">
            <w:pPr>
              <w:pStyle w:val="20"/>
              <w:spacing w:line="360" w:lineRule="exact"/>
              <w:jc w:val="left"/>
              <w:rPr>
                <w:rFonts w:ascii="宋体" w:hAnsi="宋体" w:eastAsia="宋体" w:cs="宋体"/>
                <w:b/>
                <w:color w:val="auto"/>
                <w:szCs w:val="21"/>
                <w:highlight w:val="none"/>
              </w:rPr>
            </w:pPr>
            <w:r>
              <w:rPr>
                <w:rFonts w:hint="eastAsia" w:ascii="宋体" w:hAnsi="宋体" w:eastAsia="宋体" w:cs="宋体"/>
                <w:color w:val="auto"/>
                <w:highlight w:val="none"/>
              </w:rPr>
              <w:t>7.软件终身免费升级，免费开放无限量终端接口。</w:t>
            </w:r>
          </w:p>
        </w:tc>
      </w:tr>
      <w:tr w14:paraId="07D7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4CA0B01B">
            <w:pPr>
              <w:snapToGrid w:val="0"/>
              <w:spacing w:line="360" w:lineRule="exact"/>
              <w:jc w:val="center"/>
              <w:rPr>
                <w:rFonts w:ascii="宋体" w:hAnsi="宋体" w:eastAsia="宋体" w:cs="宋体"/>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付款条件</w:t>
            </w:r>
          </w:p>
          <w:p w14:paraId="1F5A11BE">
            <w:pPr>
              <w:snapToGrid w:val="0"/>
              <w:spacing w:line="360" w:lineRule="exact"/>
              <w:jc w:val="center"/>
              <w:rPr>
                <w:rFonts w:ascii="宋体" w:hAnsi="宋体" w:eastAsia="宋体" w:cs="宋体"/>
                <w:b/>
                <w:color w:val="auto"/>
                <w:szCs w:val="21"/>
                <w:highlight w:val="none"/>
              </w:rPr>
            </w:pPr>
          </w:p>
        </w:tc>
        <w:tc>
          <w:tcPr>
            <w:tcW w:w="9732" w:type="dxa"/>
            <w:vAlign w:val="center"/>
          </w:tcPr>
          <w:p w14:paraId="4058CC17">
            <w:pPr>
              <w:spacing w:line="360" w:lineRule="exact"/>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1.合同签订货物安装并验收合格后</w:t>
            </w:r>
            <w:r>
              <w:rPr>
                <w:rFonts w:hint="eastAsia" w:ascii="宋体" w:hAnsi="宋体" w:eastAsia="宋体" w:cs="宋体"/>
                <w:b/>
                <w:bCs/>
                <w:color w:val="auto"/>
                <w:szCs w:val="21"/>
                <w:highlight w:val="none"/>
                <w:lang w:eastAsia="zh-CN"/>
              </w:rPr>
              <w:t>在</w:t>
            </w:r>
            <w:r>
              <w:rPr>
                <w:rFonts w:hint="eastAsia" w:ascii="宋体" w:hAnsi="宋体" w:eastAsia="宋体" w:cs="宋体"/>
                <w:b/>
                <w:bCs/>
                <w:color w:val="auto"/>
                <w:szCs w:val="21"/>
                <w:highlight w:val="none"/>
                <w:lang w:val="en-US" w:eastAsia="zh-CN"/>
              </w:rPr>
              <w:t>10个工作日</w:t>
            </w:r>
            <w:r>
              <w:rPr>
                <w:rFonts w:hint="eastAsia" w:ascii="宋体" w:hAnsi="宋体" w:eastAsia="宋体" w:cs="宋体"/>
                <w:b/>
                <w:bCs/>
                <w:color w:val="auto"/>
                <w:szCs w:val="21"/>
                <w:highlight w:val="none"/>
                <w:lang w:eastAsia="zh-CN"/>
              </w:rPr>
              <w:t>内，采购人向财政国库申请</w:t>
            </w:r>
            <w:r>
              <w:rPr>
                <w:rFonts w:hint="eastAsia" w:ascii="宋体" w:hAnsi="宋体" w:eastAsia="宋体" w:cs="宋体"/>
                <w:b/>
                <w:bCs/>
                <w:color w:val="auto"/>
                <w:szCs w:val="21"/>
                <w:highlight w:val="none"/>
              </w:rPr>
              <w:t>支付合同总金额</w:t>
            </w:r>
            <w:r>
              <w:rPr>
                <w:rFonts w:hint="eastAsia" w:ascii="宋体" w:hAnsi="宋体" w:eastAsia="宋体" w:cs="宋体"/>
                <w:b/>
                <w:bCs/>
                <w:color w:val="auto"/>
                <w:szCs w:val="21"/>
                <w:highlight w:val="none"/>
                <w:lang w:val="en-US" w:eastAsia="zh-CN"/>
              </w:rPr>
              <w:t>10</w:t>
            </w:r>
            <w:r>
              <w:rPr>
                <w:rFonts w:hint="eastAsia" w:ascii="宋体" w:hAnsi="宋体" w:eastAsia="宋体" w:cs="宋体"/>
                <w:b/>
                <w:bCs/>
                <w:color w:val="auto"/>
                <w:szCs w:val="21"/>
                <w:highlight w:val="none"/>
              </w:rPr>
              <w:t>0%的货款</w:t>
            </w:r>
            <w:r>
              <w:rPr>
                <w:rFonts w:hint="eastAsia" w:ascii="宋体" w:hAnsi="宋体" w:eastAsia="宋体" w:cs="宋体"/>
                <w:b/>
                <w:bCs/>
                <w:color w:val="auto"/>
                <w:szCs w:val="21"/>
                <w:highlight w:val="none"/>
                <w:lang w:eastAsia="zh-CN"/>
              </w:rPr>
              <w:t>手续。</w:t>
            </w:r>
          </w:p>
          <w:p w14:paraId="049503C2">
            <w:pPr>
              <w:spacing w:line="360" w:lineRule="exact"/>
              <w:jc w:val="left"/>
              <w:rPr>
                <w:rFonts w:ascii="宋体" w:hAnsi="宋体" w:eastAsia="宋体" w:cs="宋体"/>
                <w:b/>
                <w:color w:val="auto"/>
                <w:szCs w:val="21"/>
                <w:highlight w:val="none"/>
              </w:rPr>
            </w:pPr>
            <w:r>
              <w:rPr>
                <w:rFonts w:hint="eastAsia" w:ascii="宋体" w:hAnsi="宋体" w:eastAsia="宋体" w:cs="宋体"/>
                <w:b/>
                <w:bCs/>
                <w:color w:val="auto"/>
                <w:szCs w:val="21"/>
                <w:highlight w:val="none"/>
              </w:rPr>
              <w:t>2.付款时，成交供应商须提供符合要求的发票给甲方，否则甲方的付款期限顺延且不构成违约。成交供应商应当确保发票真实无误且合法有效，如发现存在虚假发票或违规发票的，成交供应商须赔偿采购人发票票面金额一倍的违约金，且采购人有权终止合同，因终止合同而产生的一切损失均由成交供应商承担。</w:t>
            </w:r>
          </w:p>
        </w:tc>
      </w:tr>
      <w:tr w14:paraId="270C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53056961">
            <w:pPr>
              <w:snapToGrid w:val="0"/>
              <w:spacing w:line="360" w:lineRule="exact"/>
              <w:jc w:val="center"/>
              <w:rPr>
                <w:rFonts w:ascii="宋体" w:hAnsi="宋体" w:eastAsia="宋体" w:cs="宋体"/>
                <w:b/>
                <w:color w:val="auto"/>
                <w:szCs w:val="21"/>
                <w:highlight w:val="none"/>
              </w:rPr>
            </w:pPr>
            <w:r>
              <w:rPr>
                <w:rFonts w:hint="eastAsia" w:ascii="宋体" w:hAnsi="宋体" w:eastAsia="宋体" w:cs="宋体"/>
                <w:color w:val="auto"/>
                <w:szCs w:val="21"/>
                <w:highlight w:val="none"/>
              </w:rPr>
              <w:t>备品备件及耗材等要求</w:t>
            </w:r>
          </w:p>
        </w:tc>
        <w:tc>
          <w:tcPr>
            <w:tcW w:w="9732" w:type="dxa"/>
            <w:vAlign w:val="center"/>
          </w:tcPr>
          <w:p w14:paraId="03B236B9">
            <w:pPr>
              <w:spacing w:line="3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1、投标产品如包括必备的易损易耗备品备件和专用工具，投标人应提供其清单。</w:t>
            </w:r>
          </w:p>
          <w:p w14:paraId="28461ADE">
            <w:pPr>
              <w:spacing w:line="360" w:lineRule="exact"/>
              <w:jc w:val="left"/>
              <w:rPr>
                <w:rFonts w:ascii="宋体" w:hAnsi="宋体" w:eastAsia="宋体" w:cs="宋体"/>
                <w:b/>
                <w:color w:val="auto"/>
                <w:szCs w:val="21"/>
                <w:highlight w:val="none"/>
              </w:rPr>
            </w:pPr>
            <w:r>
              <w:rPr>
                <w:rFonts w:hint="eastAsia" w:ascii="宋体" w:hAnsi="宋体" w:eastAsia="宋体" w:cs="宋体"/>
                <w:color w:val="auto"/>
                <w:szCs w:val="21"/>
                <w:highlight w:val="none"/>
              </w:rPr>
              <w:t>2、投标人常年备有货物配件，能及时处理、更换损坏的零部件。</w:t>
            </w:r>
          </w:p>
        </w:tc>
      </w:tr>
      <w:tr w14:paraId="7243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49" w:type="dxa"/>
            <w:gridSpan w:val="2"/>
            <w:vAlign w:val="center"/>
          </w:tcPr>
          <w:p w14:paraId="1D3F3E14">
            <w:pPr>
              <w:spacing w:line="360" w:lineRule="exact"/>
              <w:jc w:val="left"/>
              <w:rPr>
                <w:rFonts w:ascii="宋体" w:hAnsi="宋体" w:eastAsia="宋体" w:cs="宋体"/>
                <w:color w:val="auto"/>
                <w:kern w:val="0"/>
                <w:szCs w:val="21"/>
                <w:highlight w:val="none"/>
              </w:rPr>
            </w:pPr>
            <w:r>
              <w:rPr>
                <w:rFonts w:hint="eastAsia" w:ascii="宋体" w:hAnsi="宋体" w:eastAsia="宋体" w:cs="宋体"/>
                <w:b/>
                <w:color w:val="auto"/>
                <w:szCs w:val="21"/>
                <w:highlight w:val="none"/>
              </w:rPr>
              <w:t>三、其他要求及说明</w:t>
            </w:r>
          </w:p>
        </w:tc>
      </w:tr>
      <w:tr w14:paraId="0012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2C0ECAB5">
            <w:pPr>
              <w:snapToGrid w:val="0"/>
              <w:spacing w:line="360" w:lineRule="exact"/>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政策性加分条件</w:t>
            </w:r>
          </w:p>
        </w:tc>
        <w:tc>
          <w:tcPr>
            <w:tcW w:w="9732" w:type="dxa"/>
            <w:vAlign w:val="center"/>
          </w:tcPr>
          <w:p w14:paraId="27E7D838">
            <w:pPr>
              <w:snapToGrid w:val="0"/>
              <w:spacing w:line="360" w:lineRule="exact"/>
              <w:jc w:val="left"/>
              <w:rPr>
                <w:rFonts w:ascii="宋体" w:hAnsi="宋体" w:eastAsia="宋体" w:cs="宋体"/>
                <w:color w:val="auto"/>
                <w:kern w:val="0"/>
                <w:szCs w:val="21"/>
                <w:highlight w:val="none"/>
              </w:rPr>
            </w:pPr>
            <w:r>
              <w:rPr>
                <w:rFonts w:hint="eastAsia" w:ascii="宋体" w:hAnsi="宋体" w:eastAsia="宋体" w:cs="宋体"/>
                <w:color w:val="auto"/>
                <w:szCs w:val="21"/>
                <w:highlight w:val="none"/>
              </w:rPr>
              <w:t>产品符合环保节能等国家政策要求。</w:t>
            </w:r>
          </w:p>
        </w:tc>
      </w:tr>
      <w:tr w14:paraId="25AB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7AA7E8E2">
            <w:pPr>
              <w:snapToGrid w:val="0"/>
              <w:spacing w:line="360" w:lineRule="exact"/>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其他要求</w:t>
            </w:r>
          </w:p>
        </w:tc>
        <w:tc>
          <w:tcPr>
            <w:tcW w:w="9732" w:type="dxa"/>
          </w:tcPr>
          <w:p w14:paraId="6B32FDCB">
            <w:pPr>
              <w:spacing w:line="360" w:lineRule="exact"/>
              <w:rPr>
                <w:rFonts w:ascii="宋体" w:hAnsi="宋体" w:eastAsia="宋体" w:cs="宋体"/>
                <w:color w:val="auto"/>
                <w:highlight w:val="none"/>
              </w:rPr>
            </w:pPr>
            <w:r>
              <w:rPr>
                <w:rFonts w:hint="eastAsia" w:ascii="宋体" w:hAnsi="宋体" w:eastAsia="宋体" w:cs="宋体"/>
                <w:color w:val="auto"/>
                <w:highlight w:val="none"/>
              </w:rPr>
              <w:t>1、投标产品须是按厂家出厂标准配置提供的整套全新，具备正规合法经销渠道，符合国家各项有关质量标准的合格产品。相关部件及服务须满足本表中各项要求。所有设备除满足上表要求的技术参数和配置外，其余均按国家标准及生产厂家出厂标准配置，若产品在运输过程中损坏须无偿调换同样产品。</w:t>
            </w:r>
          </w:p>
          <w:p w14:paraId="126A2DE5">
            <w:pPr>
              <w:spacing w:line="360" w:lineRule="exact"/>
              <w:rPr>
                <w:rFonts w:ascii="宋体" w:hAnsi="宋体" w:eastAsia="宋体" w:cs="宋体"/>
                <w:color w:val="auto"/>
                <w:highlight w:val="none"/>
              </w:rPr>
            </w:pPr>
            <w:r>
              <w:rPr>
                <w:rFonts w:hint="eastAsia" w:ascii="宋体" w:hAnsi="宋体" w:eastAsia="宋体" w:cs="宋体"/>
                <w:color w:val="auto"/>
                <w:highlight w:val="none"/>
              </w:rPr>
              <w:t>2、设备到货安装前须向采购人提供中标产品生产厂家或国内总代理对外公开发布的产品彩页或说明书（其中应包含有详细的技术参数）原件，采购人依此标准对中标产品按采购需求逐条核验，如参数或尺寸有不符的采购人有权不予验收，由此造成的损失由中标供应商负责；</w:t>
            </w:r>
          </w:p>
          <w:p w14:paraId="455887AE">
            <w:pPr>
              <w:spacing w:line="360" w:lineRule="exact"/>
              <w:rPr>
                <w:rFonts w:ascii="宋体" w:hAnsi="宋体" w:eastAsia="宋体" w:cs="宋体"/>
                <w:color w:val="auto"/>
                <w:highlight w:val="none"/>
              </w:rPr>
            </w:pPr>
            <w:r>
              <w:rPr>
                <w:rFonts w:hint="eastAsia" w:ascii="宋体" w:hAnsi="宋体" w:eastAsia="宋体" w:cs="宋体"/>
                <w:color w:val="auto"/>
                <w:highlight w:val="none"/>
              </w:rPr>
              <w:t xml:space="preserve">3、中标供应商所提供的产品必须为原装正品的、全新的、完好无破损、且为未开箱状态、符合有关质量标准的产品；设备到货安装前，中标供应商需提供技术白皮书、操作手册、产品彩页及检测报告等技术支持证明文件以验证投标参数的真实性，采购人现场根据招标文件要求及响应文件承诺逐条对应进行核验，核验不合格的，采购人有权终止合同执行并全部退货，同时报相关监督管理部门处理，由此造成采购人经济损失的由中标供应商负责承担全部赔偿责任。  </w:t>
            </w:r>
          </w:p>
          <w:p w14:paraId="55F9EC4B">
            <w:pPr>
              <w:spacing w:line="360" w:lineRule="exact"/>
              <w:rPr>
                <w:rFonts w:ascii="宋体" w:hAnsi="宋体" w:eastAsia="宋体" w:cs="宋体"/>
                <w:color w:val="auto"/>
                <w:highlight w:val="none"/>
              </w:rPr>
            </w:pPr>
            <w:r>
              <w:rPr>
                <w:rFonts w:hint="eastAsia" w:ascii="宋体" w:hAnsi="宋体" w:eastAsia="宋体" w:cs="宋体"/>
                <w:color w:val="auto"/>
                <w:highlight w:val="none"/>
              </w:rPr>
              <w:t>4、验收：(1)验收标准应符合中国有关的国家、地方、行业标准。(2)为了使本次采购货物质量得到保障，验收时采购人可对货物进行复检与性能测试，成交投标人应派出有经验、高水平的技术人员协助此项工作。采购人对货物验收合格后，签署验收合格证书，验收标准应符合中国有关的国家、地方、行业标准；如验收不合格，成交投标人应在3个工作日内对不合格产品进行更换、调试，未按要求进行更换、调试或再次验收不合格的，采购人有权报政府采购监督管理部门申请解除合同，由此造成的损失由投标人自行承担，采购人保留进一步追究责任的权利。(3) 成交投标人提供所投标的货物、配套设备、所属装置等有关技术资料作为验收的参考依据。</w:t>
            </w:r>
          </w:p>
          <w:p w14:paraId="14957800">
            <w:pPr>
              <w:spacing w:line="360" w:lineRule="exact"/>
              <w:rPr>
                <w:rFonts w:ascii="宋体" w:hAnsi="宋体" w:eastAsia="宋体" w:cs="宋体"/>
                <w:color w:val="auto"/>
                <w:highlight w:val="none"/>
              </w:rPr>
            </w:pPr>
            <w:r>
              <w:rPr>
                <w:rFonts w:hint="eastAsia" w:ascii="宋体" w:hAnsi="宋体" w:eastAsia="宋体" w:cs="宋体"/>
                <w:color w:val="auto"/>
                <w:highlight w:val="none"/>
              </w:rPr>
              <w:t>5、实施和安装要求：①投标人必须按采购人的要求进行安装；②安装过程中的所有安全保障由投标人自行负责；③严格按投标产品的安装规范要求进行安装，确保安全。</w:t>
            </w:r>
          </w:p>
          <w:p w14:paraId="5529E3D5">
            <w:pPr>
              <w:snapToGrid w:val="0"/>
              <w:spacing w:line="360" w:lineRule="exact"/>
              <w:rPr>
                <w:rFonts w:ascii="宋体" w:hAnsi="宋体" w:eastAsia="宋体" w:cs="宋体"/>
                <w:color w:val="auto"/>
                <w:highlight w:val="none"/>
              </w:rPr>
            </w:pPr>
            <w:r>
              <w:rPr>
                <w:rFonts w:hint="eastAsia" w:ascii="宋体" w:hAnsi="宋体" w:eastAsia="宋体" w:cs="宋体"/>
                <w:color w:val="auto"/>
                <w:highlight w:val="none"/>
              </w:rPr>
              <w:t>6、中标人应保证针对本项目的货物涉及到的知识产权和所提供的相关技术资料是合法取得，并享有完整的知识产权，不会因为采购人的使用而被责令停止使用、追偿或要求赔偿损失，如出现此情况，一切经济和法律责任均由投标人承担。</w:t>
            </w:r>
          </w:p>
          <w:p w14:paraId="4D4CB1E0">
            <w:pPr>
              <w:snapToGrid w:val="0"/>
              <w:spacing w:line="360" w:lineRule="exact"/>
              <w:rPr>
                <w:rFonts w:ascii="宋体" w:hAnsi="宋体" w:eastAsia="宋体" w:cs="宋体"/>
                <w:color w:val="auto"/>
                <w:highlight w:val="none"/>
              </w:rPr>
            </w:pPr>
            <w:r>
              <w:rPr>
                <w:rFonts w:hint="eastAsia" w:ascii="宋体" w:hAnsi="宋体" w:eastAsia="宋体" w:cs="宋体"/>
                <w:color w:val="auto"/>
                <w:highlight w:val="none"/>
              </w:rPr>
              <w:t>7、质保期内须提供免费上门服务及免费硬件保修(含人工费、材料费、差旅费)，并提供终身维护。</w:t>
            </w:r>
          </w:p>
          <w:p w14:paraId="2A2FA374">
            <w:pPr>
              <w:snapToGrid w:val="0"/>
              <w:spacing w:line="360" w:lineRule="exact"/>
              <w:rPr>
                <w:rFonts w:ascii="宋体" w:hAnsi="宋体" w:eastAsia="宋体" w:cs="宋体"/>
                <w:color w:val="auto"/>
                <w:kern w:val="0"/>
                <w:szCs w:val="21"/>
                <w:highlight w:val="none"/>
              </w:rPr>
            </w:pPr>
            <w:r>
              <w:rPr>
                <w:rFonts w:hint="eastAsia" w:ascii="宋体" w:hAnsi="宋体" w:eastAsia="宋体" w:cs="宋体"/>
                <w:color w:val="auto"/>
                <w:highlight w:val="none"/>
              </w:rPr>
              <w:t>8、报价须包括全部产品价格（包括全套产品、辅配件、随设备提交的资料等费用）包装、运输、装卸、安装、调试技术培训、质保期服务、税金、专利技术、劳务利润以及上述未提及但有关于本次招标设备的供货、安装、调试，直至验收合格交付及质保期间所发生的所有费用。</w:t>
            </w:r>
          </w:p>
        </w:tc>
      </w:tr>
      <w:tr w14:paraId="3E96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7" w:type="dxa"/>
            <w:vAlign w:val="center"/>
          </w:tcPr>
          <w:p w14:paraId="40ADB3F6">
            <w:pPr>
              <w:spacing w:line="400" w:lineRule="exact"/>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t>其他说明</w:t>
            </w:r>
          </w:p>
        </w:tc>
        <w:tc>
          <w:tcPr>
            <w:tcW w:w="9732" w:type="dxa"/>
          </w:tcPr>
          <w:p w14:paraId="4BF55326">
            <w:pPr>
              <w:spacing w:line="40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一、进口产品说明</w:t>
            </w:r>
          </w:p>
          <w:p w14:paraId="615AB485">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本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p>
          <w:p w14:paraId="6D150DC9">
            <w:pPr>
              <w:tabs>
                <w:tab w:val="left" w:pos="180"/>
                <w:tab w:val="left" w:pos="1620"/>
              </w:tabs>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☑本项目所涉及的货物不接受进口产品（即通过中国海关报关验放进入中国境内且产自关境外的产品）参与投标，如有进口产品参与投标的作无效投标处理。</w:t>
            </w:r>
          </w:p>
          <w:p w14:paraId="3C91A3C5">
            <w:pPr>
              <w:spacing w:line="40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二、与本项目有关的设计图纸、技术规范、文件等附件资料及其获取方式（如有）</w:t>
            </w:r>
          </w:p>
          <w:p w14:paraId="4F6A4097">
            <w:pPr>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文件或者资料名称：</w:t>
            </w:r>
            <w:r>
              <w:rPr>
                <w:rFonts w:hint="eastAsia" w:ascii="宋体" w:hAnsi="宋体" w:eastAsia="宋体" w:cs="宋体"/>
                <w:color w:val="auto"/>
                <w:szCs w:val="21"/>
                <w:highlight w:val="none"/>
                <w:u w:val="single"/>
              </w:rPr>
              <w:t xml:space="preserve">    无    </w:t>
            </w:r>
            <w:r>
              <w:rPr>
                <w:rFonts w:hint="eastAsia" w:ascii="宋体" w:hAnsi="宋体" w:eastAsia="宋体" w:cs="宋体"/>
                <w:color w:val="auto"/>
                <w:szCs w:val="21"/>
                <w:highlight w:val="none"/>
              </w:rPr>
              <w:t xml:space="preserve">                                            </w:t>
            </w:r>
          </w:p>
          <w:p w14:paraId="5247A75E">
            <w:pPr>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公布渠道或者获取方式： </w:t>
            </w:r>
            <w:r>
              <w:rPr>
                <w:rFonts w:hint="eastAsia" w:ascii="宋体" w:hAnsi="宋体" w:eastAsia="宋体" w:cs="宋体"/>
                <w:color w:val="auto"/>
                <w:szCs w:val="21"/>
                <w:highlight w:val="none"/>
                <w:u w:val="single"/>
              </w:rPr>
              <w:t xml:space="preserve">    无     </w:t>
            </w:r>
            <w:r>
              <w:rPr>
                <w:rFonts w:hint="eastAsia" w:ascii="宋体" w:hAnsi="宋体" w:eastAsia="宋体" w:cs="宋体"/>
                <w:color w:val="auto"/>
                <w:szCs w:val="21"/>
                <w:highlight w:val="none"/>
              </w:rPr>
              <w:t xml:space="preserve">                                                    </w:t>
            </w:r>
          </w:p>
          <w:p w14:paraId="3E1A354F">
            <w:pPr>
              <w:spacing w:line="40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三、核心产品</w:t>
            </w:r>
          </w:p>
          <w:p w14:paraId="3D2D0713">
            <w:pPr>
              <w:spacing w:line="400" w:lineRule="exact"/>
              <w:ind w:firstLine="420" w:firstLineChars="200"/>
              <w:jc w:val="left"/>
              <w:rPr>
                <w:rFonts w:ascii="宋体" w:hAnsi="宋体" w:eastAsia="宋体" w:cs="宋体"/>
                <w:bCs/>
                <w:color w:val="auto"/>
                <w:szCs w:val="21"/>
                <w:highlight w:val="none"/>
              </w:rPr>
            </w:pP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本项目各标段为</w:t>
            </w:r>
            <w:r>
              <w:rPr>
                <w:rFonts w:hint="eastAsia" w:ascii="宋体" w:hAnsi="宋体" w:eastAsia="宋体" w:cs="宋体"/>
                <w:b/>
                <w:bCs/>
                <w:color w:val="auto"/>
                <w:szCs w:val="21"/>
                <w:highlight w:val="none"/>
              </w:rPr>
              <w:t>单一</w:t>
            </w:r>
            <w:r>
              <w:rPr>
                <w:rFonts w:hint="eastAsia" w:ascii="宋体" w:hAnsi="宋体" w:eastAsia="宋体" w:cs="宋体"/>
                <w:color w:val="auto"/>
                <w:szCs w:val="21"/>
                <w:highlight w:val="none"/>
              </w:rPr>
              <w:t>产品采购项目。</w:t>
            </w:r>
          </w:p>
          <w:p w14:paraId="011CFCF0">
            <w:pPr>
              <w:spacing w:line="400" w:lineRule="exact"/>
              <w:ind w:firstLine="420" w:firstLineChars="200"/>
              <w:jc w:val="left"/>
              <w:rPr>
                <w:rFonts w:ascii="宋体" w:hAnsi="宋体" w:eastAsia="宋体" w:cs="宋体"/>
                <w:b/>
                <w:bCs w:val="0"/>
                <w:color w:val="auto"/>
                <w:szCs w:val="21"/>
                <w:highlight w:val="none"/>
              </w:rPr>
            </w:pPr>
            <w:r>
              <w:rPr>
                <w:rFonts w:hint="eastAsia" w:ascii="宋体" w:hAnsi="宋体" w:eastAsia="宋体" w:cs="宋体"/>
                <w:color w:val="auto"/>
                <w:szCs w:val="21"/>
                <w:highlight w:val="none"/>
              </w:rPr>
              <w:sym w:font="Wingdings 2" w:char="0052"/>
            </w:r>
            <w:r>
              <w:rPr>
                <w:rFonts w:hint="eastAsia" w:ascii="宋体" w:hAnsi="宋体" w:eastAsia="宋体" w:cs="宋体"/>
                <w:color w:val="auto"/>
                <w:szCs w:val="21"/>
                <w:highlight w:val="none"/>
              </w:rPr>
              <w:t>本项目为</w:t>
            </w:r>
            <w:r>
              <w:rPr>
                <w:rFonts w:hint="eastAsia" w:ascii="宋体" w:hAnsi="宋体" w:eastAsia="宋体" w:cs="宋体"/>
                <w:b/>
                <w:bCs/>
                <w:color w:val="auto"/>
                <w:szCs w:val="21"/>
                <w:highlight w:val="none"/>
              </w:rPr>
              <w:t>非单一</w:t>
            </w:r>
            <w:r>
              <w:rPr>
                <w:rFonts w:hint="eastAsia" w:ascii="宋体" w:hAnsi="宋体" w:eastAsia="宋体" w:cs="宋体"/>
                <w:color w:val="auto"/>
                <w:szCs w:val="21"/>
                <w:highlight w:val="none"/>
              </w:rPr>
              <w:t>产品采购项目，“采购清单及货物参数”表中的</w:t>
            </w:r>
            <w:r>
              <w:rPr>
                <w:rFonts w:hint="eastAsia" w:ascii="宋体" w:hAnsi="宋体" w:eastAsia="宋体" w:cs="宋体"/>
                <w:bCs/>
                <w:color w:val="auto"/>
                <w:szCs w:val="21"/>
                <w:highlight w:val="none"/>
              </w:rPr>
              <w:t>核心产品为</w:t>
            </w:r>
            <w:r>
              <w:rPr>
                <w:rFonts w:hint="eastAsia" w:ascii="宋体" w:hAnsi="宋体" w:eastAsia="宋体" w:cs="宋体"/>
                <w:b/>
                <w:bCs w:val="0"/>
                <w:color w:val="auto"/>
                <w:szCs w:val="21"/>
                <w:highlight w:val="none"/>
                <w:lang w:val="en-US" w:eastAsia="zh-CN"/>
              </w:rPr>
              <w:t>A分标：</w:t>
            </w:r>
            <w:r>
              <w:rPr>
                <w:rFonts w:hint="eastAsia" w:ascii="宋体" w:hAnsi="宋体" w:eastAsia="宋体" w:cs="宋体"/>
                <w:b/>
                <w:bCs w:val="0"/>
                <w:color w:val="auto"/>
                <w:szCs w:val="21"/>
                <w:highlight w:val="none"/>
                <w:u w:val="single"/>
              </w:rPr>
              <w:t xml:space="preserve"> </w:t>
            </w:r>
            <w:r>
              <w:rPr>
                <w:rFonts w:hint="eastAsia"/>
                <w:highlight w:val="none"/>
                <w:u w:val="single"/>
                <w:vertAlign w:val="baseline"/>
              </w:rPr>
              <w:t>86英寸</w:t>
            </w:r>
            <w:r>
              <w:rPr>
                <w:rFonts w:hint="eastAsia"/>
                <w:highlight w:val="none"/>
                <w:u w:val="single"/>
                <w:vertAlign w:val="baseline"/>
                <w:lang w:val="en-US" w:eastAsia="zh-CN"/>
              </w:rPr>
              <w:t>教学交互智能互联平板</w:t>
            </w:r>
            <w:r>
              <w:rPr>
                <w:rFonts w:hint="eastAsia" w:ascii="宋体" w:hAnsi="宋体" w:eastAsia="宋体" w:cs="宋体"/>
                <w:b/>
                <w:bCs w:val="0"/>
                <w:color w:val="auto"/>
                <w:szCs w:val="21"/>
                <w:highlight w:val="none"/>
                <w:u w:val="single"/>
              </w:rPr>
              <w:t xml:space="preserve"> </w:t>
            </w:r>
            <w:r>
              <w:rPr>
                <w:rFonts w:hint="eastAsia" w:ascii="宋体" w:hAnsi="宋体" w:eastAsia="宋体" w:cs="宋体"/>
                <w:b/>
                <w:bCs w:val="0"/>
                <w:color w:val="auto"/>
                <w:szCs w:val="21"/>
                <w:highlight w:val="none"/>
                <w:u w:val="single"/>
                <w:lang w:eastAsia="zh-CN"/>
              </w:rPr>
              <w:t>；</w:t>
            </w:r>
            <w:r>
              <w:rPr>
                <w:rFonts w:hint="eastAsia" w:ascii="宋体" w:hAnsi="宋体" w:eastAsia="宋体" w:cs="宋体"/>
                <w:b/>
                <w:bCs w:val="0"/>
                <w:color w:val="auto"/>
                <w:szCs w:val="21"/>
                <w:highlight w:val="none"/>
                <w:u w:val="single"/>
                <w:lang w:val="en-US" w:eastAsia="zh-CN"/>
              </w:rPr>
              <w:t xml:space="preserve">B分标：学生双层床；C分标：86英寸电容智慧黑板 </w:t>
            </w:r>
            <w:r>
              <w:rPr>
                <w:rFonts w:hint="eastAsia" w:ascii="宋体" w:hAnsi="宋体" w:eastAsia="宋体" w:cs="宋体"/>
                <w:b/>
                <w:bCs w:val="0"/>
                <w:color w:val="auto"/>
                <w:szCs w:val="21"/>
                <w:highlight w:val="none"/>
                <w:u w:val="single"/>
              </w:rPr>
              <w:t>。</w:t>
            </w:r>
          </w:p>
          <w:p w14:paraId="75167905">
            <w:pPr>
              <w:spacing w:line="400" w:lineRule="exact"/>
              <w:rPr>
                <w:rFonts w:ascii="宋体" w:hAnsi="宋体" w:eastAsia="宋体" w:cs="宋体"/>
                <w:b/>
                <w:bCs w:val="0"/>
                <w:color w:val="auto"/>
                <w:szCs w:val="21"/>
                <w:highlight w:val="none"/>
              </w:rPr>
            </w:pPr>
            <w:r>
              <w:rPr>
                <w:rFonts w:hint="eastAsia" w:ascii="宋体" w:hAnsi="宋体" w:eastAsia="宋体" w:cs="宋体"/>
                <w:b/>
                <w:bCs w:val="0"/>
                <w:color w:val="auto"/>
                <w:szCs w:val="21"/>
                <w:highlight w:val="none"/>
              </w:rPr>
              <w:t>四、其他：</w:t>
            </w:r>
          </w:p>
          <w:p w14:paraId="123917A4">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1、是否进行演示：</w:t>
            </w:r>
            <w:r>
              <w:rPr>
                <w:rFonts w:hint="eastAsia" w:ascii="宋体" w:hAnsi="宋体" w:eastAsia="宋体" w:cs="宋体"/>
                <w:color w:val="auto"/>
                <w:szCs w:val="21"/>
                <w:highlight w:val="none"/>
                <w:u w:val="single"/>
              </w:rPr>
              <w:t>否</w:t>
            </w:r>
            <w:r>
              <w:rPr>
                <w:rFonts w:hint="eastAsia" w:ascii="宋体" w:hAnsi="宋体" w:eastAsia="宋体" w:cs="宋体"/>
                <w:color w:val="auto"/>
                <w:szCs w:val="21"/>
                <w:highlight w:val="none"/>
              </w:rPr>
              <w:t>。</w:t>
            </w:r>
          </w:p>
          <w:p w14:paraId="48880BCB">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2、是否要求提供样品：</w:t>
            </w:r>
            <w:r>
              <w:rPr>
                <w:rFonts w:hint="eastAsia" w:ascii="宋体" w:hAnsi="宋体" w:eastAsia="宋体" w:cs="宋体"/>
                <w:color w:val="auto"/>
                <w:szCs w:val="21"/>
                <w:highlight w:val="none"/>
                <w:u w:val="single"/>
              </w:rPr>
              <w:t>否</w:t>
            </w:r>
            <w:r>
              <w:rPr>
                <w:rFonts w:hint="eastAsia" w:ascii="宋体" w:hAnsi="宋体" w:eastAsia="宋体" w:cs="宋体"/>
                <w:color w:val="auto"/>
                <w:szCs w:val="21"/>
                <w:highlight w:val="none"/>
              </w:rPr>
              <w:t>。</w:t>
            </w:r>
          </w:p>
          <w:p w14:paraId="1D244F12">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3、是否现场踏勘：</w:t>
            </w:r>
            <w:r>
              <w:rPr>
                <w:rFonts w:hint="eastAsia" w:ascii="宋体" w:hAnsi="宋体" w:eastAsia="宋体" w:cs="宋体"/>
                <w:color w:val="auto"/>
                <w:szCs w:val="21"/>
                <w:highlight w:val="none"/>
                <w:u w:val="single"/>
              </w:rPr>
              <w:t>否</w:t>
            </w:r>
            <w:r>
              <w:rPr>
                <w:rFonts w:hint="eastAsia" w:ascii="宋体" w:hAnsi="宋体" w:eastAsia="宋体" w:cs="宋体"/>
                <w:color w:val="auto"/>
                <w:szCs w:val="21"/>
                <w:highlight w:val="none"/>
              </w:rPr>
              <w:t>。</w:t>
            </w:r>
          </w:p>
          <w:p w14:paraId="17FEFE6B">
            <w:pPr>
              <w:widowControl/>
              <w:shd w:val="clear" w:color="auto" w:fill="FFFFFF"/>
              <w:spacing w:line="330" w:lineRule="atLeast"/>
              <w:rPr>
                <w:rFonts w:ascii="宋体" w:hAnsi="宋体" w:eastAsia="宋体" w:cs="宋体"/>
                <w:b/>
                <w:bCs/>
                <w:color w:val="auto"/>
                <w:highlight w:val="none"/>
              </w:rPr>
            </w:pPr>
            <w:r>
              <w:rPr>
                <w:rFonts w:hint="eastAsia" w:ascii="宋体" w:hAnsi="宋体" w:eastAsia="宋体" w:cs="宋体"/>
                <w:b/>
                <w:bCs/>
                <w:color w:val="auto"/>
                <w:highlight w:val="none"/>
              </w:rPr>
              <w:t>五、其他要求</w:t>
            </w:r>
          </w:p>
          <w:p w14:paraId="499DF5D8">
            <w:pPr>
              <w:widowControl/>
              <w:shd w:val="clear" w:color="auto" w:fill="FFFFFF"/>
              <w:spacing w:line="330" w:lineRule="atLeast"/>
              <w:rPr>
                <w:rFonts w:ascii="宋体" w:hAnsi="宋体" w:eastAsia="宋体" w:cs="宋体"/>
                <w:b/>
                <w:color w:val="auto"/>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highlight w:val="none"/>
              </w:rPr>
              <w:t>本项目采购标的需执行的国家相关标准、行业标准、地方标准或其他强制性标准、规范等要求。</w:t>
            </w:r>
          </w:p>
          <w:p w14:paraId="1290D998">
            <w:pPr>
              <w:widowControl/>
              <w:shd w:val="clear" w:color="auto" w:fill="FFFFFF"/>
              <w:spacing w:line="330" w:lineRule="atLeast"/>
              <w:rPr>
                <w:rFonts w:ascii="宋体" w:hAnsi="宋体" w:eastAsia="宋体" w:cs="宋体"/>
                <w:b/>
                <w:color w:val="auto"/>
                <w:highlight w:val="none"/>
              </w:rPr>
            </w:pPr>
            <w:r>
              <w:rPr>
                <w:rFonts w:hint="eastAsia" w:ascii="宋体" w:hAnsi="宋体" w:eastAsia="宋体" w:cs="宋体"/>
                <w:b/>
                <w:color w:val="auto"/>
                <w:szCs w:val="21"/>
                <w:highlight w:val="none"/>
              </w:rPr>
              <w:t>▲</w:t>
            </w:r>
            <w:r>
              <w:rPr>
                <w:rFonts w:hint="eastAsia" w:ascii="宋体" w:hAnsi="宋体" w:eastAsia="宋体" w:cs="宋体"/>
                <w:b/>
                <w:bCs/>
                <w:color w:val="auto"/>
                <w:szCs w:val="21"/>
                <w:highlight w:val="none"/>
              </w:rPr>
              <w:t>2、</w:t>
            </w:r>
            <w:r>
              <w:rPr>
                <w:rFonts w:hint="eastAsia" w:ascii="宋体" w:hAnsi="宋体" w:eastAsia="宋体" w:cs="宋体"/>
                <w:b/>
                <w:color w:val="auto"/>
                <w:highlight w:val="none"/>
              </w:rPr>
              <w:t>投标人投标文件中必须提供投标产品的品牌和型号(注: 如为定制、非标产品可不填写》，如不填写视为不满足。</w:t>
            </w:r>
          </w:p>
          <w:p w14:paraId="38FFC496">
            <w:pPr>
              <w:spacing w:line="400" w:lineRule="exact"/>
              <w:ind w:firstLine="210" w:firstLineChars="100"/>
              <w:rPr>
                <w:rFonts w:ascii="宋体" w:hAnsi="宋体" w:eastAsia="宋体" w:cs="宋体"/>
                <w:color w:val="auto"/>
                <w:highlight w:val="none"/>
              </w:rPr>
            </w:pPr>
            <w:r>
              <w:rPr>
                <w:rFonts w:hint="eastAsia" w:ascii="宋体" w:hAnsi="宋体" w:eastAsia="宋体" w:cs="宋体"/>
                <w:color w:val="auto"/>
                <w:szCs w:val="21"/>
                <w:highlight w:val="none"/>
              </w:rPr>
              <w:t>供应商可在投标文件中提供投标产品彩页（体现参数指标）或技术说明书并加盖供应商公章，供应商技术性能及参数与彩页或技术说明书不符的，以彩页或技术说明书为准。</w:t>
            </w:r>
          </w:p>
        </w:tc>
      </w:tr>
    </w:tbl>
    <w:p w14:paraId="52FFA376">
      <w:pPr>
        <w:ind w:firstLine="361" w:firstLineChars="200"/>
        <w:textAlignment w:val="center"/>
        <w:rPr>
          <w:rFonts w:ascii="宋体" w:hAnsi="宋体" w:eastAsia="宋体" w:cs="宋体"/>
          <w:b/>
          <w:bCs/>
          <w:color w:val="auto"/>
          <w:kern w:val="0"/>
          <w:sz w:val="18"/>
          <w:szCs w:val="18"/>
          <w:lang w:bidi="ar"/>
        </w:rPr>
      </w:pPr>
    </w:p>
    <w:p w14:paraId="45F4FB78">
      <w:pPr>
        <w:spacing w:line="428" w:lineRule="exact"/>
        <w:ind w:left="119"/>
        <w:rPr>
          <w:rFonts w:ascii="宋体" w:hAnsi="宋体" w:eastAsia="宋体" w:cs="宋体"/>
          <w:color w:val="auto"/>
          <w:sz w:val="32"/>
          <w:szCs w:val="32"/>
        </w:rPr>
      </w:pPr>
      <w:r>
        <w:rPr>
          <w:rFonts w:hint="eastAsia" w:ascii="宋体" w:hAnsi="宋体" w:eastAsia="宋体" w:cs="宋体"/>
          <w:color w:val="auto"/>
          <w:sz w:val="32"/>
          <w:szCs w:val="32"/>
        </w:rPr>
        <w:br w:type="page"/>
      </w:r>
      <w:r>
        <w:rPr>
          <w:rFonts w:hint="eastAsia" w:ascii="宋体" w:hAnsi="宋体" w:eastAsia="宋体" w:cs="宋体"/>
          <w:color w:val="auto"/>
          <w:sz w:val="32"/>
          <w:szCs w:val="32"/>
        </w:rPr>
        <w:t>附件1：</w:t>
      </w:r>
    </w:p>
    <w:p w14:paraId="5373208B">
      <w:pPr>
        <w:spacing w:before="7"/>
        <w:rPr>
          <w:rFonts w:ascii="宋体" w:hAnsi="宋体" w:eastAsia="宋体" w:cs="宋体"/>
          <w:color w:val="auto"/>
          <w:sz w:val="17"/>
          <w:szCs w:val="17"/>
        </w:rPr>
      </w:pPr>
    </w:p>
    <w:p w14:paraId="706ECCF1">
      <w:pPr>
        <w:spacing w:line="528" w:lineRule="exact"/>
        <w:ind w:left="1871"/>
        <w:rPr>
          <w:rFonts w:ascii="宋体" w:hAnsi="宋体" w:eastAsia="宋体" w:cs="宋体"/>
          <w:color w:val="auto"/>
          <w:sz w:val="40"/>
          <w:szCs w:val="40"/>
        </w:rPr>
      </w:pPr>
      <w:r>
        <w:rPr>
          <w:rFonts w:hint="eastAsia" w:ascii="宋体" w:hAnsi="宋体" w:eastAsia="宋体" w:cs="宋体"/>
          <w:color w:val="auto"/>
          <w:sz w:val="40"/>
          <w:szCs w:val="40"/>
        </w:rPr>
        <w:t>节能产品政府采购品目清单</w:t>
      </w:r>
    </w:p>
    <w:tbl>
      <w:tblPr>
        <w:tblStyle w:val="37"/>
        <w:tblpPr w:leftFromText="180" w:rightFromText="180" w:vertAnchor="text" w:horzAnchor="page" w:tblpXSpec="center" w:tblpY="306"/>
        <w:tblOverlap w:val="never"/>
        <w:tblW w:w="0" w:type="auto"/>
        <w:jc w:val="center"/>
        <w:tblLayout w:type="fixed"/>
        <w:tblCellMar>
          <w:top w:w="0" w:type="dxa"/>
          <w:left w:w="0" w:type="dxa"/>
          <w:bottom w:w="0" w:type="dxa"/>
          <w:right w:w="0" w:type="dxa"/>
        </w:tblCellMar>
      </w:tblPr>
      <w:tblGrid>
        <w:gridCol w:w="574"/>
        <w:gridCol w:w="1351"/>
        <w:gridCol w:w="1615"/>
        <w:gridCol w:w="1916"/>
        <w:gridCol w:w="3444"/>
        <w:gridCol w:w="15"/>
      </w:tblGrid>
      <w:tr w14:paraId="7E25CD3B">
        <w:tblPrEx>
          <w:tblCellMar>
            <w:top w:w="0" w:type="dxa"/>
            <w:left w:w="0" w:type="dxa"/>
            <w:bottom w:w="0" w:type="dxa"/>
            <w:right w:w="0" w:type="dxa"/>
          </w:tblCellMar>
        </w:tblPrEx>
        <w:trPr>
          <w:trHeight w:val="23"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629B3136">
            <w:pPr>
              <w:pStyle w:val="75"/>
              <w:spacing w:before="57" w:line="256" w:lineRule="auto"/>
              <w:ind w:left="59" w:right="60"/>
              <w:jc w:val="center"/>
              <w:rPr>
                <w:rFonts w:ascii="宋体" w:hAnsi="宋体" w:eastAsia="宋体" w:cs="宋体"/>
                <w:color w:val="auto"/>
                <w:sz w:val="21"/>
                <w:szCs w:val="21"/>
              </w:rPr>
            </w:pPr>
            <w:r>
              <w:rPr>
                <w:rFonts w:hint="eastAsia" w:ascii="宋体" w:hAnsi="宋体" w:eastAsia="宋体" w:cs="宋体"/>
                <w:b/>
                <w:bCs/>
                <w:color w:val="auto"/>
                <w:w w:val="99"/>
                <w:sz w:val="21"/>
                <w:szCs w:val="21"/>
              </w:rPr>
              <w:t>品目序号</w:t>
            </w:r>
          </w:p>
        </w:tc>
        <w:tc>
          <w:tcPr>
            <w:tcW w:w="4882" w:type="dxa"/>
            <w:gridSpan w:val="3"/>
            <w:tcBorders>
              <w:top w:val="single" w:color="000000" w:sz="4" w:space="0"/>
              <w:left w:val="single" w:color="000000" w:sz="4" w:space="0"/>
              <w:bottom w:val="single" w:color="000000" w:sz="4" w:space="0"/>
              <w:right w:val="single" w:color="000000" w:sz="4" w:space="0"/>
            </w:tcBorders>
          </w:tcPr>
          <w:p w14:paraId="28AEF4C6">
            <w:pPr>
              <w:pStyle w:val="75"/>
              <w:spacing w:before="4"/>
              <w:jc w:val="center"/>
              <w:rPr>
                <w:rFonts w:ascii="宋体" w:hAnsi="宋体" w:eastAsia="宋体" w:cs="宋体"/>
                <w:color w:val="auto"/>
                <w:sz w:val="21"/>
                <w:szCs w:val="21"/>
              </w:rPr>
            </w:pPr>
          </w:p>
          <w:p w14:paraId="485375BE">
            <w:pPr>
              <w:pStyle w:val="75"/>
              <w:jc w:val="center"/>
              <w:rPr>
                <w:rFonts w:ascii="宋体" w:hAnsi="宋体" w:eastAsia="宋体" w:cs="宋体"/>
                <w:color w:val="auto"/>
                <w:sz w:val="21"/>
                <w:szCs w:val="21"/>
              </w:rPr>
            </w:pPr>
            <w:r>
              <w:rPr>
                <w:rFonts w:hint="eastAsia" w:ascii="宋体" w:hAnsi="宋体" w:eastAsia="宋体" w:cs="宋体"/>
                <w:b/>
                <w:bCs/>
                <w:color w:val="auto"/>
                <w:w w:val="99"/>
                <w:sz w:val="21"/>
                <w:szCs w:val="21"/>
              </w:rPr>
              <w:t>名称</w:t>
            </w:r>
          </w:p>
        </w:tc>
        <w:tc>
          <w:tcPr>
            <w:tcW w:w="3459" w:type="dxa"/>
            <w:gridSpan w:val="2"/>
            <w:tcBorders>
              <w:top w:val="single" w:color="000000" w:sz="4" w:space="0"/>
              <w:left w:val="single" w:color="000000" w:sz="4" w:space="0"/>
              <w:bottom w:val="single" w:color="000000" w:sz="4" w:space="0"/>
              <w:right w:val="single" w:color="000000" w:sz="4" w:space="0"/>
            </w:tcBorders>
          </w:tcPr>
          <w:p w14:paraId="5A9465D2">
            <w:pPr>
              <w:pStyle w:val="75"/>
              <w:spacing w:before="4"/>
              <w:jc w:val="center"/>
              <w:rPr>
                <w:rFonts w:ascii="宋体" w:hAnsi="宋体" w:eastAsia="宋体" w:cs="宋体"/>
                <w:color w:val="auto"/>
                <w:sz w:val="21"/>
                <w:szCs w:val="21"/>
              </w:rPr>
            </w:pPr>
          </w:p>
          <w:p w14:paraId="3C176749">
            <w:pPr>
              <w:pStyle w:val="75"/>
              <w:ind w:left="926"/>
              <w:jc w:val="center"/>
              <w:rPr>
                <w:rFonts w:ascii="宋体" w:hAnsi="宋体" w:eastAsia="宋体" w:cs="宋体"/>
                <w:color w:val="auto"/>
                <w:sz w:val="21"/>
                <w:szCs w:val="21"/>
              </w:rPr>
            </w:pPr>
            <w:r>
              <w:rPr>
                <w:rFonts w:hint="eastAsia" w:ascii="宋体" w:hAnsi="宋体" w:eastAsia="宋体" w:cs="宋体"/>
                <w:b/>
                <w:bCs/>
                <w:color w:val="auto"/>
                <w:w w:val="99"/>
                <w:sz w:val="21"/>
                <w:szCs w:val="21"/>
              </w:rPr>
              <w:t>依据的标准</w:t>
            </w:r>
          </w:p>
        </w:tc>
      </w:tr>
      <w:tr w14:paraId="2B538D61">
        <w:tblPrEx>
          <w:tblCellMar>
            <w:top w:w="0" w:type="dxa"/>
            <w:left w:w="0" w:type="dxa"/>
            <w:bottom w:w="0" w:type="dxa"/>
            <w:right w:w="0" w:type="dxa"/>
          </w:tblCellMar>
        </w:tblPrEx>
        <w:trPr>
          <w:trHeight w:val="23" w:hRule="atLeas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08EEBF1B">
            <w:pPr>
              <w:pStyle w:val="75"/>
              <w:jc w:val="center"/>
              <w:rPr>
                <w:rFonts w:ascii="宋体" w:hAnsi="宋体" w:eastAsia="宋体" w:cs="宋体"/>
                <w:color w:val="auto"/>
                <w:sz w:val="21"/>
                <w:szCs w:val="21"/>
              </w:rPr>
            </w:pPr>
          </w:p>
          <w:p w14:paraId="725C9070">
            <w:pPr>
              <w:pStyle w:val="75"/>
              <w:jc w:val="center"/>
              <w:rPr>
                <w:rFonts w:ascii="宋体" w:hAnsi="宋体" w:eastAsia="宋体" w:cs="宋体"/>
                <w:color w:val="auto"/>
                <w:sz w:val="21"/>
                <w:szCs w:val="21"/>
              </w:rPr>
            </w:pPr>
          </w:p>
          <w:p w14:paraId="6BE20497">
            <w:pPr>
              <w:pStyle w:val="75"/>
              <w:jc w:val="center"/>
              <w:rPr>
                <w:rFonts w:ascii="宋体" w:hAnsi="宋体" w:eastAsia="宋体" w:cs="宋体"/>
                <w:color w:val="auto"/>
                <w:sz w:val="21"/>
                <w:szCs w:val="21"/>
              </w:rPr>
            </w:pPr>
          </w:p>
          <w:p w14:paraId="477F643E">
            <w:pPr>
              <w:pStyle w:val="75"/>
              <w:spacing w:before="11"/>
              <w:jc w:val="center"/>
              <w:rPr>
                <w:rFonts w:ascii="宋体" w:hAnsi="宋体" w:eastAsia="宋体" w:cs="宋体"/>
                <w:color w:val="auto"/>
                <w:sz w:val="21"/>
                <w:szCs w:val="21"/>
              </w:rPr>
            </w:pPr>
          </w:p>
          <w:p w14:paraId="5753C81C">
            <w:pPr>
              <w:pStyle w:val="75"/>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1</w:t>
            </w:r>
          </w:p>
        </w:tc>
        <w:tc>
          <w:tcPr>
            <w:tcW w:w="1351" w:type="dxa"/>
            <w:vMerge w:val="restart"/>
            <w:tcBorders>
              <w:top w:val="single" w:color="000000" w:sz="4" w:space="0"/>
              <w:left w:val="single" w:color="000000" w:sz="4" w:space="0"/>
              <w:bottom w:val="single" w:color="000000" w:sz="4" w:space="0"/>
              <w:right w:val="single" w:color="000000" w:sz="4" w:space="0"/>
            </w:tcBorders>
          </w:tcPr>
          <w:p w14:paraId="0B5FA373">
            <w:pPr>
              <w:pStyle w:val="75"/>
              <w:jc w:val="center"/>
              <w:rPr>
                <w:rFonts w:ascii="宋体" w:hAnsi="宋体" w:eastAsia="宋体" w:cs="宋体"/>
                <w:color w:val="auto"/>
                <w:sz w:val="21"/>
                <w:szCs w:val="21"/>
              </w:rPr>
            </w:pPr>
          </w:p>
          <w:p w14:paraId="1B43AACB">
            <w:pPr>
              <w:pStyle w:val="75"/>
              <w:jc w:val="center"/>
              <w:rPr>
                <w:rFonts w:ascii="宋体" w:hAnsi="宋体" w:eastAsia="宋体" w:cs="宋体"/>
                <w:color w:val="auto"/>
                <w:sz w:val="21"/>
                <w:szCs w:val="21"/>
              </w:rPr>
            </w:pPr>
          </w:p>
          <w:p w14:paraId="51349C50">
            <w:pPr>
              <w:pStyle w:val="75"/>
              <w:spacing w:before="12"/>
              <w:jc w:val="center"/>
              <w:rPr>
                <w:rFonts w:ascii="宋体" w:hAnsi="宋体" w:eastAsia="宋体" w:cs="宋体"/>
                <w:color w:val="auto"/>
                <w:sz w:val="21"/>
                <w:szCs w:val="21"/>
              </w:rPr>
            </w:pPr>
          </w:p>
          <w:p w14:paraId="6B9FDB3E">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1计算机设备</w:t>
            </w:r>
          </w:p>
        </w:tc>
        <w:tc>
          <w:tcPr>
            <w:tcW w:w="1615" w:type="dxa"/>
            <w:tcBorders>
              <w:top w:val="single" w:color="000000" w:sz="4" w:space="0"/>
              <w:left w:val="single" w:color="000000" w:sz="4" w:space="0"/>
              <w:bottom w:val="single" w:color="000000" w:sz="4" w:space="0"/>
              <w:right w:val="single" w:color="000000" w:sz="4" w:space="0"/>
            </w:tcBorders>
          </w:tcPr>
          <w:p w14:paraId="495563F2">
            <w:pPr>
              <w:pStyle w:val="75"/>
              <w:spacing w:before="93" w:line="283" w:lineRule="auto"/>
              <w:ind w:left="7" w:right="5"/>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A020</w:t>
            </w:r>
            <w:r>
              <w:rPr>
                <w:rFonts w:hint="eastAsia" w:ascii="宋体" w:hAnsi="宋体" w:eastAsia="宋体" w:cs="宋体"/>
                <w:color w:val="auto"/>
                <w:w w:val="99"/>
                <w:sz w:val="21"/>
                <w:szCs w:val="21"/>
              </w:rPr>
              <w:t>10</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04台式计算机</w:t>
            </w:r>
          </w:p>
        </w:tc>
        <w:tc>
          <w:tcPr>
            <w:tcW w:w="1916" w:type="dxa"/>
            <w:tcBorders>
              <w:top w:val="single" w:color="000000" w:sz="4" w:space="0"/>
              <w:left w:val="single" w:color="000000" w:sz="4" w:space="0"/>
              <w:bottom w:val="single" w:color="000000" w:sz="4" w:space="0"/>
              <w:right w:val="single" w:color="000000" w:sz="4" w:space="0"/>
            </w:tcBorders>
          </w:tcPr>
          <w:p w14:paraId="7C29E92F">
            <w:pPr>
              <w:jc w:val="center"/>
              <w:rPr>
                <w:rFonts w:ascii="宋体" w:hAnsi="宋体" w:eastAsia="宋体" w:cs="宋体"/>
                <w:color w:val="auto"/>
                <w:szCs w:val="21"/>
                <w:lang w:eastAsia="en-US"/>
              </w:rPr>
            </w:pPr>
          </w:p>
        </w:tc>
        <w:tc>
          <w:tcPr>
            <w:tcW w:w="3459" w:type="dxa"/>
            <w:gridSpan w:val="2"/>
            <w:tcBorders>
              <w:top w:val="single" w:color="000000" w:sz="4" w:space="0"/>
              <w:left w:val="single" w:color="000000" w:sz="4" w:space="0"/>
              <w:bottom w:val="single" w:color="000000" w:sz="4" w:space="0"/>
              <w:right w:val="single" w:color="000000" w:sz="4" w:space="0"/>
            </w:tcBorders>
          </w:tcPr>
          <w:p w14:paraId="405F384F">
            <w:pPr>
              <w:pStyle w:val="75"/>
              <w:spacing w:before="93"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《微型计算机能效限定</w:t>
            </w:r>
            <w:r>
              <w:rPr>
                <w:rFonts w:hint="eastAsia" w:ascii="宋体" w:hAnsi="宋体" w:eastAsia="宋体" w:cs="宋体"/>
                <w:color w:val="auto"/>
                <w:spacing w:val="9"/>
                <w:w w:val="99"/>
                <w:sz w:val="21"/>
                <w:szCs w:val="21"/>
                <w:lang w:eastAsia="zh-CN"/>
              </w:rPr>
              <w:t>值</w:t>
            </w:r>
            <w:r>
              <w:rPr>
                <w:rFonts w:hint="eastAsia" w:ascii="宋体" w:hAnsi="宋体" w:eastAsia="宋体" w:cs="宋体"/>
                <w:color w:val="auto"/>
                <w:spacing w:val="12"/>
                <w:w w:val="99"/>
                <w:sz w:val="21"/>
                <w:szCs w:val="21"/>
                <w:lang w:eastAsia="zh-CN"/>
              </w:rPr>
              <w:t>及能</w:t>
            </w:r>
            <w:r>
              <w:rPr>
                <w:rFonts w:hint="eastAsia" w:ascii="宋体" w:hAnsi="宋体" w:eastAsia="宋体" w:cs="宋体"/>
                <w:color w:val="auto"/>
                <w:w w:val="99"/>
                <w:sz w:val="21"/>
                <w:szCs w:val="21"/>
                <w:lang w:eastAsia="zh-CN"/>
              </w:rPr>
              <w:t>效等级》（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28380</w:t>
            </w:r>
            <w:r>
              <w:rPr>
                <w:rFonts w:hint="eastAsia" w:ascii="宋体" w:hAnsi="宋体" w:eastAsia="宋体" w:cs="宋体"/>
                <w:color w:val="auto"/>
                <w:w w:val="99"/>
                <w:sz w:val="21"/>
                <w:szCs w:val="21"/>
                <w:lang w:eastAsia="zh-CN"/>
              </w:rPr>
              <w:t>）</w:t>
            </w:r>
          </w:p>
        </w:tc>
      </w:tr>
      <w:tr w14:paraId="0E04865F">
        <w:tblPrEx>
          <w:tblCellMar>
            <w:top w:w="0" w:type="dxa"/>
            <w:left w:w="0" w:type="dxa"/>
            <w:bottom w:w="0" w:type="dxa"/>
            <w:right w:w="0" w:type="dxa"/>
          </w:tblCellMar>
        </w:tblPrEx>
        <w:trPr>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5F6DF5C">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5347D766">
            <w:pPr>
              <w:widowControl/>
              <w:jc w:val="center"/>
              <w:rPr>
                <w:rFonts w:ascii="宋体" w:hAnsi="宋体" w:eastAsia="宋体" w:cs="宋体"/>
                <w:color w:val="auto"/>
                <w:szCs w:val="21"/>
              </w:rPr>
            </w:pPr>
          </w:p>
        </w:tc>
        <w:tc>
          <w:tcPr>
            <w:tcW w:w="1615" w:type="dxa"/>
            <w:tcBorders>
              <w:top w:val="single" w:color="000000" w:sz="4" w:space="0"/>
              <w:left w:val="single" w:color="000000" w:sz="4" w:space="0"/>
              <w:bottom w:val="single" w:color="000000" w:sz="4" w:space="0"/>
              <w:right w:val="single" w:color="000000" w:sz="4" w:space="0"/>
            </w:tcBorders>
          </w:tcPr>
          <w:p w14:paraId="02344409">
            <w:pPr>
              <w:pStyle w:val="75"/>
              <w:spacing w:before="44" w:line="283" w:lineRule="auto"/>
              <w:ind w:left="7" w:right="5"/>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A020</w:t>
            </w:r>
            <w:r>
              <w:rPr>
                <w:rFonts w:hint="eastAsia" w:ascii="宋体" w:hAnsi="宋体" w:eastAsia="宋体" w:cs="宋体"/>
                <w:color w:val="auto"/>
                <w:w w:val="99"/>
                <w:sz w:val="21"/>
                <w:szCs w:val="21"/>
              </w:rPr>
              <w:t>10</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05便携式计算机</w:t>
            </w:r>
          </w:p>
        </w:tc>
        <w:tc>
          <w:tcPr>
            <w:tcW w:w="1916" w:type="dxa"/>
            <w:tcBorders>
              <w:top w:val="single" w:color="000000" w:sz="4" w:space="0"/>
              <w:left w:val="single" w:color="000000" w:sz="4" w:space="0"/>
              <w:bottom w:val="single" w:color="000000" w:sz="4" w:space="0"/>
              <w:right w:val="single" w:color="000000" w:sz="4" w:space="0"/>
            </w:tcBorders>
          </w:tcPr>
          <w:p w14:paraId="2654A627">
            <w:pPr>
              <w:jc w:val="center"/>
              <w:rPr>
                <w:rFonts w:ascii="宋体" w:hAnsi="宋体" w:eastAsia="宋体" w:cs="宋体"/>
                <w:color w:val="auto"/>
                <w:szCs w:val="21"/>
                <w:lang w:eastAsia="en-US"/>
              </w:rPr>
            </w:pPr>
          </w:p>
        </w:tc>
        <w:tc>
          <w:tcPr>
            <w:tcW w:w="3459" w:type="dxa"/>
            <w:gridSpan w:val="2"/>
            <w:tcBorders>
              <w:top w:val="single" w:color="000000" w:sz="4" w:space="0"/>
              <w:left w:val="single" w:color="000000" w:sz="4" w:space="0"/>
              <w:bottom w:val="single" w:color="000000" w:sz="4" w:space="0"/>
              <w:right w:val="single" w:color="000000" w:sz="4" w:space="0"/>
            </w:tcBorders>
          </w:tcPr>
          <w:p w14:paraId="776BB606">
            <w:pPr>
              <w:pStyle w:val="75"/>
              <w:spacing w:before="44"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《微型计算机能效限定</w:t>
            </w:r>
            <w:r>
              <w:rPr>
                <w:rFonts w:hint="eastAsia" w:ascii="宋体" w:hAnsi="宋体" w:eastAsia="宋体" w:cs="宋体"/>
                <w:color w:val="auto"/>
                <w:spacing w:val="9"/>
                <w:w w:val="99"/>
                <w:sz w:val="21"/>
                <w:szCs w:val="21"/>
                <w:lang w:eastAsia="zh-CN"/>
              </w:rPr>
              <w:t>值</w:t>
            </w:r>
            <w:r>
              <w:rPr>
                <w:rFonts w:hint="eastAsia" w:ascii="宋体" w:hAnsi="宋体" w:eastAsia="宋体" w:cs="宋体"/>
                <w:color w:val="auto"/>
                <w:spacing w:val="12"/>
                <w:w w:val="99"/>
                <w:sz w:val="21"/>
                <w:szCs w:val="21"/>
                <w:lang w:eastAsia="zh-CN"/>
              </w:rPr>
              <w:t>及能</w:t>
            </w:r>
            <w:r>
              <w:rPr>
                <w:rFonts w:hint="eastAsia" w:ascii="宋体" w:hAnsi="宋体" w:eastAsia="宋体" w:cs="宋体"/>
                <w:color w:val="auto"/>
                <w:w w:val="99"/>
                <w:sz w:val="21"/>
                <w:szCs w:val="21"/>
                <w:lang w:eastAsia="zh-CN"/>
              </w:rPr>
              <w:t>效等级》（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28380</w:t>
            </w:r>
            <w:r>
              <w:rPr>
                <w:rFonts w:hint="eastAsia" w:ascii="宋体" w:hAnsi="宋体" w:eastAsia="宋体" w:cs="宋体"/>
                <w:color w:val="auto"/>
                <w:w w:val="99"/>
                <w:sz w:val="21"/>
                <w:szCs w:val="21"/>
                <w:lang w:eastAsia="zh-CN"/>
              </w:rPr>
              <w:t>）</w:t>
            </w:r>
          </w:p>
        </w:tc>
      </w:tr>
      <w:tr w14:paraId="2921012F">
        <w:tblPrEx>
          <w:tblCellMar>
            <w:top w:w="0" w:type="dxa"/>
            <w:left w:w="0" w:type="dxa"/>
            <w:bottom w:w="0" w:type="dxa"/>
            <w:right w:w="0" w:type="dxa"/>
          </w:tblCellMar>
        </w:tblPrEx>
        <w:trPr>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9DAFB9A">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2A341591">
            <w:pPr>
              <w:widowControl/>
              <w:jc w:val="center"/>
              <w:rPr>
                <w:rFonts w:ascii="宋体" w:hAnsi="宋体" w:eastAsia="宋体" w:cs="宋体"/>
                <w:color w:val="auto"/>
                <w:szCs w:val="21"/>
              </w:rPr>
            </w:pPr>
          </w:p>
        </w:tc>
        <w:tc>
          <w:tcPr>
            <w:tcW w:w="1615" w:type="dxa"/>
            <w:tcBorders>
              <w:top w:val="single" w:color="000000" w:sz="4" w:space="0"/>
              <w:left w:val="single" w:color="000000" w:sz="4" w:space="0"/>
              <w:bottom w:val="single" w:color="000000" w:sz="4" w:space="0"/>
              <w:right w:val="single" w:color="000000" w:sz="4" w:space="0"/>
            </w:tcBorders>
          </w:tcPr>
          <w:p w14:paraId="70A08D26">
            <w:pPr>
              <w:pStyle w:val="75"/>
              <w:spacing w:before="64" w:line="283" w:lineRule="auto"/>
              <w:ind w:left="7" w:right="5"/>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A020</w:t>
            </w:r>
            <w:r>
              <w:rPr>
                <w:rFonts w:hint="eastAsia" w:ascii="宋体" w:hAnsi="宋体" w:eastAsia="宋体" w:cs="宋体"/>
                <w:color w:val="auto"/>
                <w:w w:val="99"/>
                <w:sz w:val="21"/>
                <w:szCs w:val="21"/>
                <w:lang w:eastAsia="zh-CN"/>
              </w:rPr>
              <w:t>10</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w w:val="99"/>
                <w:sz w:val="21"/>
                <w:szCs w:val="21"/>
                <w:lang w:eastAsia="zh-CN"/>
              </w:rPr>
              <w:t>07平板式微型计</w:t>
            </w:r>
            <w:r>
              <w:rPr>
                <w:rFonts w:hint="eastAsia" w:ascii="宋体" w:hAnsi="宋体" w:eastAsia="宋体" w:cs="宋体"/>
                <w:color w:val="auto"/>
                <w:spacing w:val="2"/>
                <w:w w:val="99"/>
                <w:sz w:val="21"/>
                <w:szCs w:val="21"/>
                <w:lang w:eastAsia="zh-CN"/>
              </w:rPr>
              <w:t>算</w:t>
            </w:r>
            <w:r>
              <w:rPr>
                <w:rFonts w:hint="eastAsia" w:ascii="宋体" w:hAnsi="宋体" w:eastAsia="宋体" w:cs="宋体"/>
                <w:color w:val="auto"/>
                <w:w w:val="99"/>
                <w:sz w:val="21"/>
                <w:szCs w:val="21"/>
                <w:lang w:eastAsia="zh-CN"/>
              </w:rPr>
              <w:t>机</w:t>
            </w:r>
          </w:p>
        </w:tc>
        <w:tc>
          <w:tcPr>
            <w:tcW w:w="1916" w:type="dxa"/>
            <w:tcBorders>
              <w:top w:val="single" w:color="000000" w:sz="4" w:space="0"/>
              <w:left w:val="single" w:color="000000" w:sz="4" w:space="0"/>
              <w:bottom w:val="single" w:color="000000" w:sz="4" w:space="0"/>
              <w:right w:val="single" w:color="000000" w:sz="4" w:space="0"/>
            </w:tcBorders>
          </w:tcPr>
          <w:p w14:paraId="480B5D47">
            <w:pPr>
              <w:jc w:val="center"/>
              <w:rPr>
                <w:rFonts w:ascii="宋体" w:hAnsi="宋体" w:eastAsia="宋体" w:cs="宋体"/>
                <w:color w:val="auto"/>
                <w:szCs w:val="21"/>
              </w:rPr>
            </w:pPr>
          </w:p>
        </w:tc>
        <w:tc>
          <w:tcPr>
            <w:tcW w:w="3459" w:type="dxa"/>
            <w:gridSpan w:val="2"/>
            <w:tcBorders>
              <w:top w:val="single" w:color="000000" w:sz="4" w:space="0"/>
              <w:left w:val="single" w:color="000000" w:sz="4" w:space="0"/>
              <w:bottom w:val="single" w:color="000000" w:sz="4" w:space="0"/>
              <w:right w:val="single" w:color="000000" w:sz="4" w:space="0"/>
            </w:tcBorders>
          </w:tcPr>
          <w:p w14:paraId="1AD02A80">
            <w:pPr>
              <w:pStyle w:val="75"/>
              <w:spacing w:before="64"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《微型计算机能效限定</w:t>
            </w:r>
            <w:r>
              <w:rPr>
                <w:rFonts w:hint="eastAsia" w:ascii="宋体" w:hAnsi="宋体" w:eastAsia="宋体" w:cs="宋体"/>
                <w:color w:val="auto"/>
                <w:spacing w:val="9"/>
                <w:w w:val="99"/>
                <w:sz w:val="21"/>
                <w:szCs w:val="21"/>
                <w:lang w:eastAsia="zh-CN"/>
              </w:rPr>
              <w:t>值</w:t>
            </w:r>
            <w:r>
              <w:rPr>
                <w:rFonts w:hint="eastAsia" w:ascii="宋体" w:hAnsi="宋体" w:eastAsia="宋体" w:cs="宋体"/>
                <w:color w:val="auto"/>
                <w:spacing w:val="12"/>
                <w:w w:val="99"/>
                <w:sz w:val="21"/>
                <w:szCs w:val="21"/>
                <w:lang w:eastAsia="zh-CN"/>
              </w:rPr>
              <w:t>及能</w:t>
            </w:r>
            <w:r>
              <w:rPr>
                <w:rFonts w:hint="eastAsia" w:ascii="宋体" w:hAnsi="宋体" w:eastAsia="宋体" w:cs="宋体"/>
                <w:color w:val="auto"/>
                <w:w w:val="99"/>
                <w:sz w:val="21"/>
                <w:szCs w:val="21"/>
                <w:lang w:eastAsia="zh-CN"/>
              </w:rPr>
              <w:t>效等级》（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28380</w:t>
            </w:r>
            <w:r>
              <w:rPr>
                <w:rFonts w:hint="eastAsia" w:ascii="宋体" w:hAnsi="宋体" w:eastAsia="宋体" w:cs="宋体"/>
                <w:color w:val="auto"/>
                <w:w w:val="99"/>
                <w:sz w:val="21"/>
                <w:szCs w:val="21"/>
                <w:lang w:eastAsia="zh-CN"/>
              </w:rPr>
              <w:t>）</w:t>
            </w:r>
          </w:p>
        </w:tc>
      </w:tr>
      <w:tr w14:paraId="42112579">
        <w:tblPrEx>
          <w:tblCellMar>
            <w:top w:w="0" w:type="dxa"/>
            <w:left w:w="0" w:type="dxa"/>
            <w:bottom w:w="0" w:type="dxa"/>
            <w:right w:w="0" w:type="dxa"/>
          </w:tblCellMar>
        </w:tblPrEx>
        <w:trPr>
          <w:trHeight w:val="23" w:hRule="atLeas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6CF615E0">
            <w:pPr>
              <w:pStyle w:val="75"/>
              <w:jc w:val="center"/>
              <w:rPr>
                <w:rFonts w:ascii="宋体" w:hAnsi="宋体" w:eastAsia="宋体" w:cs="宋体"/>
                <w:color w:val="auto"/>
                <w:sz w:val="21"/>
                <w:szCs w:val="21"/>
                <w:lang w:eastAsia="zh-CN"/>
              </w:rPr>
            </w:pPr>
          </w:p>
          <w:p w14:paraId="615C3EEF">
            <w:pPr>
              <w:pStyle w:val="75"/>
              <w:jc w:val="center"/>
              <w:rPr>
                <w:rFonts w:ascii="宋体" w:hAnsi="宋体" w:eastAsia="宋体" w:cs="宋体"/>
                <w:color w:val="auto"/>
                <w:sz w:val="21"/>
                <w:szCs w:val="21"/>
                <w:lang w:eastAsia="zh-CN"/>
              </w:rPr>
            </w:pPr>
          </w:p>
          <w:p w14:paraId="18A2DA75">
            <w:pPr>
              <w:pStyle w:val="75"/>
              <w:jc w:val="center"/>
              <w:rPr>
                <w:rFonts w:ascii="宋体" w:hAnsi="宋体" w:eastAsia="宋体" w:cs="宋体"/>
                <w:color w:val="auto"/>
                <w:sz w:val="21"/>
                <w:szCs w:val="21"/>
                <w:lang w:eastAsia="zh-CN"/>
              </w:rPr>
            </w:pPr>
          </w:p>
          <w:p w14:paraId="2E72C157">
            <w:pPr>
              <w:pStyle w:val="75"/>
              <w:jc w:val="center"/>
              <w:rPr>
                <w:rFonts w:ascii="宋体" w:hAnsi="宋体" w:eastAsia="宋体" w:cs="宋体"/>
                <w:color w:val="auto"/>
                <w:sz w:val="21"/>
                <w:szCs w:val="21"/>
                <w:lang w:eastAsia="zh-CN"/>
              </w:rPr>
            </w:pPr>
          </w:p>
          <w:p w14:paraId="151BD2BF">
            <w:pPr>
              <w:pStyle w:val="75"/>
              <w:jc w:val="center"/>
              <w:rPr>
                <w:rFonts w:ascii="宋体" w:hAnsi="宋体" w:eastAsia="宋体" w:cs="宋体"/>
                <w:color w:val="auto"/>
                <w:sz w:val="21"/>
                <w:szCs w:val="21"/>
                <w:lang w:eastAsia="zh-CN"/>
              </w:rPr>
            </w:pPr>
          </w:p>
          <w:p w14:paraId="71A41727">
            <w:pPr>
              <w:pStyle w:val="75"/>
              <w:jc w:val="center"/>
              <w:rPr>
                <w:rFonts w:ascii="宋体" w:hAnsi="宋体" w:eastAsia="宋体" w:cs="宋体"/>
                <w:color w:val="auto"/>
                <w:sz w:val="21"/>
                <w:szCs w:val="21"/>
                <w:lang w:eastAsia="zh-CN"/>
              </w:rPr>
            </w:pPr>
          </w:p>
          <w:p w14:paraId="1795524B">
            <w:pPr>
              <w:pStyle w:val="75"/>
              <w:jc w:val="center"/>
              <w:rPr>
                <w:rFonts w:ascii="宋体" w:hAnsi="宋体" w:eastAsia="宋体" w:cs="宋体"/>
                <w:color w:val="auto"/>
                <w:sz w:val="21"/>
                <w:szCs w:val="21"/>
                <w:lang w:eastAsia="zh-CN"/>
              </w:rPr>
            </w:pPr>
          </w:p>
          <w:p w14:paraId="5C5003C1">
            <w:pPr>
              <w:pStyle w:val="75"/>
              <w:spacing w:before="2"/>
              <w:jc w:val="center"/>
              <w:rPr>
                <w:rFonts w:ascii="宋体" w:hAnsi="宋体" w:eastAsia="宋体" w:cs="宋体"/>
                <w:color w:val="auto"/>
                <w:sz w:val="21"/>
                <w:szCs w:val="21"/>
                <w:lang w:eastAsia="zh-CN"/>
              </w:rPr>
            </w:pPr>
          </w:p>
          <w:p w14:paraId="757FFE1F">
            <w:pPr>
              <w:pStyle w:val="75"/>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2</w:t>
            </w:r>
          </w:p>
        </w:tc>
        <w:tc>
          <w:tcPr>
            <w:tcW w:w="1351" w:type="dxa"/>
            <w:vMerge w:val="restart"/>
            <w:tcBorders>
              <w:top w:val="single" w:color="000000" w:sz="4" w:space="0"/>
              <w:left w:val="single" w:color="000000" w:sz="4" w:space="0"/>
              <w:bottom w:val="single" w:color="000000" w:sz="4" w:space="0"/>
              <w:right w:val="single" w:color="000000" w:sz="4" w:space="0"/>
            </w:tcBorders>
          </w:tcPr>
          <w:p w14:paraId="27C99EAB">
            <w:pPr>
              <w:pStyle w:val="75"/>
              <w:jc w:val="center"/>
              <w:rPr>
                <w:rFonts w:ascii="宋体" w:hAnsi="宋体" w:eastAsia="宋体" w:cs="宋体"/>
                <w:color w:val="auto"/>
                <w:sz w:val="21"/>
                <w:szCs w:val="21"/>
              </w:rPr>
            </w:pPr>
          </w:p>
          <w:p w14:paraId="6EA96FC0">
            <w:pPr>
              <w:pStyle w:val="75"/>
              <w:jc w:val="center"/>
              <w:rPr>
                <w:rFonts w:ascii="宋体" w:hAnsi="宋体" w:eastAsia="宋体" w:cs="宋体"/>
                <w:color w:val="auto"/>
                <w:sz w:val="21"/>
                <w:szCs w:val="21"/>
              </w:rPr>
            </w:pPr>
          </w:p>
          <w:p w14:paraId="5E74B72D">
            <w:pPr>
              <w:pStyle w:val="75"/>
              <w:jc w:val="center"/>
              <w:rPr>
                <w:rFonts w:ascii="宋体" w:hAnsi="宋体" w:eastAsia="宋体" w:cs="宋体"/>
                <w:color w:val="auto"/>
                <w:sz w:val="21"/>
                <w:szCs w:val="21"/>
              </w:rPr>
            </w:pPr>
          </w:p>
          <w:p w14:paraId="56D816CB">
            <w:pPr>
              <w:pStyle w:val="75"/>
              <w:jc w:val="center"/>
              <w:rPr>
                <w:rFonts w:ascii="宋体" w:hAnsi="宋体" w:eastAsia="宋体" w:cs="宋体"/>
                <w:color w:val="auto"/>
                <w:sz w:val="21"/>
                <w:szCs w:val="21"/>
              </w:rPr>
            </w:pPr>
          </w:p>
          <w:p w14:paraId="698D12B9">
            <w:pPr>
              <w:pStyle w:val="75"/>
              <w:jc w:val="center"/>
              <w:rPr>
                <w:rFonts w:ascii="宋体" w:hAnsi="宋体" w:eastAsia="宋体" w:cs="宋体"/>
                <w:color w:val="auto"/>
                <w:sz w:val="21"/>
                <w:szCs w:val="21"/>
              </w:rPr>
            </w:pPr>
          </w:p>
          <w:p w14:paraId="464B9745">
            <w:pPr>
              <w:pStyle w:val="75"/>
              <w:jc w:val="center"/>
              <w:rPr>
                <w:rFonts w:ascii="宋体" w:hAnsi="宋体" w:eastAsia="宋体" w:cs="宋体"/>
                <w:color w:val="auto"/>
                <w:sz w:val="21"/>
                <w:szCs w:val="21"/>
              </w:rPr>
            </w:pPr>
          </w:p>
          <w:p w14:paraId="699F39DB">
            <w:pPr>
              <w:pStyle w:val="75"/>
              <w:spacing w:before="3"/>
              <w:jc w:val="center"/>
              <w:rPr>
                <w:rFonts w:ascii="宋体" w:hAnsi="宋体" w:eastAsia="宋体" w:cs="宋体"/>
                <w:color w:val="auto"/>
                <w:sz w:val="21"/>
                <w:szCs w:val="21"/>
              </w:rPr>
            </w:pPr>
          </w:p>
          <w:p w14:paraId="553C6FA2">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6输入</w:t>
            </w:r>
          </w:p>
          <w:p w14:paraId="2161A1A6">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输出设备</w:t>
            </w:r>
          </w:p>
        </w:tc>
        <w:tc>
          <w:tcPr>
            <w:tcW w:w="1615" w:type="dxa"/>
            <w:vMerge w:val="restart"/>
            <w:tcBorders>
              <w:top w:val="single" w:color="000000" w:sz="4" w:space="0"/>
              <w:left w:val="single" w:color="000000" w:sz="4" w:space="0"/>
              <w:bottom w:val="single" w:color="000000" w:sz="4" w:space="0"/>
              <w:right w:val="single" w:color="000000" w:sz="4" w:space="0"/>
            </w:tcBorders>
          </w:tcPr>
          <w:p w14:paraId="161A1E02">
            <w:pPr>
              <w:pStyle w:val="75"/>
              <w:jc w:val="center"/>
              <w:rPr>
                <w:rFonts w:ascii="宋体" w:hAnsi="宋体" w:eastAsia="宋体" w:cs="宋体"/>
                <w:color w:val="auto"/>
                <w:sz w:val="21"/>
                <w:szCs w:val="21"/>
              </w:rPr>
            </w:pPr>
          </w:p>
          <w:p w14:paraId="7E323953">
            <w:pPr>
              <w:pStyle w:val="75"/>
              <w:jc w:val="center"/>
              <w:rPr>
                <w:rFonts w:ascii="宋体" w:hAnsi="宋体" w:eastAsia="宋体" w:cs="宋体"/>
                <w:color w:val="auto"/>
                <w:sz w:val="21"/>
                <w:szCs w:val="21"/>
              </w:rPr>
            </w:pPr>
          </w:p>
          <w:p w14:paraId="42854668">
            <w:pPr>
              <w:pStyle w:val="75"/>
              <w:jc w:val="center"/>
              <w:rPr>
                <w:rFonts w:ascii="宋体" w:hAnsi="宋体" w:eastAsia="宋体" w:cs="宋体"/>
                <w:color w:val="auto"/>
                <w:sz w:val="21"/>
                <w:szCs w:val="21"/>
              </w:rPr>
            </w:pPr>
          </w:p>
          <w:p w14:paraId="23C469A8">
            <w:pPr>
              <w:pStyle w:val="75"/>
              <w:spacing w:before="164"/>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601打印设备</w:t>
            </w:r>
          </w:p>
        </w:tc>
        <w:tc>
          <w:tcPr>
            <w:tcW w:w="1916" w:type="dxa"/>
            <w:tcBorders>
              <w:top w:val="single" w:color="000000" w:sz="4" w:space="0"/>
              <w:left w:val="single" w:color="000000" w:sz="4" w:space="0"/>
              <w:bottom w:val="single" w:color="000000" w:sz="4" w:space="0"/>
              <w:right w:val="single" w:color="000000" w:sz="4" w:space="0"/>
            </w:tcBorders>
          </w:tcPr>
          <w:p w14:paraId="34C89F4D">
            <w:pPr>
              <w:pStyle w:val="75"/>
              <w:spacing w:before="52"/>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w:t>
            </w:r>
            <w:r>
              <w:rPr>
                <w:rFonts w:hint="eastAsia" w:ascii="宋体" w:hAnsi="宋体" w:eastAsia="宋体" w:cs="宋体"/>
                <w:color w:val="auto"/>
                <w:spacing w:val="1"/>
                <w:w w:val="99"/>
                <w:sz w:val="21"/>
                <w:szCs w:val="21"/>
              </w:rPr>
              <w:t>10</w:t>
            </w:r>
            <w:r>
              <w:rPr>
                <w:rFonts w:hint="eastAsia" w:ascii="宋体" w:hAnsi="宋体" w:eastAsia="宋体" w:cs="宋体"/>
                <w:color w:val="auto"/>
                <w:w w:val="99"/>
                <w:sz w:val="21"/>
                <w:szCs w:val="21"/>
              </w:rPr>
              <w:t>1喷墨打</w:t>
            </w:r>
          </w:p>
          <w:p w14:paraId="60A0F129">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印机</w:t>
            </w:r>
          </w:p>
        </w:tc>
        <w:tc>
          <w:tcPr>
            <w:tcW w:w="3459" w:type="dxa"/>
            <w:gridSpan w:val="2"/>
            <w:tcBorders>
              <w:top w:val="single" w:color="000000" w:sz="4" w:space="0"/>
              <w:left w:val="single" w:color="000000" w:sz="4" w:space="0"/>
              <w:bottom w:val="single" w:color="000000" w:sz="4" w:space="0"/>
              <w:right w:val="single" w:color="000000" w:sz="4" w:space="0"/>
            </w:tcBorders>
          </w:tcPr>
          <w:p w14:paraId="0C605955">
            <w:pPr>
              <w:pStyle w:val="75"/>
              <w:spacing w:before="52"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《复印</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spacing w:val="-58"/>
                <w:w w:val="99"/>
                <w:sz w:val="21"/>
                <w:szCs w:val="21"/>
                <w:lang w:eastAsia="zh-CN"/>
              </w:rPr>
              <w:t>、</w:t>
            </w:r>
            <w:r>
              <w:rPr>
                <w:rFonts w:hint="eastAsia" w:ascii="宋体" w:hAnsi="宋体" w:eastAsia="宋体" w:cs="宋体"/>
                <w:color w:val="auto"/>
                <w:spacing w:val="2"/>
                <w:w w:val="99"/>
                <w:sz w:val="21"/>
                <w:szCs w:val="21"/>
                <w:lang w:eastAsia="zh-CN"/>
              </w:rPr>
              <w:t>打</w:t>
            </w:r>
            <w:r>
              <w:rPr>
                <w:rFonts w:hint="eastAsia" w:ascii="宋体" w:hAnsi="宋体" w:eastAsia="宋体" w:cs="宋体"/>
                <w:color w:val="auto"/>
                <w:w w:val="99"/>
                <w:sz w:val="21"/>
                <w:szCs w:val="21"/>
                <w:lang w:eastAsia="zh-CN"/>
              </w:rPr>
              <w:t>印机</w:t>
            </w:r>
            <w:r>
              <w:rPr>
                <w:rFonts w:hint="eastAsia" w:ascii="宋体" w:hAnsi="宋体" w:eastAsia="宋体" w:cs="宋体"/>
                <w:color w:val="auto"/>
                <w:spacing w:val="2"/>
                <w:w w:val="99"/>
                <w:sz w:val="21"/>
                <w:szCs w:val="21"/>
                <w:lang w:eastAsia="zh-CN"/>
              </w:rPr>
              <w:t>和</w:t>
            </w:r>
            <w:r>
              <w:rPr>
                <w:rFonts w:hint="eastAsia" w:ascii="宋体" w:hAnsi="宋体" w:eastAsia="宋体" w:cs="宋体"/>
                <w:color w:val="auto"/>
                <w:w w:val="99"/>
                <w:sz w:val="21"/>
                <w:szCs w:val="21"/>
                <w:lang w:eastAsia="zh-CN"/>
              </w:rPr>
              <w:t>传真</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w w:val="99"/>
                <w:sz w:val="21"/>
                <w:szCs w:val="21"/>
                <w:lang w:eastAsia="zh-CN"/>
              </w:rPr>
              <w:t>能效限定值及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w:t>
            </w:r>
            <w:r>
              <w:rPr>
                <w:rFonts w:hint="eastAsia" w:ascii="宋体" w:hAnsi="宋体" w:eastAsia="宋体" w:cs="宋体"/>
                <w:color w:val="auto"/>
                <w:w w:val="99"/>
                <w:sz w:val="21"/>
                <w:szCs w:val="21"/>
                <w:lang w:eastAsia="zh-CN"/>
              </w:rPr>
              <w:t>52</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w w:val="99"/>
                <w:sz w:val="21"/>
                <w:szCs w:val="21"/>
                <w:lang w:eastAsia="zh-CN"/>
              </w:rPr>
              <w:t>）</w:t>
            </w:r>
          </w:p>
        </w:tc>
      </w:tr>
      <w:tr w14:paraId="31E9C679">
        <w:tblPrEx>
          <w:tblCellMar>
            <w:top w:w="0" w:type="dxa"/>
            <w:left w:w="0" w:type="dxa"/>
            <w:bottom w:w="0" w:type="dxa"/>
            <w:right w:w="0" w:type="dxa"/>
          </w:tblCellMar>
        </w:tblPrEx>
        <w:trPr>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8AEAF9E">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0CBA9D85">
            <w:pPr>
              <w:widowControl/>
              <w:jc w:val="center"/>
              <w:rPr>
                <w:rFonts w:ascii="宋体" w:hAnsi="宋体" w:eastAsia="宋体" w:cs="宋体"/>
                <w:color w:val="auto"/>
                <w:szCs w:val="21"/>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14:paraId="404A2D4E">
            <w:pPr>
              <w:widowControl/>
              <w:jc w:val="center"/>
              <w:rPr>
                <w:rFonts w:ascii="宋体" w:hAnsi="宋体" w:eastAsia="宋体" w:cs="宋体"/>
                <w:color w:val="auto"/>
                <w:szCs w:val="21"/>
              </w:rPr>
            </w:pPr>
          </w:p>
        </w:tc>
        <w:tc>
          <w:tcPr>
            <w:tcW w:w="1916" w:type="dxa"/>
            <w:tcBorders>
              <w:top w:val="single" w:color="000000" w:sz="4" w:space="0"/>
              <w:left w:val="single" w:color="000000" w:sz="4" w:space="0"/>
              <w:bottom w:val="single" w:color="000000" w:sz="4" w:space="0"/>
              <w:right w:val="single" w:color="000000" w:sz="4" w:space="0"/>
            </w:tcBorders>
          </w:tcPr>
          <w:p w14:paraId="7EB4509A">
            <w:pPr>
              <w:pStyle w:val="75"/>
              <w:spacing w:before="52"/>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02激光</w:t>
            </w:r>
          </w:p>
          <w:p w14:paraId="6350D8F7">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打印机</w:t>
            </w:r>
          </w:p>
        </w:tc>
        <w:tc>
          <w:tcPr>
            <w:tcW w:w="3459" w:type="dxa"/>
            <w:gridSpan w:val="2"/>
            <w:tcBorders>
              <w:top w:val="single" w:color="000000" w:sz="4" w:space="0"/>
              <w:left w:val="single" w:color="000000" w:sz="4" w:space="0"/>
              <w:bottom w:val="single" w:color="000000" w:sz="4" w:space="0"/>
              <w:right w:val="single" w:color="000000" w:sz="4" w:space="0"/>
            </w:tcBorders>
          </w:tcPr>
          <w:p w14:paraId="052DED89">
            <w:pPr>
              <w:pStyle w:val="75"/>
              <w:spacing w:before="52"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《复印</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spacing w:val="-58"/>
                <w:w w:val="99"/>
                <w:sz w:val="21"/>
                <w:szCs w:val="21"/>
                <w:lang w:eastAsia="zh-CN"/>
              </w:rPr>
              <w:t>、</w:t>
            </w:r>
            <w:r>
              <w:rPr>
                <w:rFonts w:hint="eastAsia" w:ascii="宋体" w:hAnsi="宋体" w:eastAsia="宋体" w:cs="宋体"/>
                <w:color w:val="auto"/>
                <w:spacing w:val="2"/>
                <w:w w:val="99"/>
                <w:sz w:val="21"/>
                <w:szCs w:val="21"/>
                <w:lang w:eastAsia="zh-CN"/>
              </w:rPr>
              <w:t>打</w:t>
            </w:r>
            <w:r>
              <w:rPr>
                <w:rFonts w:hint="eastAsia" w:ascii="宋体" w:hAnsi="宋体" w:eastAsia="宋体" w:cs="宋体"/>
                <w:color w:val="auto"/>
                <w:w w:val="99"/>
                <w:sz w:val="21"/>
                <w:szCs w:val="21"/>
                <w:lang w:eastAsia="zh-CN"/>
              </w:rPr>
              <w:t>印机</w:t>
            </w:r>
            <w:r>
              <w:rPr>
                <w:rFonts w:hint="eastAsia" w:ascii="宋体" w:hAnsi="宋体" w:eastAsia="宋体" w:cs="宋体"/>
                <w:color w:val="auto"/>
                <w:spacing w:val="2"/>
                <w:w w:val="99"/>
                <w:sz w:val="21"/>
                <w:szCs w:val="21"/>
                <w:lang w:eastAsia="zh-CN"/>
              </w:rPr>
              <w:t>和</w:t>
            </w:r>
            <w:r>
              <w:rPr>
                <w:rFonts w:hint="eastAsia" w:ascii="宋体" w:hAnsi="宋体" w:eastAsia="宋体" w:cs="宋体"/>
                <w:color w:val="auto"/>
                <w:w w:val="99"/>
                <w:sz w:val="21"/>
                <w:szCs w:val="21"/>
                <w:lang w:eastAsia="zh-CN"/>
              </w:rPr>
              <w:t>传真</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w w:val="99"/>
                <w:sz w:val="21"/>
                <w:szCs w:val="21"/>
                <w:lang w:eastAsia="zh-CN"/>
              </w:rPr>
              <w:t>能效限定值及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w:t>
            </w:r>
            <w:r>
              <w:rPr>
                <w:rFonts w:hint="eastAsia" w:ascii="宋体" w:hAnsi="宋体" w:eastAsia="宋体" w:cs="宋体"/>
                <w:color w:val="auto"/>
                <w:w w:val="99"/>
                <w:sz w:val="21"/>
                <w:szCs w:val="21"/>
                <w:lang w:eastAsia="zh-CN"/>
              </w:rPr>
              <w:t>52</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w w:val="99"/>
                <w:sz w:val="21"/>
                <w:szCs w:val="21"/>
                <w:lang w:eastAsia="zh-CN"/>
              </w:rPr>
              <w:t>）</w:t>
            </w:r>
          </w:p>
        </w:tc>
      </w:tr>
      <w:tr w14:paraId="37447087">
        <w:tblPrEx>
          <w:tblCellMar>
            <w:top w:w="0" w:type="dxa"/>
            <w:left w:w="0" w:type="dxa"/>
            <w:bottom w:w="0" w:type="dxa"/>
            <w:right w:w="0" w:type="dxa"/>
          </w:tblCellMar>
        </w:tblPrEx>
        <w:trPr>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7DE4885">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6FE74AEC">
            <w:pPr>
              <w:widowControl/>
              <w:jc w:val="center"/>
              <w:rPr>
                <w:rFonts w:ascii="宋体" w:hAnsi="宋体" w:eastAsia="宋体" w:cs="宋体"/>
                <w:color w:val="auto"/>
                <w:szCs w:val="21"/>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14:paraId="22617EB4">
            <w:pPr>
              <w:widowControl/>
              <w:jc w:val="center"/>
              <w:rPr>
                <w:rFonts w:ascii="宋体" w:hAnsi="宋体" w:eastAsia="宋体" w:cs="宋体"/>
                <w:color w:val="auto"/>
                <w:szCs w:val="21"/>
              </w:rPr>
            </w:pPr>
          </w:p>
        </w:tc>
        <w:tc>
          <w:tcPr>
            <w:tcW w:w="1916" w:type="dxa"/>
            <w:tcBorders>
              <w:top w:val="single" w:color="000000" w:sz="4" w:space="0"/>
              <w:left w:val="single" w:color="000000" w:sz="4" w:space="0"/>
              <w:bottom w:val="single" w:color="000000" w:sz="4" w:space="0"/>
              <w:right w:val="single" w:color="000000" w:sz="4" w:space="0"/>
            </w:tcBorders>
          </w:tcPr>
          <w:p w14:paraId="24DEEDD8">
            <w:pPr>
              <w:pStyle w:val="75"/>
              <w:spacing w:before="52"/>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04针式</w:t>
            </w:r>
          </w:p>
          <w:p w14:paraId="391C7902">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打印机</w:t>
            </w:r>
          </w:p>
        </w:tc>
        <w:tc>
          <w:tcPr>
            <w:tcW w:w="3459" w:type="dxa"/>
            <w:gridSpan w:val="2"/>
            <w:tcBorders>
              <w:top w:val="single" w:color="000000" w:sz="4" w:space="0"/>
              <w:left w:val="single" w:color="000000" w:sz="4" w:space="0"/>
              <w:bottom w:val="single" w:color="000000" w:sz="4" w:space="0"/>
              <w:right w:val="single" w:color="000000" w:sz="4" w:space="0"/>
            </w:tcBorders>
          </w:tcPr>
          <w:p w14:paraId="56A9CC80">
            <w:pPr>
              <w:pStyle w:val="75"/>
              <w:spacing w:before="52"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《复印</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spacing w:val="-58"/>
                <w:w w:val="99"/>
                <w:sz w:val="21"/>
                <w:szCs w:val="21"/>
                <w:lang w:eastAsia="zh-CN"/>
              </w:rPr>
              <w:t>、</w:t>
            </w:r>
            <w:r>
              <w:rPr>
                <w:rFonts w:hint="eastAsia" w:ascii="宋体" w:hAnsi="宋体" w:eastAsia="宋体" w:cs="宋体"/>
                <w:color w:val="auto"/>
                <w:spacing w:val="2"/>
                <w:w w:val="99"/>
                <w:sz w:val="21"/>
                <w:szCs w:val="21"/>
                <w:lang w:eastAsia="zh-CN"/>
              </w:rPr>
              <w:t>打</w:t>
            </w:r>
            <w:r>
              <w:rPr>
                <w:rFonts w:hint="eastAsia" w:ascii="宋体" w:hAnsi="宋体" w:eastAsia="宋体" w:cs="宋体"/>
                <w:color w:val="auto"/>
                <w:w w:val="99"/>
                <w:sz w:val="21"/>
                <w:szCs w:val="21"/>
                <w:lang w:eastAsia="zh-CN"/>
              </w:rPr>
              <w:t>印机</w:t>
            </w:r>
            <w:r>
              <w:rPr>
                <w:rFonts w:hint="eastAsia" w:ascii="宋体" w:hAnsi="宋体" w:eastAsia="宋体" w:cs="宋体"/>
                <w:color w:val="auto"/>
                <w:spacing w:val="2"/>
                <w:w w:val="99"/>
                <w:sz w:val="21"/>
                <w:szCs w:val="21"/>
                <w:lang w:eastAsia="zh-CN"/>
              </w:rPr>
              <w:t>和</w:t>
            </w:r>
            <w:r>
              <w:rPr>
                <w:rFonts w:hint="eastAsia" w:ascii="宋体" w:hAnsi="宋体" w:eastAsia="宋体" w:cs="宋体"/>
                <w:color w:val="auto"/>
                <w:w w:val="99"/>
                <w:sz w:val="21"/>
                <w:szCs w:val="21"/>
                <w:lang w:eastAsia="zh-CN"/>
              </w:rPr>
              <w:t>传真</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w w:val="99"/>
                <w:sz w:val="21"/>
                <w:szCs w:val="21"/>
                <w:lang w:eastAsia="zh-CN"/>
              </w:rPr>
              <w:t>能效限定值及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w:t>
            </w:r>
            <w:r>
              <w:rPr>
                <w:rFonts w:hint="eastAsia" w:ascii="宋体" w:hAnsi="宋体" w:eastAsia="宋体" w:cs="宋体"/>
                <w:color w:val="auto"/>
                <w:w w:val="99"/>
                <w:sz w:val="21"/>
                <w:szCs w:val="21"/>
                <w:lang w:eastAsia="zh-CN"/>
              </w:rPr>
              <w:t>52</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w w:val="99"/>
                <w:sz w:val="21"/>
                <w:szCs w:val="21"/>
                <w:lang w:eastAsia="zh-CN"/>
              </w:rPr>
              <w:t>）</w:t>
            </w:r>
          </w:p>
        </w:tc>
      </w:tr>
      <w:tr w14:paraId="083F3AB7">
        <w:tblPrEx>
          <w:tblCellMar>
            <w:top w:w="0" w:type="dxa"/>
            <w:left w:w="0" w:type="dxa"/>
            <w:bottom w:w="0" w:type="dxa"/>
            <w:right w:w="0" w:type="dxa"/>
          </w:tblCellMar>
        </w:tblPrEx>
        <w:trPr>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3CCCE35">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0D4410B8">
            <w:pPr>
              <w:widowControl/>
              <w:jc w:val="center"/>
              <w:rPr>
                <w:rFonts w:ascii="宋体" w:hAnsi="宋体" w:eastAsia="宋体" w:cs="宋体"/>
                <w:color w:val="auto"/>
                <w:szCs w:val="21"/>
              </w:rPr>
            </w:pPr>
          </w:p>
        </w:tc>
        <w:tc>
          <w:tcPr>
            <w:tcW w:w="1615" w:type="dxa"/>
            <w:tcBorders>
              <w:top w:val="single" w:color="000000" w:sz="4" w:space="0"/>
              <w:left w:val="single" w:color="000000" w:sz="4" w:space="0"/>
              <w:bottom w:val="single" w:color="000000" w:sz="4" w:space="0"/>
              <w:right w:val="single" w:color="000000" w:sz="4" w:space="0"/>
            </w:tcBorders>
          </w:tcPr>
          <w:p w14:paraId="5255F47F">
            <w:pPr>
              <w:pStyle w:val="75"/>
              <w:spacing w:before="2"/>
              <w:jc w:val="center"/>
              <w:rPr>
                <w:rFonts w:ascii="宋体" w:hAnsi="宋体" w:eastAsia="宋体" w:cs="宋体"/>
                <w:color w:val="auto"/>
                <w:sz w:val="21"/>
                <w:szCs w:val="21"/>
                <w:lang w:eastAsia="zh-CN"/>
              </w:rPr>
            </w:pPr>
          </w:p>
          <w:p w14:paraId="10AC7A1A">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604显示设备</w:t>
            </w:r>
          </w:p>
        </w:tc>
        <w:tc>
          <w:tcPr>
            <w:tcW w:w="1916" w:type="dxa"/>
            <w:tcBorders>
              <w:top w:val="single" w:color="000000" w:sz="4" w:space="0"/>
              <w:left w:val="single" w:color="000000" w:sz="4" w:space="0"/>
              <w:bottom w:val="single" w:color="000000" w:sz="4" w:space="0"/>
              <w:right w:val="single" w:color="000000" w:sz="4" w:space="0"/>
            </w:tcBorders>
          </w:tcPr>
          <w:p w14:paraId="1427DBDE">
            <w:pPr>
              <w:pStyle w:val="75"/>
              <w:spacing w:before="68"/>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w:t>
            </w:r>
            <w:r>
              <w:rPr>
                <w:rFonts w:hint="eastAsia" w:ascii="宋体" w:hAnsi="宋体" w:eastAsia="宋体" w:cs="宋体"/>
                <w:color w:val="auto"/>
                <w:spacing w:val="1"/>
                <w:w w:val="99"/>
                <w:sz w:val="21"/>
                <w:szCs w:val="21"/>
              </w:rPr>
              <w:t>4</w:t>
            </w:r>
            <w:r>
              <w:rPr>
                <w:rFonts w:hint="eastAsia" w:ascii="宋体" w:hAnsi="宋体" w:eastAsia="宋体" w:cs="宋体"/>
                <w:color w:val="auto"/>
                <w:w w:val="99"/>
                <w:sz w:val="21"/>
                <w:szCs w:val="21"/>
              </w:rPr>
              <w:t>01液晶</w:t>
            </w:r>
          </w:p>
          <w:p w14:paraId="445271F6">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显示器</w:t>
            </w:r>
          </w:p>
        </w:tc>
        <w:tc>
          <w:tcPr>
            <w:tcW w:w="3459" w:type="dxa"/>
            <w:gridSpan w:val="2"/>
            <w:tcBorders>
              <w:top w:val="single" w:color="000000" w:sz="4" w:space="0"/>
              <w:left w:val="single" w:color="000000" w:sz="4" w:space="0"/>
              <w:bottom w:val="single" w:color="000000" w:sz="4" w:space="0"/>
              <w:right w:val="single" w:color="000000" w:sz="4" w:space="0"/>
            </w:tcBorders>
          </w:tcPr>
          <w:p w14:paraId="57409600">
            <w:pPr>
              <w:pStyle w:val="75"/>
              <w:spacing w:before="68"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《计算机显示器能效限</w:t>
            </w:r>
            <w:r>
              <w:rPr>
                <w:rFonts w:hint="eastAsia" w:ascii="宋体" w:hAnsi="宋体" w:eastAsia="宋体" w:cs="宋体"/>
                <w:color w:val="auto"/>
                <w:spacing w:val="9"/>
                <w:w w:val="99"/>
                <w:sz w:val="21"/>
                <w:szCs w:val="21"/>
                <w:lang w:eastAsia="zh-CN"/>
              </w:rPr>
              <w:t>定</w:t>
            </w:r>
            <w:r>
              <w:rPr>
                <w:rFonts w:hint="eastAsia" w:ascii="宋体" w:hAnsi="宋体" w:eastAsia="宋体" w:cs="宋体"/>
                <w:color w:val="auto"/>
                <w:spacing w:val="12"/>
                <w:w w:val="99"/>
                <w:sz w:val="21"/>
                <w:szCs w:val="21"/>
                <w:lang w:eastAsia="zh-CN"/>
              </w:rPr>
              <w:t>值及</w:t>
            </w:r>
            <w:r>
              <w:rPr>
                <w:rFonts w:hint="eastAsia" w:ascii="宋体" w:hAnsi="宋体" w:eastAsia="宋体" w:cs="宋体"/>
                <w:color w:val="auto"/>
                <w:w w:val="99"/>
                <w:sz w:val="21"/>
                <w:szCs w:val="21"/>
                <w:lang w:eastAsia="zh-CN"/>
              </w:rPr>
              <w:t>能效等级</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w:t>
            </w:r>
            <w:r>
              <w:rPr>
                <w:rFonts w:hint="eastAsia" w:ascii="宋体" w:hAnsi="宋体" w:eastAsia="宋体" w:cs="宋体"/>
                <w:color w:val="auto"/>
                <w:w w:val="99"/>
                <w:sz w:val="21"/>
                <w:szCs w:val="21"/>
                <w:lang w:eastAsia="zh-CN"/>
              </w:rPr>
              <w:t>52</w:t>
            </w:r>
            <w:r>
              <w:rPr>
                <w:rFonts w:hint="eastAsia" w:ascii="宋体" w:hAnsi="宋体" w:eastAsia="宋体" w:cs="宋体"/>
                <w:color w:val="auto"/>
                <w:spacing w:val="1"/>
                <w:w w:val="99"/>
                <w:sz w:val="21"/>
                <w:szCs w:val="21"/>
                <w:lang w:eastAsia="zh-CN"/>
              </w:rPr>
              <w:t>0</w:t>
            </w:r>
            <w:r>
              <w:rPr>
                <w:rFonts w:hint="eastAsia" w:ascii="宋体" w:hAnsi="宋体" w:eastAsia="宋体" w:cs="宋体"/>
                <w:color w:val="auto"/>
                <w:w w:val="99"/>
                <w:sz w:val="21"/>
                <w:szCs w:val="21"/>
                <w:lang w:eastAsia="zh-CN"/>
              </w:rPr>
              <w:t>）</w:t>
            </w:r>
          </w:p>
        </w:tc>
      </w:tr>
      <w:tr w14:paraId="1B400100">
        <w:tblPrEx>
          <w:tblCellMar>
            <w:top w:w="0" w:type="dxa"/>
            <w:left w:w="0" w:type="dxa"/>
            <w:bottom w:w="0" w:type="dxa"/>
            <w:right w:w="0" w:type="dxa"/>
          </w:tblCellMar>
        </w:tblPrEx>
        <w:trPr>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C964318">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2CF5AE5A">
            <w:pPr>
              <w:widowControl/>
              <w:jc w:val="center"/>
              <w:rPr>
                <w:rFonts w:ascii="宋体" w:hAnsi="宋体" w:eastAsia="宋体" w:cs="宋体"/>
                <w:color w:val="auto"/>
                <w:szCs w:val="21"/>
              </w:rPr>
            </w:pPr>
          </w:p>
        </w:tc>
        <w:tc>
          <w:tcPr>
            <w:tcW w:w="1615" w:type="dxa"/>
            <w:tcBorders>
              <w:top w:val="single" w:color="000000" w:sz="4" w:space="0"/>
              <w:left w:val="single" w:color="000000" w:sz="4" w:space="0"/>
              <w:bottom w:val="single" w:color="000000" w:sz="4" w:space="0"/>
              <w:right w:val="single" w:color="000000" w:sz="4" w:space="0"/>
            </w:tcBorders>
          </w:tcPr>
          <w:p w14:paraId="7851364E">
            <w:pPr>
              <w:pStyle w:val="75"/>
              <w:spacing w:before="8"/>
              <w:jc w:val="center"/>
              <w:rPr>
                <w:rFonts w:ascii="宋体" w:hAnsi="宋体" w:eastAsia="宋体" w:cs="宋体"/>
                <w:color w:val="auto"/>
                <w:sz w:val="21"/>
                <w:szCs w:val="21"/>
                <w:lang w:eastAsia="zh-CN"/>
              </w:rPr>
            </w:pPr>
          </w:p>
          <w:p w14:paraId="1F88A462">
            <w:pPr>
              <w:pStyle w:val="75"/>
              <w:spacing w:line="283" w:lineRule="auto"/>
              <w:ind w:left="7" w:right="5"/>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609图形图像输入设备</w:t>
            </w:r>
          </w:p>
        </w:tc>
        <w:tc>
          <w:tcPr>
            <w:tcW w:w="1916" w:type="dxa"/>
            <w:tcBorders>
              <w:top w:val="single" w:color="000000" w:sz="4" w:space="0"/>
              <w:left w:val="single" w:color="000000" w:sz="4" w:space="0"/>
              <w:bottom w:val="single" w:color="000000" w:sz="4" w:space="0"/>
              <w:right w:val="single" w:color="000000" w:sz="4" w:space="0"/>
            </w:tcBorders>
          </w:tcPr>
          <w:p w14:paraId="09986E92">
            <w:pPr>
              <w:pStyle w:val="75"/>
              <w:jc w:val="center"/>
              <w:rPr>
                <w:rFonts w:ascii="宋体" w:hAnsi="宋体" w:eastAsia="宋体" w:cs="宋体"/>
                <w:color w:val="auto"/>
                <w:sz w:val="21"/>
                <w:szCs w:val="21"/>
              </w:rPr>
            </w:pPr>
          </w:p>
          <w:p w14:paraId="3A1D10AC">
            <w:pPr>
              <w:pStyle w:val="75"/>
              <w:spacing w:before="7"/>
              <w:jc w:val="center"/>
              <w:rPr>
                <w:rFonts w:ascii="宋体" w:hAnsi="宋体" w:eastAsia="宋体" w:cs="宋体"/>
                <w:color w:val="auto"/>
                <w:sz w:val="21"/>
                <w:szCs w:val="21"/>
              </w:rPr>
            </w:pPr>
          </w:p>
          <w:p w14:paraId="27B9B006">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01</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60</w:t>
            </w:r>
            <w:r>
              <w:rPr>
                <w:rFonts w:hint="eastAsia" w:ascii="宋体" w:hAnsi="宋体" w:eastAsia="宋体" w:cs="宋体"/>
                <w:color w:val="auto"/>
                <w:spacing w:val="1"/>
                <w:w w:val="99"/>
                <w:sz w:val="21"/>
                <w:szCs w:val="21"/>
              </w:rPr>
              <w:t>9</w:t>
            </w:r>
            <w:r>
              <w:rPr>
                <w:rFonts w:hint="eastAsia" w:ascii="宋体" w:hAnsi="宋体" w:eastAsia="宋体" w:cs="宋体"/>
                <w:color w:val="auto"/>
                <w:w w:val="99"/>
                <w:sz w:val="21"/>
                <w:szCs w:val="21"/>
              </w:rPr>
              <w:t>01扫描仪</w:t>
            </w:r>
          </w:p>
        </w:tc>
        <w:tc>
          <w:tcPr>
            <w:tcW w:w="3459" w:type="dxa"/>
            <w:gridSpan w:val="2"/>
            <w:tcBorders>
              <w:top w:val="single" w:color="000000" w:sz="4" w:space="0"/>
              <w:left w:val="single" w:color="000000" w:sz="4" w:space="0"/>
              <w:bottom w:val="single" w:color="000000" w:sz="4" w:space="0"/>
              <w:right w:val="single" w:color="000000" w:sz="4" w:space="0"/>
            </w:tcBorders>
          </w:tcPr>
          <w:p w14:paraId="7D02EBA1">
            <w:pPr>
              <w:pStyle w:val="75"/>
              <w:spacing w:before="49"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参</w:t>
            </w:r>
            <w:r>
              <w:rPr>
                <w:rFonts w:hint="eastAsia" w:ascii="宋体" w:hAnsi="宋体" w:eastAsia="宋体" w:cs="宋体"/>
                <w:color w:val="auto"/>
                <w:spacing w:val="-29"/>
                <w:w w:val="99"/>
                <w:sz w:val="21"/>
                <w:szCs w:val="21"/>
                <w:lang w:eastAsia="zh-CN"/>
              </w:rPr>
              <w:t>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2"/>
                <w:w w:val="99"/>
                <w:sz w:val="21"/>
                <w:szCs w:val="21"/>
                <w:lang w:eastAsia="zh-CN"/>
              </w:rPr>
              <w:t>复</w:t>
            </w:r>
            <w:r>
              <w:rPr>
                <w:rFonts w:hint="eastAsia" w:ascii="宋体" w:hAnsi="宋体" w:eastAsia="宋体" w:cs="宋体"/>
                <w:color w:val="auto"/>
                <w:w w:val="99"/>
                <w:sz w:val="21"/>
                <w:szCs w:val="21"/>
                <w:lang w:eastAsia="zh-CN"/>
              </w:rPr>
              <w:t>印</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spacing w:val="-29"/>
                <w:w w:val="99"/>
                <w:sz w:val="21"/>
                <w:szCs w:val="21"/>
                <w:lang w:eastAsia="zh-CN"/>
              </w:rPr>
              <w:t>、</w:t>
            </w:r>
            <w:r>
              <w:rPr>
                <w:rFonts w:hint="eastAsia" w:ascii="宋体" w:hAnsi="宋体" w:eastAsia="宋体" w:cs="宋体"/>
                <w:color w:val="auto"/>
                <w:w w:val="99"/>
                <w:sz w:val="21"/>
                <w:szCs w:val="21"/>
                <w:lang w:eastAsia="zh-CN"/>
              </w:rPr>
              <w:t>打</w:t>
            </w:r>
            <w:r>
              <w:rPr>
                <w:rFonts w:hint="eastAsia" w:ascii="宋体" w:hAnsi="宋体" w:eastAsia="宋体" w:cs="宋体"/>
                <w:color w:val="auto"/>
                <w:spacing w:val="2"/>
                <w:w w:val="99"/>
                <w:sz w:val="21"/>
                <w:szCs w:val="21"/>
                <w:lang w:eastAsia="zh-CN"/>
              </w:rPr>
              <w:t>印</w:t>
            </w:r>
            <w:r>
              <w:rPr>
                <w:rFonts w:hint="eastAsia" w:ascii="宋体" w:hAnsi="宋体" w:eastAsia="宋体" w:cs="宋体"/>
                <w:color w:val="auto"/>
                <w:w w:val="99"/>
                <w:sz w:val="21"/>
                <w:szCs w:val="21"/>
                <w:lang w:eastAsia="zh-CN"/>
              </w:rPr>
              <w:t>机和</w:t>
            </w:r>
            <w:r>
              <w:rPr>
                <w:rFonts w:hint="eastAsia" w:ascii="宋体" w:hAnsi="宋体" w:eastAsia="宋体" w:cs="宋体"/>
                <w:color w:val="auto"/>
                <w:spacing w:val="2"/>
                <w:w w:val="99"/>
                <w:sz w:val="21"/>
                <w:szCs w:val="21"/>
                <w:lang w:eastAsia="zh-CN"/>
              </w:rPr>
              <w:t>传</w:t>
            </w:r>
            <w:r>
              <w:rPr>
                <w:rFonts w:hint="eastAsia" w:ascii="宋体" w:hAnsi="宋体" w:eastAsia="宋体" w:cs="宋体"/>
                <w:color w:val="auto"/>
                <w:w w:val="99"/>
                <w:sz w:val="21"/>
                <w:szCs w:val="21"/>
                <w:lang w:eastAsia="zh-CN"/>
              </w:rPr>
              <w:t>真机能效限定</w:t>
            </w:r>
            <w:r>
              <w:rPr>
                <w:rFonts w:hint="eastAsia" w:ascii="宋体" w:hAnsi="宋体" w:eastAsia="宋体" w:cs="宋体"/>
                <w:color w:val="auto"/>
                <w:spacing w:val="2"/>
                <w:w w:val="99"/>
                <w:sz w:val="21"/>
                <w:szCs w:val="21"/>
                <w:lang w:eastAsia="zh-CN"/>
              </w:rPr>
              <w:t>值</w:t>
            </w:r>
            <w:r>
              <w:rPr>
                <w:rFonts w:hint="eastAsia" w:ascii="宋体" w:hAnsi="宋体" w:eastAsia="宋体" w:cs="宋体"/>
                <w:color w:val="auto"/>
                <w:w w:val="99"/>
                <w:sz w:val="21"/>
                <w:szCs w:val="21"/>
                <w:lang w:eastAsia="zh-CN"/>
              </w:rPr>
              <w:t>及能</w:t>
            </w:r>
            <w:r>
              <w:rPr>
                <w:rFonts w:hint="eastAsia" w:ascii="宋体" w:hAnsi="宋体" w:eastAsia="宋体" w:cs="宋体"/>
                <w:color w:val="auto"/>
                <w:spacing w:val="2"/>
                <w:w w:val="99"/>
                <w:sz w:val="21"/>
                <w:szCs w:val="21"/>
                <w:lang w:eastAsia="zh-CN"/>
              </w:rPr>
              <w:t>效</w:t>
            </w:r>
            <w:r>
              <w:rPr>
                <w:rFonts w:hint="eastAsia" w:ascii="宋体" w:hAnsi="宋体" w:eastAsia="宋体" w:cs="宋体"/>
                <w:color w:val="auto"/>
                <w:w w:val="99"/>
                <w:sz w:val="21"/>
                <w:szCs w:val="21"/>
                <w:lang w:eastAsia="zh-CN"/>
              </w:rPr>
              <w:t>等级</w:t>
            </w:r>
            <w:r>
              <w:rPr>
                <w:rFonts w:hint="eastAsia" w:ascii="宋体" w:hAnsi="宋体" w:eastAsia="宋体" w:cs="宋体"/>
                <w:color w:val="auto"/>
                <w:spacing w:val="-106"/>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2152</w:t>
            </w:r>
            <w:r>
              <w:rPr>
                <w:rFonts w:hint="eastAsia" w:ascii="宋体" w:hAnsi="宋体" w:eastAsia="宋体" w:cs="宋体"/>
                <w:color w:val="auto"/>
                <w:w w:val="99"/>
                <w:sz w:val="21"/>
                <w:szCs w:val="21"/>
                <w:lang w:eastAsia="zh-CN"/>
              </w:rPr>
              <w:t>1</w:t>
            </w:r>
          </w:p>
          <w:p w14:paraId="25313DEE">
            <w:pPr>
              <w:pStyle w:val="75"/>
              <w:spacing w:before="12" w:line="283" w:lineRule="auto"/>
              <w:ind w:left="7" w:right="5"/>
              <w:jc w:val="center"/>
              <w:rPr>
                <w:rFonts w:ascii="宋体" w:hAnsi="宋体" w:eastAsia="宋体" w:cs="宋体"/>
                <w:color w:val="auto"/>
                <w:sz w:val="21"/>
                <w:szCs w:val="21"/>
                <w:lang w:eastAsia="zh-CN"/>
              </w:rPr>
            </w:pPr>
            <w:r>
              <w:rPr>
                <w:rFonts w:hint="eastAsia" w:ascii="宋体" w:hAnsi="宋体" w:eastAsia="宋体" w:cs="宋体"/>
                <w:color w:val="auto"/>
                <w:spacing w:val="2"/>
                <w:w w:val="99"/>
                <w:sz w:val="21"/>
                <w:szCs w:val="21"/>
                <w:lang w:eastAsia="zh-CN"/>
              </w:rPr>
              <w:t>中</w:t>
            </w:r>
            <w:r>
              <w:rPr>
                <w:rFonts w:hint="eastAsia" w:ascii="宋体" w:hAnsi="宋体" w:eastAsia="宋体" w:cs="宋体"/>
                <w:color w:val="auto"/>
                <w:spacing w:val="4"/>
                <w:w w:val="99"/>
                <w:sz w:val="21"/>
                <w:szCs w:val="21"/>
                <w:lang w:eastAsia="zh-CN"/>
              </w:rPr>
              <w:t>打印速</w:t>
            </w:r>
            <w:r>
              <w:rPr>
                <w:rFonts w:hint="eastAsia" w:ascii="宋体" w:hAnsi="宋体" w:eastAsia="宋体" w:cs="宋体"/>
                <w:color w:val="auto"/>
                <w:spacing w:val="2"/>
                <w:w w:val="99"/>
                <w:sz w:val="21"/>
                <w:szCs w:val="21"/>
                <w:lang w:eastAsia="zh-CN"/>
              </w:rPr>
              <w:t>度</w:t>
            </w:r>
            <w:r>
              <w:rPr>
                <w:rFonts w:hint="eastAsia" w:ascii="宋体" w:hAnsi="宋体" w:eastAsia="宋体" w:cs="宋体"/>
                <w:color w:val="auto"/>
                <w:w w:val="99"/>
                <w:sz w:val="21"/>
                <w:szCs w:val="21"/>
                <w:lang w:eastAsia="zh-CN"/>
              </w:rPr>
              <w:t>为</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w w:val="99"/>
                <w:sz w:val="21"/>
                <w:szCs w:val="21"/>
                <w:lang w:eastAsia="zh-CN"/>
              </w:rPr>
              <w:t>5</w:t>
            </w:r>
            <w:r>
              <w:rPr>
                <w:rFonts w:hint="eastAsia" w:ascii="宋体" w:hAnsi="宋体" w:eastAsia="宋体" w:cs="宋体"/>
                <w:color w:val="auto"/>
                <w:spacing w:val="2"/>
                <w:w w:val="99"/>
                <w:sz w:val="21"/>
                <w:szCs w:val="21"/>
                <w:lang w:eastAsia="zh-CN"/>
              </w:rPr>
              <w:t>页</w:t>
            </w:r>
            <w:r>
              <w:rPr>
                <w:rFonts w:hint="eastAsia" w:ascii="宋体" w:hAnsi="宋体" w:eastAsia="宋体" w:cs="宋体"/>
                <w:color w:val="auto"/>
                <w:spacing w:val="5"/>
                <w:w w:val="99"/>
                <w:sz w:val="21"/>
                <w:szCs w:val="21"/>
                <w:lang w:eastAsia="zh-CN"/>
              </w:rPr>
              <w:t>/</w:t>
            </w:r>
            <w:r>
              <w:rPr>
                <w:rFonts w:hint="eastAsia" w:ascii="宋体" w:hAnsi="宋体" w:eastAsia="宋体" w:cs="宋体"/>
                <w:color w:val="auto"/>
                <w:spacing w:val="4"/>
                <w:w w:val="99"/>
                <w:sz w:val="21"/>
                <w:szCs w:val="21"/>
                <w:lang w:eastAsia="zh-CN"/>
              </w:rPr>
              <w:t>分的</w:t>
            </w:r>
            <w:r>
              <w:rPr>
                <w:rFonts w:hint="eastAsia" w:ascii="宋体" w:hAnsi="宋体" w:eastAsia="宋体" w:cs="宋体"/>
                <w:color w:val="auto"/>
                <w:spacing w:val="2"/>
                <w:w w:val="99"/>
                <w:sz w:val="21"/>
                <w:szCs w:val="21"/>
                <w:lang w:eastAsia="zh-CN"/>
              </w:rPr>
              <w:t>针</w:t>
            </w:r>
            <w:r>
              <w:rPr>
                <w:rFonts w:hint="eastAsia" w:ascii="宋体" w:hAnsi="宋体" w:eastAsia="宋体" w:cs="宋体"/>
                <w:color w:val="auto"/>
                <w:spacing w:val="4"/>
                <w:w w:val="99"/>
                <w:sz w:val="21"/>
                <w:szCs w:val="21"/>
                <w:lang w:eastAsia="zh-CN"/>
              </w:rPr>
              <w:t>式</w:t>
            </w:r>
            <w:r>
              <w:rPr>
                <w:rFonts w:hint="eastAsia" w:ascii="宋体" w:hAnsi="宋体" w:eastAsia="宋体" w:cs="宋体"/>
                <w:color w:val="auto"/>
                <w:w w:val="99"/>
                <w:sz w:val="21"/>
                <w:szCs w:val="21"/>
                <w:lang w:eastAsia="zh-CN"/>
              </w:rPr>
              <w:t>打印机相</w:t>
            </w:r>
            <w:r>
              <w:rPr>
                <w:rFonts w:hint="eastAsia" w:ascii="宋体" w:hAnsi="宋体" w:eastAsia="宋体" w:cs="宋体"/>
                <w:color w:val="auto"/>
                <w:spacing w:val="2"/>
                <w:w w:val="99"/>
                <w:sz w:val="21"/>
                <w:szCs w:val="21"/>
                <w:lang w:eastAsia="zh-CN"/>
              </w:rPr>
              <w:t>关</w:t>
            </w:r>
            <w:r>
              <w:rPr>
                <w:rFonts w:hint="eastAsia" w:ascii="宋体" w:hAnsi="宋体" w:eastAsia="宋体" w:cs="宋体"/>
                <w:color w:val="auto"/>
                <w:w w:val="99"/>
                <w:sz w:val="21"/>
                <w:szCs w:val="21"/>
                <w:lang w:eastAsia="zh-CN"/>
              </w:rPr>
              <w:t>要求</w:t>
            </w:r>
          </w:p>
        </w:tc>
      </w:tr>
      <w:tr w14:paraId="0227733D">
        <w:tblPrEx>
          <w:tblCellMar>
            <w:top w:w="0" w:type="dxa"/>
            <w:left w:w="0" w:type="dxa"/>
            <w:bottom w:w="0" w:type="dxa"/>
            <w:right w:w="0" w:type="dxa"/>
          </w:tblCellMar>
        </w:tblPrEx>
        <w:trPr>
          <w:trHeight w:val="23"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2E64A8AB">
            <w:pPr>
              <w:pStyle w:val="75"/>
              <w:spacing w:before="179"/>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3</w:t>
            </w:r>
          </w:p>
        </w:tc>
        <w:tc>
          <w:tcPr>
            <w:tcW w:w="1351" w:type="dxa"/>
            <w:tcBorders>
              <w:top w:val="single" w:color="000000" w:sz="4" w:space="0"/>
              <w:left w:val="single" w:color="000000" w:sz="4" w:space="0"/>
              <w:bottom w:val="single" w:color="000000" w:sz="4" w:space="0"/>
              <w:right w:val="single" w:color="000000" w:sz="4" w:space="0"/>
            </w:tcBorders>
          </w:tcPr>
          <w:p w14:paraId="7A7805A0">
            <w:pPr>
              <w:pStyle w:val="75"/>
              <w:spacing w:before="23"/>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02</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2投影</w:t>
            </w:r>
          </w:p>
          <w:p w14:paraId="151DACBA">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仪</w:t>
            </w:r>
          </w:p>
        </w:tc>
        <w:tc>
          <w:tcPr>
            <w:tcW w:w="1615" w:type="dxa"/>
            <w:tcBorders>
              <w:top w:val="single" w:color="000000" w:sz="4" w:space="0"/>
              <w:left w:val="single" w:color="000000" w:sz="4" w:space="0"/>
              <w:bottom w:val="single" w:color="000000" w:sz="4" w:space="0"/>
              <w:right w:val="single" w:color="000000" w:sz="4" w:space="0"/>
            </w:tcBorders>
          </w:tcPr>
          <w:p w14:paraId="55163F3E">
            <w:pPr>
              <w:jc w:val="center"/>
              <w:rPr>
                <w:rFonts w:ascii="宋体" w:hAnsi="宋体" w:eastAsia="宋体" w:cs="宋体"/>
                <w:color w:val="auto"/>
                <w:szCs w:val="21"/>
                <w:lang w:eastAsia="en-US"/>
              </w:rPr>
            </w:pPr>
          </w:p>
        </w:tc>
        <w:tc>
          <w:tcPr>
            <w:tcW w:w="1916" w:type="dxa"/>
            <w:tcBorders>
              <w:top w:val="single" w:color="000000" w:sz="4" w:space="0"/>
              <w:left w:val="single" w:color="000000" w:sz="4" w:space="0"/>
              <w:bottom w:val="single" w:color="000000" w:sz="4" w:space="0"/>
              <w:right w:val="single" w:color="000000" w:sz="4" w:space="0"/>
            </w:tcBorders>
          </w:tcPr>
          <w:p w14:paraId="2AD6B865">
            <w:pPr>
              <w:jc w:val="center"/>
              <w:rPr>
                <w:rFonts w:ascii="宋体" w:hAnsi="宋体" w:eastAsia="宋体" w:cs="宋体"/>
                <w:color w:val="auto"/>
                <w:szCs w:val="21"/>
                <w:lang w:eastAsia="en-US"/>
              </w:rPr>
            </w:pPr>
          </w:p>
        </w:tc>
        <w:tc>
          <w:tcPr>
            <w:tcW w:w="3459" w:type="dxa"/>
            <w:gridSpan w:val="2"/>
            <w:tcBorders>
              <w:top w:val="single" w:color="000000" w:sz="4" w:space="0"/>
              <w:left w:val="single" w:color="000000" w:sz="4" w:space="0"/>
              <w:bottom w:val="single" w:color="000000" w:sz="4" w:space="0"/>
              <w:right w:val="single" w:color="000000" w:sz="4" w:space="0"/>
            </w:tcBorders>
          </w:tcPr>
          <w:p w14:paraId="38C44C14">
            <w:pPr>
              <w:pStyle w:val="75"/>
              <w:spacing w:before="23"/>
              <w:ind w:lef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《投影</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w w:val="99"/>
                <w:sz w:val="21"/>
                <w:szCs w:val="21"/>
                <w:lang w:eastAsia="zh-CN"/>
              </w:rPr>
              <w:t>能效</w:t>
            </w:r>
            <w:r>
              <w:rPr>
                <w:rFonts w:hint="eastAsia" w:ascii="宋体" w:hAnsi="宋体" w:eastAsia="宋体" w:cs="宋体"/>
                <w:color w:val="auto"/>
                <w:spacing w:val="2"/>
                <w:w w:val="99"/>
                <w:sz w:val="21"/>
                <w:szCs w:val="21"/>
                <w:lang w:eastAsia="zh-CN"/>
              </w:rPr>
              <w:t>限</w:t>
            </w:r>
            <w:r>
              <w:rPr>
                <w:rFonts w:hint="eastAsia" w:ascii="宋体" w:hAnsi="宋体" w:eastAsia="宋体" w:cs="宋体"/>
                <w:color w:val="auto"/>
                <w:w w:val="99"/>
                <w:sz w:val="21"/>
                <w:szCs w:val="21"/>
                <w:lang w:eastAsia="zh-CN"/>
              </w:rPr>
              <w:t>定值</w:t>
            </w:r>
            <w:r>
              <w:rPr>
                <w:rFonts w:hint="eastAsia" w:ascii="宋体" w:hAnsi="宋体" w:eastAsia="宋体" w:cs="宋体"/>
                <w:color w:val="auto"/>
                <w:spacing w:val="2"/>
                <w:w w:val="99"/>
                <w:sz w:val="21"/>
                <w:szCs w:val="21"/>
                <w:lang w:eastAsia="zh-CN"/>
              </w:rPr>
              <w:t>及</w:t>
            </w:r>
            <w:r>
              <w:rPr>
                <w:rFonts w:hint="eastAsia" w:ascii="宋体" w:hAnsi="宋体" w:eastAsia="宋体" w:cs="宋体"/>
                <w:color w:val="auto"/>
                <w:w w:val="99"/>
                <w:sz w:val="21"/>
                <w:szCs w:val="21"/>
                <w:lang w:eastAsia="zh-CN"/>
              </w:rPr>
              <w:t>能</w:t>
            </w:r>
            <w:r>
              <w:rPr>
                <w:rFonts w:hint="eastAsia" w:ascii="宋体" w:hAnsi="宋体" w:eastAsia="宋体" w:cs="宋体"/>
                <w:color w:val="auto"/>
                <w:spacing w:val="2"/>
                <w:w w:val="99"/>
                <w:sz w:val="21"/>
                <w:szCs w:val="21"/>
                <w:lang w:eastAsia="zh-CN"/>
              </w:rPr>
              <w:t>效</w:t>
            </w:r>
            <w:r>
              <w:rPr>
                <w:rFonts w:hint="eastAsia" w:ascii="宋体" w:hAnsi="宋体" w:eastAsia="宋体" w:cs="宋体"/>
                <w:color w:val="auto"/>
                <w:w w:val="99"/>
                <w:sz w:val="21"/>
                <w:szCs w:val="21"/>
                <w:lang w:eastAsia="zh-CN"/>
              </w:rPr>
              <w:t>等级</w:t>
            </w:r>
          </w:p>
          <w:p w14:paraId="4EFBA821">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G</w:t>
            </w:r>
            <w:r>
              <w:rPr>
                <w:rFonts w:hint="eastAsia" w:ascii="宋体" w:hAnsi="宋体" w:eastAsia="宋体" w:cs="宋体"/>
                <w:color w:val="auto"/>
                <w:w w:val="99"/>
                <w:sz w:val="21"/>
                <w:szCs w:val="21"/>
              </w:rPr>
              <w:t>B</w:t>
            </w:r>
            <w:r>
              <w:rPr>
                <w:rFonts w:hint="eastAsia" w:ascii="宋体" w:hAnsi="宋体" w:eastAsia="宋体" w:cs="宋体"/>
                <w:color w:val="auto"/>
                <w:spacing w:val="1"/>
                <w:w w:val="99"/>
                <w:sz w:val="21"/>
                <w:szCs w:val="21"/>
              </w:rPr>
              <w:t>3</w:t>
            </w:r>
            <w:r>
              <w:rPr>
                <w:rFonts w:hint="eastAsia" w:ascii="宋体" w:hAnsi="宋体" w:eastAsia="宋体" w:cs="宋体"/>
                <w:color w:val="auto"/>
                <w:w w:val="99"/>
                <w:sz w:val="21"/>
                <w:szCs w:val="21"/>
              </w:rPr>
              <w:t>20</w:t>
            </w:r>
            <w:r>
              <w:rPr>
                <w:rFonts w:hint="eastAsia" w:ascii="宋体" w:hAnsi="宋体" w:eastAsia="宋体" w:cs="宋体"/>
                <w:color w:val="auto"/>
                <w:spacing w:val="1"/>
                <w:w w:val="99"/>
                <w:sz w:val="21"/>
                <w:szCs w:val="21"/>
              </w:rPr>
              <w:t>28</w:t>
            </w:r>
            <w:r>
              <w:rPr>
                <w:rFonts w:hint="eastAsia" w:ascii="宋体" w:hAnsi="宋体" w:eastAsia="宋体" w:cs="宋体"/>
                <w:color w:val="auto"/>
                <w:w w:val="99"/>
                <w:sz w:val="21"/>
                <w:szCs w:val="21"/>
              </w:rPr>
              <w:t>）</w:t>
            </w:r>
          </w:p>
        </w:tc>
      </w:tr>
      <w:tr w14:paraId="0B67834C">
        <w:tblPrEx>
          <w:tblCellMar>
            <w:top w:w="0" w:type="dxa"/>
            <w:left w:w="0" w:type="dxa"/>
            <w:bottom w:w="0" w:type="dxa"/>
            <w:right w:w="0" w:type="dxa"/>
          </w:tblCellMar>
        </w:tblPrEx>
        <w:trPr>
          <w:trHeight w:val="23"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5F5197F2">
            <w:pPr>
              <w:pStyle w:val="75"/>
              <w:spacing w:before="13"/>
              <w:jc w:val="center"/>
              <w:rPr>
                <w:rFonts w:ascii="宋体" w:hAnsi="宋体" w:eastAsia="宋体" w:cs="宋体"/>
                <w:color w:val="auto"/>
                <w:sz w:val="21"/>
                <w:szCs w:val="21"/>
              </w:rPr>
            </w:pPr>
          </w:p>
          <w:p w14:paraId="79BF3819">
            <w:pPr>
              <w:pStyle w:val="75"/>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4</w:t>
            </w:r>
          </w:p>
        </w:tc>
        <w:tc>
          <w:tcPr>
            <w:tcW w:w="1351" w:type="dxa"/>
            <w:tcBorders>
              <w:top w:val="single" w:color="000000" w:sz="4" w:space="0"/>
              <w:left w:val="single" w:color="000000" w:sz="4" w:space="0"/>
              <w:bottom w:val="single" w:color="000000" w:sz="4" w:space="0"/>
              <w:right w:val="single" w:color="000000" w:sz="4" w:space="0"/>
            </w:tcBorders>
          </w:tcPr>
          <w:p w14:paraId="049E87DB">
            <w:pPr>
              <w:pStyle w:val="75"/>
              <w:spacing w:before="66"/>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02</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4多功</w:t>
            </w:r>
          </w:p>
          <w:p w14:paraId="4418D8D6">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能一体机</w:t>
            </w:r>
          </w:p>
        </w:tc>
        <w:tc>
          <w:tcPr>
            <w:tcW w:w="1615" w:type="dxa"/>
            <w:tcBorders>
              <w:top w:val="single" w:color="000000" w:sz="4" w:space="0"/>
              <w:left w:val="single" w:color="000000" w:sz="4" w:space="0"/>
              <w:bottom w:val="single" w:color="000000" w:sz="4" w:space="0"/>
              <w:right w:val="single" w:color="000000" w:sz="4" w:space="0"/>
            </w:tcBorders>
          </w:tcPr>
          <w:p w14:paraId="27037594">
            <w:pPr>
              <w:jc w:val="center"/>
              <w:rPr>
                <w:rFonts w:ascii="宋体" w:hAnsi="宋体" w:eastAsia="宋体" w:cs="宋体"/>
                <w:color w:val="auto"/>
                <w:szCs w:val="21"/>
                <w:lang w:eastAsia="en-US"/>
              </w:rPr>
            </w:pPr>
          </w:p>
        </w:tc>
        <w:tc>
          <w:tcPr>
            <w:tcW w:w="1916" w:type="dxa"/>
            <w:tcBorders>
              <w:top w:val="single" w:color="000000" w:sz="4" w:space="0"/>
              <w:left w:val="single" w:color="000000" w:sz="4" w:space="0"/>
              <w:bottom w:val="single" w:color="000000" w:sz="4" w:space="0"/>
              <w:right w:val="single" w:color="000000" w:sz="4" w:space="0"/>
            </w:tcBorders>
          </w:tcPr>
          <w:p w14:paraId="3AFA4E55">
            <w:pPr>
              <w:jc w:val="center"/>
              <w:rPr>
                <w:rFonts w:ascii="宋体" w:hAnsi="宋体" w:eastAsia="宋体" w:cs="宋体"/>
                <w:color w:val="auto"/>
                <w:szCs w:val="21"/>
                <w:lang w:eastAsia="en-US"/>
              </w:rPr>
            </w:pPr>
          </w:p>
        </w:tc>
        <w:tc>
          <w:tcPr>
            <w:tcW w:w="3459" w:type="dxa"/>
            <w:gridSpan w:val="2"/>
            <w:tcBorders>
              <w:top w:val="single" w:color="000000" w:sz="4" w:space="0"/>
              <w:left w:val="single" w:color="000000" w:sz="4" w:space="0"/>
              <w:bottom w:val="single" w:color="000000" w:sz="4" w:space="0"/>
              <w:right w:val="single" w:color="000000" w:sz="4" w:space="0"/>
            </w:tcBorders>
          </w:tcPr>
          <w:p w14:paraId="114313CB">
            <w:pPr>
              <w:pStyle w:val="75"/>
              <w:spacing w:before="66"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《复印</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spacing w:val="-58"/>
                <w:w w:val="99"/>
                <w:sz w:val="21"/>
                <w:szCs w:val="21"/>
                <w:lang w:eastAsia="zh-CN"/>
              </w:rPr>
              <w:t>、</w:t>
            </w:r>
            <w:r>
              <w:rPr>
                <w:rFonts w:hint="eastAsia" w:ascii="宋体" w:hAnsi="宋体" w:eastAsia="宋体" w:cs="宋体"/>
                <w:color w:val="auto"/>
                <w:spacing w:val="2"/>
                <w:w w:val="99"/>
                <w:sz w:val="21"/>
                <w:szCs w:val="21"/>
                <w:lang w:eastAsia="zh-CN"/>
              </w:rPr>
              <w:t>打</w:t>
            </w:r>
            <w:r>
              <w:rPr>
                <w:rFonts w:hint="eastAsia" w:ascii="宋体" w:hAnsi="宋体" w:eastAsia="宋体" w:cs="宋体"/>
                <w:color w:val="auto"/>
                <w:w w:val="99"/>
                <w:sz w:val="21"/>
                <w:szCs w:val="21"/>
                <w:lang w:eastAsia="zh-CN"/>
              </w:rPr>
              <w:t>印机</w:t>
            </w:r>
            <w:r>
              <w:rPr>
                <w:rFonts w:hint="eastAsia" w:ascii="宋体" w:hAnsi="宋体" w:eastAsia="宋体" w:cs="宋体"/>
                <w:color w:val="auto"/>
                <w:spacing w:val="2"/>
                <w:w w:val="99"/>
                <w:sz w:val="21"/>
                <w:szCs w:val="21"/>
                <w:lang w:eastAsia="zh-CN"/>
              </w:rPr>
              <w:t>和</w:t>
            </w:r>
            <w:r>
              <w:rPr>
                <w:rFonts w:hint="eastAsia" w:ascii="宋体" w:hAnsi="宋体" w:eastAsia="宋体" w:cs="宋体"/>
                <w:color w:val="auto"/>
                <w:w w:val="99"/>
                <w:sz w:val="21"/>
                <w:szCs w:val="21"/>
                <w:lang w:eastAsia="zh-CN"/>
              </w:rPr>
              <w:t>传真</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w w:val="99"/>
                <w:sz w:val="21"/>
                <w:szCs w:val="21"/>
                <w:lang w:eastAsia="zh-CN"/>
              </w:rPr>
              <w:t>能效限定值及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w:t>
            </w:r>
            <w:r>
              <w:rPr>
                <w:rFonts w:hint="eastAsia" w:ascii="宋体" w:hAnsi="宋体" w:eastAsia="宋体" w:cs="宋体"/>
                <w:color w:val="auto"/>
                <w:w w:val="99"/>
                <w:sz w:val="21"/>
                <w:szCs w:val="21"/>
                <w:lang w:eastAsia="zh-CN"/>
              </w:rPr>
              <w:t>52</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w w:val="99"/>
                <w:sz w:val="21"/>
                <w:szCs w:val="21"/>
                <w:lang w:eastAsia="zh-CN"/>
              </w:rPr>
              <w:t>）</w:t>
            </w:r>
          </w:p>
        </w:tc>
      </w:tr>
      <w:tr w14:paraId="53FE9256">
        <w:tblPrEx>
          <w:tblCellMar>
            <w:top w:w="0" w:type="dxa"/>
            <w:left w:w="0" w:type="dxa"/>
            <w:bottom w:w="0" w:type="dxa"/>
            <w:right w:w="0" w:type="dxa"/>
          </w:tblCellMar>
        </w:tblPrEx>
        <w:trPr>
          <w:trHeight w:val="23"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09C43724">
            <w:pPr>
              <w:pStyle w:val="75"/>
              <w:spacing w:before="160"/>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5</w:t>
            </w:r>
          </w:p>
        </w:tc>
        <w:tc>
          <w:tcPr>
            <w:tcW w:w="1351" w:type="dxa"/>
            <w:tcBorders>
              <w:top w:val="single" w:color="000000" w:sz="4" w:space="0"/>
              <w:left w:val="single" w:color="000000" w:sz="4" w:space="0"/>
              <w:bottom w:val="single" w:color="000000" w:sz="4" w:space="0"/>
              <w:right w:val="single" w:color="000000" w:sz="4" w:space="0"/>
            </w:tcBorders>
          </w:tcPr>
          <w:p w14:paraId="3D7B33D3">
            <w:pPr>
              <w:pStyle w:val="75"/>
              <w:spacing w:before="160"/>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05</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9泵</w:t>
            </w:r>
          </w:p>
        </w:tc>
        <w:tc>
          <w:tcPr>
            <w:tcW w:w="1615" w:type="dxa"/>
            <w:tcBorders>
              <w:top w:val="single" w:color="000000" w:sz="4" w:space="0"/>
              <w:left w:val="single" w:color="000000" w:sz="4" w:space="0"/>
              <w:bottom w:val="single" w:color="000000" w:sz="4" w:space="0"/>
              <w:right w:val="single" w:color="000000" w:sz="4" w:space="0"/>
            </w:tcBorders>
          </w:tcPr>
          <w:p w14:paraId="092A02CD">
            <w:pPr>
              <w:pStyle w:val="75"/>
              <w:spacing w:before="160"/>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05</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901离心泵</w:t>
            </w:r>
          </w:p>
        </w:tc>
        <w:tc>
          <w:tcPr>
            <w:tcW w:w="1916" w:type="dxa"/>
            <w:tcBorders>
              <w:top w:val="single" w:color="000000" w:sz="4" w:space="0"/>
              <w:left w:val="single" w:color="000000" w:sz="4" w:space="0"/>
              <w:bottom w:val="single" w:color="000000" w:sz="4" w:space="0"/>
              <w:right w:val="single" w:color="000000" w:sz="4" w:space="0"/>
            </w:tcBorders>
          </w:tcPr>
          <w:p w14:paraId="4B1CE01E">
            <w:pPr>
              <w:jc w:val="center"/>
              <w:rPr>
                <w:rFonts w:ascii="宋体" w:hAnsi="宋体" w:eastAsia="宋体" w:cs="宋体"/>
                <w:color w:val="auto"/>
                <w:szCs w:val="21"/>
                <w:lang w:eastAsia="en-US"/>
              </w:rPr>
            </w:pPr>
          </w:p>
        </w:tc>
        <w:tc>
          <w:tcPr>
            <w:tcW w:w="3459" w:type="dxa"/>
            <w:gridSpan w:val="2"/>
            <w:tcBorders>
              <w:top w:val="single" w:color="000000" w:sz="4" w:space="0"/>
              <w:left w:val="single" w:color="000000" w:sz="4" w:space="0"/>
              <w:bottom w:val="single" w:color="000000" w:sz="4" w:space="0"/>
              <w:right w:val="single" w:color="000000" w:sz="4" w:space="0"/>
            </w:tcBorders>
          </w:tcPr>
          <w:p w14:paraId="6C0F25C5">
            <w:pPr>
              <w:pStyle w:val="75"/>
              <w:spacing w:before="4"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《清水离心泵能效限定</w:t>
            </w:r>
            <w:r>
              <w:rPr>
                <w:rFonts w:hint="eastAsia" w:ascii="宋体" w:hAnsi="宋体" w:eastAsia="宋体" w:cs="宋体"/>
                <w:color w:val="auto"/>
                <w:spacing w:val="9"/>
                <w:w w:val="99"/>
                <w:sz w:val="21"/>
                <w:szCs w:val="21"/>
                <w:lang w:eastAsia="zh-CN"/>
              </w:rPr>
              <w:t>值</w:t>
            </w:r>
            <w:r>
              <w:rPr>
                <w:rFonts w:hint="eastAsia" w:ascii="宋体" w:hAnsi="宋体" w:eastAsia="宋体" w:cs="宋体"/>
                <w:color w:val="auto"/>
                <w:spacing w:val="12"/>
                <w:w w:val="99"/>
                <w:sz w:val="21"/>
                <w:szCs w:val="21"/>
                <w:lang w:eastAsia="zh-CN"/>
              </w:rPr>
              <w:t>及节</w:t>
            </w:r>
            <w:r>
              <w:rPr>
                <w:rFonts w:hint="eastAsia" w:ascii="宋体" w:hAnsi="宋体" w:eastAsia="宋体" w:cs="宋体"/>
                <w:color w:val="auto"/>
                <w:w w:val="99"/>
                <w:sz w:val="21"/>
                <w:szCs w:val="21"/>
                <w:lang w:eastAsia="zh-CN"/>
              </w:rPr>
              <w:t>能评价值</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19</w:t>
            </w:r>
            <w:r>
              <w:rPr>
                <w:rFonts w:hint="eastAsia" w:ascii="宋体" w:hAnsi="宋体" w:eastAsia="宋体" w:cs="宋体"/>
                <w:color w:val="auto"/>
                <w:w w:val="99"/>
                <w:sz w:val="21"/>
                <w:szCs w:val="21"/>
                <w:lang w:eastAsia="zh-CN"/>
              </w:rPr>
              <w:t>76</w:t>
            </w:r>
            <w:r>
              <w:rPr>
                <w:rFonts w:hint="eastAsia" w:ascii="宋体" w:hAnsi="宋体" w:eastAsia="宋体" w:cs="宋体"/>
                <w:color w:val="auto"/>
                <w:spacing w:val="1"/>
                <w:w w:val="99"/>
                <w:sz w:val="21"/>
                <w:szCs w:val="21"/>
                <w:lang w:eastAsia="zh-CN"/>
              </w:rPr>
              <w:t>2</w:t>
            </w:r>
            <w:r>
              <w:rPr>
                <w:rFonts w:hint="eastAsia" w:ascii="宋体" w:hAnsi="宋体" w:eastAsia="宋体" w:cs="宋体"/>
                <w:color w:val="auto"/>
                <w:w w:val="99"/>
                <w:sz w:val="21"/>
                <w:szCs w:val="21"/>
                <w:lang w:eastAsia="zh-CN"/>
              </w:rPr>
              <w:t>）</w:t>
            </w:r>
          </w:p>
        </w:tc>
      </w:tr>
      <w:tr w14:paraId="20CBE17A">
        <w:tblPrEx>
          <w:tblCellMar>
            <w:top w:w="0" w:type="dxa"/>
            <w:left w:w="0" w:type="dxa"/>
            <w:bottom w:w="0" w:type="dxa"/>
            <w:right w:w="0" w:type="dxa"/>
          </w:tblCellMar>
        </w:tblPrEx>
        <w:trPr>
          <w:trHeight w:val="23" w:hRule="atLeas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7CB39FE9">
            <w:pPr>
              <w:pStyle w:val="75"/>
              <w:jc w:val="center"/>
              <w:rPr>
                <w:rFonts w:ascii="宋体" w:hAnsi="宋体" w:eastAsia="宋体" w:cs="宋体"/>
                <w:color w:val="auto"/>
                <w:sz w:val="21"/>
                <w:szCs w:val="21"/>
                <w:lang w:eastAsia="zh-CN"/>
              </w:rPr>
            </w:pPr>
          </w:p>
          <w:p w14:paraId="517D7BC5">
            <w:pPr>
              <w:pStyle w:val="75"/>
              <w:jc w:val="center"/>
              <w:rPr>
                <w:rFonts w:ascii="宋体" w:hAnsi="宋体" w:eastAsia="宋体" w:cs="宋体"/>
                <w:color w:val="auto"/>
                <w:sz w:val="21"/>
                <w:szCs w:val="21"/>
                <w:lang w:eastAsia="zh-CN"/>
              </w:rPr>
            </w:pPr>
          </w:p>
          <w:p w14:paraId="7616F783">
            <w:pPr>
              <w:pStyle w:val="75"/>
              <w:spacing w:before="7"/>
              <w:jc w:val="center"/>
              <w:rPr>
                <w:rFonts w:ascii="宋体" w:hAnsi="宋体" w:eastAsia="宋体" w:cs="宋体"/>
                <w:color w:val="auto"/>
                <w:sz w:val="21"/>
                <w:szCs w:val="21"/>
                <w:lang w:eastAsia="zh-CN"/>
              </w:rPr>
            </w:pPr>
          </w:p>
          <w:p w14:paraId="72011917">
            <w:pPr>
              <w:pStyle w:val="75"/>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6</w:t>
            </w:r>
          </w:p>
        </w:tc>
        <w:tc>
          <w:tcPr>
            <w:tcW w:w="1351" w:type="dxa"/>
            <w:vMerge w:val="restart"/>
            <w:tcBorders>
              <w:top w:val="single" w:color="000000" w:sz="4" w:space="0"/>
              <w:left w:val="single" w:color="000000" w:sz="4" w:space="0"/>
              <w:bottom w:val="single" w:color="000000" w:sz="4" w:space="0"/>
              <w:right w:val="single" w:color="000000" w:sz="4" w:space="0"/>
            </w:tcBorders>
          </w:tcPr>
          <w:p w14:paraId="5A753AC2">
            <w:pPr>
              <w:pStyle w:val="75"/>
              <w:jc w:val="center"/>
              <w:rPr>
                <w:rFonts w:ascii="宋体" w:hAnsi="宋体" w:eastAsia="宋体" w:cs="宋体"/>
                <w:color w:val="auto"/>
                <w:sz w:val="21"/>
                <w:szCs w:val="21"/>
              </w:rPr>
            </w:pPr>
          </w:p>
          <w:p w14:paraId="10BC980B">
            <w:pPr>
              <w:pStyle w:val="75"/>
              <w:jc w:val="center"/>
              <w:rPr>
                <w:rFonts w:ascii="宋体" w:hAnsi="宋体" w:eastAsia="宋体" w:cs="宋体"/>
                <w:color w:val="auto"/>
                <w:sz w:val="21"/>
                <w:szCs w:val="21"/>
              </w:rPr>
            </w:pPr>
          </w:p>
          <w:p w14:paraId="5FD08FD4">
            <w:pPr>
              <w:pStyle w:val="75"/>
              <w:spacing w:before="8"/>
              <w:jc w:val="center"/>
              <w:rPr>
                <w:rFonts w:ascii="宋体" w:hAnsi="宋体" w:eastAsia="宋体" w:cs="宋体"/>
                <w:color w:val="auto"/>
                <w:sz w:val="21"/>
                <w:szCs w:val="21"/>
              </w:rPr>
            </w:pPr>
          </w:p>
          <w:p w14:paraId="663660DA">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05</w:t>
            </w:r>
            <w:r>
              <w:rPr>
                <w:rFonts w:hint="eastAsia" w:ascii="宋体" w:hAnsi="宋体" w:eastAsia="宋体" w:cs="宋体"/>
                <w:color w:val="auto"/>
                <w:spacing w:val="1"/>
                <w:w w:val="99"/>
                <w:sz w:val="21"/>
                <w:szCs w:val="21"/>
              </w:rPr>
              <w:t>2</w:t>
            </w:r>
            <w:r>
              <w:rPr>
                <w:rFonts w:hint="eastAsia" w:ascii="宋体" w:hAnsi="宋体" w:eastAsia="宋体" w:cs="宋体"/>
                <w:color w:val="auto"/>
                <w:w w:val="99"/>
                <w:sz w:val="21"/>
                <w:szCs w:val="21"/>
              </w:rPr>
              <w:t>3制冷空调设备</w:t>
            </w:r>
          </w:p>
        </w:tc>
        <w:tc>
          <w:tcPr>
            <w:tcW w:w="1615" w:type="dxa"/>
            <w:vMerge w:val="restart"/>
            <w:tcBorders>
              <w:top w:val="single" w:color="000000" w:sz="4" w:space="0"/>
              <w:left w:val="single" w:color="000000" w:sz="4" w:space="0"/>
              <w:bottom w:val="single" w:color="000000" w:sz="4" w:space="0"/>
              <w:right w:val="single" w:color="000000" w:sz="4" w:space="0"/>
            </w:tcBorders>
          </w:tcPr>
          <w:p w14:paraId="711D4CF4">
            <w:pPr>
              <w:pStyle w:val="75"/>
              <w:jc w:val="center"/>
              <w:rPr>
                <w:rFonts w:ascii="宋体" w:hAnsi="宋体" w:eastAsia="宋体" w:cs="宋体"/>
                <w:color w:val="auto"/>
                <w:sz w:val="21"/>
                <w:szCs w:val="21"/>
              </w:rPr>
            </w:pPr>
          </w:p>
          <w:p w14:paraId="7894C847">
            <w:pPr>
              <w:pStyle w:val="75"/>
              <w:jc w:val="center"/>
              <w:rPr>
                <w:rFonts w:ascii="宋体" w:hAnsi="宋体" w:eastAsia="宋体" w:cs="宋体"/>
                <w:color w:val="auto"/>
                <w:sz w:val="21"/>
                <w:szCs w:val="21"/>
              </w:rPr>
            </w:pPr>
          </w:p>
          <w:p w14:paraId="65C18629">
            <w:pPr>
              <w:pStyle w:val="75"/>
              <w:spacing w:before="8"/>
              <w:jc w:val="center"/>
              <w:rPr>
                <w:rFonts w:ascii="宋体" w:hAnsi="宋体" w:eastAsia="宋体" w:cs="宋体"/>
                <w:color w:val="auto"/>
                <w:sz w:val="21"/>
                <w:szCs w:val="21"/>
              </w:rPr>
            </w:pPr>
          </w:p>
          <w:p w14:paraId="2422B414">
            <w:pPr>
              <w:pStyle w:val="75"/>
              <w:spacing w:line="283" w:lineRule="auto"/>
              <w:ind w:left="7" w:right="5"/>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A020</w:t>
            </w:r>
            <w:r>
              <w:rPr>
                <w:rFonts w:hint="eastAsia" w:ascii="宋体" w:hAnsi="宋体" w:eastAsia="宋体" w:cs="宋体"/>
                <w:color w:val="auto"/>
                <w:w w:val="99"/>
                <w:sz w:val="21"/>
                <w:szCs w:val="21"/>
              </w:rPr>
              <w:t>52</w:t>
            </w:r>
            <w:r>
              <w:rPr>
                <w:rFonts w:hint="eastAsia" w:ascii="宋体" w:hAnsi="宋体" w:eastAsia="宋体" w:cs="宋体"/>
                <w:color w:val="auto"/>
                <w:spacing w:val="1"/>
                <w:w w:val="99"/>
                <w:sz w:val="21"/>
                <w:szCs w:val="21"/>
              </w:rPr>
              <w:t>3</w:t>
            </w:r>
            <w:r>
              <w:rPr>
                <w:rFonts w:hint="eastAsia" w:ascii="宋体" w:hAnsi="宋体" w:eastAsia="宋体" w:cs="宋体"/>
                <w:color w:val="auto"/>
                <w:w w:val="99"/>
                <w:sz w:val="21"/>
                <w:szCs w:val="21"/>
              </w:rPr>
              <w:t>01制冷压缩机</w:t>
            </w:r>
          </w:p>
        </w:tc>
        <w:tc>
          <w:tcPr>
            <w:tcW w:w="1916" w:type="dxa"/>
            <w:tcBorders>
              <w:top w:val="single" w:color="000000" w:sz="4" w:space="0"/>
              <w:left w:val="single" w:color="000000" w:sz="4" w:space="0"/>
              <w:bottom w:val="single" w:color="000000" w:sz="4" w:space="0"/>
              <w:right w:val="single" w:color="000000" w:sz="4" w:space="0"/>
            </w:tcBorders>
          </w:tcPr>
          <w:p w14:paraId="3A72739E">
            <w:pPr>
              <w:pStyle w:val="75"/>
              <w:jc w:val="center"/>
              <w:rPr>
                <w:rFonts w:ascii="宋体" w:hAnsi="宋体" w:eastAsia="宋体" w:cs="宋体"/>
                <w:color w:val="auto"/>
                <w:sz w:val="21"/>
                <w:szCs w:val="21"/>
              </w:rPr>
            </w:pPr>
          </w:p>
          <w:p w14:paraId="5A7064D2">
            <w:pPr>
              <w:pStyle w:val="75"/>
              <w:spacing w:before="1"/>
              <w:jc w:val="center"/>
              <w:rPr>
                <w:rFonts w:ascii="宋体" w:hAnsi="宋体" w:eastAsia="宋体" w:cs="宋体"/>
                <w:color w:val="auto"/>
                <w:sz w:val="21"/>
                <w:szCs w:val="21"/>
              </w:rPr>
            </w:pPr>
          </w:p>
          <w:p w14:paraId="3943F043">
            <w:pPr>
              <w:pStyle w:val="75"/>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冷水机组</w:t>
            </w:r>
          </w:p>
        </w:tc>
        <w:tc>
          <w:tcPr>
            <w:tcW w:w="3459" w:type="dxa"/>
            <w:gridSpan w:val="2"/>
            <w:tcBorders>
              <w:top w:val="single" w:color="000000" w:sz="4" w:space="0"/>
              <w:left w:val="single" w:color="000000" w:sz="4" w:space="0"/>
              <w:bottom w:val="single" w:color="000000" w:sz="4" w:space="0"/>
              <w:right w:val="single" w:color="000000" w:sz="4" w:space="0"/>
            </w:tcBorders>
          </w:tcPr>
          <w:p w14:paraId="01DE334E">
            <w:pPr>
              <w:pStyle w:val="75"/>
              <w:spacing w:before="30"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《冷水机组能效限定值</w:t>
            </w:r>
            <w:r>
              <w:rPr>
                <w:rFonts w:hint="eastAsia" w:ascii="宋体" w:hAnsi="宋体" w:eastAsia="宋体" w:cs="宋体"/>
                <w:color w:val="auto"/>
                <w:spacing w:val="9"/>
                <w:w w:val="99"/>
                <w:sz w:val="21"/>
                <w:szCs w:val="21"/>
                <w:lang w:eastAsia="zh-CN"/>
              </w:rPr>
              <w:t>及</w:t>
            </w:r>
            <w:r>
              <w:rPr>
                <w:rFonts w:hint="eastAsia" w:ascii="宋体" w:hAnsi="宋体" w:eastAsia="宋体" w:cs="宋体"/>
                <w:color w:val="auto"/>
                <w:spacing w:val="12"/>
                <w:w w:val="99"/>
                <w:sz w:val="21"/>
                <w:szCs w:val="21"/>
                <w:lang w:eastAsia="zh-CN"/>
              </w:rPr>
              <w:t>能效</w:t>
            </w:r>
            <w:r>
              <w:rPr>
                <w:rFonts w:hint="eastAsia" w:ascii="宋体" w:hAnsi="宋体" w:eastAsia="宋体" w:cs="宋体"/>
                <w:color w:val="auto"/>
                <w:w w:val="99"/>
                <w:sz w:val="21"/>
                <w:szCs w:val="21"/>
                <w:lang w:eastAsia="zh-CN"/>
              </w:rPr>
              <w:t>等级</w:t>
            </w:r>
            <w:r>
              <w:rPr>
                <w:rFonts w:hint="eastAsia" w:ascii="宋体" w:hAnsi="宋体" w:eastAsia="宋体" w:cs="宋体"/>
                <w:color w:val="auto"/>
                <w:spacing w:val="-3"/>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195</w:t>
            </w:r>
            <w:r>
              <w:rPr>
                <w:rFonts w:hint="eastAsia" w:ascii="宋体" w:hAnsi="宋体" w:eastAsia="宋体" w:cs="宋体"/>
                <w:color w:val="auto"/>
                <w:w w:val="99"/>
                <w:sz w:val="21"/>
                <w:szCs w:val="21"/>
                <w:lang w:eastAsia="zh-CN"/>
              </w:rPr>
              <w:t>77</w:t>
            </w:r>
            <w:r>
              <w:rPr>
                <w:rFonts w:hint="eastAsia" w:ascii="宋体" w:hAnsi="宋体" w:eastAsia="宋体" w:cs="宋体"/>
                <w:color w:val="auto"/>
                <w:spacing w:val="-3"/>
                <w:w w:val="99"/>
                <w:sz w:val="21"/>
                <w:szCs w:val="21"/>
                <w:lang w:eastAsia="zh-CN"/>
              </w:rPr>
              <w:t>），</w:t>
            </w:r>
            <w:r>
              <w:rPr>
                <w:rFonts w:hint="eastAsia" w:ascii="宋体" w:hAnsi="宋体" w:eastAsia="宋体" w:cs="宋体"/>
                <w:color w:val="auto"/>
                <w:w w:val="99"/>
                <w:sz w:val="21"/>
                <w:szCs w:val="21"/>
                <w:lang w:eastAsia="zh-CN"/>
              </w:rPr>
              <w:t>《低</w:t>
            </w:r>
            <w:r>
              <w:rPr>
                <w:rFonts w:hint="eastAsia" w:ascii="宋体" w:hAnsi="宋体" w:eastAsia="宋体" w:cs="宋体"/>
                <w:color w:val="auto"/>
                <w:spacing w:val="2"/>
                <w:w w:val="99"/>
                <w:sz w:val="21"/>
                <w:szCs w:val="21"/>
                <w:lang w:eastAsia="zh-CN"/>
              </w:rPr>
              <w:t>环</w:t>
            </w:r>
            <w:r>
              <w:rPr>
                <w:rFonts w:hint="eastAsia" w:ascii="宋体" w:hAnsi="宋体" w:eastAsia="宋体" w:cs="宋体"/>
                <w:color w:val="auto"/>
                <w:w w:val="99"/>
                <w:sz w:val="21"/>
                <w:szCs w:val="21"/>
                <w:lang w:eastAsia="zh-CN"/>
              </w:rPr>
              <w:t>境温度空气源</w:t>
            </w:r>
            <w:r>
              <w:rPr>
                <w:rFonts w:hint="eastAsia" w:ascii="宋体" w:hAnsi="宋体" w:eastAsia="宋体" w:cs="宋体"/>
                <w:color w:val="auto"/>
                <w:spacing w:val="2"/>
                <w:w w:val="99"/>
                <w:sz w:val="21"/>
                <w:szCs w:val="21"/>
                <w:lang w:eastAsia="zh-CN"/>
              </w:rPr>
              <w:t>热</w:t>
            </w:r>
            <w:r>
              <w:rPr>
                <w:rFonts w:hint="eastAsia" w:ascii="宋体" w:hAnsi="宋体" w:eastAsia="宋体" w:cs="宋体"/>
                <w:color w:val="auto"/>
                <w:spacing w:val="-29"/>
                <w:w w:val="99"/>
                <w:sz w:val="21"/>
                <w:szCs w:val="21"/>
                <w:lang w:eastAsia="zh-CN"/>
              </w:rPr>
              <w:t>泵</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w w:val="99"/>
                <w:sz w:val="21"/>
                <w:szCs w:val="21"/>
                <w:lang w:eastAsia="zh-CN"/>
              </w:rPr>
              <w:t>冷水</w:t>
            </w:r>
            <w:r>
              <w:rPr>
                <w:rFonts w:hint="eastAsia" w:ascii="宋体" w:hAnsi="宋体" w:eastAsia="宋体" w:cs="宋体"/>
                <w:color w:val="auto"/>
                <w:spacing w:val="-27"/>
                <w:w w:val="99"/>
                <w:sz w:val="21"/>
                <w:szCs w:val="21"/>
                <w:lang w:eastAsia="zh-CN"/>
              </w:rPr>
              <w:t>）</w:t>
            </w:r>
            <w:r>
              <w:rPr>
                <w:rFonts w:hint="eastAsia" w:ascii="宋体" w:hAnsi="宋体" w:eastAsia="宋体" w:cs="宋体"/>
                <w:color w:val="auto"/>
                <w:w w:val="99"/>
                <w:sz w:val="21"/>
                <w:szCs w:val="21"/>
                <w:lang w:eastAsia="zh-CN"/>
              </w:rPr>
              <w:t>机组</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效限定值及能</w:t>
            </w:r>
            <w:r>
              <w:rPr>
                <w:rFonts w:hint="eastAsia" w:ascii="宋体" w:hAnsi="宋体" w:eastAsia="宋体" w:cs="宋体"/>
                <w:color w:val="auto"/>
                <w:spacing w:val="2"/>
                <w:w w:val="99"/>
                <w:sz w:val="21"/>
                <w:szCs w:val="21"/>
                <w:lang w:eastAsia="zh-CN"/>
              </w:rPr>
              <w:t>效</w:t>
            </w:r>
            <w:r>
              <w:rPr>
                <w:rFonts w:hint="eastAsia" w:ascii="宋体" w:hAnsi="宋体" w:eastAsia="宋体" w:cs="宋体"/>
                <w:color w:val="auto"/>
                <w:w w:val="99"/>
                <w:sz w:val="21"/>
                <w:szCs w:val="21"/>
                <w:lang w:eastAsia="zh-CN"/>
              </w:rPr>
              <w:t>等级</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37</w:t>
            </w:r>
            <w:r>
              <w:rPr>
                <w:rFonts w:hint="eastAsia" w:ascii="宋体" w:hAnsi="宋体" w:eastAsia="宋体" w:cs="宋体"/>
                <w:color w:val="auto"/>
                <w:w w:val="99"/>
                <w:sz w:val="21"/>
                <w:szCs w:val="21"/>
                <w:lang w:eastAsia="zh-CN"/>
              </w:rPr>
              <w:t>48</w:t>
            </w:r>
            <w:r>
              <w:rPr>
                <w:rFonts w:hint="eastAsia" w:ascii="宋体" w:hAnsi="宋体" w:eastAsia="宋体" w:cs="宋体"/>
                <w:color w:val="auto"/>
                <w:spacing w:val="-2"/>
                <w:w w:val="99"/>
                <w:sz w:val="21"/>
                <w:szCs w:val="21"/>
                <w:lang w:eastAsia="zh-CN"/>
              </w:rPr>
              <w:t>0</w:t>
            </w:r>
            <w:r>
              <w:rPr>
                <w:rFonts w:hint="eastAsia" w:ascii="宋体" w:hAnsi="宋体" w:eastAsia="宋体" w:cs="宋体"/>
                <w:color w:val="auto"/>
                <w:w w:val="99"/>
                <w:sz w:val="21"/>
                <w:szCs w:val="21"/>
                <w:lang w:eastAsia="zh-CN"/>
              </w:rPr>
              <w:t>）</w:t>
            </w:r>
          </w:p>
        </w:tc>
      </w:tr>
      <w:tr w14:paraId="0D964042">
        <w:tblPrEx>
          <w:tblCellMar>
            <w:top w:w="0" w:type="dxa"/>
            <w:left w:w="0" w:type="dxa"/>
            <w:bottom w:w="0" w:type="dxa"/>
            <w:right w:w="0" w:type="dxa"/>
          </w:tblCellMar>
        </w:tblPrEx>
        <w:trPr>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7A3A965">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35E294D7">
            <w:pPr>
              <w:widowControl/>
              <w:jc w:val="center"/>
              <w:rPr>
                <w:rFonts w:ascii="宋体" w:hAnsi="宋体" w:eastAsia="宋体" w:cs="宋体"/>
                <w:color w:val="auto"/>
                <w:szCs w:val="21"/>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14:paraId="55FACE69">
            <w:pPr>
              <w:widowControl/>
              <w:jc w:val="center"/>
              <w:rPr>
                <w:rFonts w:ascii="宋体" w:hAnsi="宋体" w:eastAsia="宋体" w:cs="宋体"/>
                <w:color w:val="auto"/>
                <w:szCs w:val="21"/>
              </w:rPr>
            </w:pPr>
          </w:p>
        </w:tc>
        <w:tc>
          <w:tcPr>
            <w:tcW w:w="1916" w:type="dxa"/>
            <w:tcBorders>
              <w:top w:val="single" w:color="000000" w:sz="4" w:space="0"/>
              <w:left w:val="single" w:color="000000" w:sz="4" w:space="0"/>
              <w:bottom w:val="single" w:color="000000" w:sz="4" w:space="0"/>
              <w:right w:val="single" w:color="000000" w:sz="4" w:space="0"/>
            </w:tcBorders>
          </w:tcPr>
          <w:p w14:paraId="614CB6A0">
            <w:pPr>
              <w:pStyle w:val="75"/>
              <w:spacing w:before="12"/>
              <w:jc w:val="center"/>
              <w:rPr>
                <w:rFonts w:ascii="宋体" w:hAnsi="宋体" w:eastAsia="宋体" w:cs="宋体"/>
                <w:color w:val="auto"/>
                <w:sz w:val="21"/>
                <w:szCs w:val="21"/>
                <w:lang w:eastAsia="zh-CN"/>
              </w:rPr>
            </w:pPr>
          </w:p>
          <w:p w14:paraId="4FDCA4EB">
            <w:pPr>
              <w:pStyle w:val="75"/>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水源热</w:t>
            </w:r>
            <w:r>
              <w:rPr>
                <w:rFonts w:hint="eastAsia" w:ascii="宋体" w:hAnsi="宋体" w:eastAsia="宋体" w:cs="宋体"/>
                <w:color w:val="auto"/>
                <w:spacing w:val="2"/>
                <w:w w:val="99"/>
                <w:sz w:val="21"/>
                <w:szCs w:val="21"/>
              </w:rPr>
              <w:t>泵</w:t>
            </w:r>
            <w:r>
              <w:rPr>
                <w:rFonts w:hint="eastAsia" w:ascii="宋体" w:hAnsi="宋体" w:eastAsia="宋体" w:cs="宋体"/>
                <w:color w:val="auto"/>
                <w:w w:val="99"/>
                <w:sz w:val="21"/>
                <w:szCs w:val="21"/>
              </w:rPr>
              <w:t>机组</w:t>
            </w:r>
          </w:p>
        </w:tc>
        <w:tc>
          <w:tcPr>
            <w:tcW w:w="3459" w:type="dxa"/>
            <w:gridSpan w:val="2"/>
            <w:tcBorders>
              <w:top w:val="single" w:color="000000" w:sz="4" w:space="0"/>
              <w:left w:val="single" w:color="000000" w:sz="4" w:space="0"/>
              <w:bottom w:val="single" w:color="000000" w:sz="4" w:space="0"/>
              <w:right w:val="single" w:color="000000" w:sz="4" w:space="0"/>
            </w:tcBorders>
          </w:tcPr>
          <w:p w14:paraId="44B1543E">
            <w:pPr>
              <w:pStyle w:val="75"/>
              <w:spacing w:before="52"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w:t>
            </w:r>
            <w:r>
              <w:rPr>
                <w:rFonts w:hint="eastAsia" w:ascii="宋体" w:hAnsi="宋体" w:eastAsia="宋体" w:cs="宋体"/>
                <w:color w:val="auto"/>
                <w:spacing w:val="-29"/>
                <w:w w:val="99"/>
                <w:sz w:val="21"/>
                <w:szCs w:val="21"/>
                <w:lang w:eastAsia="zh-CN"/>
              </w:rPr>
              <w:t>水</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2"/>
                <w:w w:val="99"/>
                <w:sz w:val="21"/>
                <w:szCs w:val="21"/>
                <w:lang w:eastAsia="zh-CN"/>
              </w:rPr>
              <w:t>地</w:t>
            </w:r>
            <w:r>
              <w:rPr>
                <w:rFonts w:hint="eastAsia" w:ascii="宋体" w:hAnsi="宋体" w:eastAsia="宋体" w:cs="宋体"/>
                <w:color w:val="auto"/>
                <w:spacing w:val="-29"/>
                <w:w w:val="99"/>
                <w:sz w:val="21"/>
                <w:szCs w:val="21"/>
                <w:lang w:eastAsia="zh-CN"/>
              </w:rPr>
              <w:t>）</w:t>
            </w:r>
            <w:r>
              <w:rPr>
                <w:rFonts w:hint="eastAsia" w:ascii="宋体" w:hAnsi="宋体" w:eastAsia="宋体" w:cs="宋体"/>
                <w:color w:val="auto"/>
                <w:spacing w:val="2"/>
                <w:w w:val="99"/>
                <w:sz w:val="21"/>
                <w:szCs w:val="21"/>
                <w:lang w:eastAsia="zh-CN"/>
              </w:rPr>
              <w:t>源</w:t>
            </w:r>
            <w:r>
              <w:rPr>
                <w:rFonts w:hint="eastAsia" w:ascii="宋体" w:hAnsi="宋体" w:eastAsia="宋体" w:cs="宋体"/>
                <w:color w:val="auto"/>
                <w:w w:val="99"/>
                <w:sz w:val="21"/>
                <w:szCs w:val="21"/>
                <w:lang w:eastAsia="zh-CN"/>
              </w:rPr>
              <w:t>热泵</w:t>
            </w:r>
            <w:r>
              <w:rPr>
                <w:rFonts w:hint="eastAsia" w:ascii="宋体" w:hAnsi="宋体" w:eastAsia="宋体" w:cs="宋体"/>
                <w:color w:val="auto"/>
                <w:spacing w:val="2"/>
                <w:w w:val="99"/>
                <w:sz w:val="21"/>
                <w:szCs w:val="21"/>
                <w:lang w:eastAsia="zh-CN"/>
              </w:rPr>
              <w:t>机</w:t>
            </w:r>
            <w:r>
              <w:rPr>
                <w:rFonts w:hint="eastAsia" w:ascii="宋体" w:hAnsi="宋体" w:eastAsia="宋体" w:cs="宋体"/>
                <w:color w:val="auto"/>
                <w:w w:val="99"/>
                <w:sz w:val="21"/>
                <w:szCs w:val="21"/>
                <w:lang w:eastAsia="zh-CN"/>
              </w:rPr>
              <w:t>组能</w:t>
            </w:r>
            <w:r>
              <w:rPr>
                <w:rFonts w:hint="eastAsia" w:ascii="宋体" w:hAnsi="宋体" w:eastAsia="宋体" w:cs="宋体"/>
                <w:color w:val="auto"/>
                <w:spacing w:val="2"/>
                <w:w w:val="99"/>
                <w:sz w:val="21"/>
                <w:szCs w:val="21"/>
                <w:lang w:eastAsia="zh-CN"/>
              </w:rPr>
              <w:t>效</w:t>
            </w:r>
            <w:r>
              <w:rPr>
                <w:rFonts w:hint="eastAsia" w:ascii="宋体" w:hAnsi="宋体" w:eastAsia="宋体" w:cs="宋体"/>
                <w:color w:val="auto"/>
                <w:w w:val="99"/>
                <w:sz w:val="21"/>
                <w:szCs w:val="21"/>
                <w:lang w:eastAsia="zh-CN"/>
              </w:rPr>
              <w:t>限定值及能效</w:t>
            </w:r>
            <w:r>
              <w:rPr>
                <w:rFonts w:hint="eastAsia" w:ascii="宋体" w:hAnsi="宋体" w:eastAsia="宋体" w:cs="宋体"/>
                <w:color w:val="auto"/>
                <w:spacing w:val="2"/>
                <w:w w:val="99"/>
                <w:sz w:val="21"/>
                <w:szCs w:val="21"/>
                <w:lang w:eastAsia="zh-CN"/>
              </w:rPr>
              <w:t>等</w:t>
            </w:r>
            <w:r>
              <w:rPr>
                <w:rFonts w:hint="eastAsia" w:ascii="宋体" w:hAnsi="宋体" w:eastAsia="宋体" w:cs="宋体"/>
                <w:color w:val="auto"/>
                <w:w w:val="99"/>
                <w:sz w:val="21"/>
                <w:szCs w:val="21"/>
                <w:lang w:eastAsia="zh-CN"/>
              </w:rPr>
              <w:t>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30721</w:t>
            </w:r>
            <w:r>
              <w:rPr>
                <w:rFonts w:hint="eastAsia" w:ascii="宋体" w:hAnsi="宋体" w:eastAsia="宋体" w:cs="宋体"/>
                <w:color w:val="auto"/>
                <w:w w:val="99"/>
                <w:sz w:val="21"/>
                <w:szCs w:val="21"/>
                <w:lang w:eastAsia="zh-CN"/>
              </w:rPr>
              <w:t>）</w:t>
            </w:r>
          </w:p>
        </w:tc>
      </w:tr>
      <w:tr w14:paraId="12295478">
        <w:tblPrEx>
          <w:tblCellMar>
            <w:top w:w="0" w:type="dxa"/>
            <w:left w:w="0" w:type="dxa"/>
            <w:bottom w:w="0" w:type="dxa"/>
            <w:right w:w="0" w:type="dxa"/>
          </w:tblCellMar>
        </w:tblPrEx>
        <w:trPr>
          <w:gridAfter w:val="1"/>
          <w:wAfter w:w="15" w:type="dxa"/>
          <w:trHeight w:val="23" w:hRule="atLeas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26DE54EA">
            <w:pPr>
              <w:jc w:val="center"/>
              <w:rPr>
                <w:rFonts w:ascii="宋体" w:hAnsi="宋体" w:eastAsia="宋体" w:cs="宋体"/>
                <w:color w:val="auto"/>
                <w:szCs w:val="21"/>
              </w:rPr>
            </w:pPr>
          </w:p>
        </w:tc>
        <w:tc>
          <w:tcPr>
            <w:tcW w:w="1351" w:type="dxa"/>
            <w:vMerge w:val="restart"/>
            <w:tcBorders>
              <w:top w:val="single" w:color="000000" w:sz="4" w:space="0"/>
              <w:left w:val="single" w:color="000000" w:sz="4" w:space="0"/>
              <w:bottom w:val="single" w:color="000000" w:sz="4" w:space="0"/>
              <w:right w:val="single" w:color="000000" w:sz="4" w:space="0"/>
            </w:tcBorders>
          </w:tcPr>
          <w:p w14:paraId="0DA93623">
            <w:pPr>
              <w:jc w:val="center"/>
              <w:rPr>
                <w:rFonts w:ascii="宋体" w:hAnsi="宋体" w:eastAsia="宋体" w:cs="宋体"/>
                <w:color w:val="auto"/>
                <w:szCs w:val="21"/>
              </w:rPr>
            </w:pPr>
          </w:p>
        </w:tc>
        <w:tc>
          <w:tcPr>
            <w:tcW w:w="1615" w:type="dxa"/>
            <w:tcBorders>
              <w:top w:val="single" w:color="000000" w:sz="4" w:space="0"/>
              <w:left w:val="single" w:color="000000" w:sz="4" w:space="0"/>
              <w:bottom w:val="single" w:color="000000" w:sz="4" w:space="0"/>
              <w:right w:val="single" w:color="000000" w:sz="4" w:space="0"/>
            </w:tcBorders>
          </w:tcPr>
          <w:p w14:paraId="3E3F2C68">
            <w:pPr>
              <w:jc w:val="center"/>
              <w:rPr>
                <w:rFonts w:ascii="宋体" w:hAnsi="宋体" w:eastAsia="宋体" w:cs="宋体"/>
                <w:color w:val="auto"/>
                <w:szCs w:val="21"/>
              </w:rPr>
            </w:pPr>
          </w:p>
        </w:tc>
        <w:tc>
          <w:tcPr>
            <w:tcW w:w="1916" w:type="dxa"/>
            <w:tcBorders>
              <w:top w:val="single" w:color="000000" w:sz="4" w:space="0"/>
              <w:left w:val="single" w:color="000000" w:sz="4" w:space="0"/>
              <w:right w:val="single" w:color="000000" w:sz="4" w:space="0"/>
            </w:tcBorders>
          </w:tcPr>
          <w:p w14:paraId="3FC43782">
            <w:pPr>
              <w:pStyle w:val="75"/>
              <w:spacing w:before="93"/>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溴化锂吸收式冷水</w:t>
            </w:r>
            <w:r>
              <w:rPr>
                <w:rFonts w:hint="eastAsia" w:ascii="宋体" w:hAnsi="宋体" w:eastAsia="宋体" w:cs="宋体"/>
                <w:color w:val="auto"/>
                <w:w w:val="99"/>
                <w:sz w:val="21"/>
                <w:szCs w:val="21"/>
                <w:lang w:eastAsia="zh-CN"/>
              </w:rPr>
              <w:t>机组</w:t>
            </w:r>
          </w:p>
        </w:tc>
        <w:tc>
          <w:tcPr>
            <w:tcW w:w="3444" w:type="dxa"/>
            <w:tcBorders>
              <w:top w:val="single" w:color="000000" w:sz="4" w:space="0"/>
              <w:left w:val="single" w:color="000000" w:sz="4" w:space="0"/>
              <w:bottom w:val="single" w:color="000000" w:sz="4" w:space="0"/>
              <w:right w:val="single" w:color="000000" w:sz="4" w:space="0"/>
            </w:tcBorders>
          </w:tcPr>
          <w:p w14:paraId="35D3D4C2">
            <w:pPr>
              <w:pStyle w:val="75"/>
              <w:spacing w:before="93"/>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《溴化锂吸收式冷水机</w:t>
            </w:r>
            <w:r>
              <w:rPr>
                <w:rFonts w:hint="eastAsia" w:ascii="宋体" w:hAnsi="宋体" w:eastAsia="宋体" w:cs="宋体"/>
                <w:color w:val="auto"/>
                <w:spacing w:val="9"/>
                <w:w w:val="99"/>
                <w:sz w:val="21"/>
                <w:szCs w:val="21"/>
                <w:lang w:eastAsia="zh-CN"/>
              </w:rPr>
              <w:t>组</w:t>
            </w:r>
            <w:r>
              <w:rPr>
                <w:rFonts w:hint="eastAsia" w:ascii="宋体" w:hAnsi="宋体" w:eastAsia="宋体" w:cs="宋体"/>
                <w:color w:val="auto"/>
                <w:spacing w:val="12"/>
                <w:w w:val="99"/>
                <w:sz w:val="21"/>
                <w:szCs w:val="21"/>
                <w:lang w:eastAsia="zh-CN"/>
              </w:rPr>
              <w:t>能效</w:t>
            </w:r>
            <w:r>
              <w:rPr>
                <w:rFonts w:hint="eastAsia" w:ascii="宋体" w:hAnsi="宋体" w:eastAsia="宋体" w:cs="宋体"/>
                <w:color w:val="auto"/>
                <w:w w:val="99"/>
                <w:sz w:val="21"/>
                <w:szCs w:val="21"/>
                <w:lang w:eastAsia="zh-CN"/>
              </w:rPr>
              <w:t>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29</w:t>
            </w:r>
            <w:r>
              <w:rPr>
                <w:rFonts w:hint="eastAsia" w:ascii="宋体" w:hAnsi="宋体" w:eastAsia="宋体" w:cs="宋体"/>
                <w:color w:val="auto"/>
                <w:w w:val="99"/>
                <w:sz w:val="21"/>
                <w:szCs w:val="21"/>
                <w:lang w:eastAsia="zh-CN"/>
              </w:rPr>
              <w:t>54</w:t>
            </w:r>
            <w:r>
              <w:rPr>
                <w:rFonts w:hint="eastAsia" w:ascii="宋体" w:hAnsi="宋体" w:eastAsia="宋体" w:cs="宋体"/>
                <w:color w:val="auto"/>
                <w:spacing w:val="1"/>
                <w:w w:val="99"/>
                <w:sz w:val="21"/>
                <w:szCs w:val="21"/>
                <w:lang w:eastAsia="zh-CN"/>
              </w:rPr>
              <w:t>0</w:t>
            </w:r>
            <w:r>
              <w:rPr>
                <w:rFonts w:hint="eastAsia" w:ascii="宋体" w:hAnsi="宋体" w:eastAsia="宋体" w:cs="宋体"/>
                <w:color w:val="auto"/>
                <w:w w:val="99"/>
                <w:sz w:val="21"/>
                <w:szCs w:val="21"/>
                <w:lang w:eastAsia="zh-CN"/>
              </w:rPr>
              <w:t>）</w:t>
            </w:r>
          </w:p>
        </w:tc>
      </w:tr>
      <w:tr w14:paraId="46749704">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5F802B8">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175D9B32">
            <w:pPr>
              <w:widowControl/>
              <w:jc w:val="center"/>
              <w:rPr>
                <w:rFonts w:ascii="宋体" w:hAnsi="宋体" w:eastAsia="宋体" w:cs="宋体"/>
                <w:color w:val="auto"/>
                <w:szCs w:val="21"/>
              </w:rPr>
            </w:pPr>
          </w:p>
        </w:tc>
        <w:tc>
          <w:tcPr>
            <w:tcW w:w="1615" w:type="dxa"/>
            <w:vMerge w:val="restart"/>
            <w:tcBorders>
              <w:top w:val="single" w:color="000000" w:sz="4" w:space="0"/>
              <w:left w:val="single" w:color="000000" w:sz="4" w:space="0"/>
              <w:bottom w:val="single" w:color="000000" w:sz="4" w:space="0"/>
              <w:right w:val="single" w:color="000000" w:sz="4" w:space="0"/>
            </w:tcBorders>
          </w:tcPr>
          <w:p w14:paraId="011CD0C4">
            <w:pPr>
              <w:pStyle w:val="75"/>
              <w:jc w:val="center"/>
              <w:rPr>
                <w:rFonts w:ascii="宋体" w:hAnsi="宋体" w:eastAsia="宋体" w:cs="宋体"/>
                <w:color w:val="auto"/>
                <w:sz w:val="21"/>
                <w:szCs w:val="21"/>
                <w:lang w:eastAsia="zh-CN"/>
              </w:rPr>
            </w:pPr>
          </w:p>
          <w:p w14:paraId="66E6559B">
            <w:pPr>
              <w:pStyle w:val="75"/>
              <w:jc w:val="center"/>
              <w:rPr>
                <w:rFonts w:ascii="宋体" w:hAnsi="宋体" w:eastAsia="宋体" w:cs="宋体"/>
                <w:color w:val="auto"/>
                <w:sz w:val="21"/>
                <w:szCs w:val="21"/>
                <w:lang w:eastAsia="zh-CN"/>
              </w:rPr>
            </w:pPr>
          </w:p>
          <w:p w14:paraId="55DF46E7">
            <w:pPr>
              <w:pStyle w:val="75"/>
              <w:spacing w:before="3"/>
              <w:jc w:val="center"/>
              <w:rPr>
                <w:rFonts w:ascii="宋体" w:hAnsi="宋体" w:eastAsia="宋体" w:cs="宋体"/>
                <w:color w:val="auto"/>
                <w:sz w:val="21"/>
                <w:szCs w:val="21"/>
                <w:lang w:eastAsia="zh-CN"/>
              </w:rPr>
            </w:pPr>
          </w:p>
          <w:p w14:paraId="2051D51E">
            <w:pPr>
              <w:pStyle w:val="75"/>
              <w:spacing w:line="283" w:lineRule="auto"/>
              <w:ind w:left="7" w:right="5"/>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A020</w:t>
            </w:r>
            <w:r>
              <w:rPr>
                <w:rFonts w:hint="eastAsia" w:ascii="宋体" w:hAnsi="宋体" w:eastAsia="宋体" w:cs="宋体"/>
                <w:color w:val="auto"/>
                <w:w w:val="99"/>
                <w:sz w:val="21"/>
                <w:szCs w:val="21"/>
              </w:rPr>
              <w:t>52</w:t>
            </w:r>
            <w:r>
              <w:rPr>
                <w:rFonts w:hint="eastAsia" w:ascii="宋体" w:hAnsi="宋体" w:eastAsia="宋体" w:cs="宋体"/>
                <w:color w:val="auto"/>
                <w:spacing w:val="1"/>
                <w:w w:val="99"/>
                <w:sz w:val="21"/>
                <w:szCs w:val="21"/>
              </w:rPr>
              <w:t>3</w:t>
            </w:r>
            <w:r>
              <w:rPr>
                <w:rFonts w:hint="eastAsia" w:ascii="宋体" w:hAnsi="宋体" w:eastAsia="宋体" w:cs="宋体"/>
                <w:color w:val="auto"/>
                <w:w w:val="99"/>
                <w:sz w:val="21"/>
                <w:szCs w:val="21"/>
              </w:rPr>
              <w:t>05空调机组</w:t>
            </w:r>
          </w:p>
        </w:tc>
        <w:tc>
          <w:tcPr>
            <w:tcW w:w="1916" w:type="dxa"/>
            <w:tcBorders>
              <w:top w:val="single" w:color="000000" w:sz="4" w:space="0"/>
              <w:left w:val="single" w:color="000000" w:sz="4" w:space="0"/>
              <w:bottom w:val="single" w:color="000000" w:sz="4" w:space="0"/>
              <w:right w:val="single" w:color="000000" w:sz="4" w:space="0"/>
            </w:tcBorders>
          </w:tcPr>
          <w:p w14:paraId="3DC4DAEE">
            <w:pPr>
              <w:pStyle w:val="75"/>
              <w:spacing w:before="4"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多联式空</w:t>
            </w:r>
            <w:r>
              <w:rPr>
                <w:rFonts w:hint="eastAsia" w:ascii="宋体" w:hAnsi="宋体" w:eastAsia="宋体" w:cs="宋体"/>
                <w:color w:val="auto"/>
                <w:spacing w:val="11"/>
                <w:w w:val="99"/>
                <w:sz w:val="21"/>
                <w:szCs w:val="21"/>
                <w:lang w:eastAsia="zh-CN"/>
              </w:rPr>
              <w:t>调（</w:t>
            </w:r>
            <w:r>
              <w:rPr>
                <w:rFonts w:hint="eastAsia" w:ascii="宋体" w:hAnsi="宋体" w:eastAsia="宋体" w:cs="宋体"/>
                <w:color w:val="auto"/>
                <w:spacing w:val="12"/>
                <w:w w:val="99"/>
                <w:sz w:val="21"/>
                <w:szCs w:val="21"/>
                <w:lang w:eastAsia="zh-CN"/>
              </w:rPr>
              <w:t>热泵</w:t>
            </w:r>
            <w:r>
              <w:rPr>
                <w:rFonts w:hint="eastAsia" w:ascii="宋体" w:hAnsi="宋体" w:eastAsia="宋体" w:cs="宋体"/>
                <w:color w:val="auto"/>
                <w:w w:val="99"/>
                <w:sz w:val="21"/>
                <w:szCs w:val="21"/>
                <w:lang w:eastAsia="zh-CN"/>
              </w:rPr>
              <w:t>）机组(制冷量</w:t>
            </w:r>
            <w:r>
              <w:rPr>
                <w:rFonts w:hint="eastAsia" w:ascii="宋体" w:hAnsi="宋体" w:eastAsia="宋体" w:cs="宋体"/>
                <w:color w:val="auto"/>
                <w:spacing w:val="1"/>
                <w:w w:val="99"/>
                <w:sz w:val="21"/>
                <w:szCs w:val="21"/>
                <w:lang w:eastAsia="zh-CN"/>
              </w:rPr>
              <w:t>&gt;140</w:t>
            </w:r>
            <w:r>
              <w:rPr>
                <w:rFonts w:hint="eastAsia" w:ascii="宋体" w:hAnsi="宋体" w:eastAsia="宋体" w:cs="宋体"/>
                <w:color w:val="auto"/>
                <w:w w:val="99"/>
                <w:sz w:val="21"/>
                <w:szCs w:val="21"/>
                <w:lang w:eastAsia="zh-CN"/>
              </w:rPr>
              <w:t>00</w:t>
            </w:r>
            <w:r>
              <w:rPr>
                <w:rFonts w:hint="eastAsia" w:ascii="宋体" w:hAnsi="宋体" w:eastAsia="宋体" w:cs="宋体"/>
                <w:color w:val="auto"/>
                <w:spacing w:val="1"/>
                <w:w w:val="99"/>
                <w:sz w:val="21"/>
                <w:szCs w:val="21"/>
                <w:lang w:eastAsia="zh-CN"/>
              </w:rPr>
              <w:t>W</w:t>
            </w:r>
            <w:r>
              <w:rPr>
                <w:rFonts w:hint="eastAsia" w:ascii="宋体" w:hAnsi="宋体" w:eastAsia="宋体" w:cs="宋体"/>
                <w:color w:val="auto"/>
                <w:w w:val="99"/>
                <w:sz w:val="21"/>
                <w:szCs w:val="21"/>
                <w:lang w:eastAsia="zh-CN"/>
              </w:rPr>
              <w:t>)</w:t>
            </w:r>
          </w:p>
        </w:tc>
        <w:tc>
          <w:tcPr>
            <w:tcW w:w="3444" w:type="dxa"/>
            <w:tcBorders>
              <w:top w:val="single" w:color="000000" w:sz="4" w:space="0"/>
              <w:left w:val="single" w:color="000000" w:sz="4" w:space="0"/>
              <w:bottom w:val="single" w:color="000000" w:sz="4" w:space="0"/>
              <w:right w:val="single" w:color="000000" w:sz="4" w:space="0"/>
            </w:tcBorders>
          </w:tcPr>
          <w:p w14:paraId="7DB56E45">
            <w:pPr>
              <w:pStyle w:val="75"/>
              <w:spacing w:before="160"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《多联</w:t>
            </w:r>
            <w:r>
              <w:rPr>
                <w:rFonts w:hint="eastAsia" w:ascii="宋体" w:hAnsi="宋体" w:eastAsia="宋体" w:cs="宋体"/>
                <w:color w:val="auto"/>
                <w:spacing w:val="2"/>
                <w:w w:val="99"/>
                <w:sz w:val="21"/>
                <w:szCs w:val="21"/>
                <w:lang w:eastAsia="zh-CN"/>
              </w:rPr>
              <w:t>式</w:t>
            </w:r>
            <w:r>
              <w:rPr>
                <w:rFonts w:hint="eastAsia" w:ascii="宋体" w:hAnsi="宋体" w:eastAsia="宋体" w:cs="宋体"/>
                <w:color w:val="auto"/>
                <w:w w:val="99"/>
                <w:sz w:val="21"/>
                <w:szCs w:val="21"/>
                <w:lang w:eastAsia="zh-CN"/>
              </w:rPr>
              <w:t>空</w:t>
            </w:r>
            <w:r>
              <w:rPr>
                <w:rFonts w:hint="eastAsia" w:ascii="宋体" w:hAnsi="宋体" w:eastAsia="宋体" w:cs="宋体"/>
                <w:color w:val="auto"/>
                <w:spacing w:val="-27"/>
                <w:w w:val="99"/>
                <w:sz w:val="21"/>
                <w:szCs w:val="21"/>
                <w:lang w:eastAsia="zh-CN"/>
              </w:rPr>
              <w:t>调</w:t>
            </w:r>
            <w:r>
              <w:rPr>
                <w:rFonts w:hint="eastAsia" w:ascii="宋体" w:hAnsi="宋体" w:eastAsia="宋体" w:cs="宋体"/>
                <w:color w:val="auto"/>
                <w:w w:val="99"/>
                <w:sz w:val="21"/>
                <w:szCs w:val="21"/>
                <w:lang w:eastAsia="zh-CN"/>
              </w:rPr>
              <w:t>（热</w:t>
            </w:r>
            <w:r>
              <w:rPr>
                <w:rFonts w:hint="eastAsia" w:ascii="宋体" w:hAnsi="宋体" w:eastAsia="宋体" w:cs="宋体"/>
                <w:color w:val="auto"/>
                <w:spacing w:val="2"/>
                <w:w w:val="99"/>
                <w:sz w:val="21"/>
                <w:szCs w:val="21"/>
                <w:lang w:eastAsia="zh-CN"/>
              </w:rPr>
              <w:t>泵</w:t>
            </w:r>
            <w:r>
              <w:rPr>
                <w:rFonts w:hint="eastAsia" w:ascii="宋体" w:hAnsi="宋体" w:eastAsia="宋体" w:cs="宋体"/>
                <w:color w:val="auto"/>
                <w:spacing w:val="-29"/>
                <w:w w:val="99"/>
                <w:sz w:val="21"/>
                <w:szCs w:val="21"/>
                <w:lang w:eastAsia="zh-CN"/>
              </w:rPr>
              <w:t>）</w:t>
            </w:r>
            <w:r>
              <w:rPr>
                <w:rFonts w:hint="eastAsia" w:ascii="宋体" w:hAnsi="宋体" w:eastAsia="宋体" w:cs="宋体"/>
                <w:color w:val="auto"/>
                <w:w w:val="99"/>
                <w:sz w:val="21"/>
                <w:szCs w:val="21"/>
                <w:lang w:eastAsia="zh-CN"/>
              </w:rPr>
              <w:t>机</w:t>
            </w:r>
            <w:r>
              <w:rPr>
                <w:rFonts w:hint="eastAsia" w:ascii="宋体" w:hAnsi="宋体" w:eastAsia="宋体" w:cs="宋体"/>
                <w:color w:val="auto"/>
                <w:spacing w:val="2"/>
                <w:w w:val="99"/>
                <w:sz w:val="21"/>
                <w:szCs w:val="21"/>
                <w:lang w:eastAsia="zh-CN"/>
              </w:rPr>
              <w:t>组</w:t>
            </w:r>
            <w:r>
              <w:rPr>
                <w:rFonts w:hint="eastAsia" w:ascii="宋体" w:hAnsi="宋体" w:eastAsia="宋体" w:cs="宋体"/>
                <w:color w:val="auto"/>
                <w:w w:val="99"/>
                <w:sz w:val="21"/>
                <w:szCs w:val="21"/>
                <w:lang w:eastAsia="zh-CN"/>
              </w:rPr>
              <w:t>能效限定值及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源效</w:t>
            </w:r>
            <w:r>
              <w:rPr>
                <w:rFonts w:hint="eastAsia" w:ascii="宋体" w:hAnsi="宋体" w:eastAsia="宋体" w:cs="宋体"/>
                <w:color w:val="auto"/>
                <w:spacing w:val="2"/>
                <w:w w:val="99"/>
                <w:sz w:val="21"/>
                <w:szCs w:val="21"/>
                <w:lang w:eastAsia="zh-CN"/>
              </w:rPr>
              <w:t>率</w:t>
            </w:r>
            <w:r>
              <w:rPr>
                <w:rFonts w:hint="eastAsia" w:ascii="宋体" w:hAnsi="宋体" w:eastAsia="宋体" w:cs="宋体"/>
                <w:color w:val="auto"/>
                <w:w w:val="99"/>
                <w:sz w:val="21"/>
                <w:szCs w:val="21"/>
                <w:lang w:eastAsia="zh-CN"/>
              </w:rPr>
              <w:t>等级</w:t>
            </w:r>
            <w:r>
              <w:rPr>
                <w:rFonts w:hint="eastAsia" w:ascii="宋体" w:hAnsi="宋体" w:eastAsia="宋体" w:cs="宋体"/>
                <w:color w:val="auto"/>
                <w:spacing w:val="-106"/>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2145</w:t>
            </w:r>
            <w:r>
              <w:rPr>
                <w:rFonts w:hint="eastAsia" w:ascii="宋体" w:hAnsi="宋体" w:eastAsia="宋体" w:cs="宋体"/>
                <w:color w:val="auto"/>
                <w:w w:val="99"/>
                <w:sz w:val="21"/>
                <w:szCs w:val="21"/>
                <w:lang w:eastAsia="zh-CN"/>
              </w:rPr>
              <w:t>4</w:t>
            </w:r>
          </w:p>
        </w:tc>
      </w:tr>
      <w:tr w14:paraId="597CCCBE">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FAD012D">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6C7ECFB0">
            <w:pPr>
              <w:widowControl/>
              <w:jc w:val="center"/>
              <w:rPr>
                <w:rFonts w:ascii="宋体" w:hAnsi="宋体" w:eastAsia="宋体" w:cs="宋体"/>
                <w:color w:val="auto"/>
                <w:szCs w:val="21"/>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14:paraId="1576E911">
            <w:pPr>
              <w:widowControl/>
              <w:jc w:val="center"/>
              <w:rPr>
                <w:rFonts w:ascii="宋体" w:hAnsi="宋体" w:eastAsia="宋体" w:cs="宋体"/>
                <w:color w:val="auto"/>
                <w:szCs w:val="21"/>
              </w:rPr>
            </w:pPr>
          </w:p>
        </w:tc>
        <w:tc>
          <w:tcPr>
            <w:tcW w:w="1916" w:type="dxa"/>
            <w:tcBorders>
              <w:top w:val="single" w:color="000000" w:sz="4" w:space="0"/>
              <w:left w:val="single" w:color="000000" w:sz="4" w:space="0"/>
              <w:right w:val="single" w:color="000000" w:sz="4" w:space="0"/>
            </w:tcBorders>
          </w:tcPr>
          <w:p w14:paraId="7462FC25">
            <w:pPr>
              <w:pStyle w:val="75"/>
              <w:spacing w:before="7"/>
              <w:jc w:val="center"/>
              <w:rPr>
                <w:rFonts w:ascii="宋体" w:hAnsi="宋体" w:eastAsia="宋体" w:cs="宋体"/>
                <w:color w:val="auto"/>
                <w:sz w:val="21"/>
                <w:szCs w:val="21"/>
                <w:lang w:eastAsia="zh-CN"/>
              </w:rPr>
            </w:pPr>
          </w:p>
          <w:p w14:paraId="78A8396A">
            <w:pPr>
              <w:pStyle w:val="75"/>
              <w:ind w:left="7"/>
              <w:jc w:val="center"/>
              <w:rPr>
                <w:rFonts w:ascii="宋体" w:hAnsi="宋体" w:eastAsia="宋体" w:cs="宋体"/>
                <w:color w:val="auto"/>
                <w:w w:val="99"/>
                <w:sz w:val="21"/>
                <w:szCs w:val="21"/>
                <w:lang w:eastAsia="zh-CN"/>
              </w:rPr>
            </w:pPr>
            <w:r>
              <w:rPr>
                <w:rFonts w:hint="eastAsia" w:ascii="宋体" w:hAnsi="宋体" w:eastAsia="宋体" w:cs="宋体"/>
                <w:color w:val="auto"/>
                <w:w w:val="99"/>
                <w:sz w:val="21"/>
                <w:szCs w:val="21"/>
                <w:lang w:eastAsia="zh-CN"/>
              </w:rPr>
              <w:t>单元式空气调节机</w:t>
            </w:r>
          </w:p>
          <w:p w14:paraId="0CB4330E">
            <w:pPr>
              <w:pStyle w:val="75"/>
              <w:spacing w:line="256" w:lineRule="exact"/>
              <w:ind w:left="7"/>
              <w:jc w:val="center"/>
              <w:rPr>
                <w:rFonts w:ascii="宋体" w:hAnsi="宋体" w:eastAsia="宋体" w:cs="宋体"/>
                <w:color w:val="auto"/>
                <w:sz w:val="21"/>
                <w:szCs w:val="21"/>
                <w:lang w:eastAsia="zh-CN"/>
              </w:rPr>
            </w:pPr>
            <w:r>
              <w:rPr>
                <w:rFonts w:hint="eastAsia" w:ascii="宋体" w:hAnsi="宋体" w:eastAsia="宋体" w:cs="宋体"/>
                <w:color w:val="auto"/>
                <w:spacing w:val="1"/>
                <w:w w:val="99"/>
                <w:sz w:val="21"/>
                <w:szCs w:val="21"/>
                <w:lang w:eastAsia="zh-CN"/>
              </w:rPr>
              <w:t>(</w:t>
            </w:r>
            <w:r>
              <w:rPr>
                <w:rFonts w:hint="eastAsia" w:ascii="宋体" w:hAnsi="宋体" w:eastAsia="宋体" w:cs="宋体"/>
                <w:color w:val="auto"/>
                <w:w w:val="99"/>
                <w:sz w:val="21"/>
                <w:szCs w:val="21"/>
                <w:lang w:eastAsia="zh-CN"/>
              </w:rPr>
              <w:t>制冷量</w:t>
            </w:r>
            <w:r>
              <w:rPr>
                <w:rFonts w:hint="eastAsia" w:ascii="宋体" w:hAnsi="宋体" w:eastAsia="宋体" w:cs="宋体"/>
                <w:color w:val="auto"/>
                <w:spacing w:val="1"/>
                <w:w w:val="99"/>
                <w:sz w:val="21"/>
                <w:szCs w:val="21"/>
                <w:lang w:eastAsia="zh-CN"/>
              </w:rPr>
              <w:t>&gt;1400</w:t>
            </w:r>
            <w:r>
              <w:rPr>
                <w:rFonts w:hint="eastAsia" w:ascii="宋体" w:hAnsi="宋体" w:eastAsia="宋体" w:cs="宋体"/>
                <w:color w:val="auto"/>
                <w:w w:val="99"/>
                <w:sz w:val="21"/>
                <w:szCs w:val="21"/>
                <w:lang w:eastAsia="zh-CN"/>
              </w:rPr>
              <w:t>0W)</w:t>
            </w:r>
          </w:p>
        </w:tc>
        <w:tc>
          <w:tcPr>
            <w:tcW w:w="3444" w:type="dxa"/>
            <w:tcBorders>
              <w:top w:val="single" w:color="000000" w:sz="4" w:space="0"/>
              <w:left w:val="single" w:color="000000" w:sz="4" w:space="0"/>
              <w:bottom w:val="single" w:color="000000" w:sz="4" w:space="0"/>
              <w:right w:val="single" w:color="000000" w:sz="4" w:space="0"/>
            </w:tcBorders>
          </w:tcPr>
          <w:p w14:paraId="2D6DA731">
            <w:pPr>
              <w:pStyle w:val="75"/>
              <w:spacing w:before="9"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《单元式空气调节机能</w:t>
            </w:r>
            <w:r>
              <w:rPr>
                <w:rFonts w:hint="eastAsia" w:ascii="宋体" w:hAnsi="宋体" w:eastAsia="宋体" w:cs="宋体"/>
                <w:color w:val="auto"/>
                <w:spacing w:val="9"/>
                <w:w w:val="99"/>
                <w:sz w:val="21"/>
                <w:szCs w:val="21"/>
                <w:lang w:eastAsia="zh-CN"/>
              </w:rPr>
              <w:t>效</w:t>
            </w:r>
            <w:r>
              <w:rPr>
                <w:rFonts w:hint="eastAsia" w:ascii="宋体" w:hAnsi="宋体" w:eastAsia="宋体" w:cs="宋体"/>
                <w:color w:val="auto"/>
                <w:spacing w:val="12"/>
                <w:w w:val="99"/>
                <w:sz w:val="21"/>
                <w:szCs w:val="21"/>
                <w:lang w:eastAsia="zh-CN"/>
              </w:rPr>
              <w:t>限定</w:t>
            </w:r>
            <w:r>
              <w:rPr>
                <w:rFonts w:hint="eastAsia" w:ascii="宋体" w:hAnsi="宋体" w:eastAsia="宋体" w:cs="宋体"/>
                <w:color w:val="auto"/>
                <w:w w:val="99"/>
                <w:sz w:val="21"/>
                <w:szCs w:val="21"/>
                <w:lang w:eastAsia="zh-CN"/>
              </w:rPr>
              <w:t>值及能效</w:t>
            </w:r>
            <w:r>
              <w:rPr>
                <w:rFonts w:hint="eastAsia" w:ascii="宋体" w:hAnsi="宋体" w:eastAsia="宋体" w:cs="宋体"/>
                <w:color w:val="auto"/>
                <w:spacing w:val="2"/>
                <w:w w:val="99"/>
                <w:sz w:val="21"/>
                <w:szCs w:val="21"/>
                <w:lang w:eastAsia="zh-CN"/>
              </w:rPr>
              <w:t>等</w:t>
            </w:r>
            <w:r>
              <w:rPr>
                <w:rFonts w:hint="eastAsia" w:ascii="宋体" w:hAnsi="宋体" w:eastAsia="宋体" w:cs="宋体"/>
                <w:color w:val="auto"/>
                <w:w w:val="99"/>
                <w:sz w:val="21"/>
                <w:szCs w:val="21"/>
                <w:lang w:eastAsia="zh-CN"/>
              </w:rPr>
              <w:t>级</w:t>
            </w:r>
            <w:r>
              <w:rPr>
                <w:rFonts w:hint="eastAsia" w:ascii="宋体" w:hAnsi="宋体" w:eastAsia="宋体" w:cs="宋体"/>
                <w:color w:val="auto"/>
                <w:spacing w:val="-3"/>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195</w:t>
            </w:r>
            <w:r>
              <w:rPr>
                <w:rFonts w:hint="eastAsia" w:ascii="宋体" w:hAnsi="宋体" w:eastAsia="宋体" w:cs="宋体"/>
                <w:color w:val="auto"/>
                <w:w w:val="99"/>
                <w:sz w:val="21"/>
                <w:szCs w:val="21"/>
                <w:lang w:eastAsia="zh-CN"/>
              </w:rPr>
              <w:t>7</w:t>
            </w:r>
            <w:r>
              <w:rPr>
                <w:rFonts w:hint="eastAsia" w:ascii="宋体" w:hAnsi="宋体" w:eastAsia="宋体" w:cs="宋体"/>
                <w:color w:val="auto"/>
                <w:spacing w:val="-1"/>
                <w:w w:val="99"/>
                <w:sz w:val="21"/>
                <w:szCs w:val="21"/>
                <w:lang w:eastAsia="zh-CN"/>
              </w:rPr>
              <w:t>6</w:t>
            </w:r>
            <w:r>
              <w:rPr>
                <w:rFonts w:hint="eastAsia" w:ascii="宋体" w:hAnsi="宋体" w:eastAsia="宋体" w:cs="宋体"/>
                <w:color w:val="auto"/>
                <w:spacing w:val="-5"/>
                <w:w w:val="99"/>
                <w:sz w:val="21"/>
                <w:szCs w:val="21"/>
                <w:lang w:eastAsia="zh-CN"/>
              </w:rPr>
              <w:t>）</w:t>
            </w:r>
            <w:r>
              <w:rPr>
                <w:rFonts w:hint="eastAsia" w:ascii="宋体" w:hAnsi="宋体" w:eastAsia="宋体" w:cs="宋体"/>
                <w:color w:val="auto"/>
                <w:w w:val="99"/>
                <w:sz w:val="21"/>
                <w:szCs w:val="21"/>
                <w:lang w:eastAsia="zh-CN"/>
              </w:rPr>
              <w:t>《风管</w:t>
            </w:r>
            <w:r>
              <w:rPr>
                <w:rFonts w:hint="eastAsia" w:ascii="宋体" w:hAnsi="宋体" w:eastAsia="宋体" w:cs="宋体"/>
                <w:color w:val="auto"/>
                <w:spacing w:val="12"/>
                <w:w w:val="99"/>
                <w:sz w:val="21"/>
                <w:szCs w:val="21"/>
                <w:lang w:eastAsia="zh-CN"/>
              </w:rPr>
              <w:t>送风式空调机组能效限</w:t>
            </w:r>
            <w:r>
              <w:rPr>
                <w:rFonts w:hint="eastAsia" w:ascii="宋体" w:hAnsi="宋体" w:eastAsia="宋体" w:cs="宋体"/>
                <w:color w:val="auto"/>
                <w:spacing w:val="9"/>
                <w:w w:val="99"/>
                <w:sz w:val="21"/>
                <w:szCs w:val="21"/>
                <w:lang w:eastAsia="zh-CN"/>
              </w:rPr>
              <w:t>定</w:t>
            </w:r>
            <w:r>
              <w:rPr>
                <w:rFonts w:hint="eastAsia" w:ascii="宋体" w:hAnsi="宋体" w:eastAsia="宋体" w:cs="宋体"/>
                <w:color w:val="auto"/>
                <w:spacing w:val="12"/>
                <w:w w:val="99"/>
                <w:sz w:val="21"/>
                <w:szCs w:val="21"/>
                <w:lang w:eastAsia="zh-CN"/>
              </w:rPr>
              <w:t>值及</w:t>
            </w:r>
            <w:r>
              <w:rPr>
                <w:rFonts w:hint="eastAsia" w:ascii="宋体" w:hAnsi="宋体" w:eastAsia="宋体" w:cs="宋体"/>
                <w:color w:val="auto"/>
                <w:w w:val="99"/>
                <w:sz w:val="21"/>
                <w:szCs w:val="21"/>
                <w:lang w:eastAsia="zh-CN"/>
              </w:rPr>
              <w:t>能效等级</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37</w:t>
            </w:r>
            <w:r>
              <w:rPr>
                <w:rFonts w:hint="eastAsia" w:ascii="宋体" w:hAnsi="宋体" w:eastAsia="宋体" w:cs="宋体"/>
                <w:color w:val="auto"/>
                <w:w w:val="99"/>
                <w:sz w:val="21"/>
                <w:szCs w:val="21"/>
                <w:lang w:eastAsia="zh-CN"/>
              </w:rPr>
              <w:t>47</w:t>
            </w:r>
            <w:r>
              <w:rPr>
                <w:rFonts w:hint="eastAsia" w:ascii="宋体" w:hAnsi="宋体" w:eastAsia="宋体" w:cs="宋体"/>
                <w:color w:val="auto"/>
                <w:spacing w:val="1"/>
                <w:w w:val="99"/>
                <w:sz w:val="21"/>
                <w:szCs w:val="21"/>
                <w:lang w:eastAsia="zh-CN"/>
              </w:rPr>
              <w:t>9</w:t>
            </w:r>
            <w:r>
              <w:rPr>
                <w:rFonts w:hint="eastAsia" w:ascii="宋体" w:hAnsi="宋体" w:eastAsia="宋体" w:cs="宋体"/>
                <w:color w:val="auto"/>
                <w:w w:val="99"/>
                <w:sz w:val="21"/>
                <w:szCs w:val="21"/>
                <w:lang w:eastAsia="zh-CN"/>
              </w:rPr>
              <w:t>）</w:t>
            </w:r>
          </w:p>
        </w:tc>
      </w:tr>
      <w:tr w14:paraId="2EE5D080">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FF2EC0D">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0B20D5CA">
            <w:pPr>
              <w:widowControl/>
              <w:jc w:val="center"/>
              <w:rPr>
                <w:rFonts w:ascii="宋体" w:hAnsi="宋体" w:eastAsia="宋体" w:cs="宋体"/>
                <w:color w:val="auto"/>
                <w:szCs w:val="21"/>
              </w:rPr>
            </w:pPr>
          </w:p>
        </w:tc>
        <w:tc>
          <w:tcPr>
            <w:tcW w:w="1615" w:type="dxa"/>
            <w:tcBorders>
              <w:top w:val="single" w:color="000000" w:sz="4" w:space="0"/>
              <w:left w:val="single" w:color="000000" w:sz="4" w:space="0"/>
              <w:bottom w:val="single" w:color="000000" w:sz="4" w:space="0"/>
              <w:right w:val="single" w:color="000000" w:sz="4" w:space="0"/>
            </w:tcBorders>
          </w:tcPr>
          <w:p w14:paraId="03CCE9B5">
            <w:pPr>
              <w:pStyle w:val="75"/>
              <w:spacing w:before="83"/>
              <w:ind w:left="7"/>
              <w:jc w:val="center"/>
              <w:rPr>
                <w:rFonts w:ascii="宋体" w:hAnsi="宋体" w:eastAsia="宋体" w:cs="宋体"/>
                <w:color w:val="auto"/>
                <w:w w:val="99"/>
                <w:sz w:val="21"/>
                <w:szCs w:val="21"/>
                <w:lang w:eastAsia="zh-CN"/>
              </w:rPr>
            </w:pP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A020</w:t>
            </w:r>
            <w:r>
              <w:rPr>
                <w:rFonts w:hint="eastAsia" w:ascii="宋体" w:hAnsi="宋体" w:eastAsia="宋体" w:cs="宋体"/>
                <w:color w:val="auto"/>
                <w:w w:val="99"/>
                <w:sz w:val="21"/>
                <w:szCs w:val="21"/>
                <w:lang w:eastAsia="zh-CN"/>
              </w:rPr>
              <w:t>52</w:t>
            </w:r>
            <w:r>
              <w:rPr>
                <w:rFonts w:hint="eastAsia" w:ascii="宋体" w:hAnsi="宋体" w:eastAsia="宋体" w:cs="宋体"/>
                <w:color w:val="auto"/>
                <w:spacing w:val="1"/>
                <w:w w:val="99"/>
                <w:sz w:val="21"/>
                <w:szCs w:val="21"/>
                <w:lang w:eastAsia="zh-CN"/>
              </w:rPr>
              <w:t>3</w:t>
            </w:r>
            <w:r>
              <w:rPr>
                <w:rFonts w:hint="eastAsia" w:ascii="宋体" w:hAnsi="宋体" w:eastAsia="宋体" w:cs="宋体"/>
                <w:color w:val="auto"/>
                <w:w w:val="99"/>
                <w:sz w:val="21"/>
                <w:szCs w:val="21"/>
                <w:lang w:eastAsia="zh-CN"/>
              </w:rPr>
              <w:t>09专用制</w:t>
            </w:r>
          </w:p>
          <w:p w14:paraId="2C0A7B17">
            <w:pPr>
              <w:pStyle w:val="75"/>
              <w:spacing w:line="254" w:lineRule="exact"/>
              <w:ind w:lef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冷、空</w:t>
            </w:r>
            <w:r>
              <w:rPr>
                <w:rFonts w:hint="eastAsia" w:ascii="宋体" w:hAnsi="宋体" w:eastAsia="宋体" w:cs="宋体"/>
                <w:color w:val="auto"/>
                <w:spacing w:val="2"/>
                <w:w w:val="99"/>
                <w:sz w:val="21"/>
                <w:szCs w:val="21"/>
                <w:lang w:eastAsia="zh-CN"/>
              </w:rPr>
              <w:t>调</w:t>
            </w:r>
            <w:r>
              <w:rPr>
                <w:rFonts w:hint="eastAsia" w:ascii="宋体" w:hAnsi="宋体" w:eastAsia="宋体" w:cs="宋体"/>
                <w:color w:val="auto"/>
                <w:w w:val="99"/>
                <w:sz w:val="21"/>
                <w:szCs w:val="21"/>
                <w:lang w:eastAsia="zh-CN"/>
              </w:rPr>
              <w:t>设备</w:t>
            </w:r>
          </w:p>
        </w:tc>
        <w:tc>
          <w:tcPr>
            <w:tcW w:w="1916" w:type="dxa"/>
            <w:tcBorders>
              <w:top w:val="single" w:color="000000" w:sz="4" w:space="0"/>
              <w:left w:val="single" w:color="000000" w:sz="4" w:space="0"/>
              <w:bottom w:val="single" w:color="000000" w:sz="4" w:space="0"/>
              <w:right w:val="single" w:color="000000" w:sz="4" w:space="0"/>
            </w:tcBorders>
          </w:tcPr>
          <w:p w14:paraId="7B8903BB">
            <w:pPr>
              <w:pStyle w:val="75"/>
              <w:spacing w:before="1"/>
              <w:jc w:val="center"/>
              <w:rPr>
                <w:rFonts w:ascii="宋体" w:hAnsi="宋体" w:eastAsia="宋体" w:cs="宋体"/>
                <w:color w:val="auto"/>
                <w:sz w:val="21"/>
                <w:szCs w:val="21"/>
                <w:lang w:eastAsia="zh-CN"/>
              </w:rPr>
            </w:pPr>
          </w:p>
          <w:p w14:paraId="0BB38E1A">
            <w:pPr>
              <w:pStyle w:val="75"/>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机房空调</w:t>
            </w:r>
          </w:p>
        </w:tc>
        <w:tc>
          <w:tcPr>
            <w:tcW w:w="3444" w:type="dxa"/>
            <w:tcBorders>
              <w:top w:val="single" w:color="000000" w:sz="4" w:space="0"/>
              <w:left w:val="single" w:color="000000" w:sz="4" w:space="0"/>
              <w:right w:val="single" w:color="000000" w:sz="4" w:space="0"/>
            </w:tcBorders>
          </w:tcPr>
          <w:p w14:paraId="52D5183E">
            <w:pPr>
              <w:pStyle w:val="75"/>
              <w:spacing w:before="83"/>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《单元式空气调节机能</w:t>
            </w:r>
            <w:r>
              <w:rPr>
                <w:rFonts w:hint="eastAsia" w:ascii="宋体" w:hAnsi="宋体" w:eastAsia="宋体" w:cs="宋体"/>
                <w:color w:val="auto"/>
                <w:spacing w:val="9"/>
                <w:w w:val="99"/>
                <w:sz w:val="21"/>
                <w:szCs w:val="21"/>
                <w:lang w:eastAsia="zh-CN"/>
              </w:rPr>
              <w:t>效</w:t>
            </w:r>
            <w:r>
              <w:rPr>
                <w:rFonts w:hint="eastAsia" w:ascii="宋体" w:hAnsi="宋体" w:eastAsia="宋体" w:cs="宋体"/>
                <w:color w:val="auto"/>
                <w:spacing w:val="12"/>
                <w:w w:val="99"/>
                <w:sz w:val="21"/>
                <w:szCs w:val="21"/>
                <w:lang w:eastAsia="zh-CN"/>
              </w:rPr>
              <w:t>限定</w:t>
            </w:r>
            <w:r>
              <w:rPr>
                <w:rFonts w:hint="eastAsia" w:ascii="宋体" w:hAnsi="宋体" w:eastAsia="宋体" w:cs="宋体"/>
                <w:color w:val="auto"/>
                <w:w w:val="99"/>
                <w:sz w:val="21"/>
                <w:szCs w:val="21"/>
                <w:lang w:eastAsia="zh-CN"/>
              </w:rPr>
              <w:t>值及能效</w:t>
            </w:r>
            <w:r>
              <w:rPr>
                <w:rFonts w:hint="eastAsia" w:ascii="宋体" w:hAnsi="宋体" w:eastAsia="宋体" w:cs="宋体"/>
                <w:color w:val="auto"/>
                <w:spacing w:val="2"/>
                <w:w w:val="99"/>
                <w:sz w:val="21"/>
                <w:szCs w:val="21"/>
                <w:lang w:eastAsia="zh-CN"/>
              </w:rPr>
              <w:t>等</w:t>
            </w:r>
            <w:r>
              <w:rPr>
                <w:rFonts w:hint="eastAsia" w:ascii="宋体" w:hAnsi="宋体" w:eastAsia="宋体" w:cs="宋体"/>
                <w:color w:val="auto"/>
                <w:w w:val="99"/>
                <w:sz w:val="21"/>
                <w:szCs w:val="21"/>
                <w:lang w:eastAsia="zh-CN"/>
              </w:rPr>
              <w:t>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19576</w:t>
            </w:r>
            <w:r>
              <w:rPr>
                <w:rFonts w:hint="eastAsia" w:ascii="宋体" w:hAnsi="宋体" w:eastAsia="宋体" w:cs="宋体"/>
                <w:color w:val="auto"/>
                <w:w w:val="99"/>
                <w:sz w:val="21"/>
                <w:szCs w:val="21"/>
                <w:lang w:eastAsia="zh-CN"/>
              </w:rPr>
              <w:t>）</w:t>
            </w:r>
          </w:p>
        </w:tc>
      </w:tr>
      <w:tr w14:paraId="627B23B2">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C87E6B4">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464AD780">
            <w:pPr>
              <w:widowControl/>
              <w:jc w:val="center"/>
              <w:rPr>
                <w:rFonts w:ascii="宋体" w:hAnsi="宋体" w:eastAsia="宋体" w:cs="宋体"/>
                <w:color w:val="auto"/>
                <w:szCs w:val="21"/>
              </w:rPr>
            </w:pPr>
          </w:p>
        </w:tc>
        <w:tc>
          <w:tcPr>
            <w:tcW w:w="1615" w:type="dxa"/>
            <w:tcBorders>
              <w:top w:val="single" w:color="000000" w:sz="4" w:space="0"/>
              <w:left w:val="single" w:color="000000" w:sz="4" w:space="0"/>
              <w:right w:val="single" w:color="000000" w:sz="4" w:space="0"/>
            </w:tcBorders>
          </w:tcPr>
          <w:p w14:paraId="0E6485EB">
            <w:pPr>
              <w:pStyle w:val="75"/>
              <w:jc w:val="center"/>
              <w:rPr>
                <w:rFonts w:ascii="宋体" w:hAnsi="宋体" w:eastAsia="宋体" w:cs="宋体"/>
                <w:color w:val="auto"/>
                <w:sz w:val="21"/>
                <w:szCs w:val="21"/>
                <w:lang w:eastAsia="zh-CN"/>
              </w:rPr>
            </w:pPr>
          </w:p>
          <w:p w14:paraId="5372C04F">
            <w:pPr>
              <w:pStyle w:val="75"/>
              <w:spacing w:before="9"/>
              <w:jc w:val="center"/>
              <w:rPr>
                <w:rFonts w:ascii="宋体" w:hAnsi="宋体" w:eastAsia="宋体" w:cs="宋体"/>
                <w:color w:val="auto"/>
                <w:sz w:val="21"/>
                <w:szCs w:val="21"/>
                <w:lang w:eastAsia="zh-CN"/>
              </w:rPr>
            </w:pPr>
          </w:p>
          <w:p w14:paraId="6657746D">
            <w:pPr>
              <w:pStyle w:val="75"/>
              <w:ind w:left="7"/>
              <w:jc w:val="center"/>
              <w:rPr>
                <w:rFonts w:ascii="宋体" w:hAnsi="宋体" w:eastAsia="宋体" w:cs="宋体"/>
                <w:color w:val="auto"/>
                <w:spacing w:val="1"/>
                <w:w w:val="99"/>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05</w:t>
            </w:r>
            <w:r>
              <w:rPr>
                <w:rFonts w:hint="eastAsia" w:ascii="宋体" w:hAnsi="宋体" w:eastAsia="宋体" w:cs="宋体"/>
                <w:color w:val="auto"/>
                <w:spacing w:val="1"/>
                <w:w w:val="99"/>
                <w:sz w:val="21"/>
                <w:szCs w:val="21"/>
              </w:rPr>
              <w:t>2</w:t>
            </w:r>
            <w:r>
              <w:rPr>
                <w:rFonts w:hint="eastAsia" w:ascii="宋体" w:hAnsi="宋体" w:eastAsia="宋体" w:cs="宋体"/>
                <w:color w:val="auto"/>
                <w:w w:val="99"/>
                <w:sz w:val="21"/>
                <w:szCs w:val="21"/>
              </w:rPr>
              <w:t>399其他制冷</w:t>
            </w:r>
          </w:p>
          <w:p w14:paraId="5DF43AF5">
            <w:pPr>
              <w:pStyle w:val="75"/>
              <w:spacing w:line="256" w:lineRule="exact"/>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空调设备</w:t>
            </w:r>
          </w:p>
        </w:tc>
        <w:tc>
          <w:tcPr>
            <w:tcW w:w="1916" w:type="dxa"/>
            <w:tcBorders>
              <w:top w:val="single" w:color="000000" w:sz="4" w:space="0"/>
              <w:left w:val="single" w:color="000000" w:sz="4" w:space="0"/>
              <w:bottom w:val="single" w:color="000000" w:sz="4" w:space="0"/>
              <w:right w:val="single" w:color="000000" w:sz="4" w:space="0"/>
            </w:tcBorders>
          </w:tcPr>
          <w:p w14:paraId="557B9D8C">
            <w:pPr>
              <w:pStyle w:val="75"/>
              <w:jc w:val="center"/>
              <w:rPr>
                <w:rFonts w:ascii="宋体" w:hAnsi="宋体" w:eastAsia="宋体" w:cs="宋体"/>
                <w:color w:val="auto"/>
                <w:sz w:val="21"/>
                <w:szCs w:val="21"/>
              </w:rPr>
            </w:pPr>
          </w:p>
          <w:p w14:paraId="7FF0D585">
            <w:pPr>
              <w:pStyle w:val="75"/>
              <w:jc w:val="center"/>
              <w:rPr>
                <w:rFonts w:ascii="宋体" w:hAnsi="宋体" w:eastAsia="宋体" w:cs="宋体"/>
                <w:color w:val="auto"/>
                <w:sz w:val="21"/>
                <w:szCs w:val="21"/>
              </w:rPr>
            </w:pPr>
          </w:p>
          <w:p w14:paraId="656F289C">
            <w:pPr>
              <w:pStyle w:val="75"/>
              <w:spacing w:before="164"/>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冷却塔</w:t>
            </w:r>
          </w:p>
        </w:tc>
        <w:tc>
          <w:tcPr>
            <w:tcW w:w="3444" w:type="dxa"/>
            <w:tcBorders>
              <w:top w:val="single" w:color="000000" w:sz="4" w:space="0"/>
              <w:left w:val="single" w:color="000000" w:sz="4" w:space="0"/>
              <w:bottom w:val="single" w:color="000000" w:sz="4" w:space="0"/>
              <w:right w:val="single" w:color="000000" w:sz="4" w:space="0"/>
            </w:tcBorders>
          </w:tcPr>
          <w:p w14:paraId="7B78C787">
            <w:pPr>
              <w:pStyle w:val="75"/>
              <w:spacing w:before="11"/>
              <w:jc w:val="center"/>
              <w:rPr>
                <w:rFonts w:ascii="宋体" w:hAnsi="宋体" w:eastAsia="宋体" w:cs="宋体"/>
                <w:color w:val="auto"/>
                <w:sz w:val="21"/>
                <w:szCs w:val="21"/>
                <w:lang w:eastAsia="zh-CN"/>
              </w:rPr>
            </w:pPr>
          </w:p>
          <w:p w14:paraId="79A90A99">
            <w:pPr>
              <w:pStyle w:val="75"/>
              <w:ind w:left="7"/>
              <w:jc w:val="center"/>
              <w:rPr>
                <w:rFonts w:ascii="宋体" w:hAnsi="宋体" w:eastAsia="宋体" w:cs="宋体"/>
                <w:color w:val="auto"/>
                <w:w w:val="99"/>
                <w:sz w:val="21"/>
                <w:szCs w:val="21"/>
                <w:lang w:eastAsia="zh-CN"/>
              </w:rPr>
            </w:pPr>
            <w:r>
              <w:rPr>
                <w:rFonts w:hint="eastAsia" w:ascii="宋体" w:hAnsi="宋体" w:eastAsia="宋体" w:cs="宋体"/>
                <w:color w:val="auto"/>
                <w:w w:val="99"/>
                <w:sz w:val="21"/>
                <w:szCs w:val="21"/>
                <w:lang w:eastAsia="zh-CN"/>
              </w:rPr>
              <w:t>《机械</w:t>
            </w:r>
            <w:r>
              <w:rPr>
                <w:rFonts w:hint="eastAsia" w:ascii="宋体" w:hAnsi="宋体" w:eastAsia="宋体" w:cs="宋体"/>
                <w:color w:val="auto"/>
                <w:spacing w:val="2"/>
                <w:w w:val="99"/>
                <w:sz w:val="21"/>
                <w:szCs w:val="21"/>
                <w:lang w:eastAsia="zh-CN"/>
              </w:rPr>
              <w:t>通</w:t>
            </w:r>
            <w:r>
              <w:rPr>
                <w:rFonts w:hint="eastAsia" w:ascii="宋体" w:hAnsi="宋体" w:eastAsia="宋体" w:cs="宋体"/>
                <w:color w:val="auto"/>
                <w:w w:val="99"/>
                <w:sz w:val="21"/>
                <w:szCs w:val="21"/>
                <w:lang w:eastAsia="zh-CN"/>
              </w:rPr>
              <w:t>风冷</w:t>
            </w:r>
            <w:r>
              <w:rPr>
                <w:rFonts w:hint="eastAsia" w:ascii="宋体" w:hAnsi="宋体" w:eastAsia="宋体" w:cs="宋体"/>
                <w:color w:val="auto"/>
                <w:spacing w:val="2"/>
                <w:w w:val="99"/>
                <w:sz w:val="21"/>
                <w:szCs w:val="21"/>
                <w:lang w:eastAsia="zh-CN"/>
              </w:rPr>
              <w:t>却</w:t>
            </w:r>
            <w:r>
              <w:rPr>
                <w:rFonts w:hint="eastAsia" w:ascii="宋体" w:hAnsi="宋体" w:eastAsia="宋体" w:cs="宋体"/>
                <w:color w:val="auto"/>
                <w:w w:val="99"/>
                <w:sz w:val="21"/>
                <w:szCs w:val="21"/>
                <w:lang w:eastAsia="zh-CN"/>
              </w:rPr>
              <w:t>塔第1部分：中</w:t>
            </w:r>
          </w:p>
          <w:p w14:paraId="76BB18C1">
            <w:pPr>
              <w:pStyle w:val="75"/>
              <w:spacing w:line="256" w:lineRule="exact"/>
              <w:ind w:lef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小型开</w:t>
            </w:r>
            <w:r>
              <w:rPr>
                <w:rFonts w:hint="eastAsia" w:ascii="宋体" w:hAnsi="宋体" w:eastAsia="宋体" w:cs="宋体"/>
                <w:color w:val="auto"/>
                <w:spacing w:val="2"/>
                <w:w w:val="99"/>
                <w:sz w:val="21"/>
                <w:szCs w:val="21"/>
                <w:lang w:eastAsia="zh-CN"/>
              </w:rPr>
              <w:t>式</w:t>
            </w:r>
            <w:r>
              <w:rPr>
                <w:rFonts w:hint="eastAsia" w:ascii="宋体" w:hAnsi="宋体" w:eastAsia="宋体" w:cs="宋体"/>
                <w:color w:val="auto"/>
                <w:w w:val="99"/>
                <w:sz w:val="21"/>
                <w:szCs w:val="21"/>
                <w:lang w:eastAsia="zh-CN"/>
              </w:rPr>
              <w:t>冷却</w:t>
            </w:r>
            <w:r>
              <w:rPr>
                <w:rFonts w:hint="eastAsia" w:ascii="宋体" w:hAnsi="宋体" w:eastAsia="宋体" w:cs="宋体"/>
                <w:color w:val="auto"/>
                <w:spacing w:val="2"/>
                <w:w w:val="99"/>
                <w:sz w:val="21"/>
                <w:szCs w:val="21"/>
                <w:lang w:eastAsia="zh-CN"/>
              </w:rPr>
              <w:t>塔</w:t>
            </w:r>
            <w:r>
              <w:rPr>
                <w:rFonts w:hint="eastAsia" w:ascii="宋体" w:hAnsi="宋体" w:eastAsia="宋体" w:cs="宋体"/>
                <w:color w:val="auto"/>
                <w:spacing w:val="-171"/>
                <w:w w:val="99"/>
                <w:sz w:val="21"/>
                <w:szCs w:val="21"/>
                <w:lang w:eastAsia="zh-CN"/>
              </w:rPr>
              <w:t>》</w:t>
            </w:r>
            <w:r>
              <w:rPr>
                <w:rFonts w:hint="eastAsia" w:ascii="宋体" w:hAnsi="宋体" w:eastAsia="宋体" w:cs="宋体"/>
                <w:color w:val="auto"/>
                <w:spacing w:val="-1"/>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w:t>
            </w:r>
            <w:r>
              <w:rPr>
                <w:rFonts w:hint="eastAsia" w:ascii="宋体" w:hAnsi="宋体" w:eastAsia="宋体" w:cs="宋体"/>
                <w:color w:val="auto"/>
                <w:w w:val="99"/>
                <w:sz w:val="21"/>
                <w:szCs w:val="21"/>
                <w:lang w:eastAsia="zh-CN"/>
              </w:rPr>
              <w:t>T7190</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spacing w:val="-87"/>
                <w:w w:val="99"/>
                <w:sz w:val="21"/>
                <w:szCs w:val="21"/>
                <w:lang w:eastAsia="zh-CN"/>
              </w:rPr>
              <w:t>）</w:t>
            </w:r>
          </w:p>
          <w:p w14:paraId="70023403">
            <w:pPr>
              <w:pStyle w:val="75"/>
              <w:spacing w:line="256" w:lineRule="exact"/>
              <w:ind w:lef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《机械</w:t>
            </w:r>
            <w:r>
              <w:rPr>
                <w:rFonts w:hint="eastAsia" w:ascii="宋体" w:hAnsi="宋体" w:eastAsia="宋体" w:cs="宋体"/>
                <w:color w:val="auto"/>
                <w:spacing w:val="2"/>
                <w:w w:val="99"/>
                <w:sz w:val="21"/>
                <w:szCs w:val="21"/>
                <w:lang w:eastAsia="zh-CN"/>
              </w:rPr>
              <w:t>通</w:t>
            </w:r>
            <w:r>
              <w:rPr>
                <w:rFonts w:hint="eastAsia" w:ascii="宋体" w:hAnsi="宋体" w:eastAsia="宋体" w:cs="宋体"/>
                <w:color w:val="auto"/>
                <w:w w:val="99"/>
                <w:sz w:val="21"/>
                <w:szCs w:val="21"/>
                <w:lang w:eastAsia="zh-CN"/>
              </w:rPr>
              <w:t>风冷</w:t>
            </w:r>
            <w:r>
              <w:rPr>
                <w:rFonts w:hint="eastAsia" w:ascii="宋体" w:hAnsi="宋体" w:eastAsia="宋体" w:cs="宋体"/>
                <w:color w:val="auto"/>
                <w:spacing w:val="2"/>
                <w:w w:val="99"/>
                <w:sz w:val="21"/>
                <w:szCs w:val="21"/>
                <w:lang w:eastAsia="zh-CN"/>
              </w:rPr>
              <w:t>却</w:t>
            </w:r>
            <w:r>
              <w:rPr>
                <w:rFonts w:hint="eastAsia" w:ascii="宋体" w:hAnsi="宋体" w:eastAsia="宋体" w:cs="宋体"/>
                <w:color w:val="auto"/>
                <w:w w:val="99"/>
                <w:sz w:val="21"/>
                <w:szCs w:val="21"/>
                <w:lang w:eastAsia="zh-CN"/>
              </w:rPr>
              <w:t>塔第2部分：大</w:t>
            </w:r>
          </w:p>
          <w:p w14:paraId="2E838F4E">
            <w:pPr>
              <w:pStyle w:val="75"/>
              <w:spacing w:line="256" w:lineRule="exact"/>
              <w:ind w:lef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型开式</w:t>
            </w:r>
            <w:r>
              <w:rPr>
                <w:rFonts w:hint="eastAsia" w:ascii="宋体" w:hAnsi="宋体" w:eastAsia="宋体" w:cs="宋体"/>
                <w:color w:val="auto"/>
                <w:spacing w:val="2"/>
                <w:w w:val="99"/>
                <w:sz w:val="21"/>
                <w:szCs w:val="21"/>
                <w:lang w:eastAsia="zh-CN"/>
              </w:rPr>
              <w:t>冷</w:t>
            </w:r>
            <w:r>
              <w:rPr>
                <w:rFonts w:hint="eastAsia" w:ascii="宋体" w:hAnsi="宋体" w:eastAsia="宋体" w:cs="宋体"/>
                <w:color w:val="auto"/>
                <w:w w:val="99"/>
                <w:sz w:val="21"/>
                <w:szCs w:val="21"/>
                <w:lang w:eastAsia="zh-CN"/>
              </w:rPr>
              <w:t>却塔</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w:t>
            </w:r>
            <w:r>
              <w:rPr>
                <w:rFonts w:hint="eastAsia" w:ascii="宋体" w:hAnsi="宋体" w:eastAsia="宋体" w:cs="宋体"/>
                <w:color w:val="auto"/>
                <w:w w:val="99"/>
                <w:sz w:val="21"/>
                <w:szCs w:val="21"/>
                <w:lang w:eastAsia="zh-CN"/>
              </w:rPr>
              <w:t>T719</w:t>
            </w:r>
            <w:r>
              <w:rPr>
                <w:rFonts w:hint="eastAsia" w:ascii="宋体" w:hAnsi="宋体" w:eastAsia="宋体" w:cs="宋体"/>
                <w:color w:val="auto"/>
                <w:spacing w:val="1"/>
                <w:w w:val="99"/>
                <w:sz w:val="21"/>
                <w:szCs w:val="21"/>
                <w:lang w:eastAsia="zh-CN"/>
              </w:rPr>
              <w:t>0.</w:t>
            </w:r>
            <w:r>
              <w:rPr>
                <w:rFonts w:hint="eastAsia" w:ascii="宋体" w:hAnsi="宋体" w:eastAsia="宋体" w:cs="宋体"/>
                <w:color w:val="auto"/>
                <w:w w:val="99"/>
                <w:sz w:val="21"/>
                <w:szCs w:val="21"/>
                <w:lang w:eastAsia="zh-CN"/>
              </w:rPr>
              <w:t>2）</w:t>
            </w:r>
          </w:p>
        </w:tc>
      </w:tr>
      <w:tr w14:paraId="27ECAD78">
        <w:tblPrEx>
          <w:tblCellMar>
            <w:top w:w="0" w:type="dxa"/>
            <w:left w:w="0" w:type="dxa"/>
            <w:bottom w:w="0" w:type="dxa"/>
            <w:right w:w="0" w:type="dxa"/>
          </w:tblCellMar>
        </w:tblPrEx>
        <w:trPr>
          <w:gridAfter w:val="1"/>
          <w:wAfter w:w="15" w:type="dxa"/>
          <w:trHeight w:val="23"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3349CEF4">
            <w:pPr>
              <w:pStyle w:val="75"/>
              <w:spacing w:before="12"/>
              <w:jc w:val="center"/>
              <w:rPr>
                <w:rFonts w:ascii="宋体" w:hAnsi="宋体" w:eastAsia="宋体" w:cs="宋体"/>
                <w:color w:val="auto"/>
                <w:sz w:val="21"/>
                <w:szCs w:val="21"/>
                <w:lang w:eastAsia="zh-CN"/>
              </w:rPr>
            </w:pPr>
          </w:p>
          <w:p w14:paraId="46D2C370">
            <w:pPr>
              <w:pStyle w:val="75"/>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7</w:t>
            </w:r>
          </w:p>
        </w:tc>
        <w:tc>
          <w:tcPr>
            <w:tcW w:w="1351" w:type="dxa"/>
            <w:tcBorders>
              <w:top w:val="single" w:color="000000" w:sz="4" w:space="0"/>
              <w:left w:val="single" w:color="000000" w:sz="4" w:space="0"/>
              <w:bottom w:val="single" w:color="000000" w:sz="4" w:space="0"/>
              <w:right w:val="single" w:color="000000" w:sz="4" w:space="0"/>
            </w:tcBorders>
          </w:tcPr>
          <w:p w14:paraId="09838029">
            <w:pPr>
              <w:pStyle w:val="75"/>
              <w:spacing w:before="12"/>
              <w:jc w:val="center"/>
              <w:rPr>
                <w:rFonts w:ascii="宋体" w:hAnsi="宋体" w:eastAsia="宋体" w:cs="宋体"/>
                <w:color w:val="auto"/>
                <w:sz w:val="21"/>
                <w:szCs w:val="21"/>
              </w:rPr>
            </w:pPr>
          </w:p>
          <w:p w14:paraId="3146F294">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06</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1电机</w:t>
            </w:r>
          </w:p>
        </w:tc>
        <w:tc>
          <w:tcPr>
            <w:tcW w:w="1615" w:type="dxa"/>
            <w:tcBorders>
              <w:top w:val="single" w:color="000000" w:sz="4" w:space="0"/>
              <w:left w:val="single" w:color="000000" w:sz="4" w:space="0"/>
              <w:bottom w:val="single" w:color="000000" w:sz="4" w:space="0"/>
              <w:right w:val="single" w:color="000000" w:sz="4" w:space="0"/>
            </w:tcBorders>
          </w:tcPr>
          <w:p w14:paraId="4C5AAD71">
            <w:pPr>
              <w:jc w:val="center"/>
              <w:rPr>
                <w:rFonts w:ascii="宋体" w:hAnsi="宋体" w:eastAsia="宋体" w:cs="宋体"/>
                <w:color w:val="auto"/>
                <w:szCs w:val="21"/>
                <w:lang w:eastAsia="en-US"/>
              </w:rPr>
            </w:pPr>
          </w:p>
        </w:tc>
        <w:tc>
          <w:tcPr>
            <w:tcW w:w="1916" w:type="dxa"/>
            <w:tcBorders>
              <w:top w:val="single" w:color="000000" w:sz="4" w:space="0"/>
              <w:left w:val="single" w:color="000000" w:sz="4" w:space="0"/>
              <w:bottom w:val="single" w:color="000000" w:sz="4" w:space="0"/>
              <w:right w:val="single" w:color="000000" w:sz="4" w:space="0"/>
            </w:tcBorders>
          </w:tcPr>
          <w:p w14:paraId="61C601DA">
            <w:pPr>
              <w:jc w:val="center"/>
              <w:rPr>
                <w:rFonts w:ascii="宋体" w:hAnsi="宋体" w:eastAsia="宋体" w:cs="宋体"/>
                <w:color w:val="auto"/>
                <w:szCs w:val="21"/>
                <w:lang w:eastAsia="en-US"/>
              </w:rPr>
            </w:pPr>
          </w:p>
        </w:tc>
        <w:tc>
          <w:tcPr>
            <w:tcW w:w="3444" w:type="dxa"/>
            <w:tcBorders>
              <w:top w:val="single" w:color="000000" w:sz="4" w:space="0"/>
              <w:left w:val="single" w:color="000000" w:sz="4" w:space="0"/>
              <w:bottom w:val="single" w:color="000000" w:sz="4" w:space="0"/>
              <w:right w:val="single" w:color="000000" w:sz="4" w:space="0"/>
            </w:tcBorders>
          </w:tcPr>
          <w:p w14:paraId="3F3E33BE">
            <w:pPr>
              <w:pStyle w:val="75"/>
              <w:spacing w:before="52"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《中小型三相异步电动</w:t>
            </w:r>
            <w:r>
              <w:rPr>
                <w:rFonts w:hint="eastAsia" w:ascii="宋体" w:hAnsi="宋体" w:eastAsia="宋体" w:cs="宋体"/>
                <w:color w:val="auto"/>
                <w:spacing w:val="9"/>
                <w:w w:val="99"/>
                <w:sz w:val="21"/>
                <w:szCs w:val="21"/>
                <w:lang w:eastAsia="zh-CN"/>
              </w:rPr>
              <w:t>机</w:t>
            </w:r>
            <w:r>
              <w:rPr>
                <w:rFonts w:hint="eastAsia" w:ascii="宋体" w:hAnsi="宋体" w:eastAsia="宋体" w:cs="宋体"/>
                <w:color w:val="auto"/>
                <w:spacing w:val="12"/>
                <w:w w:val="99"/>
                <w:sz w:val="21"/>
                <w:szCs w:val="21"/>
                <w:lang w:eastAsia="zh-CN"/>
              </w:rPr>
              <w:t>能效</w:t>
            </w:r>
            <w:r>
              <w:rPr>
                <w:rFonts w:hint="eastAsia" w:ascii="宋体" w:hAnsi="宋体" w:eastAsia="宋体" w:cs="宋体"/>
                <w:color w:val="auto"/>
                <w:w w:val="99"/>
                <w:sz w:val="21"/>
                <w:szCs w:val="21"/>
                <w:lang w:eastAsia="zh-CN"/>
              </w:rPr>
              <w:t>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18</w:t>
            </w:r>
            <w:r>
              <w:rPr>
                <w:rFonts w:hint="eastAsia" w:ascii="宋体" w:hAnsi="宋体" w:eastAsia="宋体" w:cs="宋体"/>
                <w:color w:val="auto"/>
                <w:w w:val="99"/>
                <w:sz w:val="21"/>
                <w:szCs w:val="21"/>
                <w:lang w:eastAsia="zh-CN"/>
              </w:rPr>
              <w:t>61</w:t>
            </w:r>
            <w:r>
              <w:rPr>
                <w:rFonts w:hint="eastAsia" w:ascii="宋体" w:hAnsi="宋体" w:eastAsia="宋体" w:cs="宋体"/>
                <w:color w:val="auto"/>
                <w:spacing w:val="1"/>
                <w:w w:val="99"/>
                <w:sz w:val="21"/>
                <w:szCs w:val="21"/>
                <w:lang w:eastAsia="zh-CN"/>
              </w:rPr>
              <w:t>3</w:t>
            </w:r>
            <w:r>
              <w:rPr>
                <w:rFonts w:hint="eastAsia" w:ascii="宋体" w:hAnsi="宋体" w:eastAsia="宋体" w:cs="宋体"/>
                <w:color w:val="auto"/>
                <w:w w:val="99"/>
                <w:sz w:val="21"/>
                <w:szCs w:val="21"/>
                <w:lang w:eastAsia="zh-CN"/>
              </w:rPr>
              <w:t>）</w:t>
            </w:r>
          </w:p>
        </w:tc>
      </w:tr>
      <w:tr w14:paraId="79E5C4E0">
        <w:tblPrEx>
          <w:tblCellMar>
            <w:top w:w="0" w:type="dxa"/>
            <w:left w:w="0" w:type="dxa"/>
            <w:bottom w:w="0" w:type="dxa"/>
            <w:right w:w="0" w:type="dxa"/>
          </w:tblCellMar>
        </w:tblPrEx>
        <w:trPr>
          <w:gridAfter w:val="1"/>
          <w:wAfter w:w="15" w:type="dxa"/>
          <w:trHeight w:val="23"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640C8AAD">
            <w:pPr>
              <w:pStyle w:val="75"/>
              <w:spacing w:before="3"/>
              <w:jc w:val="center"/>
              <w:rPr>
                <w:rFonts w:ascii="宋体" w:hAnsi="宋体" w:eastAsia="宋体" w:cs="宋体"/>
                <w:color w:val="auto"/>
                <w:sz w:val="21"/>
                <w:szCs w:val="21"/>
                <w:lang w:eastAsia="zh-CN"/>
              </w:rPr>
            </w:pPr>
          </w:p>
          <w:p w14:paraId="2F946F9E">
            <w:pPr>
              <w:pStyle w:val="75"/>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8</w:t>
            </w:r>
          </w:p>
        </w:tc>
        <w:tc>
          <w:tcPr>
            <w:tcW w:w="1351" w:type="dxa"/>
            <w:tcBorders>
              <w:top w:val="single" w:color="000000" w:sz="4" w:space="0"/>
              <w:left w:val="single" w:color="000000" w:sz="4" w:space="0"/>
              <w:bottom w:val="single" w:color="000000" w:sz="4" w:space="0"/>
              <w:right w:val="single" w:color="000000" w:sz="4" w:space="0"/>
            </w:tcBorders>
          </w:tcPr>
          <w:p w14:paraId="2CF7B4F6">
            <w:pPr>
              <w:pStyle w:val="75"/>
              <w:spacing w:before="30"/>
              <w:ind w:left="7"/>
              <w:jc w:val="center"/>
              <w:rPr>
                <w:rFonts w:ascii="宋体" w:hAnsi="宋体" w:eastAsia="宋体" w:cs="宋体"/>
                <w:color w:val="auto"/>
                <w:spacing w:val="1"/>
                <w:w w:val="99"/>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06</w:t>
            </w:r>
            <w:r>
              <w:rPr>
                <w:rFonts w:hint="eastAsia" w:ascii="宋体" w:hAnsi="宋体" w:eastAsia="宋体" w:cs="宋体"/>
                <w:color w:val="auto"/>
                <w:spacing w:val="1"/>
                <w:w w:val="99"/>
                <w:sz w:val="21"/>
                <w:szCs w:val="21"/>
              </w:rPr>
              <w:t>0</w:t>
            </w:r>
            <w:r>
              <w:rPr>
                <w:rFonts w:hint="eastAsia" w:ascii="宋体" w:hAnsi="宋体" w:eastAsia="宋体" w:cs="宋体"/>
                <w:color w:val="auto"/>
                <w:w w:val="99"/>
                <w:sz w:val="21"/>
                <w:szCs w:val="21"/>
              </w:rPr>
              <w:t>2变压</w:t>
            </w:r>
          </w:p>
          <w:p w14:paraId="75ECD859">
            <w:pPr>
              <w:pStyle w:val="75"/>
              <w:spacing w:line="256" w:lineRule="exact"/>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器</w:t>
            </w:r>
          </w:p>
        </w:tc>
        <w:tc>
          <w:tcPr>
            <w:tcW w:w="1615" w:type="dxa"/>
            <w:tcBorders>
              <w:top w:val="single" w:color="000000" w:sz="4" w:space="0"/>
              <w:left w:val="single" w:color="000000" w:sz="4" w:space="0"/>
              <w:bottom w:val="single" w:color="000000" w:sz="4" w:space="0"/>
              <w:right w:val="single" w:color="000000" w:sz="4" w:space="0"/>
            </w:tcBorders>
          </w:tcPr>
          <w:p w14:paraId="345D5E4B">
            <w:pPr>
              <w:pStyle w:val="75"/>
              <w:spacing w:before="3"/>
              <w:jc w:val="center"/>
              <w:rPr>
                <w:rFonts w:ascii="宋体" w:hAnsi="宋体" w:eastAsia="宋体" w:cs="宋体"/>
                <w:color w:val="auto"/>
                <w:sz w:val="21"/>
                <w:szCs w:val="21"/>
              </w:rPr>
            </w:pPr>
          </w:p>
          <w:p w14:paraId="095C9AAE">
            <w:pPr>
              <w:pStyle w:val="75"/>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配电变</w:t>
            </w:r>
            <w:r>
              <w:rPr>
                <w:rFonts w:hint="eastAsia" w:ascii="宋体" w:hAnsi="宋体" w:eastAsia="宋体" w:cs="宋体"/>
                <w:color w:val="auto"/>
                <w:spacing w:val="2"/>
                <w:w w:val="99"/>
                <w:sz w:val="21"/>
                <w:szCs w:val="21"/>
              </w:rPr>
              <w:t>压</w:t>
            </w:r>
            <w:r>
              <w:rPr>
                <w:rFonts w:hint="eastAsia" w:ascii="宋体" w:hAnsi="宋体" w:eastAsia="宋体" w:cs="宋体"/>
                <w:color w:val="auto"/>
                <w:w w:val="99"/>
                <w:sz w:val="21"/>
                <w:szCs w:val="21"/>
              </w:rPr>
              <w:t>器</w:t>
            </w:r>
          </w:p>
        </w:tc>
        <w:tc>
          <w:tcPr>
            <w:tcW w:w="1916" w:type="dxa"/>
            <w:tcBorders>
              <w:top w:val="single" w:color="000000" w:sz="4" w:space="0"/>
              <w:left w:val="single" w:color="000000" w:sz="4" w:space="0"/>
              <w:bottom w:val="single" w:color="000000" w:sz="4" w:space="0"/>
              <w:right w:val="single" w:color="000000" w:sz="4" w:space="0"/>
            </w:tcBorders>
          </w:tcPr>
          <w:p w14:paraId="06BBFC53">
            <w:pPr>
              <w:jc w:val="center"/>
              <w:rPr>
                <w:rFonts w:ascii="宋体" w:hAnsi="宋体" w:eastAsia="宋体" w:cs="宋体"/>
                <w:color w:val="auto"/>
                <w:szCs w:val="21"/>
                <w:lang w:eastAsia="en-US"/>
              </w:rPr>
            </w:pPr>
          </w:p>
        </w:tc>
        <w:tc>
          <w:tcPr>
            <w:tcW w:w="3444" w:type="dxa"/>
            <w:tcBorders>
              <w:top w:val="single" w:color="000000" w:sz="4" w:space="0"/>
              <w:left w:val="single" w:color="000000" w:sz="4" w:space="0"/>
              <w:right w:val="single" w:color="000000" w:sz="4" w:space="0"/>
            </w:tcBorders>
          </w:tcPr>
          <w:p w14:paraId="1318CCE2">
            <w:pPr>
              <w:pStyle w:val="75"/>
              <w:spacing w:before="30"/>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《三相配电变压器能效</w:t>
            </w:r>
            <w:r>
              <w:rPr>
                <w:rFonts w:hint="eastAsia" w:ascii="宋体" w:hAnsi="宋体" w:eastAsia="宋体" w:cs="宋体"/>
                <w:color w:val="auto"/>
                <w:spacing w:val="9"/>
                <w:w w:val="99"/>
                <w:sz w:val="21"/>
                <w:szCs w:val="21"/>
                <w:lang w:eastAsia="zh-CN"/>
              </w:rPr>
              <w:t>限</w:t>
            </w:r>
            <w:r>
              <w:rPr>
                <w:rFonts w:hint="eastAsia" w:ascii="宋体" w:hAnsi="宋体" w:eastAsia="宋体" w:cs="宋体"/>
                <w:color w:val="auto"/>
                <w:spacing w:val="12"/>
                <w:w w:val="99"/>
                <w:sz w:val="21"/>
                <w:szCs w:val="21"/>
                <w:lang w:eastAsia="zh-CN"/>
              </w:rPr>
              <w:t>定值</w:t>
            </w:r>
            <w:r>
              <w:rPr>
                <w:rFonts w:hint="eastAsia" w:ascii="宋体" w:hAnsi="宋体" w:eastAsia="宋体" w:cs="宋体"/>
                <w:color w:val="auto"/>
                <w:w w:val="99"/>
                <w:sz w:val="21"/>
                <w:szCs w:val="21"/>
                <w:lang w:eastAsia="zh-CN"/>
              </w:rPr>
              <w:t>及能效等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200</w:t>
            </w:r>
            <w:r>
              <w:rPr>
                <w:rFonts w:hint="eastAsia" w:ascii="宋体" w:hAnsi="宋体" w:eastAsia="宋体" w:cs="宋体"/>
                <w:color w:val="auto"/>
                <w:w w:val="99"/>
                <w:sz w:val="21"/>
                <w:szCs w:val="21"/>
                <w:lang w:eastAsia="zh-CN"/>
              </w:rPr>
              <w:t>5</w:t>
            </w:r>
            <w:r>
              <w:rPr>
                <w:rFonts w:hint="eastAsia" w:ascii="宋体" w:hAnsi="宋体" w:eastAsia="宋体" w:cs="宋体"/>
                <w:color w:val="auto"/>
                <w:spacing w:val="-1"/>
                <w:w w:val="99"/>
                <w:sz w:val="21"/>
                <w:szCs w:val="21"/>
                <w:lang w:eastAsia="zh-CN"/>
              </w:rPr>
              <w:t>2</w:t>
            </w:r>
            <w:r>
              <w:rPr>
                <w:rFonts w:hint="eastAsia" w:ascii="宋体" w:hAnsi="宋体" w:eastAsia="宋体" w:cs="宋体"/>
                <w:color w:val="auto"/>
                <w:w w:val="99"/>
                <w:sz w:val="21"/>
                <w:szCs w:val="21"/>
                <w:lang w:eastAsia="zh-CN"/>
              </w:rPr>
              <w:t>）</w:t>
            </w:r>
          </w:p>
        </w:tc>
      </w:tr>
      <w:tr w14:paraId="70B518BD">
        <w:tblPrEx>
          <w:tblCellMar>
            <w:top w:w="0" w:type="dxa"/>
            <w:left w:w="0" w:type="dxa"/>
            <w:bottom w:w="0" w:type="dxa"/>
            <w:right w:w="0" w:type="dxa"/>
          </w:tblCellMar>
        </w:tblPrEx>
        <w:trPr>
          <w:gridAfter w:val="1"/>
          <w:wAfter w:w="15" w:type="dxa"/>
          <w:trHeight w:val="23"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754EE52D">
            <w:pPr>
              <w:pStyle w:val="75"/>
              <w:spacing w:before="8"/>
              <w:jc w:val="center"/>
              <w:rPr>
                <w:rFonts w:ascii="宋体" w:hAnsi="宋体" w:eastAsia="宋体" w:cs="宋体"/>
                <w:color w:val="auto"/>
                <w:sz w:val="21"/>
                <w:szCs w:val="21"/>
                <w:lang w:eastAsia="zh-CN"/>
              </w:rPr>
            </w:pPr>
          </w:p>
          <w:p w14:paraId="4FC59D91">
            <w:pPr>
              <w:pStyle w:val="75"/>
              <w:ind w:right="1"/>
              <w:jc w:val="center"/>
              <w:rPr>
                <w:rFonts w:ascii="宋体" w:hAnsi="宋体" w:eastAsia="宋体" w:cs="宋体"/>
                <w:color w:val="auto"/>
                <w:sz w:val="21"/>
                <w:szCs w:val="21"/>
              </w:rPr>
            </w:pPr>
            <w:r>
              <w:rPr>
                <w:rFonts w:hint="eastAsia" w:ascii="宋体" w:hAnsi="宋体" w:eastAsia="宋体" w:cs="宋体"/>
                <w:color w:val="auto"/>
                <w:w w:val="99"/>
                <w:sz w:val="21"/>
                <w:szCs w:val="21"/>
              </w:rPr>
              <w:t>9</w:t>
            </w:r>
          </w:p>
        </w:tc>
        <w:tc>
          <w:tcPr>
            <w:tcW w:w="1351" w:type="dxa"/>
            <w:tcBorders>
              <w:top w:val="single" w:color="000000" w:sz="4" w:space="0"/>
              <w:left w:val="single" w:color="000000" w:sz="4" w:space="0"/>
              <w:bottom w:val="single" w:color="000000" w:sz="4" w:space="0"/>
              <w:right w:val="single" w:color="000000" w:sz="4" w:space="0"/>
            </w:tcBorders>
          </w:tcPr>
          <w:p w14:paraId="6EC08DA5">
            <w:pPr>
              <w:pStyle w:val="75"/>
              <w:spacing w:before="126"/>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A020</w:t>
            </w:r>
            <w:r>
              <w:rPr>
                <w:rFonts w:hint="eastAsia" w:ascii="宋体" w:hAnsi="宋体" w:eastAsia="宋体" w:cs="宋体"/>
                <w:color w:val="auto"/>
                <w:w w:val="99"/>
                <w:sz w:val="21"/>
                <w:szCs w:val="21"/>
              </w:rPr>
              <w:t>609镇流器</w:t>
            </w:r>
          </w:p>
        </w:tc>
        <w:tc>
          <w:tcPr>
            <w:tcW w:w="1615" w:type="dxa"/>
            <w:tcBorders>
              <w:top w:val="single" w:color="000000" w:sz="4" w:space="0"/>
              <w:left w:val="single" w:color="000000" w:sz="4" w:space="0"/>
              <w:bottom w:val="single" w:color="000000" w:sz="4" w:space="0"/>
              <w:right w:val="single" w:color="000000" w:sz="4" w:space="0"/>
            </w:tcBorders>
          </w:tcPr>
          <w:p w14:paraId="27055921">
            <w:pPr>
              <w:pStyle w:val="75"/>
              <w:spacing w:before="8"/>
              <w:jc w:val="center"/>
              <w:rPr>
                <w:rFonts w:ascii="宋体" w:hAnsi="宋体" w:eastAsia="宋体" w:cs="宋体"/>
                <w:color w:val="auto"/>
                <w:sz w:val="21"/>
                <w:szCs w:val="21"/>
              </w:rPr>
            </w:pPr>
          </w:p>
          <w:p w14:paraId="757AF112">
            <w:pPr>
              <w:pStyle w:val="75"/>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管型荧</w:t>
            </w:r>
            <w:r>
              <w:rPr>
                <w:rFonts w:hint="eastAsia" w:ascii="宋体" w:hAnsi="宋体" w:eastAsia="宋体" w:cs="宋体"/>
                <w:color w:val="auto"/>
                <w:spacing w:val="2"/>
                <w:w w:val="99"/>
                <w:sz w:val="21"/>
                <w:szCs w:val="21"/>
              </w:rPr>
              <w:t>光</w:t>
            </w:r>
            <w:r>
              <w:rPr>
                <w:rFonts w:hint="eastAsia" w:ascii="宋体" w:hAnsi="宋体" w:eastAsia="宋体" w:cs="宋体"/>
                <w:color w:val="auto"/>
                <w:w w:val="99"/>
                <w:sz w:val="21"/>
                <w:szCs w:val="21"/>
              </w:rPr>
              <w:t>灯镇</w:t>
            </w:r>
            <w:r>
              <w:rPr>
                <w:rFonts w:hint="eastAsia" w:ascii="宋体" w:hAnsi="宋体" w:eastAsia="宋体" w:cs="宋体"/>
                <w:color w:val="auto"/>
                <w:spacing w:val="2"/>
                <w:w w:val="99"/>
                <w:sz w:val="21"/>
                <w:szCs w:val="21"/>
              </w:rPr>
              <w:t>流</w:t>
            </w:r>
            <w:r>
              <w:rPr>
                <w:rFonts w:hint="eastAsia" w:ascii="宋体" w:hAnsi="宋体" w:eastAsia="宋体" w:cs="宋体"/>
                <w:color w:val="auto"/>
                <w:w w:val="99"/>
                <w:sz w:val="21"/>
                <w:szCs w:val="21"/>
              </w:rPr>
              <w:t>器</w:t>
            </w:r>
          </w:p>
        </w:tc>
        <w:tc>
          <w:tcPr>
            <w:tcW w:w="1916" w:type="dxa"/>
            <w:tcBorders>
              <w:top w:val="single" w:color="000000" w:sz="4" w:space="0"/>
              <w:left w:val="single" w:color="000000" w:sz="4" w:space="0"/>
              <w:bottom w:val="single" w:color="000000" w:sz="4" w:space="0"/>
              <w:right w:val="single" w:color="000000" w:sz="4" w:space="0"/>
            </w:tcBorders>
          </w:tcPr>
          <w:p w14:paraId="3207DAF9">
            <w:pPr>
              <w:jc w:val="center"/>
              <w:rPr>
                <w:rFonts w:ascii="宋体" w:hAnsi="宋体" w:eastAsia="宋体" w:cs="宋体"/>
                <w:color w:val="auto"/>
                <w:szCs w:val="21"/>
                <w:lang w:eastAsia="en-US"/>
              </w:rPr>
            </w:pPr>
          </w:p>
        </w:tc>
        <w:tc>
          <w:tcPr>
            <w:tcW w:w="3444" w:type="dxa"/>
            <w:tcBorders>
              <w:top w:val="single" w:color="000000" w:sz="4" w:space="0"/>
              <w:left w:val="single" w:color="000000" w:sz="4" w:space="0"/>
              <w:right w:val="single" w:color="000000" w:sz="4" w:space="0"/>
            </w:tcBorders>
          </w:tcPr>
          <w:p w14:paraId="1C5732D7">
            <w:pPr>
              <w:pStyle w:val="75"/>
              <w:spacing w:before="126"/>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《管形荧光灯镇流器能</w:t>
            </w:r>
            <w:r>
              <w:rPr>
                <w:rFonts w:hint="eastAsia" w:ascii="宋体" w:hAnsi="宋体" w:eastAsia="宋体" w:cs="宋体"/>
                <w:color w:val="auto"/>
                <w:spacing w:val="9"/>
                <w:w w:val="99"/>
                <w:sz w:val="21"/>
                <w:szCs w:val="21"/>
                <w:lang w:eastAsia="zh-CN"/>
              </w:rPr>
              <w:t>效</w:t>
            </w:r>
            <w:r>
              <w:rPr>
                <w:rFonts w:hint="eastAsia" w:ascii="宋体" w:hAnsi="宋体" w:eastAsia="宋体" w:cs="宋体"/>
                <w:color w:val="auto"/>
                <w:spacing w:val="12"/>
                <w:w w:val="99"/>
                <w:sz w:val="21"/>
                <w:szCs w:val="21"/>
                <w:lang w:eastAsia="zh-CN"/>
              </w:rPr>
              <w:t>限定</w:t>
            </w:r>
            <w:r>
              <w:rPr>
                <w:rFonts w:hint="eastAsia" w:ascii="宋体" w:hAnsi="宋体" w:eastAsia="宋体" w:cs="宋体"/>
                <w:color w:val="auto"/>
                <w:w w:val="99"/>
                <w:sz w:val="21"/>
                <w:szCs w:val="21"/>
                <w:lang w:eastAsia="zh-CN"/>
              </w:rPr>
              <w:t>值及能效</w:t>
            </w:r>
            <w:r>
              <w:rPr>
                <w:rFonts w:hint="eastAsia" w:ascii="宋体" w:hAnsi="宋体" w:eastAsia="宋体" w:cs="宋体"/>
                <w:color w:val="auto"/>
                <w:spacing w:val="2"/>
                <w:w w:val="99"/>
                <w:sz w:val="21"/>
                <w:szCs w:val="21"/>
                <w:lang w:eastAsia="zh-CN"/>
              </w:rPr>
              <w:t>等</w:t>
            </w:r>
            <w:r>
              <w:rPr>
                <w:rFonts w:hint="eastAsia" w:ascii="宋体" w:hAnsi="宋体" w:eastAsia="宋体" w:cs="宋体"/>
                <w:color w:val="auto"/>
                <w:w w:val="99"/>
                <w:sz w:val="21"/>
                <w:szCs w:val="21"/>
                <w:lang w:eastAsia="zh-CN"/>
              </w:rPr>
              <w:t>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17896</w:t>
            </w:r>
            <w:r>
              <w:rPr>
                <w:rFonts w:hint="eastAsia" w:ascii="宋体" w:hAnsi="宋体" w:eastAsia="宋体" w:cs="宋体"/>
                <w:color w:val="auto"/>
                <w:w w:val="99"/>
                <w:sz w:val="21"/>
                <w:szCs w:val="21"/>
                <w:lang w:eastAsia="zh-CN"/>
              </w:rPr>
              <w:t>）</w:t>
            </w:r>
          </w:p>
        </w:tc>
      </w:tr>
      <w:tr w14:paraId="385D36B9">
        <w:tblPrEx>
          <w:tblCellMar>
            <w:top w:w="0" w:type="dxa"/>
            <w:left w:w="0" w:type="dxa"/>
            <w:bottom w:w="0" w:type="dxa"/>
            <w:right w:w="0" w:type="dxa"/>
          </w:tblCellMar>
        </w:tblPrEx>
        <w:trPr>
          <w:gridAfter w:val="1"/>
          <w:wAfter w:w="15" w:type="dxa"/>
          <w:trHeight w:val="23" w:hRule="atLeas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502E261D">
            <w:pPr>
              <w:pStyle w:val="75"/>
              <w:jc w:val="center"/>
              <w:rPr>
                <w:rFonts w:ascii="宋体" w:hAnsi="宋体" w:eastAsia="宋体" w:cs="宋体"/>
                <w:color w:val="auto"/>
                <w:sz w:val="21"/>
                <w:szCs w:val="21"/>
                <w:lang w:eastAsia="zh-CN"/>
              </w:rPr>
            </w:pPr>
          </w:p>
          <w:p w14:paraId="60378222">
            <w:pPr>
              <w:pStyle w:val="75"/>
              <w:jc w:val="center"/>
              <w:rPr>
                <w:rFonts w:ascii="宋体" w:hAnsi="宋体" w:eastAsia="宋体" w:cs="宋体"/>
                <w:color w:val="auto"/>
                <w:sz w:val="21"/>
                <w:szCs w:val="21"/>
                <w:lang w:eastAsia="zh-CN"/>
              </w:rPr>
            </w:pPr>
          </w:p>
          <w:p w14:paraId="02D34349">
            <w:pPr>
              <w:pStyle w:val="75"/>
              <w:jc w:val="center"/>
              <w:rPr>
                <w:rFonts w:ascii="宋体" w:hAnsi="宋体" w:eastAsia="宋体" w:cs="宋体"/>
                <w:color w:val="auto"/>
                <w:sz w:val="21"/>
                <w:szCs w:val="21"/>
                <w:lang w:eastAsia="zh-CN"/>
              </w:rPr>
            </w:pPr>
          </w:p>
          <w:p w14:paraId="74F680B2">
            <w:pPr>
              <w:pStyle w:val="75"/>
              <w:jc w:val="center"/>
              <w:rPr>
                <w:rFonts w:ascii="宋体" w:hAnsi="宋体" w:eastAsia="宋体" w:cs="宋体"/>
                <w:color w:val="auto"/>
                <w:sz w:val="21"/>
                <w:szCs w:val="21"/>
                <w:lang w:eastAsia="zh-CN"/>
              </w:rPr>
            </w:pPr>
          </w:p>
          <w:p w14:paraId="4553A64F">
            <w:pPr>
              <w:pStyle w:val="75"/>
              <w:jc w:val="center"/>
              <w:rPr>
                <w:rFonts w:ascii="宋体" w:hAnsi="宋体" w:eastAsia="宋体" w:cs="宋体"/>
                <w:color w:val="auto"/>
                <w:sz w:val="21"/>
                <w:szCs w:val="21"/>
                <w:lang w:eastAsia="zh-CN"/>
              </w:rPr>
            </w:pPr>
          </w:p>
          <w:p w14:paraId="4B971B29">
            <w:pPr>
              <w:pStyle w:val="75"/>
              <w:jc w:val="center"/>
              <w:rPr>
                <w:rFonts w:ascii="宋体" w:hAnsi="宋体" w:eastAsia="宋体" w:cs="宋体"/>
                <w:color w:val="auto"/>
                <w:sz w:val="21"/>
                <w:szCs w:val="21"/>
                <w:lang w:eastAsia="zh-CN"/>
              </w:rPr>
            </w:pPr>
          </w:p>
          <w:p w14:paraId="4BB20184">
            <w:pPr>
              <w:pStyle w:val="75"/>
              <w:jc w:val="center"/>
              <w:rPr>
                <w:rFonts w:ascii="宋体" w:hAnsi="宋体" w:eastAsia="宋体" w:cs="宋体"/>
                <w:color w:val="auto"/>
                <w:sz w:val="21"/>
                <w:szCs w:val="21"/>
                <w:lang w:eastAsia="zh-CN"/>
              </w:rPr>
            </w:pPr>
          </w:p>
          <w:p w14:paraId="732F7FA9">
            <w:pPr>
              <w:pStyle w:val="75"/>
              <w:jc w:val="center"/>
              <w:rPr>
                <w:rFonts w:ascii="宋体" w:hAnsi="宋体" w:eastAsia="宋体" w:cs="宋体"/>
                <w:color w:val="auto"/>
                <w:sz w:val="21"/>
                <w:szCs w:val="21"/>
                <w:lang w:eastAsia="zh-CN"/>
              </w:rPr>
            </w:pPr>
          </w:p>
          <w:p w14:paraId="45437A8F">
            <w:pPr>
              <w:pStyle w:val="75"/>
              <w:jc w:val="center"/>
              <w:rPr>
                <w:rFonts w:ascii="宋体" w:hAnsi="宋体" w:eastAsia="宋体" w:cs="宋体"/>
                <w:color w:val="auto"/>
                <w:sz w:val="21"/>
                <w:szCs w:val="21"/>
                <w:lang w:eastAsia="zh-CN"/>
              </w:rPr>
            </w:pPr>
          </w:p>
          <w:p w14:paraId="3827E0F4">
            <w:pPr>
              <w:pStyle w:val="75"/>
              <w:spacing w:before="5"/>
              <w:jc w:val="center"/>
              <w:rPr>
                <w:rFonts w:ascii="宋体" w:hAnsi="宋体" w:eastAsia="宋体" w:cs="宋体"/>
                <w:color w:val="auto"/>
                <w:sz w:val="21"/>
                <w:szCs w:val="21"/>
                <w:lang w:eastAsia="zh-CN"/>
              </w:rPr>
            </w:pPr>
          </w:p>
          <w:p w14:paraId="7030637D">
            <w:pPr>
              <w:pStyle w:val="75"/>
              <w:ind w:left="182"/>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0</w:t>
            </w:r>
          </w:p>
        </w:tc>
        <w:tc>
          <w:tcPr>
            <w:tcW w:w="1351" w:type="dxa"/>
            <w:vMerge w:val="restart"/>
            <w:tcBorders>
              <w:top w:val="single" w:color="000000" w:sz="4" w:space="0"/>
              <w:left w:val="single" w:color="000000" w:sz="4" w:space="0"/>
              <w:bottom w:val="single" w:color="000000" w:sz="4" w:space="0"/>
              <w:right w:val="single" w:color="000000" w:sz="4" w:space="0"/>
            </w:tcBorders>
          </w:tcPr>
          <w:p w14:paraId="1100D290">
            <w:pPr>
              <w:pStyle w:val="75"/>
              <w:jc w:val="center"/>
              <w:rPr>
                <w:rFonts w:ascii="宋体" w:hAnsi="宋体" w:eastAsia="宋体" w:cs="宋体"/>
                <w:color w:val="auto"/>
                <w:sz w:val="21"/>
                <w:szCs w:val="21"/>
              </w:rPr>
            </w:pPr>
          </w:p>
          <w:p w14:paraId="4F04A9CA">
            <w:pPr>
              <w:pStyle w:val="75"/>
              <w:jc w:val="center"/>
              <w:rPr>
                <w:rFonts w:ascii="宋体" w:hAnsi="宋体" w:eastAsia="宋体" w:cs="宋体"/>
                <w:color w:val="auto"/>
                <w:sz w:val="21"/>
                <w:szCs w:val="21"/>
              </w:rPr>
            </w:pPr>
          </w:p>
          <w:p w14:paraId="1B83CBB4">
            <w:pPr>
              <w:pStyle w:val="75"/>
              <w:jc w:val="center"/>
              <w:rPr>
                <w:rFonts w:ascii="宋体" w:hAnsi="宋体" w:eastAsia="宋体" w:cs="宋体"/>
                <w:color w:val="auto"/>
                <w:sz w:val="21"/>
                <w:szCs w:val="21"/>
              </w:rPr>
            </w:pPr>
          </w:p>
          <w:p w14:paraId="7499ABF6">
            <w:pPr>
              <w:pStyle w:val="75"/>
              <w:jc w:val="center"/>
              <w:rPr>
                <w:rFonts w:ascii="宋体" w:hAnsi="宋体" w:eastAsia="宋体" w:cs="宋体"/>
                <w:color w:val="auto"/>
                <w:sz w:val="21"/>
                <w:szCs w:val="21"/>
              </w:rPr>
            </w:pPr>
          </w:p>
          <w:p w14:paraId="1B395F0F">
            <w:pPr>
              <w:pStyle w:val="75"/>
              <w:jc w:val="center"/>
              <w:rPr>
                <w:rFonts w:ascii="宋体" w:hAnsi="宋体" w:eastAsia="宋体" w:cs="宋体"/>
                <w:color w:val="auto"/>
                <w:sz w:val="21"/>
                <w:szCs w:val="21"/>
              </w:rPr>
            </w:pPr>
          </w:p>
          <w:p w14:paraId="4CF30887">
            <w:pPr>
              <w:pStyle w:val="75"/>
              <w:jc w:val="center"/>
              <w:rPr>
                <w:rFonts w:ascii="宋体" w:hAnsi="宋体" w:eastAsia="宋体" w:cs="宋体"/>
                <w:color w:val="auto"/>
                <w:sz w:val="21"/>
                <w:szCs w:val="21"/>
              </w:rPr>
            </w:pPr>
          </w:p>
          <w:p w14:paraId="0ECB61C4">
            <w:pPr>
              <w:pStyle w:val="75"/>
              <w:jc w:val="center"/>
              <w:rPr>
                <w:rFonts w:ascii="宋体" w:hAnsi="宋体" w:eastAsia="宋体" w:cs="宋体"/>
                <w:color w:val="auto"/>
                <w:sz w:val="21"/>
                <w:szCs w:val="21"/>
              </w:rPr>
            </w:pPr>
          </w:p>
          <w:p w14:paraId="2ECE4E8D">
            <w:pPr>
              <w:pStyle w:val="75"/>
              <w:jc w:val="center"/>
              <w:rPr>
                <w:rFonts w:ascii="宋体" w:hAnsi="宋体" w:eastAsia="宋体" w:cs="宋体"/>
                <w:color w:val="auto"/>
                <w:sz w:val="21"/>
                <w:szCs w:val="21"/>
              </w:rPr>
            </w:pPr>
          </w:p>
          <w:p w14:paraId="4BC99DAF">
            <w:pPr>
              <w:pStyle w:val="75"/>
              <w:spacing w:before="6"/>
              <w:jc w:val="center"/>
              <w:rPr>
                <w:rFonts w:ascii="宋体" w:hAnsi="宋体" w:eastAsia="宋体" w:cs="宋体"/>
                <w:color w:val="auto"/>
                <w:sz w:val="21"/>
                <w:szCs w:val="21"/>
              </w:rPr>
            </w:pPr>
          </w:p>
          <w:p w14:paraId="69EF25FA">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06</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8生活用电器</w:t>
            </w:r>
          </w:p>
        </w:tc>
        <w:tc>
          <w:tcPr>
            <w:tcW w:w="1615" w:type="dxa"/>
            <w:tcBorders>
              <w:top w:val="single" w:color="000000" w:sz="4" w:space="0"/>
              <w:left w:val="single" w:color="000000" w:sz="4" w:space="0"/>
              <w:bottom w:val="single" w:color="000000" w:sz="4" w:space="0"/>
              <w:right w:val="single" w:color="000000" w:sz="4" w:space="0"/>
            </w:tcBorders>
          </w:tcPr>
          <w:p w14:paraId="39D75169">
            <w:pPr>
              <w:pStyle w:val="75"/>
              <w:spacing w:before="1"/>
              <w:jc w:val="center"/>
              <w:rPr>
                <w:rFonts w:ascii="宋体" w:hAnsi="宋体" w:eastAsia="宋体" w:cs="宋体"/>
                <w:color w:val="auto"/>
                <w:sz w:val="21"/>
                <w:szCs w:val="21"/>
              </w:rPr>
            </w:pPr>
          </w:p>
          <w:p w14:paraId="73E81654">
            <w:pPr>
              <w:pStyle w:val="75"/>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06</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80</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01电冰箱</w:t>
            </w:r>
          </w:p>
        </w:tc>
        <w:tc>
          <w:tcPr>
            <w:tcW w:w="1916" w:type="dxa"/>
            <w:tcBorders>
              <w:top w:val="single" w:color="000000" w:sz="4" w:space="0"/>
              <w:left w:val="single" w:color="000000" w:sz="4" w:space="0"/>
              <w:bottom w:val="single" w:color="000000" w:sz="4" w:space="0"/>
              <w:right w:val="single" w:color="000000" w:sz="4" w:space="0"/>
            </w:tcBorders>
          </w:tcPr>
          <w:p w14:paraId="7A80ACB5">
            <w:pPr>
              <w:jc w:val="center"/>
              <w:rPr>
                <w:rFonts w:ascii="宋体" w:hAnsi="宋体" w:eastAsia="宋体" w:cs="宋体"/>
                <w:color w:val="auto"/>
                <w:szCs w:val="21"/>
                <w:lang w:eastAsia="en-US"/>
              </w:rPr>
            </w:pPr>
          </w:p>
        </w:tc>
        <w:tc>
          <w:tcPr>
            <w:tcW w:w="3444" w:type="dxa"/>
            <w:tcBorders>
              <w:top w:val="single" w:color="000000" w:sz="4" w:space="0"/>
              <w:left w:val="single" w:color="000000" w:sz="4" w:space="0"/>
              <w:bottom w:val="single" w:color="000000" w:sz="4" w:space="0"/>
              <w:right w:val="single" w:color="000000" w:sz="4" w:space="0"/>
            </w:tcBorders>
          </w:tcPr>
          <w:p w14:paraId="6EDA0D0B">
            <w:pPr>
              <w:pStyle w:val="75"/>
              <w:spacing w:before="54"/>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《家用电冰箱耗电量限</w:t>
            </w:r>
            <w:r>
              <w:rPr>
                <w:rFonts w:hint="eastAsia" w:ascii="宋体" w:hAnsi="宋体" w:eastAsia="宋体" w:cs="宋体"/>
                <w:color w:val="auto"/>
                <w:spacing w:val="9"/>
                <w:w w:val="99"/>
                <w:sz w:val="21"/>
                <w:szCs w:val="21"/>
                <w:lang w:eastAsia="zh-CN"/>
              </w:rPr>
              <w:t>定</w:t>
            </w:r>
            <w:r>
              <w:rPr>
                <w:rFonts w:hint="eastAsia" w:ascii="宋体" w:hAnsi="宋体" w:eastAsia="宋体" w:cs="宋体"/>
                <w:color w:val="auto"/>
                <w:spacing w:val="12"/>
                <w:w w:val="99"/>
                <w:sz w:val="21"/>
                <w:szCs w:val="21"/>
                <w:lang w:eastAsia="zh-CN"/>
              </w:rPr>
              <w:t>值及</w:t>
            </w:r>
            <w:r>
              <w:rPr>
                <w:rFonts w:hint="eastAsia" w:ascii="宋体" w:hAnsi="宋体" w:eastAsia="宋体" w:cs="宋体"/>
                <w:color w:val="auto"/>
                <w:w w:val="99"/>
                <w:sz w:val="21"/>
                <w:szCs w:val="21"/>
                <w:lang w:eastAsia="zh-CN"/>
              </w:rPr>
              <w:t>能效等级</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w:t>
            </w:r>
            <w:r>
              <w:rPr>
                <w:rFonts w:hint="eastAsia" w:ascii="宋体" w:hAnsi="宋体" w:eastAsia="宋体" w:cs="宋体"/>
                <w:color w:val="auto"/>
                <w:w w:val="99"/>
                <w:sz w:val="21"/>
                <w:szCs w:val="21"/>
                <w:lang w:eastAsia="zh-CN"/>
              </w:rPr>
              <w:t>20</w:t>
            </w:r>
            <w:r>
              <w:rPr>
                <w:rFonts w:hint="eastAsia" w:ascii="宋体" w:hAnsi="宋体" w:eastAsia="宋体" w:cs="宋体"/>
                <w:color w:val="auto"/>
                <w:spacing w:val="1"/>
                <w:w w:val="99"/>
                <w:sz w:val="21"/>
                <w:szCs w:val="21"/>
                <w:lang w:eastAsia="zh-CN"/>
              </w:rPr>
              <w:t>2</w:t>
            </w:r>
            <w:r>
              <w:rPr>
                <w:rFonts w:hint="eastAsia" w:ascii="宋体" w:hAnsi="宋体" w:eastAsia="宋体" w:cs="宋体"/>
                <w:color w:val="auto"/>
                <w:w w:val="99"/>
                <w:sz w:val="21"/>
                <w:szCs w:val="21"/>
                <w:lang w:eastAsia="zh-CN"/>
              </w:rPr>
              <w:t>1.</w:t>
            </w:r>
            <w:r>
              <w:rPr>
                <w:rFonts w:hint="eastAsia" w:ascii="宋体" w:hAnsi="宋体" w:eastAsia="宋体" w:cs="宋体"/>
                <w:color w:val="auto"/>
                <w:spacing w:val="1"/>
                <w:w w:val="99"/>
                <w:sz w:val="21"/>
                <w:szCs w:val="21"/>
                <w:lang w:eastAsia="zh-CN"/>
              </w:rPr>
              <w:t>2</w:t>
            </w:r>
            <w:r>
              <w:rPr>
                <w:rFonts w:hint="eastAsia" w:ascii="宋体" w:hAnsi="宋体" w:eastAsia="宋体" w:cs="宋体"/>
                <w:color w:val="auto"/>
                <w:w w:val="99"/>
                <w:sz w:val="21"/>
                <w:szCs w:val="21"/>
                <w:lang w:eastAsia="zh-CN"/>
              </w:rPr>
              <w:t>）</w:t>
            </w:r>
          </w:p>
        </w:tc>
      </w:tr>
      <w:tr w14:paraId="7C628D77">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0E20C9B">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3C23A0F3">
            <w:pPr>
              <w:widowControl/>
              <w:jc w:val="center"/>
              <w:rPr>
                <w:rFonts w:ascii="宋体" w:hAnsi="宋体" w:eastAsia="宋体" w:cs="宋体"/>
                <w:color w:val="auto"/>
                <w:szCs w:val="21"/>
              </w:rPr>
            </w:pPr>
          </w:p>
        </w:tc>
        <w:tc>
          <w:tcPr>
            <w:tcW w:w="1615" w:type="dxa"/>
            <w:vMerge w:val="restart"/>
            <w:tcBorders>
              <w:top w:val="single" w:color="000000" w:sz="4" w:space="0"/>
              <w:left w:val="single" w:color="000000" w:sz="4" w:space="0"/>
              <w:bottom w:val="single" w:color="000000" w:sz="4" w:space="0"/>
              <w:right w:val="single" w:color="000000" w:sz="4" w:space="0"/>
            </w:tcBorders>
          </w:tcPr>
          <w:p w14:paraId="2F076B02">
            <w:pPr>
              <w:pStyle w:val="75"/>
              <w:jc w:val="center"/>
              <w:rPr>
                <w:rFonts w:ascii="宋体" w:hAnsi="宋体" w:eastAsia="宋体" w:cs="宋体"/>
                <w:color w:val="auto"/>
                <w:sz w:val="21"/>
                <w:szCs w:val="21"/>
                <w:lang w:eastAsia="zh-CN"/>
              </w:rPr>
            </w:pPr>
          </w:p>
          <w:p w14:paraId="3DA95D13">
            <w:pPr>
              <w:pStyle w:val="75"/>
              <w:jc w:val="center"/>
              <w:rPr>
                <w:rFonts w:ascii="宋体" w:hAnsi="宋体" w:eastAsia="宋体" w:cs="宋体"/>
                <w:color w:val="auto"/>
                <w:sz w:val="21"/>
                <w:szCs w:val="21"/>
                <w:lang w:eastAsia="zh-CN"/>
              </w:rPr>
            </w:pPr>
          </w:p>
          <w:p w14:paraId="565555A7">
            <w:pPr>
              <w:pStyle w:val="75"/>
              <w:jc w:val="center"/>
              <w:rPr>
                <w:rFonts w:ascii="宋体" w:hAnsi="宋体" w:eastAsia="宋体" w:cs="宋体"/>
                <w:color w:val="auto"/>
                <w:sz w:val="21"/>
                <w:szCs w:val="21"/>
                <w:lang w:eastAsia="zh-CN"/>
              </w:rPr>
            </w:pPr>
          </w:p>
          <w:p w14:paraId="266A91AF">
            <w:pPr>
              <w:pStyle w:val="75"/>
              <w:jc w:val="center"/>
              <w:rPr>
                <w:rFonts w:ascii="宋体" w:hAnsi="宋体" w:eastAsia="宋体" w:cs="宋体"/>
                <w:color w:val="auto"/>
                <w:sz w:val="21"/>
                <w:szCs w:val="21"/>
                <w:lang w:eastAsia="zh-CN"/>
              </w:rPr>
            </w:pPr>
          </w:p>
          <w:p w14:paraId="42C835F8">
            <w:pPr>
              <w:pStyle w:val="75"/>
              <w:jc w:val="center"/>
              <w:rPr>
                <w:rFonts w:ascii="宋体" w:hAnsi="宋体" w:eastAsia="宋体" w:cs="宋体"/>
                <w:color w:val="auto"/>
                <w:sz w:val="21"/>
                <w:szCs w:val="21"/>
                <w:lang w:eastAsia="zh-CN"/>
              </w:rPr>
            </w:pPr>
          </w:p>
          <w:p w14:paraId="4A5E7247">
            <w:pPr>
              <w:pStyle w:val="75"/>
              <w:jc w:val="center"/>
              <w:rPr>
                <w:rFonts w:ascii="宋体" w:hAnsi="宋体" w:eastAsia="宋体" w:cs="宋体"/>
                <w:color w:val="auto"/>
                <w:sz w:val="21"/>
                <w:szCs w:val="21"/>
                <w:lang w:eastAsia="zh-CN"/>
              </w:rPr>
            </w:pPr>
          </w:p>
          <w:p w14:paraId="5CEFC89E">
            <w:pPr>
              <w:pStyle w:val="75"/>
              <w:spacing w:before="171"/>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w:t>
            </w:r>
            <w:r>
              <w:rPr>
                <w:rFonts w:hint="eastAsia" w:ascii="宋体" w:hAnsi="宋体" w:eastAsia="宋体" w:cs="宋体"/>
                <w:color w:val="auto"/>
                <w:spacing w:val="1"/>
                <w:w w:val="99"/>
                <w:sz w:val="21"/>
                <w:szCs w:val="21"/>
              </w:rPr>
              <w:t>A020</w:t>
            </w:r>
            <w:r>
              <w:rPr>
                <w:rFonts w:hint="eastAsia" w:ascii="宋体" w:hAnsi="宋体" w:eastAsia="宋体" w:cs="宋体"/>
                <w:color w:val="auto"/>
                <w:w w:val="99"/>
                <w:sz w:val="21"/>
                <w:szCs w:val="21"/>
              </w:rPr>
              <w:t>61</w:t>
            </w:r>
            <w:r>
              <w:rPr>
                <w:rFonts w:hint="eastAsia" w:ascii="宋体" w:hAnsi="宋体" w:eastAsia="宋体" w:cs="宋体"/>
                <w:color w:val="auto"/>
                <w:spacing w:val="1"/>
                <w:w w:val="99"/>
                <w:sz w:val="21"/>
                <w:szCs w:val="21"/>
              </w:rPr>
              <w:t>8</w:t>
            </w:r>
            <w:r>
              <w:rPr>
                <w:rFonts w:hint="eastAsia" w:ascii="宋体" w:hAnsi="宋体" w:eastAsia="宋体" w:cs="宋体"/>
                <w:color w:val="auto"/>
                <w:w w:val="99"/>
                <w:sz w:val="21"/>
                <w:szCs w:val="21"/>
              </w:rPr>
              <w:t>0203空调</w:t>
            </w:r>
          </w:p>
          <w:p w14:paraId="7456B9E2">
            <w:pPr>
              <w:pStyle w:val="75"/>
              <w:spacing w:before="50"/>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机</w:t>
            </w:r>
          </w:p>
        </w:tc>
        <w:tc>
          <w:tcPr>
            <w:tcW w:w="1916" w:type="dxa"/>
            <w:tcBorders>
              <w:top w:val="single" w:color="000000" w:sz="4" w:space="0"/>
              <w:left w:val="single" w:color="000000" w:sz="4" w:space="0"/>
              <w:bottom w:val="single" w:color="000000" w:sz="4" w:space="0"/>
              <w:right w:val="single" w:color="000000" w:sz="4" w:space="0"/>
            </w:tcBorders>
          </w:tcPr>
          <w:p w14:paraId="2ED302B9">
            <w:pPr>
              <w:pStyle w:val="75"/>
              <w:jc w:val="center"/>
              <w:rPr>
                <w:rFonts w:ascii="宋体" w:hAnsi="宋体" w:eastAsia="宋体" w:cs="宋体"/>
                <w:color w:val="auto"/>
                <w:sz w:val="21"/>
                <w:szCs w:val="21"/>
              </w:rPr>
            </w:pPr>
          </w:p>
          <w:p w14:paraId="11A44CD4">
            <w:pPr>
              <w:pStyle w:val="75"/>
              <w:jc w:val="center"/>
              <w:rPr>
                <w:rFonts w:ascii="宋体" w:hAnsi="宋体" w:eastAsia="宋体" w:cs="宋体"/>
                <w:color w:val="auto"/>
                <w:sz w:val="21"/>
                <w:szCs w:val="21"/>
              </w:rPr>
            </w:pPr>
          </w:p>
          <w:p w14:paraId="0BAC2023">
            <w:pPr>
              <w:pStyle w:val="75"/>
              <w:spacing w:before="12"/>
              <w:jc w:val="center"/>
              <w:rPr>
                <w:rFonts w:ascii="宋体" w:hAnsi="宋体" w:eastAsia="宋体" w:cs="宋体"/>
                <w:color w:val="auto"/>
                <w:sz w:val="21"/>
                <w:szCs w:val="21"/>
              </w:rPr>
            </w:pPr>
          </w:p>
          <w:p w14:paraId="1C5D88B3">
            <w:pPr>
              <w:pStyle w:val="75"/>
              <w:ind w:left="7"/>
              <w:jc w:val="center"/>
              <w:rPr>
                <w:rFonts w:ascii="宋体" w:hAnsi="宋体" w:eastAsia="宋体" w:cs="宋体"/>
                <w:color w:val="auto"/>
                <w:sz w:val="21"/>
                <w:szCs w:val="21"/>
              </w:rPr>
            </w:pPr>
            <w:r>
              <w:rPr>
                <w:rFonts w:hint="eastAsia" w:ascii="宋体" w:hAnsi="宋体" w:eastAsia="宋体" w:cs="宋体"/>
                <w:color w:val="auto"/>
                <w:w w:val="99"/>
                <w:sz w:val="21"/>
                <w:szCs w:val="21"/>
              </w:rPr>
              <w:t>房间空</w:t>
            </w:r>
            <w:r>
              <w:rPr>
                <w:rFonts w:hint="eastAsia" w:ascii="宋体" w:hAnsi="宋体" w:eastAsia="宋体" w:cs="宋体"/>
                <w:color w:val="auto"/>
                <w:spacing w:val="2"/>
                <w:w w:val="99"/>
                <w:sz w:val="21"/>
                <w:szCs w:val="21"/>
              </w:rPr>
              <w:t>气</w:t>
            </w:r>
            <w:r>
              <w:rPr>
                <w:rFonts w:hint="eastAsia" w:ascii="宋体" w:hAnsi="宋体" w:eastAsia="宋体" w:cs="宋体"/>
                <w:color w:val="auto"/>
                <w:w w:val="99"/>
                <w:sz w:val="21"/>
                <w:szCs w:val="21"/>
              </w:rPr>
              <w:t>调节器</w:t>
            </w:r>
          </w:p>
        </w:tc>
        <w:tc>
          <w:tcPr>
            <w:tcW w:w="3444" w:type="dxa"/>
            <w:tcBorders>
              <w:top w:val="single" w:color="000000" w:sz="4" w:space="0"/>
              <w:left w:val="single" w:color="000000" w:sz="4" w:space="0"/>
              <w:bottom w:val="single" w:color="000000" w:sz="4" w:space="0"/>
              <w:right w:val="single" w:color="000000" w:sz="4" w:space="0"/>
            </w:tcBorders>
          </w:tcPr>
          <w:p w14:paraId="62391804">
            <w:pPr>
              <w:pStyle w:val="75"/>
              <w:wordWrap w:val="0"/>
              <w:spacing w:before="4"/>
              <w:ind w:left="6"/>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《转速可控型房间空气</w:t>
            </w:r>
            <w:r>
              <w:rPr>
                <w:rFonts w:hint="eastAsia" w:ascii="宋体" w:hAnsi="宋体" w:eastAsia="宋体" w:cs="宋体"/>
                <w:color w:val="auto"/>
                <w:spacing w:val="9"/>
                <w:w w:val="99"/>
                <w:sz w:val="21"/>
                <w:szCs w:val="21"/>
                <w:lang w:eastAsia="zh-CN"/>
              </w:rPr>
              <w:t>调</w:t>
            </w:r>
            <w:r>
              <w:rPr>
                <w:rFonts w:hint="eastAsia" w:ascii="宋体" w:hAnsi="宋体" w:eastAsia="宋体" w:cs="宋体"/>
                <w:color w:val="auto"/>
                <w:spacing w:val="12"/>
                <w:w w:val="99"/>
                <w:sz w:val="21"/>
                <w:szCs w:val="21"/>
                <w:lang w:eastAsia="zh-CN"/>
              </w:rPr>
              <w:t>节器</w:t>
            </w:r>
            <w:r>
              <w:rPr>
                <w:rFonts w:hint="eastAsia" w:ascii="宋体" w:hAnsi="宋体" w:eastAsia="宋体" w:cs="宋体"/>
                <w:color w:val="auto"/>
                <w:w w:val="99"/>
                <w:sz w:val="21"/>
                <w:szCs w:val="21"/>
                <w:lang w:eastAsia="zh-CN"/>
              </w:rPr>
              <w:t>能效限定值及能效等级》（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214</w:t>
            </w:r>
            <w:r>
              <w:rPr>
                <w:rFonts w:hint="eastAsia" w:ascii="宋体" w:hAnsi="宋体" w:eastAsia="宋体" w:cs="宋体"/>
                <w:color w:val="auto"/>
                <w:w w:val="99"/>
                <w:sz w:val="21"/>
                <w:szCs w:val="21"/>
                <w:lang w:eastAsia="zh-CN"/>
              </w:rPr>
              <w:t>55</w:t>
            </w:r>
            <w:r>
              <w:rPr>
                <w:rFonts w:hint="eastAsia" w:ascii="宋体" w:hAnsi="宋体" w:eastAsia="宋体" w:cs="宋体"/>
                <w:color w:val="auto"/>
                <w:spacing w:val="1"/>
                <w:w w:val="99"/>
                <w:sz w:val="21"/>
                <w:szCs w:val="21"/>
                <w:lang w:eastAsia="zh-CN"/>
              </w:rPr>
              <w:t>-</w:t>
            </w:r>
            <w:r>
              <w:rPr>
                <w:rFonts w:hint="eastAsia" w:ascii="宋体" w:hAnsi="宋体" w:eastAsia="宋体" w:cs="宋体"/>
                <w:color w:val="auto"/>
                <w:w w:val="99"/>
                <w:sz w:val="21"/>
                <w:szCs w:val="21"/>
                <w:lang w:eastAsia="zh-CN"/>
              </w:rPr>
              <w:t>20</w:t>
            </w:r>
            <w:r>
              <w:rPr>
                <w:rFonts w:hint="eastAsia" w:ascii="宋体" w:hAnsi="宋体" w:eastAsia="宋体" w:cs="宋体"/>
                <w:color w:val="auto"/>
                <w:spacing w:val="1"/>
                <w:w w:val="99"/>
                <w:sz w:val="21"/>
                <w:szCs w:val="21"/>
                <w:lang w:eastAsia="zh-CN"/>
              </w:rPr>
              <w:t>13</w:t>
            </w:r>
            <w:r>
              <w:rPr>
                <w:rFonts w:hint="eastAsia" w:ascii="宋体" w:hAnsi="宋体" w:eastAsia="宋体" w:cs="宋体"/>
                <w:color w:val="auto"/>
                <w:w w:val="99"/>
                <w:sz w:val="21"/>
                <w:szCs w:val="21"/>
                <w:lang w:eastAsia="zh-CN"/>
              </w:rPr>
              <w:t>），待</w:t>
            </w:r>
            <w:r>
              <w:rPr>
                <w:rFonts w:hint="eastAsia" w:ascii="宋体" w:hAnsi="宋体" w:eastAsia="宋体" w:cs="宋体"/>
                <w:color w:val="auto"/>
                <w:spacing w:val="1"/>
                <w:w w:val="99"/>
                <w:sz w:val="21"/>
                <w:szCs w:val="21"/>
                <w:lang w:eastAsia="zh-CN"/>
              </w:rPr>
              <w:t>20</w:t>
            </w:r>
            <w:r>
              <w:rPr>
                <w:rFonts w:hint="eastAsia" w:ascii="宋体" w:hAnsi="宋体" w:eastAsia="宋体" w:cs="宋体"/>
                <w:color w:val="auto"/>
                <w:w w:val="99"/>
                <w:sz w:val="21"/>
                <w:szCs w:val="21"/>
                <w:lang w:eastAsia="zh-CN"/>
              </w:rPr>
              <w:t>19</w:t>
            </w:r>
            <w:r>
              <w:rPr>
                <w:rFonts w:hint="eastAsia" w:ascii="宋体" w:hAnsi="宋体" w:eastAsia="宋体" w:cs="宋体"/>
                <w:color w:val="auto"/>
                <w:spacing w:val="-3"/>
                <w:w w:val="99"/>
                <w:sz w:val="21"/>
                <w:szCs w:val="21"/>
                <w:lang w:eastAsia="zh-CN"/>
              </w:rPr>
              <w:t>年</w:t>
            </w:r>
            <w:r>
              <w:rPr>
                <w:rFonts w:hint="eastAsia" w:ascii="宋体" w:hAnsi="宋体" w:eastAsia="宋体" w:cs="宋体"/>
                <w:color w:val="auto"/>
                <w:w w:val="99"/>
                <w:sz w:val="21"/>
                <w:szCs w:val="21"/>
                <w:lang w:eastAsia="zh-CN"/>
              </w:rPr>
              <w:t>修订发布后</w:t>
            </w:r>
            <w:r>
              <w:rPr>
                <w:rFonts w:hint="eastAsia" w:ascii="宋体" w:hAnsi="宋体" w:eastAsia="宋体" w:cs="宋体"/>
                <w:color w:val="auto"/>
                <w:spacing w:val="-29"/>
                <w:w w:val="99"/>
                <w:sz w:val="21"/>
                <w:szCs w:val="21"/>
                <w:lang w:eastAsia="zh-CN"/>
              </w:rPr>
              <w:t>，</w:t>
            </w:r>
            <w:r>
              <w:rPr>
                <w:rFonts w:hint="eastAsia" w:ascii="宋体" w:hAnsi="宋体" w:eastAsia="宋体" w:cs="宋体"/>
                <w:color w:val="auto"/>
                <w:spacing w:val="-27"/>
                <w:w w:val="99"/>
                <w:sz w:val="21"/>
                <w:szCs w:val="21"/>
                <w:lang w:eastAsia="zh-CN"/>
              </w:rPr>
              <w:t>按</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2"/>
                <w:w w:val="99"/>
                <w:sz w:val="21"/>
                <w:szCs w:val="21"/>
                <w:lang w:eastAsia="zh-CN"/>
              </w:rPr>
              <w:t>房</w:t>
            </w:r>
            <w:r>
              <w:rPr>
                <w:rFonts w:hint="eastAsia" w:ascii="宋体" w:hAnsi="宋体" w:eastAsia="宋体" w:cs="宋体"/>
                <w:color w:val="auto"/>
                <w:w w:val="99"/>
                <w:sz w:val="21"/>
                <w:szCs w:val="21"/>
                <w:lang w:eastAsia="zh-CN"/>
              </w:rPr>
              <w:t>间空</w:t>
            </w:r>
            <w:r>
              <w:rPr>
                <w:rFonts w:hint="eastAsia" w:ascii="宋体" w:hAnsi="宋体" w:eastAsia="宋体" w:cs="宋体"/>
                <w:color w:val="auto"/>
                <w:spacing w:val="2"/>
                <w:w w:val="99"/>
                <w:sz w:val="21"/>
                <w:szCs w:val="21"/>
                <w:lang w:eastAsia="zh-CN"/>
              </w:rPr>
              <w:t>气</w:t>
            </w:r>
            <w:r>
              <w:rPr>
                <w:rFonts w:hint="eastAsia" w:ascii="宋体" w:hAnsi="宋体" w:eastAsia="宋体" w:cs="宋体"/>
                <w:color w:val="auto"/>
                <w:w w:val="99"/>
                <w:sz w:val="21"/>
                <w:szCs w:val="21"/>
                <w:lang w:eastAsia="zh-CN"/>
              </w:rPr>
              <w:t>调节</w:t>
            </w:r>
            <w:r>
              <w:rPr>
                <w:rFonts w:hint="eastAsia" w:ascii="宋体" w:hAnsi="宋体" w:eastAsia="宋体" w:cs="宋体"/>
                <w:color w:val="auto"/>
                <w:spacing w:val="2"/>
                <w:w w:val="99"/>
                <w:sz w:val="21"/>
                <w:szCs w:val="21"/>
                <w:lang w:eastAsia="zh-CN"/>
              </w:rPr>
              <w:t>器</w:t>
            </w:r>
            <w:r>
              <w:rPr>
                <w:rFonts w:hint="eastAsia" w:ascii="宋体" w:hAnsi="宋体" w:eastAsia="宋体" w:cs="宋体"/>
                <w:color w:val="auto"/>
                <w:w w:val="99"/>
                <w:sz w:val="21"/>
                <w:szCs w:val="21"/>
                <w:lang w:eastAsia="zh-CN"/>
              </w:rPr>
              <w:t>能效限定值及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spacing w:val="-156"/>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GB214</w:t>
            </w:r>
            <w:r>
              <w:rPr>
                <w:rFonts w:hint="eastAsia" w:ascii="宋体" w:hAnsi="宋体" w:eastAsia="宋体" w:cs="宋体"/>
                <w:color w:val="auto"/>
                <w:w w:val="99"/>
                <w:sz w:val="21"/>
                <w:szCs w:val="21"/>
                <w:lang w:eastAsia="zh-CN"/>
              </w:rPr>
              <w:t>5</w:t>
            </w:r>
            <w:r>
              <w:rPr>
                <w:rFonts w:hint="eastAsia" w:ascii="宋体" w:hAnsi="宋体" w:eastAsia="宋体" w:cs="宋体"/>
                <w:color w:val="auto"/>
                <w:spacing w:val="-1"/>
                <w:w w:val="99"/>
                <w:sz w:val="21"/>
                <w:szCs w:val="21"/>
                <w:lang w:eastAsia="zh-CN"/>
              </w:rPr>
              <w:t>5</w:t>
            </w:r>
            <w:r>
              <w:rPr>
                <w:rFonts w:hint="eastAsia" w:ascii="宋体" w:hAnsi="宋体" w:eastAsia="宋体" w:cs="宋体"/>
                <w:color w:val="auto"/>
                <w:spacing w:val="-2"/>
                <w:w w:val="99"/>
                <w:sz w:val="21"/>
                <w:szCs w:val="21"/>
                <w:lang w:eastAsia="zh-CN"/>
              </w:rPr>
              <w:t>-</w:t>
            </w:r>
            <w:r>
              <w:rPr>
                <w:rFonts w:hint="eastAsia" w:ascii="宋体" w:hAnsi="宋体" w:eastAsia="宋体" w:cs="宋体"/>
                <w:color w:val="auto"/>
                <w:spacing w:val="1"/>
                <w:w w:val="99"/>
                <w:sz w:val="21"/>
                <w:szCs w:val="21"/>
                <w:lang w:eastAsia="zh-CN"/>
              </w:rPr>
              <w:t>201</w:t>
            </w:r>
            <w:r>
              <w:rPr>
                <w:rFonts w:hint="eastAsia" w:ascii="宋体" w:hAnsi="宋体" w:eastAsia="宋体" w:cs="宋体"/>
                <w:color w:val="auto"/>
                <w:w w:val="99"/>
                <w:sz w:val="21"/>
                <w:szCs w:val="21"/>
                <w:lang w:eastAsia="zh-CN"/>
              </w:rPr>
              <w:t>9实施。</w:t>
            </w:r>
          </w:p>
        </w:tc>
      </w:tr>
      <w:tr w14:paraId="59FDC2DA">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8EB463D">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5C0AAC11">
            <w:pPr>
              <w:widowControl/>
              <w:jc w:val="center"/>
              <w:rPr>
                <w:rFonts w:ascii="宋体" w:hAnsi="宋体" w:eastAsia="宋体" w:cs="宋体"/>
                <w:color w:val="auto"/>
                <w:szCs w:val="21"/>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14:paraId="4574E8C4">
            <w:pPr>
              <w:widowControl/>
              <w:jc w:val="center"/>
              <w:rPr>
                <w:rFonts w:ascii="宋体" w:hAnsi="宋体" w:eastAsia="宋体" w:cs="宋体"/>
                <w:color w:val="auto"/>
                <w:szCs w:val="21"/>
              </w:rPr>
            </w:pPr>
          </w:p>
        </w:tc>
        <w:tc>
          <w:tcPr>
            <w:tcW w:w="1916" w:type="dxa"/>
            <w:tcBorders>
              <w:top w:val="single" w:color="000000" w:sz="4" w:space="0"/>
              <w:left w:val="single" w:color="000000" w:sz="4" w:space="0"/>
              <w:bottom w:val="single" w:color="000000" w:sz="4" w:space="0"/>
              <w:right w:val="single" w:color="000000" w:sz="4" w:space="0"/>
            </w:tcBorders>
          </w:tcPr>
          <w:p w14:paraId="5FD3DDDD">
            <w:pPr>
              <w:pStyle w:val="75"/>
              <w:wordWrap w:val="0"/>
              <w:spacing w:before="4" w:line="284" w:lineRule="auto"/>
              <w:ind w:left="6" w:right="6"/>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多联式空</w:t>
            </w:r>
            <w:r>
              <w:rPr>
                <w:rFonts w:hint="eastAsia" w:ascii="宋体" w:hAnsi="宋体" w:eastAsia="宋体" w:cs="宋体"/>
                <w:color w:val="auto"/>
                <w:spacing w:val="11"/>
                <w:w w:val="99"/>
                <w:sz w:val="21"/>
                <w:szCs w:val="21"/>
                <w:lang w:eastAsia="zh-CN"/>
              </w:rPr>
              <w:t>调（</w:t>
            </w:r>
            <w:r>
              <w:rPr>
                <w:rFonts w:hint="eastAsia" w:ascii="宋体" w:hAnsi="宋体" w:eastAsia="宋体" w:cs="宋体"/>
                <w:color w:val="auto"/>
                <w:spacing w:val="12"/>
                <w:w w:val="99"/>
                <w:sz w:val="21"/>
                <w:szCs w:val="21"/>
                <w:lang w:eastAsia="zh-CN"/>
              </w:rPr>
              <w:t>热泵</w:t>
            </w:r>
            <w:r>
              <w:rPr>
                <w:rFonts w:hint="eastAsia" w:ascii="宋体" w:hAnsi="宋体" w:eastAsia="宋体" w:cs="宋体"/>
                <w:color w:val="auto"/>
                <w:w w:val="99"/>
                <w:sz w:val="21"/>
                <w:szCs w:val="21"/>
                <w:lang w:eastAsia="zh-CN"/>
              </w:rPr>
              <w:t xml:space="preserve">）机组（制冷量≤ </w:t>
            </w:r>
            <w:r>
              <w:rPr>
                <w:rFonts w:hint="eastAsia" w:ascii="宋体" w:hAnsi="宋体" w:eastAsia="宋体" w:cs="宋体"/>
                <w:color w:val="auto"/>
                <w:spacing w:val="1"/>
                <w:w w:val="99"/>
                <w:sz w:val="21"/>
                <w:szCs w:val="21"/>
                <w:lang w:eastAsia="zh-CN"/>
              </w:rPr>
              <w:t>140</w:t>
            </w:r>
            <w:r>
              <w:rPr>
                <w:rFonts w:hint="eastAsia" w:ascii="宋体" w:hAnsi="宋体" w:eastAsia="宋体" w:cs="宋体"/>
                <w:color w:val="auto"/>
                <w:w w:val="99"/>
                <w:sz w:val="21"/>
                <w:szCs w:val="21"/>
                <w:lang w:eastAsia="zh-CN"/>
              </w:rPr>
              <w:t>00</w:t>
            </w:r>
            <w:r>
              <w:rPr>
                <w:rFonts w:hint="eastAsia" w:ascii="宋体" w:hAnsi="宋体" w:eastAsia="宋体" w:cs="宋体"/>
                <w:color w:val="auto"/>
                <w:spacing w:val="1"/>
                <w:w w:val="99"/>
                <w:sz w:val="21"/>
                <w:szCs w:val="21"/>
                <w:lang w:eastAsia="zh-CN"/>
              </w:rPr>
              <w:t>W</w:t>
            </w:r>
            <w:r>
              <w:rPr>
                <w:rFonts w:hint="eastAsia" w:ascii="宋体" w:hAnsi="宋体" w:eastAsia="宋体" w:cs="宋体"/>
                <w:color w:val="auto"/>
                <w:w w:val="99"/>
                <w:sz w:val="21"/>
                <w:szCs w:val="21"/>
                <w:lang w:eastAsia="zh-CN"/>
              </w:rPr>
              <w:t>）</w:t>
            </w:r>
          </w:p>
        </w:tc>
        <w:tc>
          <w:tcPr>
            <w:tcW w:w="3444" w:type="dxa"/>
            <w:tcBorders>
              <w:top w:val="single" w:color="000000" w:sz="4" w:space="0"/>
              <w:left w:val="single" w:color="000000" w:sz="4" w:space="0"/>
              <w:bottom w:val="single" w:color="000000" w:sz="4" w:space="0"/>
              <w:right w:val="single" w:color="000000" w:sz="4" w:space="0"/>
            </w:tcBorders>
          </w:tcPr>
          <w:p w14:paraId="59C03634">
            <w:pPr>
              <w:pStyle w:val="75"/>
              <w:spacing w:before="160" w:line="283" w:lineRule="auto"/>
              <w:ind w:left="7" w:right="7"/>
              <w:jc w:val="center"/>
              <w:rPr>
                <w:rFonts w:ascii="宋体" w:hAnsi="宋体" w:eastAsia="宋体" w:cs="宋体"/>
                <w:color w:val="auto"/>
                <w:sz w:val="21"/>
                <w:szCs w:val="21"/>
                <w:lang w:eastAsia="zh-CN"/>
              </w:rPr>
            </w:pPr>
            <w:r>
              <w:rPr>
                <w:rFonts w:hint="eastAsia" w:ascii="宋体" w:hAnsi="宋体" w:eastAsia="宋体" w:cs="宋体"/>
                <w:color w:val="auto"/>
                <w:w w:val="99"/>
                <w:sz w:val="21"/>
                <w:szCs w:val="21"/>
                <w:lang w:eastAsia="zh-CN"/>
              </w:rPr>
              <w:t>《多联</w:t>
            </w:r>
            <w:r>
              <w:rPr>
                <w:rFonts w:hint="eastAsia" w:ascii="宋体" w:hAnsi="宋体" w:eastAsia="宋体" w:cs="宋体"/>
                <w:color w:val="auto"/>
                <w:spacing w:val="2"/>
                <w:w w:val="99"/>
                <w:sz w:val="21"/>
                <w:szCs w:val="21"/>
                <w:lang w:eastAsia="zh-CN"/>
              </w:rPr>
              <w:t>式</w:t>
            </w:r>
            <w:r>
              <w:rPr>
                <w:rFonts w:hint="eastAsia" w:ascii="宋体" w:hAnsi="宋体" w:eastAsia="宋体" w:cs="宋体"/>
                <w:color w:val="auto"/>
                <w:w w:val="99"/>
                <w:sz w:val="21"/>
                <w:szCs w:val="21"/>
                <w:lang w:eastAsia="zh-CN"/>
              </w:rPr>
              <w:t>空</w:t>
            </w:r>
            <w:r>
              <w:rPr>
                <w:rFonts w:hint="eastAsia" w:ascii="宋体" w:hAnsi="宋体" w:eastAsia="宋体" w:cs="宋体"/>
                <w:color w:val="auto"/>
                <w:spacing w:val="-27"/>
                <w:w w:val="99"/>
                <w:sz w:val="21"/>
                <w:szCs w:val="21"/>
                <w:lang w:eastAsia="zh-CN"/>
              </w:rPr>
              <w:t>调</w:t>
            </w:r>
            <w:r>
              <w:rPr>
                <w:rFonts w:hint="eastAsia" w:ascii="宋体" w:hAnsi="宋体" w:eastAsia="宋体" w:cs="宋体"/>
                <w:color w:val="auto"/>
                <w:w w:val="99"/>
                <w:sz w:val="21"/>
                <w:szCs w:val="21"/>
                <w:lang w:eastAsia="zh-CN"/>
              </w:rPr>
              <w:t>（热</w:t>
            </w:r>
            <w:r>
              <w:rPr>
                <w:rFonts w:hint="eastAsia" w:ascii="宋体" w:hAnsi="宋体" w:eastAsia="宋体" w:cs="宋体"/>
                <w:color w:val="auto"/>
                <w:spacing w:val="2"/>
                <w:w w:val="99"/>
                <w:sz w:val="21"/>
                <w:szCs w:val="21"/>
                <w:lang w:eastAsia="zh-CN"/>
              </w:rPr>
              <w:t>泵</w:t>
            </w:r>
            <w:r>
              <w:rPr>
                <w:rFonts w:hint="eastAsia" w:ascii="宋体" w:hAnsi="宋体" w:eastAsia="宋体" w:cs="宋体"/>
                <w:color w:val="auto"/>
                <w:spacing w:val="-29"/>
                <w:w w:val="99"/>
                <w:sz w:val="21"/>
                <w:szCs w:val="21"/>
                <w:lang w:eastAsia="zh-CN"/>
              </w:rPr>
              <w:t>）</w:t>
            </w:r>
            <w:r>
              <w:rPr>
                <w:rFonts w:hint="eastAsia" w:ascii="宋体" w:hAnsi="宋体" w:eastAsia="宋体" w:cs="宋体"/>
                <w:color w:val="auto"/>
                <w:w w:val="99"/>
                <w:sz w:val="21"/>
                <w:szCs w:val="21"/>
                <w:lang w:eastAsia="zh-CN"/>
              </w:rPr>
              <w:t>机</w:t>
            </w:r>
            <w:r>
              <w:rPr>
                <w:rFonts w:hint="eastAsia" w:ascii="宋体" w:hAnsi="宋体" w:eastAsia="宋体" w:cs="宋体"/>
                <w:color w:val="auto"/>
                <w:spacing w:val="2"/>
                <w:w w:val="99"/>
                <w:sz w:val="21"/>
                <w:szCs w:val="21"/>
                <w:lang w:eastAsia="zh-CN"/>
              </w:rPr>
              <w:t>组</w:t>
            </w:r>
            <w:r>
              <w:rPr>
                <w:rFonts w:hint="eastAsia" w:ascii="宋体" w:hAnsi="宋体" w:eastAsia="宋体" w:cs="宋体"/>
                <w:color w:val="auto"/>
                <w:w w:val="99"/>
                <w:sz w:val="21"/>
                <w:szCs w:val="21"/>
                <w:lang w:eastAsia="zh-CN"/>
              </w:rPr>
              <w:t>能效限定值及</w:t>
            </w:r>
            <w:r>
              <w:rPr>
                <w:rFonts w:hint="eastAsia" w:ascii="宋体" w:hAnsi="宋体" w:eastAsia="宋体" w:cs="宋体"/>
                <w:color w:val="auto"/>
                <w:spacing w:val="2"/>
                <w:w w:val="99"/>
                <w:sz w:val="21"/>
                <w:szCs w:val="21"/>
                <w:lang w:eastAsia="zh-CN"/>
              </w:rPr>
              <w:t>能</w:t>
            </w:r>
            <w:r>
              <w:rPr>
                <w:rFonts w:hint="eastAsia" w:ascii="宋体" w:hAnsi="宋体" w:eastAsia="宋体" w:cs="宋体"/>
                <w:color w:val="auto"/>
                <w:w w:val="99"/>
                <w:sz w:val="21"/>
                <w:szCs w:val="21"/>
                <w:lang w:eastAsia="zh-CN"/>
              </w:rPr>
              <w:t>源效</w:t>
            </w:r>
            <w:r>
              <w:rPr>
                <w:rFonts w:hint="eastAsia" w:ascii="宋体" w:hAnsi="宋体" w:eastAsia="宋体" w:cs="宋体"/>
                <w:color w:val="auto"/>
                <w:spacing w:val="2"/>
                <w:w w:val="99"/>
                <w:sz w:val="21"/>
                <w:szCs w:val="21"/>
                <w:lang w:eastAsia="zh-CN"/>
              </w:rPr>
              <w:t>率</w:t>
            </w:r>
            <w:r>
              <w:rPr>
                <w:rFonts w:hint="eastAsia" w:ascii="宋体" w:hAnsi="宋体" w:eastAsia="宋体" w:cs="宋体"/>
                <w:color w:val="auto"/>
                <w:w w:val="99"/>
                <w:sz w:val="21"/>
                <w:szCs w:val="21"/>
                <w:lang w:eastAsia="zh-CN"/>
              </w:rPr>
              <w:t>等级</w:t>
            </w:r>
            <w:r>
              <w:rPr>
                <w:rFonts w:hint="eastAsia" w:ascii="宋体" w:hAnsi="宋体" w:eastAsia="宋体" w:cs="宋体"/>
                <w:color w:val="auto"/>
                <w:spacing w:val="-106"/>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2145</w:t>
            </w:r>
            <w:r>
              <w:rPr>
                <w:rFonts w:hint="eastAsia" w:ascii="宋体" w:hAnsi="宋体" w:eastAsia="宋体" w:cs="宋体"/>
                <w:color w:val="auto"/>
                <w:w w:val="99"/>
                <w:sz w:val="21"/>
                <w:szCs w:val="21"/>
                <w:lang w:eastAsia="zh-CN"/>
              </w:rPr>
              <w:t>4）</w:t>
            </w:r>
          </w:p>
        </w:tc>
      </w:tr>
      <w:tr w14:paraId="75BE55A5">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6A6BD04">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20FE5A59">
            <w:pPr>
              <w:widowControl/>
              <w:jc w:val="center"/>
              <w:rPr>
                <w:rFonts w:ascii="宋体" w:hAnsi="宋体" w:eastAsia="宋体" w:cs="宋体"/>
                <w:color w:val="auto"/>
                <w:szCs w:val="21"/>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14:paraId="6B85F7D4">
            <w:pPr>
              <w:widowControl/>
              <w:jc w:val="center"/>
              <w:rPr>
                <w:rFonts w:ascii="宋体" w:hAnsi="宋体" w:eastAsia="宋体" w:cs="宋体"/>
                <w:color w:val="auto"/>
                <w:szCs w:val="21"/>
              </w:rPr>
            </w:pPr>
          </w:p>
        </w:tc>
        <w:tc>
          <w:tcPr>
            <w:tcW w:w="1916" w:type="dxa"/>
            <w:tcBorders>
              <w:top w:val="single" w:color="000000" w:sz="4" w:space="0"/>
              <w:left w:val="single" w:color="000000" w:sz="4" w:space="0"/>
              <w:bottom w:val="single" w:color="000000" w:sz="4" w:space="0"/>
              <w:right w:val="single" w:color="000000" w:sz="4" w:space="0"/>
            </w:tcBorders>
          </w:tcPr>
          <w:p w14:paraId="5DE080D4">
            <w:pPr>
              <w:pStyle w:val="75"/>
              <w:jc w:val="center"/>
              <w:rPr>
                <w:rFonts w:ascii="宋体" w:hAnsi="宋体" w:eastAsia="宋体" w:cs="宋体"/>
                <w:color w:val="auto"/>
                <w:w w:val="99"/>
                <w:sz w:val="21"/>
                <w:szCs w:val="21"/>
                <w:lang w:eastAsia="zh-CN"/>
              </w:rPr>
            </w:pPr>
            <w:r>
              <w:rPr>
                <w:rFonts w:hint="eastAsia" w:ascii="宋体" w:hAnsi="宋体" w:eastAsia="宋体" w:cs="宋体"/>
                <w:color w:val="auto"/>
                <w:w w:val="99"/>
                <w:sz w:val="21"/>
                <w:szCs w:val="21"/>
                <w:lang w:eastAsia="zh-CN"/>
              </w:rPr>
              <w:t>单元式空气调节机</w:t>
            </w:r>
          </w:p>
          <w:p w14:paraId="31988166">
            <w:pPr>
              <w:pStyle w:val="75"/>
              <w:spacing w:line="256" w:lineRule="exact"/>
              <w:ind w:left="7"/>
              <w:jc w:val="center"/>
              <w:rPr>
                <w:rFonts w:ascii="宋体" w:hAnsi="宋体" w:eastAsia="宋体" w:cs="宋体"/>
                <w:color w:val="auto"/>
                <w:sz w:val="21"/>
                <w:szCs w:val="21"/>
                <w:lang w:eastAsia="zh-CN"/>
              </w:rPr>
            </w:pPr>
            <w:r>
              <w:rPr>
                <w:rFonts w:hint="eastAsia" w:ascii="宋体" w:hAnsi="宋体" w:eastAsia="宋体" w:cs="宋体"/>
                <w:color w:val="auto"/>
                <w:spacing w:val="1"/>
                <w:w w:val="99"/>
                <w:sz w:val="21"/>
                <w:szCs w:val="21"/>
                <w:lang w:eastAsia="zh-CN"/>
              </w:rPr>
              <w:t>(</w:t>
            </w:r>
            <w:r>
              <w:rPr>
                <w:rFonts w:hint="eastAsia" w:ascii="宋体" w:hAnsi="宋体" w:eastAsia="宋体" w:cs="宋体"/>
                <w:color w:val="auto"/>
                <w:w w:val="99"/>
                <w:sz w:val="21"/>
                <w:szCs w:val="21"/>
                <w:lang w:eastAsia="zh-CN"/>
              </w:rPr>
              <w:t>制冷量≤</w:t>
            </w:r>
            <w:r>
              <w:rPr>
                <w:rFonts w:hint="eastAsia" w:ascii="宋体" w:hAnsi="宋体" w:eastAsia="宋体" w:cs="宋体"/>
                <w:color w:val="auto"/>
                <w:spacing w:val="1"/>
                <w:w w:val="99"/>
                <w:sz w:val="21"/>
                <w:szCs w:val="21"/>
                <w:lang w:eastAsia="zh-CN"/>
              </w:rPr>
              <w:t>14000W</w:t>
            </w:r>
            <w:r>
              <w:rPr>
                <w:rFonts w:hint="eastAsia" w:ascii="宋体" w:hAnsi="宋体" w:eastAsia="宋体" w:cs="宋体"/>
                <w:color w:val="auto"/>
                <w:w w:val="99"/>
                <w:sz w:val="21"/>
                <w:szCs w:val="21"/>
                <w:lang w:eastAsia="zh-CN"/>
              </w:rPr>
              <w:t>)</w:t>
            </w:r>
          </w:p>
        </w:tc>
        <w:tc>
          <w:tcPr>
            <w:tcW w:w="3444" w:type="dxa"/>
            <w:tcBorders>
              <w:top w:val="single" w:color="000000" w:sz="4" w:space="0"/>
              <w:left w:val="single" w:color="000000" w:sz="4" w:space="0"/>
              <w:right w:val="single" w:color="000000" w:sz="4" w:space="0"/>
            </w:tcBorders>
          </w:tcPr>
          <w:p w14:paraId="5C1305A4">
            <w:pPr>
              <w:pStyle w:val="75"/>
              <w:spacing w:before="4"/>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《单元式空气调节机能</w:t>
            </w:r>
            <w:r>
              <w:rPr>
                <w:rFonts w:hint="eastAsia" w:ascii="宋体" w:hAnsi="宋体" w:eastAsia="宋体" w:cs="宋体"/>
                <w:color w:val="auto"/>
                <w:spacing w:val="9"/>
                <w:w w:val="99"/>
                <w:sz w:val="21"/>
                <w:szCs w:val="21"/>
                <w:lang w:eastAsia="zh-CN"/>
              </w:rPr>
              <w:t>效</w:t>
            </w:r>
            <w:r>
              <w:rPr>
                <w:rFonts w:hint="eastAsia" w:ascii="宋体" w:hAnsi="宋体" w:eastAsia="宋体" w:cs="宋体"/>
                <w:color w:val="auto"/>
                <w:spacing w:val="12"/>
                <w:w w:val="99"/>
                <w:sz w:val="21"/>
                <w:szCs w:val="21"/>
                <w:lang w:eastAsia="zh-CN"/>
              </w:rPr>
              <w:t>限定</w:t>
            </w:r>
            <w:r>
              <w:rPr>
                <w:rFonts w:hint="eastAsia" w:ascii="宋体" w:hAnsi="宋体" w:eastAsia="宋体" w:cs="宋体"/>
                <w:color w:val="auto"/>
                <w:w w:val="99"/>
                <w:sz w:val="21"/>
                <w:szCs w:val="21"/>
                <w:lang w:eastAsia="zh-CN"/>
              </w:rPr>
              <w:t>值及能源</w:t>
            </w:r>
            <w:r>
              <w:rPr>
                <w:rFonts w:hint="eastAsia" w:ascii="宋体" w:hAnsi="宋体" w:eastAsia="宋体" w:cs="宋体"/>
                <w:color w:val="auto"/>
                <w:spacing w:val="2"/>
                <w:w w:val="99"/>
                <w:sz w:val="21"/>
                <w:szCs w:val="21"/>
                <w:lang w:eastAsia="zh-CN"/>
              </w:rPr>
              <w:t>效</w:t>
            </w:r>
            <w:r>
              <w:rPr>
                <w:rFonts w:hint="eastAsia" w:ascii="宋体" w:hAnsi="宋体" w:eastAsia="宋体" w:cs="宋体"/>
                <w:color w:val="auto"/>
                <w:w w:val="99"/>
                <w:sz w:val="21"/>
                <w:szCs w:val="21"/>
                <w:lang w:eastAsia="zh-CN"/>
              </w:rPr>
              <w:t>率等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spacing w:val="-104"/>
                <w:w w:val="99"/>
                <w:sz w:val="21"/>
                <w:szCs w:val="21"/>
                <w:lang w:eastAsia="zh-CN"/>
              </w:rPr>
              <w:t>》</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195</w:t>
            </w:r>
            <w:r>
              <w:rPr>
                <w:rFonts w:hint="eastAsia" w:ascii="宋体" w:hAnsi="宋体" w:eastAsia="宋体" w:cs="宋体"/>
                <w:color w:val="auto"/>
                <w:w w:val="99"/>
                <w:sz w:val="21"/>
                <w:szCs w:val="21"/>
                <w:lang w:eastAsia="zh-CN"/>
              </w:rPr>
              <w:t>7</w:t>
            </w:r>
            <w:r>
              <w:rPr>
                <w:rFonts w:hint="eastAsia" w:ascii="宋体" w:hAnsi="宋体" w:eastAsia="宋体" w:cs="宋体"/>
                <w:color w:val="auto"/>
                <w:spacing w:val="-3"/>
                <w:w w:val="99"/>
                <w:sz w:val="21"/>
                <w:szCs w:val="21"/>
                <w:lang w:eastAsia="zh-CN"/>
              </w:rPr>
              <w:t>6</w:t>
            </w:r>
            <w:r>
              <w:rPr>
                <w:rFonts w:hint="eastAsia" w:ascii="宋体" w:hAnsi="宋体" w:eastAsia="宋体" w:cs="宋体"/>
                <w:color w:val="auto"/>
                <w:spacing w:val="-104"/>
                <w:w w:val="99"/>
                <w:sz w:val="21"/>
                <w:szCs w:val="21"/>
                <w:lang w:eastAsia="zh-CN"/>
              </w:rPr>
              <w:t>）</w:t>
            </w:r>
            <w:r>
              <w:rPr>
                <w:rFonts w:hint="eastAsia" w:ascii="宋体" w:hAnsi="宋体" w:eastAsia="宋体" w:cs="宋体"/>
                <w:color w:val="auto"/>
                <w:w w:val="99"/>
                <w:sz w:val="21"/>
                <w:szCs w:val="21"/>
                <w:lang w:eastAsia="zh-CN"/>
              </w:rPr>
              <w:t>《风</w:t>
            </w:r>
          </w:p>
          <w:p w14:paraId="0B61F641">
            <w:pPr>
              <w:pStyle w:val="75"/>
              <w:spacing w:line="256" w:lineRule="exact"/>
              <w:ind w:left="7"/>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管送风式空调机组能效</w:t>
            </w:r>
            <w:r>
              <w:rPr>
                <w:rFonts w:hint="eastAsia" w:ascii="宋体" w:hAnsi="宋体" w:eastAsia="宋体" w:cs="宋体"/>
                <w:color w:val="auto"/>
                <w:spacing w:val="9"/>
                <w:w w:val="99"/>
                <w:sz w:val="21"/>
                <w:szCs w:val="21"/>
                <w:lang w:eastAsia="zh-CN"/>
              </w:rPr>
              <w:t>限</w:t>
            </w:r>
            <w:r>
              <w:rPr>
                <w:rFonts w:hint="eastAsia" w:ascii="宋体" w:hAnsi="宋体" w:eastAsia="宋体" w:cs="宋体"/>
                <w:color w:val="auto"/>
                <w:spacing w:val="12"/>
                <w:w w:val="99"/>
                <w:sz w:val="21"/>
                <w:szCs w:val="21"/>
                <w:lang w:eastAsia="zh-CN"/>
              </w:rPr>
              <w:t>定值</w:t>
            </w:r>
            <w:r>
              <w:rPr>
                <w:rFonts w:hint="eastAsia" w:ascii="宋体" w:hAnsi="宋体" w:eastAsia="宋体" w:cs="宋体"/>
                <w:color w:val="auto"/>
                <w:w w:val="99"/>
                <w:sz w:val="21"/>
                <w:szCs w:val="21"/>
                <w:lang w:eastAsia="zh-CN"/>
              </w:rPr>
              <w:t>及能效等</w:t>
            </w:r>
            <w:r>
              <w:rPr>
                <w:rFonts w:hint="eastAsia" w:ascii="宋体" w:hAnsi="宋体" w:eastAsia="宋体" w:cs="宋体"/>
                <w:color w:val="auto"/>
                <w:spacing w:val="2"/>
                <w:w w:val="99"/>
                <w:sz w:val="21"/>
                <w:szCs w:val="21"/>
                <w:lang w:eastAsia="zh-CN"/>
              </w:rPr>
              <w:t>级</w:t>
            </w:r>
            <w:r>
              <w:rPr>
                <w:rFonts w:hint="eastAsia" w:ascii="宋体" w:hAnsi="宋体" w:eastAsia="宋体" w:cs="宋体"/>
                <w:color w:val="auto"/>
                <w:w w:val="99"/>
                <w:sz w:val="21"/>
                <w:szCs w:val="21"/>
                <w:lang w:eastAsia="zh-CN"/>
              </w:rPr>
              <w:t>》（</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374</w:t>
            </w:r>
            <w:r>
              <w:rPr>
                <w:rFonts w:hint="eastAsia" w:ascii="宋体" w:hAnsi="宋体" w:eastAsia="宋体" w:cs="宋体"/>
                <w:color w:val="auto"/>
                <w:w w:val="99"/>
                <w:sz w:val="21"/>
                <w:szCs w:val="21"/>
                <w:lang w:eastAsia="zh-CN"/>
              </w:rPr>
              <w:t>7</w:t>
            </w:r>
            <w:r>
              <w:rPr>
                <w:rFonts w:hint="eastAsia" w:ascii="宋体" w:hAnsi="宋体" w:eastAsia="宋体" w:cs="宋体"/>
                <w:color w:val="auto"/>
                <w:spacing w:val="-1"/>
                <w:w w:val="99"/>
                <w:sz w:val="21"/>
                <w:szCs w:val="21"/>
                <w:lang w:eastAsia="zh-CN"/>
              </w:rPr>
              <w:t>9</w:t>
            </w:r>
            <w:r>
              <w:rPr>
                <w:rFonts w:hint="eastAsia" w:ascii="宋体" w:hAnsi="宋体" w:eastAsia="宋体" w:cs="宋体"/>
                <w:color w:val="auto"/>
                <w:w w:val="99"/>
                <w:sz w:val="21"/>
                <w:szCs w:val="21"/>
                <w:lang w:eastAsia="zh-CN"/>
              </w:rPr>
              <w:t>）</w:t>
            </w:r>
          </w:p>
        </w:tc>
      </w:tr>
      <w:tr w14:paraId="14541ABC">
        <w:tblPrEx>
          <w:tblCellMar>
            <w:top w:w="0" w:type="dxa"/>
            <w:left w:w="0" w:type="dxa"/>
            <w:bottom w:w="0" w:type="dxa"/>
            <w:right w:w="0" w:type="dxa"/>
          </w:tblCellMar>
        </w:tblPrEx>
        <w:trPr>
          <w:gridAfter w:val="1"/>
          <w:wAfter w:w="15" w:type="dxa"/>
          <w:trHeight w:val="23" w:hRule="atLeas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8110292">
            <w:pPr>
              <w:widowControl/>
              <w:jc w:val="center"/>
              <w:rPr>
                <w:rFonts w:ascii="宋体" w:hAnsi="宋体" w:eastAsia="宋体" w:cs="宋体"/>
                <w:color w:val="auto"/>
                <w:szCs w:val="21"/>
              </w:rPr>
            </w:pPr>
          </w:p>
        </w:tc>
        <w:tc>
          <w:tcPr>
            <w:tcW w:w="1351" w:type="dxa"/>
            <w:vMerge w:val="continue"/>
            <w:tcBorders>
              <w:top w:val="single" w:color="000000" w:sz="4" w:space="0"/>
              <w:left w:val="single" w:color="000000" w:sz="4" w:space="0"/>
              <w:bottom w:val="single" w:color="000000" w:sz="4" w:space="0"/>
              <w:right w:val="single" w:color="000000" w:sz="4" w:space="0"/>
            </w:tcBorders>
            <w:vAlign w:val="center"/>
          </w:tcPr>
          <w:p w14:paraId="25D0F164">
            <w:pPr>
              <w:widowControl/>
              <w:jc w:val="center"/>
              <w:rPr>
                <w:rFonts w:ascii="宋体" w:hAnsi="宋体" w:eastAsia="宋体" w:cs="宋体"/>
                <w:color w:val="auto"/>
                <w:szCs w:val="21"/>
              </w:rPr>
            </w:pPr>
          </w:p>
        </w:tc>
        <w:tc>
          <w:tcPr>
            <w:tcW w:w="1615" w:type="dxa"/>
            <w:tcBorders>
              <w:top w:val="single" w:color="000000" w:sz="4" w:space="0"/>
              <w:left w:val="single" w:color="000000" w:sz="4" w:space="0"/>
              <w:bottom w:val="single" w:color="000000" w:sz="4" w:space="0"/>
              <w:right w:val="single" w:color="000000" w:sz="4" w:space="0"/>
            </w:tcBorders>
          </w:tcPr>
          <w:p w14:paraId="6B30D41F">
            <w:pPr>
              <w:pStyle w:val="75"/>
              <w:spacing w:before="162"/>
              <w:ind w:left="7"/>
              <w:jc w:val="center"/>
              <w:rPr>
                <w:rFonts w:ascii="宋体" w:hAnsi="宋体" w:eastAsia="宋体" w:cs="宋体"/>
                <w:color w:val="auto"/>
                <w:sz w:val="21"/>
                <w:szCs w:val="21"/>
              </w:rPr>
            </w:pPr>
            <w:r>
              <w:rPr>
                <w:rFonts w:hint="eastAsia" w:ascii="宋体" w:hAnsi="宋体" w:eastAsia="宋体" w:cs="宋体"/>
                <w:color w:val="auto"/>
                <w:spacing w:val="1"/>
                <w:w w:val="99"/>
                <w:sz w:val="21"/>
                <w:szCs w:val="21"/>
              </w:rPr>
              <w:t>A02</w:t>
            </w:r>
            <w:r>
              <w:rPr>
                <w:rFonts w:hint="eastAsia" w:ascii="宋体" w:hAnsi="宋体" w:eastAsia="宋体" w:cs="宋体"/>
                <w:color w:val="auto"/>
                <w:w w:val="99"/>
                <w:sz w:val="21"/>
                <w:szCs w:val="21"/>
              </w:rPr>
              <w:t>06</w:t>
            </w:r>
            <w:r>
              <w:rPr>
                <w:rFonts w:hint="eastAsia" w:ascii="宋体" w:hAnsi="宋体" w:eastAsia="宋体" w:cs="宋体"/>
                <w:color w:val="auto"/>
                <w:spacing w:val="1"/>
                <w:w w:val="99"/>
                <w:sz w:val="21"/>
                <w:szCs w:val="21"/>
              </w:rPr>
              <w:t>1</w:t>
            </w:r>
            <w:r>
              <w:rPr>
                <w:rFonts w:hint="eastAsia" w:ascii="宋体" w:hAnsi="宋体" w:eastAsia="宋体" w:cs="宋体"/>
                <w:color w:val="auto"/>
                <w:w w:val="99"/>
                <w:sz w:val="21"/>
                <w:szCs w:val="21"/>
              </w:rPr>
              <w:t>80</w:t>
            </w:r>
            <w:r>
              <w:rPr>
                <w:rFonts w:hint="eastAsia" w:ascii="宋体" w:hAnsi="宋体" w:eastAsia="宋体" w:cs="宋体"/>
                <w:color w:val="auto"/>
                <w:spacing w:val="1"/>
                <w:w w:val="99"/>
                <w:sz w:val="21"/>
                <w:szCs w:val="21"/>
              </w:rPr>
              <w:t>3</w:t>
            </w:r>
            <w:r>
              <w:rPr>
                <w:rFonts w:hint="eastAsia" w:ascii="宋体" w:hAnsi="宋体" w:eastAsia="宋体" w:cs="宋体"/>
                <w:color w:val="auto"/>
                <w:w w:val="99"/>
                <w:sz w:val="21"/>
                <w:szCs w:val="21"/>
              </w:rPr>
              <w:t>01洗衣机</w:t>
            </w:r>
          </w:p>
        </w:tc>
        <w:tc>
          <w:tcPr>
            <w:tcW w:w="1916" w:type="dxa"/>
            <w:tcBorders>
              <w:top w:val="single" w:color="000000" w:sz="4" w:space="0"/>
              <w:left w:val="single" w:color="000000" w:sz="4" w:space="0"/>
              <w:bottom w:val="single" w:color="000000" w:sz="4" w:space="0"/>
              <w:right w:val="single" w:color="000000" w:sz="4" w:space="0"/>
            </w:tcBorders>
          </w:tcPr>
          <w:p w14:paraId="3C3AE957">
            <w:pPr>
              <w:jc w:val="center"/>
              <w:rPr>
                <w:rFonts w:ascii="宋体" w:hAnsi="宋体" w:eastAsia="宋体" w:cs="宋体"/>
                <w:color w:val="auto"/>
                <w:szCs w:val="21"/>
                <w:lang w:eastAsia="en-US"/>
              </w:rPr>
            </w:pPr>
          </w:p>
        </w:tc>
        <w:tc>
          <w:tcPr>
            <w:tcW w:w="3444" w:type="dxa"/>
            <w:tcBorders>
              <w:top w:val="single" w:color="000000" w:sz="4" w:space="0"/>
              <w:left w:val="single" w:color="000000" w:sz="4" w:space="0"/>
              <w:bottom w:val="single" w:color="000000" w:sz="4" w:space="0"/>
              <w:right w:val="single" w:color="000000" w:sz="4" w:space="0"/>
            </w:tcBorders>
          </w:tcPr>
          <w:p w14:paraId="07A1C5AB">
            <w:pPr>
              <w:pStyle w:val="75"/>
              <w:spacing w:before="6" w:line="283" w:lineRule="auto"/>
              <w:ind w:left="7" w:right="4"/>
              <w:jc w:val="center"/>
              <w:rPr>
                <w:rFonts w:ascii="宋体" w:hAnsi="宋体" w:eastAsia="宋体" w:cs="宋体"/>
                <w:color w:val="auto"/>
                <w:sz w:val="21"/>
                <w:szCs w:val="21"/>
                <w:lang w:eastAsia="zh-CN"/>
              </w:rPr>
            </w:pPr>
            <w:r>
              <w:rPr>
                <w:rFonts w:hint="eastAsia" w:ascii="宋体" w:hAnsi="宋体" w:eastAsia="宋体" w:cs="宋体"/>
                <w:color w:val="auto"/>
                <w:spacing w:val="12"/>
                <w:w w:val="99"/>
                <w:sz w:val="21"/>
                <w:szCs w:val="21"/>
                <w:lang w:eastAsia="zh-CN"/>
              </w:rPr>
              <w:t>《电动洗衣机能效水效</w:t>
            </w:r>
            <w:r>
              <w:rPr>
                <w:rFonts w:hint="eastAsia" w:ascii="宋体" w:hAnsi="宋体" w:eastAsia="宋体" w:cs="宋体"/>
                <w:color w:val="auto"/>
                <w:spacing w:val="9"/>
                <w:w w:val="99"/>
                <w:sz w:val="21"/>
                <w:szCs w:val="21"/>
                <w:lang w:eastAsia="zh-CN"/>
              </w:rPr>
              <w:t>限</w:t>
            </w:r>
            <w:r>
              <w:rPr>
                <w:rFonts w:hint="eastAsia" w:ascii="宋体" w:hAnsi="宋体" w:eastAsia="宋体" w:cs="宋体"/>
                <w:color w:val="auto"/>
                <w:spacing w:val="12"/>
                <w:w w:val="99"/>
                <w:sz w:val="21"/>
                <w:szCs w:val="21"/>
                <w:lang w:eastAsia="zh-CN"/>
              </w:rPr>
              <w:t>定值</w:t>
            </w:r>
            <w:r>
              <w:rPr>
                <w:rFonts w:hint="eastAsia" w:ascii="宋体" w:hAnsi="宋体" w:eastAsia="宋体" w:cs="宋体"/>
                <w:color w:val="auto"/>
                <w:w w:val="99"/>
                <w:sz w:val="21"/>
                <w:szCs w:val="21"/>
                <w:lang w:eastAsia="zh-CN"/>
              </w:rPr>
              <w:t>及等级》（</w:t>
            </w:r>
            <w:r>
              <w:rPr>
                <w:rFonts w:hint="eastAsia" w:ascii="宋体" w:hAnsi="宋体" w:eastAsia="宋体" w:cs="宋体"/>
                <w:color w:val="auto"/>
                <w:spacing w:val="1"/>
                <w:w w:val="99"/>
                <w:sz w:val="21"/>
                <w:szCs w:val="21"/>
                <w:lang w:eastAsia="zh-CN"/>
              </w:rPr>
              <w:t>G</w:t>
            </w:r>
            <w:r>
              <w:rPr>
                <w:rFonts w:hint="eastAsia" w:ascii="宋体" w:hAnsi="宋体" w:eastAsia="宋体" w:cs="宋体"/>
                <w:color w:val="auto"/>
                <w:w w:val="99"/>
                <w:sz w:val="21"/>
                <w:szCs w:val="21"/>
                <w:lang w:eastAsia="zh-CN"/>
              </w:rPr>
              <w:t>B</w:t>
            </w:r>
            <w:r>
              <w:rPr>
                <w:rFonts w:hint="eastAsia" w:ascii="宋体" w:hAnsi="宋体" w:eastAsia="宋体" w:cs="宋体"/>
                <w:color w:val="auto"/>
                <w:spacing w:val="1"/>
                <w:w w:val="99"/>
                <w:sz w:val="21"/>
                <w:szCs w:val="21"/>
                <w:lang w:eastAsia="zh-CN"/>
              </w:rPr>
              <w:t>1202</w:t>
            </w:r>
            <w:r>
              <w:rPr>
                <w:rFonts w:hint="eastAsia" w:ascii="宋体" w:hAnsi="宋体" w:eastAsia="宋体" w:cs="宋体"/>
                <w:color w:val="auto"/>
                <w:w w:val="99"/>
                <w:sz w:val="21"/>
                <w:szCs w:val="21"/>
                <w:lang w:eastAsia="zh-CN"/>
              </w:rPr>
              <w:t>1.</w:t>
            </w:r>
            <w:r>
              <w:rPr>
                <w:rFonts w:hint="eastAsia" w:ascii="宋体" w:hAnsi="宋体" w:eastAsia="宋体" w:cs="宋体"/>
                <w:color w:val="auto"/>
                <w:spacing w:val="1"/>
                <w:w w:val="99"/>
                <w:sz w:val="21"/>
                <w:szCs w:val="21"/>
                <w:lang w:eastAsia="zh-CN"/>
              </w:rPr>
              <w:t>4</w:t>
            </w:r>
            <w:r>
              <w:rPr>
                <w:rFonts w:hint="eastAsia" w:ascii="宋体" w:hAnsi="宋体" w:eastAsia="宋体" w:cs="宋体"/>
                <w:color w:val="auto"/>
                <w:w w:val="99"/>
                <w:sz w:val="21"/>
                <w:szCs w:val="21"/>
                <w:lang w:eastAsia="zh-CN"/>
              </w:rPr>
              <w:t>）</w:t>
            </w:r>
          </w:p>
        </w:tc>
      </w:tr>
    </w:tbl>
    <w:p w14:paraId="3DA68E0B">
      <w:pPr>
        <w:rPr>
          <w:rFonts w:ascii="宋体" w:hAnsi="宋体" w:eastAsia="宋体" w:cs="宋体"/>
          <w:color w:val="auto"/>
          <w:sz w:val="20"/>
          <w:szCs w:val="20"/>
        </w:rPr>
      </w:pPr>
    </w:p>
    <w:p w14:paraId="52A5C3C4">
      <w:pPr>
        <w:rPr>
          <w:rFonts w:ascii="宋体" w:hAnsi="宋体" w:eastAsia="宋体" w:cs="宋体"/>
          <w:color w:val="auto"/>
          <w:sz w:val="20"/>
          <w:szCs w:val="20"/>
        </w:rPr>
      </w:pPr>
    </w:p>
    <w:p w14:paraId="042DFD86">
      <w:pPr>
        <w:rPr>
          <w:rFonts w:ascii="宋体" w:hAnsi="宋体" w:eastAsia="宋体" w:cs="宋体"/>
          <w:color w:val="auto"/>
          <w:sz w:val="20"/>
          <w:szCs w:val="20"/>
        </w:rPr>
      </w:pPr>
    </w:p>
    <w:p w14:paraId="0718E58A">
      <w:pPr>
        <w:rPr>
          <w:rFonts w:ascii="宋体" w:hAnsi="宋体" w:eastAsia="宋体" w:cs="宋体"/>
          <w:color w:val="auto"/>
          <w:sz w:val="20"/>
          <w:szCs w:val="20"/>
        </w:rPr>
      </w:pPr>
    </w:p>
    <w:p w14:paraId="3FCB5049">
      <w:pPr>
        <w:rPr>
          <w:rFonts w:ascii="宋体" w:hAnsi="宋体" w:eastAsia="宋体" w:cs="宋体"/>
          <w:color w:val="auto"/>
          <w:sz w:val="20"/>
          <w:szCs w:val="20"/>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3355"/>
      </w:tblGrid>
      <w:tr w14:paraId="2F22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jc w:val="center"/>
        </w:trPr>
        <w:tc>
          <w:tcPr>
            <w:tcW w:w="574" w:type="dxa"/>
            <w:vMerge w:val="restart"/>
            <w:tcBorders>
              <w:top w:val="single" w:color="auto" w:sz="4" w:space="0"/>
              <w:left w:val="single" w:color="auto" w:sz="4" w:space="0"/>
              <w:bottom w:val="single" w:color="auto" w:sz="4" w:space="0"/>
              <w:right w:val="single" w:color="auto" w:sz="4" w:space="0"/>
            </w:tcBorders>
          </w:tcPr>
          <w:p w14:paraId="28ABE512">
            <w:pPr>
              <w:rPr>
                <w:rFonts w:ascii="宋体" w:hAnsi="宋体" w:eastAsia="宋体" w:cs="宋体"/>
                <w:color w:val="auto"/>
                <w:sz w:val="22"/>
                <w:szCs w:val="22"/>
              </w:rPr>
            </w:pPr>
          </w:p>
        </w:tc>
        <w:tc>
          <w:tcPr>
            <w:tcW w:w="1166" w:type="dxa"/>
            <w:vMerge w:val="restart"/>
            <w:tcBorders>
              <w:top w:val="single" w:color="auto" w:sz="4" w:space="0"/>
              <w:left w:val="single" w:color="auto" w:sz="4" w:space="0"/>
              <w:bottom w:val="single" w:color="auto" w:sz="4" w:space="0"/>
              <w:right w:val="single" w:color="auto" w:sz="4" w:space="0"/>
            </w:tcBorders>
          </w:tcPr>
          <w:p w14:paraId="0A4DB426">
            <w:pPr>
              <w:rPr>
                <w:rFonts w:ascii="宋体" w:hAnsi="宋体" w:eastAsia="宋体" w:cs="宋体"/>
                <w:color w:val="auto"/>
                <w:sz w:val="22"/>
                <w:szCs w:val="22"/>
              </w:rPr>
            </w:pPr>
          </w:p>
        </w:tc>
        <w:tc>
          <w:tcPr>
            <w:tcW w:w="1800" w:type="dxa"/>
            <w:vMerge w:val="restart"/>
            <w:tcBorders>
              <w:top w:val="single" w:color="auto" w:sz="4" w:space="0"/>
              <w:left w:val="single" w:color="auto" w:sz="4" w:space="0"/>
              <w:bottom w:val="single" w:color="auto" w:sz="4" w:space="0"/>
              <w:right w:val="single" w:color="auto" w:sz="4" w:space="0"/>
            </w:tcBorders>
          </w:tcPr>
          <w:p w14:paraId="0D83F68F">
            <w:pPr>
              <w:pStyle w:val="75"/>
              <w:rPr>
                <w:rFonts w:ascii="宋体" w:hAnsi="宋体" w:eastAsia="宋体" w:cs="宋体"/>
                <w:color w:val="auto"/>
                <w:sz w:val="20"/>
                <w:szCs w:val="20"/>
                <w:lang w:eastAsia="zh-CN"/>
              </w:rPr>
            </w:pPr>
          </w:p>
          <w:p w14:paraId="14972372">
            <w:pPr>
              <w:pStyle w:val="75"/>
              <w:rPr>
                <w:rFonts w:ascii="宋体" w:hAnsi="宋体" w:eastAsia="宋体" w:cs="宋体"/>
                <w:color w:val="auto"/>
                <w:sz w:val="20"/>
                <w:szCs w:val="20"/>
                <w:lang w:eastAsia="zh-CN"/>
              </w:rPr>
            </w:pPr>
          </w:p>
          <w:p w14:paraId="1D1CF1C4">
            <w:pPr>
              <w:pStyle w:val="75"/>
              <w:rPr>
                <w:rFonts w:ascii="宋体" w:hAnsi="宋体" w:eastAsia="宋体" w:cs="宋体"/>
                <w:color w:val="auto"/>
                <w:sz w:val="20"/>
                <w:szCs w:val="20"/>
                <w:lang w:eastAsia="zh-CN"/>
              </w:rPr>
            </w:pPr>
          </w:p>
          <w:p w14:paraId="6ED222BF">
            <w:pPr>
              <w:pStyle w:val="75"/>
              <w:rPr>
                <w:rFonts w:ascii="宋体" w:hAnsi="宋体" w:eastAsia="宋体" w:cs="宋体"/>
                <w:color w:val="auto"/>
                <w:sz w:val="20"/>
                <w:szCs w:val="20"/>
                <w:lang w:eastAsia="zh-CN"/>
              </w:rPr>
            </w:pPr>
          </w:p>
          <w:p w14:paraId="2B20C930">
            <w:pPr>
              <w:pStyle w:val="75"/>
              <w:rPr>
                <w:rFonts w:ascii="宋体" w:hAnsi="宋体" w:eastAsia="宋体" w:cs="宋体"/>
                <w:color w:val="auto"/>
                <w:sz w:val="20"/>
                <w:szCs w:val="20"/>
                <w:lang w:eastAsia="zh-CN"/>
              </w:rPr>
            </w:pPr>
          </w:p>
          <w:p w14:paraId="4E72E40D">
            <w:pPr>
              <w:pStyle w:val="75"/>
              <w:spacing w:before="161"/>
              <w:ind w:left="7"/>
              <w:rPr>
                <w:rFonts w:ascii="宋体" w:hAnsi="宋体" w:eastAsia="宋体" w:cs="宋体"/>
                <w:color w:val="auto"/>
                <w:sz w:val="20"/>
                <w:szCs w:val="20"/>
              </w:rPr>
            </w:pPr>
            <w:r>
              <w:rPr>
                <w:rFonts w:hint="eastAsia" w:ascii="宋体" w:hAnsi="宋体" w:eastAsia="宋体" w:cs="宋体"/>
                <w:color w:val="auto"/>
                <w:spacing w:val="1"/>
                <w:w w:val="99"/>
                <w:sz w:val="20"/>
                <w:szCs w:val="20"/>
              </w:rPr>
              <w:t>A02</w:t>
            </w:r>
            <w:r>
              <w:rPr>
                <w:rFonts w:hint="eastAsia" w:ascii="宋体" w:hAnsi="宋体" w:eastAsia="宋体" w:cs="宋体"/>
                <w:color w:val="auto"/>
                <w:w w:val="99"/>
                <w:sz w:val="20"/>
                <w:szCs w:val="20"/>
              </w:rPr>
              <w:t>06</w:t>
            </w:r>
            <w:r>
              <w:rPr>
                <w:rFonts w:hint="eastAsia" w:ascii="宋体" w:hAnsi="宋体" w:eastAsia="宋体" w:cs="宋体"/>
                <w:color w:val="auto"/>
                <w:spacing w:val="1"/>
                <w:w w:val="99"/>
                <w:sz w:val="20"/>
                <w:szCs w:val="20"/>
              </w:rPr>
              <w:t>1</w:t>
            </w:r>
            <w:r>
              <w:rPr>
                <w:rFonts w:hint="eastAsia" w:ascii="宋体" w:hAnsi="宋体" w:eastAsia="宋体" w:cs="宋体"/>
                <w:color w:val="auto"/>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tcPr>
          <w:p w14:paraId="11FB9F12">
            <w:pPr>
              <w:pStyle w:val="75"/>
              <w:spacing w:before="12"/>
              <w:rPr>
                <w:rFonts w:ascii="宋体" w:hAnsi="宋体" w:eastAsia="宋体" w:cs="宋体"/>
                <w:color w:val="auto"/>
                <w:sz w:val="15"/>
                <w:szCs w:val="15"/>
              </w:rPr>
            </w:pPr>
          </w:p>
          <w:p w14:paraId="1591E3FB">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★电热</w:t>
            </w:r>
            <w:r>
              <w:rPr>
                <w:rFonts w:hint="eastAsia" w:ascii="宋体" w:hAnsi="宋体" w:eastAsia="宋体" w:cs="宋体"/>
                <w:color w:val="auto"/>
                <w:spacing w:val="2"/>
                <w:w w:val="99"/>
                <w:sz w:val="20"/>
                <w:szCs w:val="20"/>
              </w:rPr>
              <w:t>水</w:t>
            </w:r>
            <w:r>
              <w:rPr>
                <w:rFonts w:hint="eastAsia" w:ascii="宋体" w:hAnsi="宋体" w:eastAsia="宋体" w:cs="宋体"/>
                <w:color w:val="auto"/>
                <w:w w:val="99"/>
                <w:sz w:val="20"/>
                <w:szCs w:val="20"/>
              </w:rPr>
              <w:t>器</w:t>
            </w:r>
          </w:p>
        </w:tc>
        <w:tc>
          <w:tcPr>
            <w:tcW w:w="3355" w:type="dxa"/>
            <w:tcBorders>
              <w:top w:val="single" w:color="auto" w:sz="4" w:space="0"/>
              <w:left w:val="single" w:color="auto" w:sz="4" w:space="0"/>
              <w:bottom w:val="single" w:color="auto" w:sz="4" w:space="0"/>
              <w:right w:val="single" w:color="auto" w:sz="4" w:space="0"/>
            </w:tcBorders>
          </w:tcPr>
          <w:p w14:paraId="3686D889">
            <w:pPr>
              <w:pStyle w:val="75"/>
              <w:tabs>
                <w:tab w:val="left" w:pos="1608"/>
              </w:tabs>
              <w:spacing w:before="52"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《储水式电热水器能效</w:t>
            </w:r>
            <w:r>
              <w:rPr>
                <w:rFonts w:hint="eastAsia" w:ascii="宋体" w:hAnsi="宋体" w:eastAsia="宋体" w:cs="宋体"/>
                <w:color w:val="auto"/>
                <w:spacing w:val="9"/>
                <w:w w:val="99"/>
                <w:sz w:val="20"/>
                <w:szCs w:val="20"/>
                <w:lang w:eastAsia="zh-CN"/>
              </w:rPr>
              <w:t>限</w:t>
            </w:r>
            <w:r>
              <w:rPr>
                <w:rFonts w:hint="eastAsia" w:ascii="宋体" w:hAnsi="宋体" w:eastAsia="宋体" w:cs="宋体"/>
                <w:color w:val="auto"/>
                <w:spacing w:val="12"/>
                <w:w w:val="99"/>
                <w:sz w:val="20"/>
                <w:szCs w:val="20"/>
                <w:lang w:eastAsia="zh-CN"/>
              </w:rPr>
              <w:t>定值</w:t>
            </w:r>
            <w:r>
              <w:rPr>
                <w:rFonts w:hint="eastAsia" w:ascii="宋体" w:hAnsi="宋体" w:eastAsia="宋体" w:cs="宋体"/>
                <w:color w:val="auto"/>
                <w:w w:val="99"/>
                <w:sz w:val="20"/>
                <w:szCs w:val="20"/>
                <w:lang w:eastAsia="zh-CN"/>
              </w:rPr>
              <w:t>及能效等</w:t>
            </w:r>
            <w:r>
              <w:rPr>
                <w:rFonts w:hint="eastAsia" w:ascii="宋体" w:hAnsi="宋体" w:eastAsia="宋体" w:cs="宋体"/>
                <w:color w:val="auto"/>
                <w:spacing w:val="2"/>
                <w:w w:val="99"/>
                <w:sz w:val="20"/>
                <w:szCs w:val="20"/>
                <w:lang w:eastAsia="zh-CN"/>
              </w:rPr>
              <w:t>级</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21</w:t>
            </w:r>
            <w:r>
              <w:rPr>
                <w:rFonts w:hint="eastAsia" w:ascii="宋体" w:hAnsi="宋体" w:eastAsia="宋体" w:cs="宋体"/>
                <w:color w:val="auto"/>
                <w:w w:val="99"/>
                <w:sz w:val="20"/>
                <w:szCs w:val="20"/>
                <w:lang w:eastAsia="zh-CN"/>
              </w:rPr>
              <w:t>51</w:t>
            </w:r>
            <w:r>
              <w:rPr>
                <w:rFonts w:hint="eastAsia" w:ascii="宋体" w:hAnsi="宋体" w:eastAsia="宋体" w:cs="宋体"/>
                <w:color w:val="auto"/>
                <w:spacing w:val="1"/>
                <w:w w:val="99"/>
                <w:sz w:val="20"/>
                <w:szCs w:val="20"/>
                <w:lang w:eastAsia="zh-CN"/>
              </w:rPr>
              <w:t>9</w:t>
            </w:r>
            <w:r>
              <w:rPr>
                <w:rFonts w:hint="eastAsia" w:ascii="宋体" w:hAnsi="宋体" w:eastAsia="宋体" w:cs="宋体"/>
                <w:color w:val="auto"/>
                <w:w w:val="99"/>
                <w:sz w:val="20"/>
                <w:szCs w:val="20"/>
                <w:lang w:eastAsia="zh-CN"/>
              </w:rPr>
              <w:t>）</w:t>
            </w:r>
          </w:p>
        </w:tc>
      </w:tr>
      <w:tr w14:paraId="6790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77FD440">
            <w:pPr>
              <w:widowControl/>
              <w:rPr>
                <w:rFonts w:ascii="宋体" w:hAnsi="宋体" w:eastAsia="宋体" w:cs="宋体"/>
                <w:color w:val="auto"/>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0A6B1117">
            <w:pPr>
              <w:widowControl/>
              <w:rPr>
                <w:rFonts w:ascii="宋体" w:hAnsi="宋体" w:eastAsia="宋体" w:cs="宋体"/>
                <w:color w:val="auto"/>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3B51A4B3">
            <w:pPr>
              <w:widowControl/>
              <w:rPr>
                <w:rFonts w:ascii="宋体" w:hAnsi="宋体" w:eastAsia="宋体" w:cs="宋体"/>
                <w:color w:val="auto"/>
                <w:sz w:val="20"/>
                <w:szCs w:val="20"/>
              </w:rPr>
            </w:pPr>
          </w:p>
        </w:tc>
        <w:tc>
          <w:tcPr>
            <w:tcW w:w="1915" w:type="dxa"/>
            <w:tcBorders>
              <w:top w:val="single" w:color="auto" w:sz="4" w:space="0"/>
              <w:left w:val="single" w:color="auto" w:sz="4" w:space="0"/>
              <w:bottom w:val="single" w:color="auto" w:sz="4" w:space="0"/>
              <w:right w:val="single" w:color="auto" w:sz="4" w:space="0"/>
            </w:tcBorders>
          </w:tcPr>
          <w:p w14:paraId="2A3A0725">
            <w:pPr>
              <w:pStyle w:val="75"/>
              <w:spacing w:before="2"/>
              <w:rPr>
                <w:rFonts w:ascii="宋体" w:hAnsi="宋体" w:eastAsia="宋体" w:cs="宋体"/>
                <w:color w:val="auto"/>
                <w:sz w:val="24"/>
                <w:szCs w:val="24"/>
                <w:lang w:eastAsia="zh-CN"/>
              </w:rPr>
            </w:pPr>
          </w:p>
          <w:p w14:paraId="081E0BE2">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燃气热</w:t>
            </w:r>
            <w:r>
              <w:rPr>
                <w:rFonts w:hint="eastAsia" w:ascii="宋体" w:hAnsi="宋体" w:eastAsia="宋体" w:cs="宋体"/>
                <w:color w:val="auto"/>
                <w:spacing w:val="2"/>
                <w:w w:val="99"/>
                <w:sz w:val="20"/>
                <w:szCs w:val="20"/>
              </w:rPr>
              <w:t>水</w:t>
            </w:r>
            <w:r>
              <w:rPr>
                <w:rFonts w:hint="eastAsia" w:ascii="宋体" w:hAnsi="宋体" w:eastAsia="宋体" w:cs="宋体"/>
                <w:color w:val="auto"/>
                <w:w w:val="99"/>
                <w:sz w:val="20"/>
                <w:szCs w:val="20"/>
              </w:rPr>
              <w:t>器</w:t>
            </w:r>
          </w:p>
        </w:tc>
        <w:tc>
          <w:tcPr>
            <w:tcW w:w="3355" w:type="dxa"/>
            <w:tcBorders>
              <w:top w:val="single" w:color="auto" w:sz="4" w:space="0"/>
              <w:left w:val="single" w:color="auto" w:sz="4" w:space="0"/>
              <w:bottom w:val="single" w:color="auto" w:sz="4" w:space="0"/>
              <w:right w:val="single" w:color="auto" w:sz="4" w:space="0"/>
            </w:tcBorders>
          </w:tcPr>
          <w:p w14:paraId="1FEB1E9D">
            <w:pPr>
              <w:pStyle w:val="75"/>
              <w:spacing w:before="4"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《家用燃气快速热水器</w:t>
            </w:r>
            <w:r>
              <w:rPr>
                <w:rFonts w:hint="eastAsia" w:ascii="宋体" w:hAnsi="宋体" w:eastAsia="宋体" w:cs="宋体"/>
                <w:color w:val="auto"/>
                <w:spacing w:val="9"/>
                <w:w w:val="99"/>
                <w:sz w:val="20"/>
                <w:szCs w:val="20"/>
                <w:lang w:eastAsia="zh-CN"/>
              </w:rPr>
              <w:t>和</w:t>
            </w:r>
            <w:r>
              <w:rPr>
                <w:rFonts w:hint="eastAsia" w:ascii="宋体" w:hAnsi="宋体" w:eastAsia="宋体" w:cs="宋体"/>
                <w:color w:val="auto"/>
                <w:spacing w:val="12"/>
                <w:w w:val="99"/>
                <w:sz w:val="20"/>
                <w:szCs w:val="20"/>
                <w:lang w:eastAsia="zh-CN"/>
              </w:rPr>
              <w:t>燃气</w:t>
            </w:r>
            <w:r>
              <w:rPr>
                <w:rFonts w:hint="eastAsia" w:ascii="宋体" w:hAnsi="宋体" w:eastAsia="宋体" w:cs="宋体"/>
                <w:color w:val="auto"/>
                <w:w w:val="99"/>
                <w:sz w:val="20"/>
                <w:szCs w:val="20"/>
                <w:lang w:eastAsia="zh-CN"/>
              </w:rPr>
              <w:t>采暖热水</w:t>
            </w:r>
            <w:r>
              <w:rPr>
                <w:rFonts w:hint="eastAsia" w:ascii="宋体" w:hAnsi="宋体" w:eastAsia="宋体" w:cs="宋体"/>
                <w:color w:val="auto"/>
                <w:spacing w:val="2"/>
                <w:w w:val="99"/>
                <w:sz w:val="20"/>
                <w:szCs w:val="20"/>
                <w:lang w:eastAsia="zh-CN"/>
              </w:rPr>
              <w:t>炉</w:t>
            </w:r>
            <w:r>
              <w:rPr>
                <w:rFonts w:hint="eastAsia" w:ascii="宋体" w:hAnsi="宋体" w:eastAsia="宋体" w:cs="宋体"/>
                <w:color w:val="auto"/>
                <w:w w:val="99"/>
                <w:sz w:val="20"/>
                <w:szCs w:val="20"/>
                <w:lang w:eastAsia="zh-CN"/>
              </w:rPr>
              <w:t>能效</w:t>
            </w:r>
            <w:r>
              <w:rPr>
                <w:rFonts w:hint="eastAsia" w:ascii="宋体" w:hAnsi="宋体" w:eastAsia="宋体" w:cs="宋体"/>
                <w:color w:val="auto"/>
                <w:spacing w:val="2"/>
                <w:w w:val="99"/>
                <w:sz w:val="20"/>
                <w:szCs w:val="20"/>
                <w:lang w:eastAsia="zh-CN"/>
              </w:rPr>
              <w:t>限</w:t>
            </w:r>
            <w:r>
              <w:rPr>
                <w:rFonts w:hint="eastAsia" w:ascii="宋体" w:hAnsi="宋体" w:eastAsia="宋体" w:cs="宋体"/>
                <w:color w:val="auto"/>
                <w:w w:val="99"/>
                <w:sz w:val="20"/>
                <w:szCs w:val="20"/>
                <w:lang w:eastAsia="zh-CN"/>
              </w:rPr>
              <w:t>定值</w:t>
            </w:r>
            <w:r>
              <w:rPr>
                <w:rFonts w:hint="eastAsia" w:ascii="宋体" w:hAnsi="宋体" w:eastAsia="宋体" w:cs="宋体"/>
                <w:color w:val="auto"/>
                <w:spacing w:val="2"/>
                <w:w w:val="99"/>
                <w:sz w:val="20"/>
                <w:szCs w:val="20"/>
                <w:lang w:eastAsia="zh-CN"/>
              </w:rPr>
              <w:t>及</w:t>
            </w:r>
            <w:r>
              <w:rPr>
                <w:rFonts w:hint="eastAsia" w:ascii="宋体" w:hAnsi="宋体" w:eastAsia="宋体" w:cs="宋体"/>
                <w:color w:val="auto"/>
                <w:w w:val="99"/>
                <w:sz w:val="20"/>
                <w:szCs w:val="20"/>
                <w:lang w:eastAsia="zh-CN"/>
              </w:rPr>
              <w:t>能</w:t>
            </w:r>
            <w:r>
              <w:rPr>
                <w:rFonts w:hint="eastAsia" w:ascii="宋体" w:hAnsi="宋体" w:eastAsia="宋体" w:cs="宋体"/>
                <w:color w:val="auto"/>
                <w:spacing w:val="2"/>
                <w:w w:val="99"/>
                <w:sz w:val="20"/>
                <w:szCs w:val="20"/>
                <w:lang w:eastAsia="zh-CN"/>
              </w:rPr>
              <w:t>效</w:t>
            </w:r>
            <w:r>
              <w:rPr>
                <w:rFonts w:hint="eastAsia" w:ascii="宋体" w:hAnsi="宋体" w:eastAsia="宋体" w:cs="宋体"/>
                <w:color w:val="auto"/>
                <w:w w:val="99"/>
                <w:sz w:val="20"/>
                <w:szCs w:val="20"/>
                <w:lang w:eastAsia="zh-CN"/>
              </w:rPr>
              <w:t>等级》</w:t>
            </w:r>
          </w:p>
          <w:p w14:paraId="6F6B8626">
            <w:pPr>
              <w:pStyle w:val="75"/>
              <w:spacing w:before="12"/>
              <w:ind w:left="7"/>
              <w:rPr>
                <w:rFonts w:ascii="宋体" w:hAnsi="宋体" w:eastAsia="宋体" w:cs="宋体"/>
                <w:color w:val="auto"/>
                <w:sz w:val="20"/>
                <w:szCs w:val="20"/>
              </w:rPr>
            </w:pPr>
            <w:r>
              <w:rPr>
                <w:rFonts w:hint="eastAsia" w:ascii="宋体" w:hAnsi="宋体" w:eastAsia="宋体" w:cs="宋体"/>
                <w:color w:val="auto"/>
                <w:w w:val="99"/>
                <w:sz w:val="20"/>
                <w:szCs w:val="20"/>
              </w:rPr>
              <w:t>（</w:t>
            </w:r>
            <w:r>
              <w:rPr>
                <w:rFonts w:hint="eastAsia" w:ascii="宋体" w:hAnsi="宋体" w:eastAsia="宋体" w:cs="宋体"/>
                <w:color w:val="auto"/>
                <w:spacing w:val="1"/>
                <w:w w:val="99"/>
                <w:sz w:val="20"/>
                <w:szCs w:val="20"/>
              </w:rPr>
              <w:t>G</w:t>
            </w:r>
            <w:r>
              <w:rPr>
                <w:rFonts w:hint="eastAsia" w:ascii="宋体" w:hAnsi="宋体" w:eastAsia="宋体" w:cs="宋体"/>
                <w:color w:val="auto"/>
                <w:w w:val="99"/>
                <w:sz w:val="20"/>
                <w:szCs w:val="20"/>
              </w:rPr>
              <w:t>B</w:t>
            </w:r>
            <w:r>
              <w:rPr>
                <w:rFonts w:hint="eastAsia" w:ascii="宋体" w:hAnsi="宋体" w:eastAsia="宋体" w:cs="宋体"/>
                <w:color w:val="auto"/>
                <w:spacing w:val="1"/>
                <w:w w:val="99"/>
                <w:sz w:val="20"/>
                <w:szCs w:val="20"/>
              </w:rPr>
              <w:t>2</w:t>
            </w:r>
            <w:r>
              <w:rPr>
                <w:rFonts w:hint="eastAsia" w:ascii="宋体" w:hAnsi="宋体" w:eastAsia="宋体" w:cs="宋体"/>
                <w:color w:val="auto"/>
                <w:w w:val="99"/>
                <w:sz w:val="20"/>
                <w:szCs w:val="20"/>
              </w:rPr>
              <w:t>06</w:t>
            </w:r>
            <w:r>
              <w:rPr>
                <w:rFonts w:hint="eastAsia" w:ascii="宋体" w:hAnsi="宋体" w:eastAsia="宋体" w:cs="宋体"/>
                <w:color w:val="auto"/>
                <w:spacing w:val="1"/>
                <w:w w:val="99"/>
                <w:sz w:val="20"/>
                <w:szCs w:val="20"/>
              </w:rPr>
              <w:t>65</w:t>
            </w:r>
            <w:r>
              <w:rPr>
                <w:rFonts w:hint="eastAsia" w:ascii="宋体" w:hAnsi="宋体" w:eastAsia="宋体" w:cs="宋体"/>
                <w:color w:val="auto"/>
                <w:w w:val="99"/>
                <w:sz w:val="20"/>
                <w:szCs w:val="20"/>
              </w:rPr>
              <w:t>）</w:t>
            </w:r>
          </w:p>
        </w:tc>
      </w:tr>
      <w:tr w14:paraId="4260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1DF8E32C">
            <w:pPr>
              <w:widowControl/>
              <w:rPr>
                <w:rFonts w:ascii="宋体" w:hAnsi="宋体" w:eastAsia="宋体" w:cs="宋体"/>
                <w:color w:val="auto"/>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C04F323">
            <w:pPr>
              <w:widowControl/>
              <w:rPr>
                <w:rFonts w:ascii="宋体" w:hAnsi="宋体" w:eastAsia="宋体" w:cs="宋体"/>
                <w:color w:val="auto"/>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1D1C0998">
            <w:pPr>
              <w:widowControl/>
              <w:rPr>
                <w:rFonts w:ascii="宋体" w:hAnsi="宋体" w:eastAsia="宋体" w:cs="宋体"/>
                <w:color w:val="auto"/>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tcPr>
          <w:p w14:paraId="7EDA5D47">
            <w:pPr>
              <w:pStyle w:val="75"/>
              <w:rPr>
                <w:rFonts w:ascii="宋体" w:hAnsi="宋体" w:eastAsia="宋体" w:cs="宋体"/>
                <w:color w:val="auto"/>
                <w:sz w:val="19"/>
                <w:szCs w:val="19"/>
              </w:rPr>
            </w:pPr>
          </w:p>
          <w:p w14:paraId="254626EF">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热泵热</w:t>
            </w:r>
            <w:r>
              <w:rPr>
                <w:rFonts w:hint="eastAsia" w:ascii="宋体" w:hAnsi="宋体" w:eastAsia="宋体" w:cs="宋体"/>
                <w:color w:val="auto"/>
                <w:spacing w:val="2"/>
                <w:w w:val="99"/>
                <w:sz w:val="20"/>
                <w:szCs w:val="20"/>
              </w:rPr>
              <w:t>水</w:t>
            </w:r>
            <w:r>
              <w:rPr>
                <w:rFonts w:hint="eastAsia" w:ascii="宋体" w:hAnsi="宋体" w:eastAsia="宋体" w:cs="宋体"/>
                <w:color w:val="auto"/>
                <w:w w:val="99"/>
                <w:sz w:val="20"/>
                <w:szCs w:val="20"/>
              </w:rPr>
              <w:t>器</w:t>
            </w:r>
          </w:p>
        </w:tc>
        <w:tc>
          <w:tcPr>
            <w:tcW w:w="3355" w:type="dxa"/>
            <w:tcBorders>
              <w:top w:val="single" w:color="auto" w:sz="4" w:space="0"/>
              <w:left w:val="single" w:color="auto" w:sz="4" w:space="0"/>
              <w:bottom w:val="single" w:color="auto" w:sz="4" w:space="0"/>
              <w:right w:val="single" w:color="auto" w:sz="4" w:space="0"/>
            </w:tcBorders>
          </w:tcPr>
          <w:p w14:paraId="3B9ABA64">
            <w:pPr>
              <w:pStyle w:val="75"/>
              <w:spacing w:before="93" w:line="283" w:lineRule="auto"/>
              <w:ind w:left="7" w:right="7"/>
              <w:rPr>
                <w:rFonts w:ascii="宋体" w:hAnsi="宋体" w:eastAsia="宋体" w:cs="宋体"/>
                <w:color w:val="auto"/>
                <w:sz w:val="20"/>
                <w:szCs w:val="20"/>
                <w:lang w:eastAsia="zh-CN"/>
              </w:rPr>
            </w:pPr>
            <w:r>
              <w:rPr>
                <w:rFonts w:hint="eastAsia" w:ascii="宋体" w:hAnsi="宋体" w:eastAsia="宋体" w:cs="宋体"/>
                <w:color w:val="auto"/>
                <w:w w:val="99"/>
                <w:sz w:val="20"/>
                <w:szCs w:val="20"/>
                <w:lang w:eastAsia="zh-CN"/>
              </w:rPr>
              <w:t>《热泵</w:t>
            </w:r>
            <w:r>
              <w:rPr>
                <w:rFonts w:hint="eastAsia" w:ascii="宋体" w:hAnsi="宋体" w:eastAsia="宋体" w:cs="宋体"/>
                <w:color w:val="auto"/>
                <w:spacing w:val="2"/>
                <w:w w:val="99"/>
                <w:sz w:val="20"/>
                <w:szCs w:val="20"/>
                <w:lang w:eastAsia="zh-CN"/>
              </w:rPr>
              <w:t>热</w:t>
            </w:r>
            <w:r>
              <w:rPr>
                <w:rFonts w:hint="eastAsia" w:ascii="宋体" w:hAnsi="宋体" w:eastAsia="宋体" w:cs="宋体"/>
                <w:color w:val="auto"/>
                <w:w w:val="99"/>
                <w:sz w:val="20"/>
                <w:szCs w:val="20"/>
                <w:lang w:eastAsia="zh-CN"/>
              </w:rPr>
              <w:t>水</w:t>
            </w:r>
            <w:r>
              <w:rPr>
                <w:rFonts w:hint="eastAsia" w:ascii="宋体" w:hAnsi="宋体" w:eastAsia="宋体" w:cs="宋体"/>
                <w:color w:val="auto"/>
                <w:spacing w:val="-27"/>
                <w:w w:val="99"/>
                <w:sz w:val="20"/>
                <w:szCs w:val="20"/>
                <w:lang w:eastAsia="zh-CN"/>
              </w:rPr>
              <w:t>机</w:t>
            </w:r>
            <w:r>
              <w:rPr>
                <w:rFonts w:hint="eastAsia" w:ascii="宋体" w:hAnsi="宋体" w:eastAsia="宋体" w:cs="宋体"/>
                <w:color w:val="auto"/>
                <w:w w:val="99"/>
                <w:sz w:val="20"/>
                <w:szCs w:val="20"/>
                <w:lang w:eastAsia="zh-CN"/>
              </w:rPr>
              <w:t>（器</w:t>
            </w:r>
            <w:r>
              <w:rPr>
                <w:rFonts w:hint="eastAsia" w:ascii="宋体" w:hAnsi="宋体" w:eastAsia="宋体" w:cs="宋体"/>
                <w:color w:val="auto"/>
                <w:spacing w:val="-27"/>
                <w:w w:val="99"/>
                <w:sz w:val="20"/>
                <w:szCs w:val="20"/>
                <w:lang w:eastAsia="zh-CN"/>
              </w:rPr>
              <w:t>）</w:t>
            </w:r>
            <w:r>
              <w:rPr>
                <w:rFonts w:hint="eastAsia" w:ascii="宋体" w:hAnsi="宋体" w:eastAsia="宋体" w:cs="宋体"/>
                <w:color w:val="auto"/>
                <w:w w:val="99"/>
                <w:sz w:val="20"/>
                <w:szCs w:val="20"/>
                <w:lang w:eastAsia="zh-CN"/>
              </w:rPr>
              <w:t>能效</w:t>
            </w:r>
            <w:r>
              <w:rPr>
                <w:rFonts w:hint="eastAsia" w:ascii="宋体" w:hAnsi="宋体" w:eastAsia="宋体" w:cs="宋体"/>
                <w:color w:val="auto"/>
                <w:spacing w:val="2"/>
                <w:w w:val="99"/>
                <w:sz w:val="20"/>
                <w:szCs w:val="20"/>
                <w:lang w:eastAsia="zh-CN"/>
              </w:rPr>
              <w:t>限</w:t>
            </w:r>
            <w:r>
              <w:rPr>
                <w:rFonts w:hint="eastAsia" w:ascii="宋体" w:hAnsi="宋体" w:eastAsia="宋体" w:cs="宋体"/>
                <w:color w:val="auto"/>
                <w:w w:val="99"/>
                <w:sz w:val="20"/>
                <w:szCs w:val="20"/>
                <w:lang w:eastAsia="zh-CN"/>
              </w:rPr>
              <w:t>定值及能效等</w:t>
            </w:r>
            <w:r>
              <w:rPr>
                <w:rFonts w:hint="eastAsia" w:ascii="宋体" w:hAnsi="宋体" w:eastAsia="宋体" w:cs="宋体"/>
                <w:color w:val="auto"/>
                <w:spacing w:val="2"/>
                <w:w w:val="99"/>
                <w:sz w:val="20"/>
                <w:szCs w:val="20"/>
                <w:lang w:eastAsia="zh-CN"/>
              </w:rPr>
              <w:t>级</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295</w:t>
            </w:r>
            <w:r>
              <w:rPr>
                <w:rFonts w:hint="eastAsia" w:ascii="宋体" w:hAnsi="宋体" w:eastAsia="宋体" w:cs="宋体"/>
                <w:color w:val="auto"/>
                <w:w w:val="99"/>
                <w:sz w:val="20"/>
                <w:szCs w:val="20"/>
                <w:lang w:eastAsia="zh-CN"/>
              </w:rPr>
              <w:t>4</w:t>
            </w:r>
            <w:r>
              <w:rPr>
                <w:rFonts w:hint="eastAsia" w:ascii="宋体" w:hAnsi="宋体" w:eastAsia="宋体" w:cs="宋体"/>
                <w:color w:val="auto"/>
                <w:spacing w:val="-1"/>
                <w:w w:val="99"/>
                <w:sz w:val="20"/>
                <w:szCs w:val="20"/>
                <w:lang w:eastAsia="zh-CN"/>
              </w:rPr>
              <w:t>1</w:t>
            </w:r>
            <w:r>
              <w:rPr>
                <w:rFonts w:hint="eastAsia" w:ascii="宋体" w:hAnsi="宋体" w:eastAsia="宋体" w:cs="宋体"/>
                <w:color w:val="auto"/>
                <w:w w:val="99"/>
                <w:sz w:val="20"/>
                <w:szCs w:val="20"/>
                <w:lang w:eastAsia="zh-CN"/>
              </w:rPr>
              <w:t>）</w:t>
            </w:r>
          </w:p>
        </w:tc>
      </w:tr>
      <w:tr w14:paraId="79D6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45F3931C">
            <w:pPr>
              <w:widowControl/>
              <w:rPr>
                <w:rFonts w:ascii="宋体" w:hAnsi="宋体" w:eastAsia="宋体" w:cs="宋体"/>
                <w:color w:val="auto"/>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16FCF79A">
            <w:pPr>
              <w:widowControl/>
              <w:rPr>
                <w:rFonts w:ascii="宋体" w:hAnsi="宋体" w:eastAsia="宋体" w:cs="宋体"/>
                <w:color w:val="auto"/>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30FB5C02">
            <w:pPr>
              <w:widowControl/>
              <w:rPr>
                <w:rFonts w:ascii="宋体" w:hAnsi="宋体" w:eastAsia="宋体" w:cs="宋体"/>
                <w:color w:val="auto"/>
                <w:sz w:val="20"/>
                <w:szCs w:val="20"/>
              </w:rPr>
            </w:pPr>
          </w:p>
        </w:tc>
        <w:tc>
          <w:tcPr>
            <w:tcW w:w="1915" w:type="dxa"/>
            <w:tcBorders>
              <w:top w:val="single" w:color="auto" w:sz="4" w:space="0"/>
              <w:left w:val="single" w:color="auto" w:sz="4" w:space="0"/>
              <w:bottom w:val="single" w:color="auto" w:sz="4" w:space="0"/>
              <w:right w:val="single" w:color="auto" w:sz="4" w:space="0"/>
            </w:tcBorders>
          </w:tcPr>
          <w:p w14:paraId="5305924C">
            <w:pPr>
              <w:pStyle w:val="75"/>
              <w:spacing w:before="12"/>
              <w:rPr>
                <w:rFonts w:ascii="宋体" w:hAnsi="宋体" w:eastAsia="宋体" w:cs="宋体"/>
                <w:color w:val="auto"/>
                <w:sz w:val="15"/>
                <w:szCs w:val="15"/>
                <w:lang w:eastAsia="zh-CN"/>
              </w:rPr>
            </w:pPr>
          </w:p>
          <w:p w14:paraId="20523836">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太阳能</w:t>
            </w:r>
            <w:r>
              <w:rPr>
                <w:rFonts w:hint="eastAsia" w:ascii="宋体" w:hAnsi="宋体" w:eastAsia="宋体" w:cs="宋体"/>
                <w:color w:val="auto"/>
                <w:spacing w:val="2"/>
                <w:w w:val="99"/>
                <w:sz w:val="20"/>
                <w:szCs w:val="20"/>
              </w:rPr>
              <w:t>热</w:t>
            </w:r>
            <w:r>
              <w:rPr>
                <w:rFonts w:hint="eastAsia" w:ascii="宋体" w:hAnsi="宋体" w:eastAsia="宋体" w:cs="宋体"/>
                <w:color w:val="auto"/>
                <w:w w:val="99"/>
                <w:sz w:val="20"/>
                <w:szCs w:val="20"/>
              </w:rPr>
              <w:t>水系统</w:t>
            </w:r>
          </w:p>
        </w:tc>
        <w:tc>
          <w:tcPr>
            <w:tcW w:w="3355" w:type="dxa"/>
            <w:tcBorders>
              <w:top w:val="single" w:color="auto" w:sz="4" w:space="0"/>
              <w:left w:val="single" w:color="auto" w:sz="4" w:space="0"/>
              <w:bottom w:val="single" w:color="auto" w:sz="4" w:space="0"/>
              <w:right w:val="single" w:color="auto" w:sz="4" w:space="0"/>
            </w:tcBorders>
          </w:tcPr>
          <w:p w14:paraId="5EDC0AFD">
            <w:pPr>
              <w:pStyle w:val="75"/>
              <w:spacing w:before="52"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《家用太阳能热水系统</w:t>
            </w:r>
            <w:r>
              <w:rPr>
                <w:rFonts w:hint="eastAsia" w:ascii="宋体" w:hAnsi="宋体" w:eastAsia="宋体" w:cs="宋体"/>
                <w:color w:val="auto"/>
                <w:spacing w:val="9"/>
                <w:w w:val="99"/>
                <w:sz w:val="20"/>
                <w:szCs w:val="20"/>
                <w:lang w:eastAsia="zh-CN"/>
              </w:rPr>
              <w:t>能</w:t>
            </w:r>
            <w:r>
              <w:rPr>
                <w:rFonts w:hint="eastAsia" w:ascii="宋体" w:hAnsi="宋体" w:eastAsia="宋体" w:cs="宋体"/>
                <w:color w:val="auto"/>
                <w:spacing w:val="12"/>
                <w:w w:val="99"/>
                <w:sz w:val="20"/>
                <w:szCs w:val="20"/>
                <w:lang w:eastAsia="zh-CN"/>
              </w:rPr>
              <w:t>效限</w:t>
            </w:r>
            <w:r>
              <w:rPr>
                <w:rFonts w:hint="eastAsia" w:ascii="宋体" w:hAnsi="宋体" w:eastAsia="宋体" w:cs="宋体"/>
                <w:color w:val="auto"/>
                <w:w w:val="99"/>
                <w:sz w:val="20"/>
                <w:szCs w:val="20"/>
                <w:lang w:eastAsia="zh-CN"/>
              </w:rPr>
              <w:t>定值及能</w:t>
            </w:r>
            <w:r>
              <w:rPr>
                <w:rFonts w:hint="eastAsia" w:ascii="宋体" w:hAnsi="宋体" w:eastAsia="宋体" w:cs="宋体"/>
                <w:color w:val="auto"/>
                <w:spacing w:val="2"/>
                <w:w w:val="99"/>
                <w:sz w:val="20"/>
                <w:szCs w:val="20"/>
                <w:lang w:eastAsia="zh-CN"/>
              </w:rPr>
              <w:t>效</w:t>
            </w:r>
            <w:r>
              <w:rPr>
                <w:rFonts w:hint="eastAsia" w:ascii="宋体" w:hAnsi="宋体" w:eastAsia="宋体" w:cs="宋体"/>
                <w:color w:val="auto"/>
                <w:w w:val="99"/>
                <w:sz w:val="20"/>
                <w:szCs w:val="20"/>
                <w:lang w:eastAsia="zh-CN"/>
              </w:rPr>
              <w:t>等级</w:t>
            </w:r>
            <w:r>
              <w:rPr>
                <w:rFonts w:hint="eastAsia" w:ascii="宋体" w:hAnsi="宋体" w:eastAsia="宋体" w:cs="宋体"/>
                <w:color w:val="auto"/>
                <w:spacing w:val="2"/>
                <w:w w:val="99"/>
                <w:sz w:val="20"/>
                <w:szCs w:val="20"/>
                <w:lang w:eastAsia="zh-CN"/>
              </w:rPr>
              <w:t>》</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26</w:t>
            </w:r>
            <w:r>
              <w:rPr>
                <w:rFonts w:hint="eastAsia" w:ascii="宋体" w:hAnsi="宋体" w:eastAsia="宋体" w:cs="宋体"/>
                <w:color w:val="auto"/>
                <w:w w:val="99"/>
                <w:sz w:val="20"/>
                <w:szCs w:val="20"/>
                <w:lang w:eastAsia="zh-CN"/>
              </w:rPr>
              <w:t>96</w:t>
            </w:r>
            <w:r>
              <w:rPr>
                <w:rFonts w:hint="eastAsia" w:ascii="宋体" w:hAnsi="宋体" w:eastAsia="宋体" w:cs="宋体"/>
                <w:color w:val="auto"/>
                <w:spacing w:val="-2"/>
                <w:w w:val="99"/>
                <w:sz w:val="20"/>
                <w:szCs w:val="20"/>
                <w:lang w:eastAsia="zh-CN"/>
              </w:rPr>
              <w:t>9</w:t>
            </w:r>
            <w:r>
              <w:rPr>
                <w:rFonts w:hint="eastAsia" w:ascii="宋体" w:hAnsi="宋体" w:eastAsia="宋体" w:cs="宋体"/>
                <w:color w:val="auto"/>
                <w:w w:val="99"/>
                <w:sz w:val="20"/>
                <w:szCs w:val="20"/>
                <w:lang w:eastAsia="zh-CN"/>
              </w:rPr>
              <w:t>）</w:t>
            </w:r>
          </w:p>
        </w:tc>
      </w:tr>
      <w:tr w14:paraId="65B0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jc w:val="center"/>
        </w:trPr>
        <w:tc>
          <w:tcPr>
            <w:tcW w:w="574" w:type="dxa"/>
            <w:vMerge w:val="restart"/>
            <w:tcBorders>
              <w:top w:val="single" w:color="auto" w:sz="4" w:space="0"/>
              <w:left w:val="single" w:color="auto" w:sz="4" w:space="0"/>
              <w:bottom w:val="single" w:color="auto" w:sz="4" w:space="0"/>
              <w:right w:val="single" w:color="auto" w:sz="4" w:space="0"/>
            </w:tcBorders>
          </w:tcPr>
          <w:p w14:paraId="34237E0B">
            <w:pPr>
              <w:pStyle w:val="75"/>
              <w:rPr>
                <w:rFonts w:ascii="宋体" w:hAnsi="宋体" w:eastAsia="宋体" w:cs="宋体"/>
                <w:color w:val="auto"/>
                <w:sz w:val="20"/>
                <w:szCs w:val="20"/>
                <w:lang w:eastAsia="zh-CN"/>
              </w:rPr>
            </w:pPr>
          </w:p>
          <w:p w14:paraId="76ED1F6F">
            <w:pPr>
              <w:pStyle w:val="75"/>
              <w:rPr>
                <w:rFonts w:ascii="宋体" w:hAnsi="宋体" w:eastAsia="宋体" w:cs="宋体"/>
                <w:color w:val="auto"/>
                <w:sz w:val="20"/>
                <w:szCs w:val="20"/>
                <w:lang w:eastAsia="zh-CN"/>
              </w:rPr>
            </w:pPr>
          </w:p>
          <w:p w14:paraId="0E517F1E">
            <w:pPr>
              <w:pStyle w:val="75"/>
              <w:rPr>
                <w:rFonts w:ascii="宋体" w:hAnsi="宋体" w:eastAsia="宋体" w:cs="宋体"/>
                <w:color w:val="auto"/>
                <w:sz w:val="20"/>
                <w:szCs w:val="20"/>
                <w:lang w:eastAsia="zh-CN"/>
              </w:rPr>
            </w:pPr>
          </w:p>
          <w:p w14:paraId="5FA9CC1A">
            <w:pPr>
              <w:pStyle w:val="75"/>
              <w:rPr>
                <w:rFonts w:ascii="宋体" w:hAnsi="宋体" w:eastAsia="宋体" w:cs="宋体"/>
                <w:color w:val="auto"/>
                <w:sz w:val="20"/>
                <w:szCs w:val="20"/>
                <w:lang w:eastAsia="zh-CN"/>
              </w:rPr>
            </w:pPr>
          </w:p>
          <w:p w14:paraId="6A7C5D44">
            <w:pPr>
              <w:pStyle w:val="75"/>
              <w:rPr>
                <w:rFonts w:ascii="宋体" w:hAnsi="宋体" w:eastAsia="宋体" w:cs="宋体"/>
                <w:color w:val="auto"/>
                <w:sz w:val="20"/>
                <w:szCs w:val="20"/>
                <w:lang w:eastAsia="zh-CN"/>
              </w:rPr>
            </w:pPr>
          </w:p>
          <w:p w14:paraId="7C6183C4">
            <w:pPr>
              <w:pStyle w:val="75"/>
              <w:spacing w:before="12"/>
              <w:rPr>
                <w:rFonts w:ascii="宋体" w:hAnsi="宋体" w:eastAsia="宋体" w:cs="宋体"/>
                <w:color w:val="auto"/>
                <w:sz w:val="23"/>
                <w:szCs w:val="23"/>
                <w:lang w:eastAsia="zh-CN"/>
              </w:rPr>
            </w:pPr>
          </w:p>
          <w:p w14:paraId="46EC9DC6">
            <w:pPr>
              <w:pStyle w:val="75"/>
              <w:ind w:left="182"/>
              <w:rPr>
                <w:rFonts w:ascii="宋体" w:hAnsi="宋体" w:eastAsia="宋体" w:cs="宋体"/>
                <w:color w:val="auto"/>
                <w:sz w:val="20"/>
                <w:szCs w:val="20"/>
              </w:rPr>
            </w:pPr>
            <w:r>
              <w:rPr>
                <w:rFonts w:hint="eastAsia" w:ascii="宋体" w:hAnsi="宋体" w:eastAsia="宋体" w:cs="宋体"/>
                <w:color w:val="auto"/>
                <w:spacing w:val="1"/>
                <w:w w:val="99"/>
                <w:sz w:val="20"/>
              </w:rPr>
              <w:t>1</w:t>
            </w:r>
            <w:r>
              <w:rPr>
                <w:rFonts w:hint="eastAsia" w:ascii="宋体" w:hAnsi="宋体" w:eastAsia="宋体" w:cs="宋体"/>
                <w:color w:val="auto"/>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tcPr>
          <w:p w14:paraId="3840DA45">
            <w:pPr>
              <w:pStyle w:val="75"/>
              <w:rPr>
                <w:rFonts w:ascii="宋体" w:hAnsi="宋体" w:eastAsia="宋体" w:cs="宋体"/>
                <w:color w:val="auto"/>
                <w:sz w:val="20"/>
                <w:szCs w:val="20"/>
              </w:rPr>
            </w:pPr>
          </w:p>
          <w:p w14:paraId="08F2CD14">
            <w:pPr>
              <w:pStyle w:val="75"/>
              <w:rPr>
                <w:rFonts w:ascii="宋体" w:hAnsi="宋体" w:eastAsia="宋体" w:cs="宋体"/>
                <w:color w:val="auto"/>
                <w:sz w:val="20"/>
                <w:szCs w:val="20"/>
              </w:rPr>
            </w:pPr>
          </w:p>
          <w:p w14:paraId="451DDDAB">
            <w:pPr>
              <w:pStyle w:val="75"/>
              <w:rPr>
                <w:rFonts w:ascii="宋体" w:hAnsi="宋体" w:eastAsia="宋体" w:cs="宋体"/>
                <w:color w:val="auto"/>
                <w:sz w:val="20"/>
                <w:szCs w:val="20"/>
              </w:rPr>
            </w:pPr>
          </w:p>
          <w:p w14:paraId="1B873367">
            <w:pPr>
              <w:pStyle w:val="75"/>
              <w:rPr>
                <w:rFonts w:ascii="宋体" w:hAnsi="宋体" w:eastAsia="宋体" w:cs="宋体"/>
                <w:color w:val="auto"/>
                <w:sz w:val="20"/>
                <w:szCs w:val="20"/>
              </w:rPr>
            </w:pPr>
          </w:p>
          <w:p w14:paraId="6992BBE9">
            <w:pPr>
              <w:pStyle w:val="75"/>
              <w:rPr>
                <w:rFonts w:ascii="宋体" w:hAnsi="宋体" w:eastAsia="宋体" w:cs="宋体"/>
                <w:color w:val="auto"/>
                <w:sz w:val="20"/>
                <w:szCs w:val="20"/>
              </w:rPr>
            </w:pPr>
          </w:p>
          <w:p w14:paraId="436CC497">
            <w:pPr>
              <w:pStyle w:val="75"/>
              <w:spacing w:before="157"/>
              <w:ind w:left="7"/>
              <w:rPr>
                <w:rFonts w:ascii="宋体" w:hAnsi="宋体" w:eastAsia="宋体" w:cs="宋体"/>
                <w:color w:val="auto"/>
                <w:sz w:val="20"/>
                <w:szCs w:val="20"/>
              </w:rPr>
            </w:pPr>
            <w:r>
              <w:rPr>
                <w:rFonts w:hint="eastAsia" w:ascii="宋体" w:hAnsi="宋体" w:eastAsia="宋体" w:cs="宋体"/>
                <w:color w:val="auto"/>
                <w:spacing w:val="1"/>
                <w:w w:val="99"/>
                <w:sz w:val="20"/>
                <w:szCs w:val="20"/>
              </w:rPr>
              <w:t>A02</w:t>
            </w:r>
            <w:r>
              <w:rPr>
                <w:rFonts w:hint="eastAsia" w:ascii="宋体" w:hAnsi="宋体" w:eastAsia="宋体" w:cs="宋体"/>
                <w:color w:val="auto"/>
                <w:w w:val="99"/>
                <w:sz w:val="20"/>
                <w:szCs w:val="20"/>
              </w:rPr>
              <w:t>06</w:t>
            </w:r>
            <w:r>
              <w:rPr>
                <w:rFonts w:hint="eastAsia" w:ascii="宋体" w:hAnsi="宋体" w:eastAsia="宋体" w:cs="宋体"/>
                <w:color w:val="auto"/>
                <w:spacing w:val="1"/>
                <w:w w:val="99"/>
                <w:sz w:val="20"/>
                <w:szCs w:val="20"/>
              </w:rPr>
              <w:t>1</w:t>
            </w:r>
            <w:r>
              <w:rPr>
                <w:rFonts w:hint="eastAsia" w:ascii="宋体" w:hAnsi="宋体" w:eastAsia="宋体" w:cs="宋体"/>
                <w:color w:val="auto"/>
                <w:w w:val="99"/>
                <w:sz w:val="20"/>
                <w:szCs w:val="20"/>
              </w:rPr>
              <w:t>9照明</w:t>
            </w:r>
          </w:p>
          <w:p w14:paraId="27096D6F">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tcPr>
          <w:p w14:paraId="2BE79364">
            <w:pPr>
              <w:pStyle w:val="75"/>
              <w:spacing w:before="133" w:line="283" w:lineRule="auto"/>
              <w:ind w:left="7" w:right="7"/>
              <w:rPr>
                <w:rFonts w:ascii="宋体" w:hAnsi="宋体" w:eastAsia="宋体" w:cs="宋体"/>
                <w:color w:val="auto"/>
                <w:sz w:val="20"/>
                <w:szCs w:val="20"/>
                <w:lang w:eastAsia="zh-CN"/>
              </w:rPr>
            </w:pPr>
            <w:r>
              <w:rPr>
                <w:rFonts w:hint="eastAsia" w:ascii="宋体" w:hAnsi="宋体" w:eastAsia="宋体" w:cs="宋体"/>
                <w:color w:val="auto"/>
                <w:w w:val="99"/>
                <w:sz w:val="20"/>
                <w:szCs w:val="20"/>
                <w:lang w:eastAsia="zh-CN"/>
              </w:rPr>
              <w:t>★</w:t>
            </w:r>
            <w:r>
              <w:rPr>
                <w:rFonts w:hint="eastAsia" w:ascii="宋体" w:hAnsi="宋体" w:eastAsia="宋体" w:cs="宋体"/>
                <w:color w:val="auto"/>
                <w:spacing w:val="24"/>
                <w:w w:val="99"/>
                <w:sz w:val="20"/>
                <w:szCs w:val="20"/>
                <w:lang w:eastAsia="zh-CN"/>
              </w:rPr>
              <w:t>普</w:t>
            </w:r>
            <w:r>
              <w:rPr>
                <w:rFonts w:hint="eastAsia" w:ascii="宋体" w:hAnsi="宋体" w:eastAsia="宋体" w:cs="宋体"/>
                <w:color w:val="auto"/>
                <w:w w:val="99"/>
                <w:sz w:val="20"/>
                <w:szCs w:val="20"/>
                <w:lang w:eastAsia="zh-CN"/>
              </w:rPr>
              <w:t>通照明用</w:t>
            </w:r>
            <w:r>
              <w:rPr>
                <w:rFonts w:hint="eastAsia" w:ascii="宋体" w:hAnsi="宋体" w:eastAsia="宋体" w:cs="宋体"/>
                <w:color w:val="auto"/>
                <w:spacing w:val="24"/>
                <w:w w:val="99"/>
                <w:sz w:val="20"/>
                <w:szCs w:val="20"/>
                <w:lang w:eastAsia="zh-CN"/>
              </w:rPr>
              <w:t>双</w:t>
            </w:r>
            <w:r>
              <w:rPr>
                <w:rFonts w:hint="eastAsia" w:ascii="宋体" w:hAnsi="宋体" w:eastAsia="宋体" w:cs="宋体"/>
                <w:color w:val="auto"/>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tcPr>
          <w:p w14:paraId="055B7F72">
            <w:pPr>
              <w:rPr>
                <w:rFonts w:ascii="宋体" w:hAnsi="宋体" w:eastAsia="宋体" w:cs="宋体"/>
                <w:color w:val="auto"/>
                <w:sz w:val="22"/>
                <w:szCs w:val="22"/>
              </w:rPr>
            </w:pPr>
          </w:p>
        </w:tc>
        <w:tc>
          <w:tcPr>
            <w:tcW w:w="3355" w:type="dxa"/>
            <w:tcBorders>
              <w:top w:val="single" w:color="auto" w:sz="4" w:space="0"/>
              <w:left w:val="single" w:color="auto" w:sz="4" w:space="0"/>
              <w:bottom w:val="single" w:color="auto" w:sz="4" w:space="0"/>
              <w:right w:val="single" w:color="auto" w:sz="4" w:space="0"/>
            </w:tcBorders>
          </w:tcPr>
          <w:p w14:paraId="51ACD8EF">
            <w:pPr>
              <w:pStyle w:val="75"/>
              <w:spacing w:before="133"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《普通照明用双端荧光</w:t>
            </w:r>
            <w:r>
              <w:rPr>
                <w:rFonts w:hint="eastAsia" w:ascii="宋体" w:hAnsi="宋体" w:eastAsia="宋体" w:cs="宋体"/>
                <w:color w:val="auto"/>
                <w:spacing w:val="9"/>
                <w:w w:val="99"/>
                <w:sz w:val="20"/>
                <w:szCs w:val="20"/>
                <w:lang w:eastAsia="zh-CN"/>
              </w:rPr>
              <w:t>灯</w:t>
            </w:r>
            <w:r>
              <w:rPr>
                <w:rFonts w:hint="eastAsia" w:ascii="宋体" w:hAnsi="宋体" w:eastAsia="宋体" w:cs="宋体"/>
                <w:color w:val="auto"/>
                <w:spacing w:val="12"/>
                <w:w w:val="99"/>
                <w:sz w:val="20"/>
                <w:szCs w:val="20"/>
                <w:lang w:eastAsia="zh-CN"/>
              </w:rPr>
              <w:t>能效</w:t>
            </w:r>
            <w:r>
              <w:rPr>
                <w:rFonts w:hint="eastAsia" w:ascii="宋体" w:hAnsi="宋体" w:eastAsia="宋体" w:cs="宋体"/>
                <w:color w:val="auto"/>
                <w:w w:val="99"/>
                <w:sz w:val="20"/>
                <w:szCs w:val="20"/>
                <w:lang w:eastAsia="zh-CN"/>
              </w:rPr>
              <w:t>限定值及</w:t>
            </w:r>
            <w:r>
              <w:rPr>
                <w:rFonts w:hint="eastAsia" w:ascii="宋体" w:hAnsi="宋体" w:eastAsia="宋体" w:cs="宋体"/>
                <w:color w:val="auto"/>
                <w:spacing w:val="2"/>
                <w:w w:val="99"/>
                <w:sz w:val="20"/>
                <w:szCs w:val="20"/>
                <w:lang w:eastAsia="zh-CN"/>
              </w:rPr>
              <w:t>能</w:t>
            </w:r>
            <w:r>
              <w:rPr>
                <w:rFonts w:hint="eastAsia" w:ascii="宋体" w:hAnsi="宋体" w:eastAsia="宋体" w:cs="宋体"/>
                <w:color w:val="auto"/>
                <w:w w:val="99"/>
                <w:sz w:val="20"/>
                <w:szCs w:val="20"/>
                <w:lang w:eastAsia="zh-CN"/>
              </w:rPr>
              <w:t>效等</w:t>
            </w:r>
            <w:r>
              <w:rPr>
                <w:rFonts w:hint="eastAsia" w:ascii="宋体" w:hAnsi="宋体" w:eastAsia="宋体" w:cs="宋体"/>
                <w:color w:val="auto"/>
                <w:spacing w:val="2"/>
                <w:w w:val="99"/>
                <w:sz w:val="20"/>
                <w:szCs w:val="20"/>
                <w:lang w:eastAsia="zh-CN"/>
              </w:rPr>
              <w:t>级</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19</w:t>
            </w:r>
            <w:r>
              <w:rPr>
                <w:rFonts w:hint="eastAsia" w:ascii="宋体" w:hAnsi="宋体" w:eastAsia="宋体" w:cs="宋体"/>
                <w:color w:val="auto"/>
                <w:w w:val="99"/>
                <w:sz w:val="20"/>
                <w:szCs w:val="20"/>
                <w:lang w:eastAsia="zh-CN"/>
              </w:rPr>
              <w:t>04</w:t>
            </w:r>
            <w:r>
              <w:rPr>
                <w:rFonts w:hint="eastAsia" w:ascii="宋体" w:hAnsi="宋体" w:eastAsia="宋体" w:cs="宋体"/>
                <w:color w:val="auto"/>
                <w:spacing w:val="1"/>
                <w:w w:val="99"/>
                <w:sz w:val="20"/>
                <w:szCs w:val="20"/>
                <w:lang w:eastAsia="zh-CN"/>
              </w:rPr>
              <w:t>3</w:t>
            </w:r>
            <w:r>
              <w:rPr>
                <w:rFonts w:hint="eastAsia" w:ascii="宋体" w:hAnsi="宋体" w:eastAsia="宋体" w:cs="宋体"/>
                <w:color w:val="auto"/>
                <w:w w:val="99"/>
                <w:sz w:val="20"/>
                <w:szCs w:val="20"/>
                <w:lang w:eastAsia="zh-CN"/>
              </w:rPr>
              <w:t>）</w:t>
            </w:r>
          </w:p>
        </w:tc>
      </w:tr>
      <w:tr w14:paraId="573C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C17B0B7">
            <w:pPr>
              <w:widowControl/>
              <w:rPr>
                <w:rFonts w:ascii="宋体" w:hAnsi="宋体" w:eastAsia="宋体" w:cs="宋体"/>
                <w:color w:val="auto"/>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42C9A7B4">
            <w:pPr>
              <w:widowControl/>
              <w:rPr>
                <w:rFonts w:ascii="宋体" w:hAnsi="宋体" w:eastAsia="宋体" w:cs="宋体"/>
                <w:color w:val="auto"/>
                <w:sz w:val="20"/>
                <w:szCs w:val="20"/>
              </w:rPr>
            </w:pPr>
          </w:p>
        </w:tc>
        <w:tc>
          <w:tcPr>
            <w:tcW w:w="1800" w:type="dxa"/>
            <w:tcBorders>
              <w:top w:val="single" w:color="auto" w:sz="4" w:space="0"/>
              <w:left w:val="single" w:color="auto" w:sz="4" w:space="0"/>
              <w:bottom w:val="single" w:color="auto" w:sz="4" w:space="0"/>
              <w:right w:val="single" w:color="auto" w:sz="4" w:space="0"/>
            </w:tcBorders>
          </w:tcPr>
          <w:p w14:paraId="342C3FFB">
            <w:pPr>
              <w:pStyle w:val="75"/>
              <w:spacing w:before="92" w:line="283" w:lineRule="auto"/>
              <w:ind w:left="7" w:right="2"/>
              <w:rPr>
                <w:rFonts w:ascii="宋体" w:hAnsi="宋体" w:eastAsia="宋体" w:cs="宋体"/>
                <w:color w:val="auto"/>
                <w:sz w:val="20"/>
                <w:szCs w:val="20"/>
              </w:rPr>
            </w:pPr>
            <w:r>
              <w:rPr>
                <w:rFonts w:hint="eastAsia" w:ascii="宋体" w:hAnsi="宋体" w:eastAsia="宋体" w:cs="宋体"/>
                <w:color w:val="auto"/>
                <w:spacing w:val="1"/>
                <w:w w:val="99"/>
                <w:sz w:val="20"/>
                <w:szCs w:val="20"/>
              </w:rPr>
              <w:t>LE</w:t>
            </w:r>
            <w:r>
              <w:rPr>
                <w:rFonts w:hint="eastAsia" w:ascii="宋体" w:hAnsi="宋体" w:eastAsia="宋体" w:cs="宋体"/>
                <w:color w:val="auto"/>
                <w:w w:val="99"/>
                <w:sz w:val="20"/>
                <w:szCs w:val="20"/>
              </w:rPr>
              <w:t>D</w:t>
            </w:r>
            <w:r>
              <w:rPr>
                <w:rFonts w:hint="eastAsia" w:ascii="宋体" w:hAnsi="宋体" w:eastAsia="宋体" w:cs="宋体"/>
                <w:color w:val="auto"/>
                <w:spacing w:val="12"/>
                <w:w w:val="99"/>
                <w:sz w:val="20"/>
                <w:szCs w:val="20"/>
              </w:rPr>
              <w:t>道</w:t>
            </w:r>
            <w:r>
              <w:rPr>
                <w:rFonts w:hint="eastAsia" w:ascii="宋体" w:hAnsi="宋体" w:eastAsia="宋体" w:cs="宋体"/>
                <w:color w:val="auto"/>
                <w:spacing w:val="9"/>
                <w:w w:val="99"/>
                <w:sz w:val="20"/>
                <w:szCs w:val="20"/>
              </w:rPr>
              <w:t>路</w:t>
            </w:r>
            <w:r>
              <w:rPr>
                <w:rFonts w:hint="eastAsia" w:ascii="宋体" w:hAnsi="宋体" w:eastAsia="宋体" w:cs="宋体"/>
                <w:color w:val="auto"/>
                <w:spacing w:val="13"/>
                <w:w w:val="99"/>
                <w:sz w:val="20"/>
                <w:szCs w:val="20"/>
              </w:rPr>
              <w:t>/</w:t>
            </w:r>
            <w:r>
              <w:rPr>
                <w:rFonts w:hint="eastAsia" w:ascii="宋体" w:hAnsi="宋体" w:eastAsia="宋体" w:cs="宋体"/>
                <w:color w:val="auto"/>
                <w:spacing w:val="12"/>
                <w:w w:val="99"/>
                <w:sz w:val="20"/>
                <w:szCs w:val="20"/>
              </w:rPr>
              <w:t>隧道照</w:t>
            </w:r>
            <w:r>
              <w:rPr>
                <w:rFonts w:hint="eastAsia" w:ascii="宋体" w:hAnsi="宋体" w:eastAsia="宋体" w:cs="宋体"/>
                <w:color w:val="auto"/>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tcPr>
          <w:p w14:paraId="3683C472">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120CBE7A">
            <w:pPr>
              <w:pStyle w:val="75"/>
              <w:spacing w:before="92" w:line="283" w:lineRule="auto"/>
              <w:ind w:left="7" w:right="7"/>
              <w:rPr>
                <w:rFonts w:ascii="宋体" w:hAnsi="宋体" w:eastAsia="宋体" w:cs="宋体"/>
                <w:color w:val="auto"/>
                <w:sz w:val="20"/>
                <w:szCs w:val="20"/>
                <w:lang w:eastAsia="zh-CN"/>
              </w:rPr>
            </w:pPr>
            <w:r>
              <w:rPr>
                <w:rFonts w:hint="eastAsia" w:ascii="宋体" w:hAnsi="宋体" w:eastAsia="宋体" w:cs="宋体"/>
                <w:color w:val="auto"/>
                <w:spacing w:val="4"/>
                <w:w w:val="99"/>
                <w:sz w:val="20"/>
                <w:szCs w:val="20"/>
                <w:lang w:eastAsia="zh-CN"/>
              </w:rPr>
              <w:t>《</w:t>
            </w:r>
            <w:r>
              <w:rPr>
                <w:rFonts w:hint="eastAsia" w:ascii="宋体" w:hAnsi="宋体" w:eastAsia="宋体" w:cs="宋体"/>
                <w:color w:val="auto"/>
                <w:spacing w:val="2"/>
                <w:w w:val="99"/>
                <w:sz w:val="20"/>
                <w:szCs w:val="20"/>
                <w:lang w:eastAsia="zh-CN"/>
              </w:rPr>
              <w:t>道</w:t>
            </w:r>
            <w:r>
              <w:rPr>
                <w:rFonts w:hint="eastAsia" w:ascii="宋体" w:hAnsi="宋体" w:eastAsia="宋体" w:cs="宋体"/>
                <w:color w:val="auto"/>
                <w:spacing w:val="4"/>
                <w:w w:val="99"/>
                <w:sz w:val="20"/>
                <w:szCs w:val="20"/>
                <w:lang w:eastAsia="zh-CN"/>
              </w:rPr>
              <w:t>路和隧道照</w:t>
            </w:r>
            <w:r>
              <w:rPr>
                <w:rFonts w:hint="eastAsia" w:ascii="宋体" w:hAnsi="宋体" w:eastAsia="宋体" w:cs="宋体"/>
                <w:color w:val="auto"/>
                <w:spacing w:val="2"/>
                <w:w w:val="99"/>
                <w:sz w:val="20"/>
                <w:szCs w:val="20"/>
                <w:lang w:eastAsia="zh-CN"/>
              </w:rPr>
              <w:t>明</w:t>
            </w:r>
            <w:r>
              <w:rPr>
                <w:rFonts w:hint="eastAsia" w:ascii="宋体" w:hAnsi="宋体" w:eastAsia="宋体" w:cs="宋体"/>
                <w:color w:val="auto"/>
                <w:w w:val="99"/>
                <w:sz w:val="20"/>
                <w:szCs w:val="20"/>
                <w:lang w:eastAsia="zh-CN"/>
              </w:rPr>
              <w:t>用</w:t>
            </w:r>
            <w:r>
              <w:rPr>
                <w:rFonts w:hint="eastAsia" w:ascii="宋体" w:hAnsi="宋体" w:eastAsia="宋体" w:cs="宋体"/>
                <w:color w:val="auto"/>
                <w:spacing w:val="1"/>
                <w:w w:val="99"/>
                <w:sz w:val="20"/>
                <w:szCs w:val="20"/>
                <w:lang w:eastAsia="zh-CN"/>
              </w:rPr>
              <w:t>LE</w:t>
            </w:r>
            <w:r>
              <w:rPr>
                <w:rFonts w:hint="eastAsia" w:ascii="宋体" w:hAnsi="宋体" w:eastAsia="宋体" w:cs="宋体"/>
                <w:color w:val="auto"/>
                <w:w w:val="99"/>
                <w:sz w:val="20"/>
                <w:szCs w:val="20"/>
                <w:lang w:eastAsia="zh-CN"/>
              </w:rPr>
              <w:t>D</w:t>
            </w:r>
            <w:r>
              <w:rPr>
                <w:rFonts w:hint="eastAsia" w:ascii="宋体" w:hAnsi="宋体" w:eastAsia="宋体" w:cs="宋体"/>
                <w:color w:val="auto"/>
                <w:spacing w:val="4"/>
                <w:w w:val="99"/>
                <w:sz w:val="20"/>
                <w:szCs w:val="20"/>
                <w:lang w:eastAsia="zh-CN"/>
              </w:rPr>
              <w:t>灯</w:t>
            </w:r>
            <w:r>
              <w:rPr>
                <w:rFonts w:hint="eastAsia" w:ascii="宋体" w:hAnsi="宋体" w:eastAsia="宋体" w:cs="宋体"/>
                <w:color w:val="auto"/>
                <w:spacing w:val="2"/>
                <w:w w:val="99"/>
                <w:sz w:val="20"/>
                <w:szCs w:val="20"/>
                <w:lang w:eastAsia="zh-CN"/>
              </w:rPr>
              <w:t>具</w:t>
            </w:r>
            <w:r>
              <w:rPr>
                <w:rFonts w:hint="eastAsia" w:ascii="宋体" w:hAnsi="宋体" w:eastAsia="宋体" w:cs="宋体"/>
                <w:color w:val="auto"/>
                <w:w w:val="99"/>
                <w:sz w:val="20"/>
                <w:szCs w:val="20"/>
                <w:lang w:eastAsia="zh-CN"/>
              </w:rPr>
              <w:t>能效限定</w:t>
            </w:r>
            <w:r>
              <w:rPr>
                <w:rFonts w:hint="eastAsia" w:ascii="宋体" w:hAnsi="宋体" w:eastAsia="宋体" w:cs="宋体"/>
                <w:color w:val="auto"/>
                <w:spacing w:val="2"/>
                <w:w w:val="99"/>
                <w:sz w:val="20"/>
                <w:szCs w:val="20"/>
                <w:lang w:eastAsia="zh-CN"/>
              </w:rPr>
              <w:t>值</w:t>
            </w:r>
            <w:r>
              <w:rPr>
                <w:rFonts w:hint="eastAsia" w:ascii="宋体" w:hAnsi="宋体" w:eastAsia="宋体" w:cs="宋体"/>
                <w:color w:val="auto"/>
                <w:w w:val="99"/>
                <w:sz w:val="20"/>
                <w:szCs w:val="20"/>
                <w:lang w:eastAsia="zh-CN"/>
              </w:rPr>
              <w:t>及能</w:t>
            </w:r>
            <w:r>
              <w:rPr>
                <w:rFonts w:hint="eastAsia" w:ascii="宋体" w:hAnsi="宋体" w:eastAsia="宋体" w:cs="宋体"/>
                <w:color w:val="auto"/>
                <w:spacing w:val="2"/>
                <w:w w:val="99"/>
                <w:sz w:val="20"/>
                <w:szCs w:val="20"/>
                <w:lang w:eastAsia="zh-CN"/>
              </w:rPr>
              <w:t>效</w:t>
            </w:r>
            <w:r>
              <w:rPr>
                <w:rFonts w:hint="eastAsia" w:ascii="宋体" w:hAnsi="宋体" w:eastAsia="宋体" w:cs="宋体"/>
                <w:color w:val="auto"/>
                <w:w w:val="99"/>
                <w:sz w:val="20"/>
                <w:szCs w:val="20"/>
                <w:lang w:eastAsia="zh-CN"/>
              </w:rPr>
              <w:t>等级</w:t>
            </w:r>
            <w:r>
              <w:rPr>
                <w:rFonts w:hint="eastAsia" w:ascii="宋体" w:hAnsi="宋体" w:eastAsia="宋体" w:cs="宋体"/>
                <w:color w:val="auto"/>
                <w:spacing w:val="-106"/>
                <w:w w:val="99"/>
                <w:sz w:val="20"/>
                <w:szCs w:val="20"/>
                <w:lang w:eastAsia="zh-CN"/>
              </w:rPr>
              <w:t>》</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3747</w:t>
            </w:r>
            <w:r>
              <w:rPr>
                <w:rFonts w:hint="eastAsia" w:ascii="宋体" w:hAnsi="宋体" w:eastAsia="宋体" w:cs="宋体"/>
                <w:color w:val="auto"/>
                <w:w w:val="99"/>
                <w:sz w:val="20"/>
                <w:szCs w:val="20"/>
                <w:lang w:eastAsia="zh-CN"/>
              </w:rPr>
              <w:t>8</w:t>
            </w:r>
          </w:p>
        </w:tc>
      </w:tr>
      <w:tr w14:paraId="1352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61CCF8F7">
            <w:pPr>
              <w:widowControl/>
              <w:rPr>
                <w:rFonts w:ascii="宋体" w:hAnsi="宋体" w:eastAsia="宋体" w:cs="宋体"/>
                <w:color w:val="auto"/>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7764604C">
            <w:pPr>
              <w:widowControl/>
              <w:rPr>
                <w:rFonts w:ascii="宋体" w:hAnsi="宋体" w:eastAsia="宋体" w:cs="宋体"/>
                <w:color w:val="auto"/>
                <w:sz w:val="20"/>
                <w:szCs w:val="20"/>
              </w:rPr>
            </w:pPr>
          </w:p>
        </w:tc>
        <w:tc>
          <w:tcPr>
            <w:tcW w:w="1800" w:type="dxa"/>
            <w:tcBorders>
              <w:top w:val="single" w:color="auto" w:sz="4" w:space="0"/>
              <w:left w:val="single" w:color="auto" w:sz="4" w:space="0"/>
              <w:bottom w:val="single" w:color="auto" w:sz="4" w:space="0"/>
              <w:right w:val="single" w:color="auto" w:sz="4" w:space="0"/>
            </w:tcBorders>
          </w:tcPr>
          <w:p w14:paraId="7ED2B2B0">
            <w:pPr>
              <w:pStyle w:val="75"/>
              <w:spacing w:before="4"/>
              <w:rPr>
                <w:rFonts w:ascii="宋体" w:hAnsi="宋体" w:eastAsia="宋体" w:cs="宋体"/>
                <w:color w:val="auto"/>
                <w:sz w:val="18"/>
                <w:szCs w:val="18"/>
                <w:lang w:eastAsia="zh-CN"/>
              </w:rPr>
            </w:pPr>
          </w:p>
          <w:p w14:paraId="4F762BA8">
            <w:pPr>
              <w:pStyle w:val="75"/>
              <w:ind w:left="7"/>
              <w:rPr>
                <w:rFonts w:ascii="宋体" w:hAnsi="宋体" w:eastAsia="宋体" w:cs="宋体"/>
                <w:color w:val="auto"/>
                <w:sz w:val="20"/>
                <w:szCs w:val="20"/>
              </w:rPr>
            </w:pPr>
            <w:r>
              <w:rPr>
                <w:rFonts w:hint="eastAsia" w:ascii="宋体" w:hAnsi="宋体" w:eastAsia="宋体" w:cs="宋体"/>
                <w:color w:val="auto"/>
                <w:spacing w:val="1"/>
                <w:w w:val="99"/>
                <w:sz w:val="20"/>
                <w:szCs w:val="20"/>
              </w:rPr>
              <w:t>LE</w:t>
            </w:r>
            <w:r>
              <w:rPr>
                <w:rFonts w:hint="eastAsia" w:ascii="宋体" w:hAnsi="宋体" w:eastAsia="宋体" w:cs="宋体"/>
                <w:color w:val="auto"/>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tcPr>
          <w:p w14:paraId="644FC448">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0961E821">
            <w:pPr>
              <w:pStyle w:val="75"/>
              <w:spacing w:before="83" w:line="283" w:lineRule="auto"/>
              <w:ind w:left="7" w:right="7"/>
              <w:rPr>
                <w:rFonts w:ascii="宋体" w:hAnsi="宋体" w:eastAsia="宋体" w:cs="宋体"/>
                <w:color w:val="auto"/>
                <w:sz w:val="20"/>
                <w:szCs w:val="20"/>
                <w:lang w:eastAsia="zh-CN"/>
              </w:rPr>
            </w:pPr>
            <w:r>
              <w:rPr>
                <w:rFonts w:hint="eastAsia" w:ascii="宋体" w:hAnsi="宋体" w:eastAsia="宋体" w:cs="宋体"/>
                <w:color w:val="auto"/>
                <w:spacing w:val="4"/>
                <w:w w:val="99"/>
                <w:sz w:val="20"/>
                <w:szCs w:val="20"/>
                <w:lang w:eastAsia="zh-CN"/>
              </w:rPr>
              <w:t>《</w:t>
            </w:r>
            <w:r>
              <w:rPr>
                <w:rFonts w:hint="eastAsia" w:ascii="宋体" w:hAnsi="宋体" w:eastAsia="宋体" w:cs="宋体"/>
                <w:color w:val="auto"/>
                <w:spacing w:val="2"/>
                <w:w w:val="99"/>
                <w:sz w:val="20"/>
                <w:szCs w:val="20"/>
                <w:lang w:eastAsia="zh-CN"/>
              </w:rPr>
              <w:t>室</w:t>
            </w:r>
            <w:r>
              <w:rPr>
                <w:rFonts w:hint="eastAsia" w:ascii="宋体" w:hAnsi="宋体" w:eastAsia="宋体" w:cs="宋体"/>
                <w:color w:val="auto"/>
                <w:spacing w:val="4"/>
                <w:w w:val="99"/>
                <w:sz w:val="20"/>
                <w:szCs w:val="20"/>
                <w:lang w:eastAsia="zh-CN"/>
              </w:rPr>
              <w:t>内照明</w:t>
            </w:r>
            <w:r>
              <w:rPr>
                <w:rFonts w:hint="eastAsia" w:ascii="宋体" w:hAnsi="宋体" w:eastAsia="宋体" w:cs="宋体"/>
                <w:color w:val="auto"/>
                <w:w w:val="99"/>
                <w:sz w:val="20"/>
                <w:szCs w:val="20"/>
                <w:lang w:eastAsia="zh-CN"/>
              </w:rPr>
              <w:t>用</w:t>
            </w:r>
            <w:r>
              <w:rPr>
                <w:rFonts w:hint="eastAsia" w:ascii="宋体" w:hAnsi="宋体" w:eastAsia="宋体" w:cs="宋体"/>
                <w:color w:val="auto"/>
                <w:spacing w:val="1"/>
                <w:w w:val="99"/>
                <w:sz w:val="20"/>
                <w:szCs w:val="20"/>
                <w:lang w:eastAsia="zh-CN"/>
              </w:rPr>
              <w:t>LE</w:t>
            </w:r>
            <w:r>
              <w:rPr>
                <w:rFonts w:hint="eastAsia" w:ascii="宋体" w:hAnsi="宋体" w:eastAsia="宋体" w:cs="宋体"/>
                <w:color w:val="auto"/>
                <w:w w:val="99"/>
                <w:sz w:val="20"/>
                <w:szCs w:val="20"/>
                <w:lang w:eastAsia="zh-CN"/>
              </w:rPr>
              <w:t>D</w:t>
            </w:r>
            <w:r>
              <w:rPr>
                <w:rFonts w:hint="eastAsia" w:ascii="宋体" w:hAnsi="宋体" w:eastAsia="宋体" w:cs="宋体"/>
                <w:color w:val="auto"/>
                <w:spacing w:val="4"/>
                <w:w w:val="99"/>
                <w:sz w:val="20"/>
                <w:szCs w:val="20"/>
                <w:lang w:eastAsia="zh-CN"/>
              </w:rPr>
              <w:t>产</w:t>
            </w:r>
            <w:r>
              <w:rPr>
                <w:rFonts w:hint="eastAsia" w:ascii="宋体" w:hAnsi="宋体" w:eastAsia="宋体" w:cs="宋体"/>
                <w:color w:val="auto"/>
                <w:spacing w:val="2"/>
                <w:w w:val="99"/>
                <w:sz w:val="20"/>
                <w:szCs w:val="20"/>
                <w:lang w:eastAsia="zh-CN"/>
              </w:rPr>
              <w:t>品</w:t>
            </w:r>
            <w:r>
              <w:rPr>
                <w:rFonts w:hint="eastAsia" w:ascii="宋体" w:hAnsi="宋体" w:eastAsia="宋体" w:cs="宋体"/>
                <w:color w:val="auto"/>
                <w:spacing w:val="4"/>
                <w:w w:val="99"/>
                <w:sz w:val="20"/>
                <w:szCs w:val="20"/>
                <w:lang w:eastAsia="zh-CN"/>
              </w:rPr>
              <w:t>能效</w:t>
            </w:r>
            <w:r>
              <w:rPr>
                <w:rFonts w:hint="eastAsia" w:ascii="宋体" w:hAnsi="宋体" w:eastAsia="宋体" w:cs="宋体"/>
                <w:color w:val="auto"/>
                <w:spacing w:val="2"/>
                <w:w w:val="99"/>
                <w:sz w:val="20"/>
                <w:szCs w:val="20"/>
                <w:lang w:eastAsia="zh-CN"/>
              </w:rPr>
              <w:t>限</w:t>
            </w:r>
            <w:r>
              <w:rPr>
                <w:rFonts w:hint="eastAsia" w:ascii="宋体" w:hAnsi="宋体" w:eastAsia="宋体" w:cs="宋体"/>
                <w:color w:val="auto"/>
                <w:w w:val="99"/>
                <w:sz w:val="20"/>
                <w:szCs w:val="20"/>
                <w:lang w:eastAsia="zh-CN"/>
              </w:rPr>
              <w:t>定值及能</w:t>
            </w:r>
            <w:r>
              <w:rPr>
                <w:rFonts w:hint="eastAsia" w:ascii="宋体" w:hAnsi="宋体" w:eastAsia="宋体" w:cs="宋体"/>
                <w:color w:val="auto"/>
                <w:spacing w:val="2"/>
                <w:w w:val="99"/>
                <w:sz w:val="20"/>
                <w:szCs w:val="20"/>
                <w:lang w:eastAsia="zh-CN"/>
              </w:rPr>
              <w:t>效</w:t>
            </w:r>
            <w:r>
              <w:rPr>
                <w:rFonts w:hint="eastAsia" w:ascii="宋体" w:hAnsi="宋体" w:eastAsia="宋体" w:cs="宋体"/>
                <w:color w:val="auto"/>
                <w:w w:val="99"/>
                <w:sz w:val="20"/>
                <w:szCs w:val="20"/>
                <w:lang w:eastAsia="zh-CN"/>
              </w:rPr>
              <w:t>等级</w:t>
            </w:r>
            <w:r>
              <w:rPr>
                <w:rFonts w:hint="eastAsia" w:ascii="宋体" w:hAnsi="宋体" w:eastAsia="宋体" w:cs="宋体"/>
                <w:color w:val="auto"/>
                <w:spacing w:val="2"/>
                <w:w w:val="99"/>
                <w:sz w:val="20"/>
                <w:szCs w:val="20"/>
                <w:lang w:eastAsia="zh-CN"/>
              </w:rPr>
              <w:t>》</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30</w:t>
            </w:r>
            <w:r>
              <w:rPr>
                <w:rFonts w:hint="eastAsia" w:ascii="宋体" w:hAnsi="宋体" w:eastAsia="宋体" w:cs="宋体"/>
                <w:color w:val="auto"/>
                <w:w w:val="99"/>
                <w:sz w:val="20"/>
                <w:szCs w:val="20"/>
                <w:lang w:eastAsia="zh-CN"/>
              </w:rPr>
              <w:t>25</w:t>
            </w:r>
            <w:r>
              <w:rPr>
                <w:rFonts w:hint="eastAsia" w:ascii="宋体" w:hAnsi="宋体" w:eastAsia="宋体" w:cs="宋体"/>
                <w:color w:val="auto"/>
                <w:spacing w:val="-2"/>
                <w:w w:val="99"/>
                <w:sz w:val="20"/>
                <w:szCs w:val="20"/>
                <w:lang w:eastAsia="zh-CN"/>
              </w:rPr>
              <w:t>5</w:t>
            </w:r>
            <w:r>
              <w:rPr>
                <w:rFonts w:hint="eastAsia" w:ascii="宋体" w:hAnsi="宋体" w:eastAsia="宋体" w:cs="宋体"/>
                <w:color w:val="auto"/>
                <w:w w:val="99"/>
                <w:sz w:val="20"/>
                <w:szCs w:val="20"/>
                <w:lang w:eastAsia="zh-CN"/>
              </w:rPr>
              <w:t>）</w:t>
            </w:r>
          </w:p>
        </w:tc>
      </w:tr>
      <w:tr w14:paraId="118E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6641BF60">
            <w:pPr>
              <w:widowControl/>
              <w:rPr>
                <w:rFonts w:ascii="宋体" w:hAnsi="宋体" w:eastAsia="宋体" w:cs="宋体"/>
                <w:color w:val="auto"/>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5A2BB38A">
            <w:pPr>
              <w:widowControl/>
              <w:rPr>
                <w:rFonts w:ascii="宋体" w:hAnsi="宋体" w:eastAsia="宋体" w:cs="宋体"/>
                <w:color w:val="auto"/>
                <w:sz w:val="20"/>
                <w:szCs w:val="20"/>
              </w:rPr>
            </w:pPr>
          </w:p>
        </w:tc>
        <w:tc>
          <w:tcPr>
            <w:tcW w:w="1800" w:type="dxa"/>
            <w:tcBorders>
              <w:top w:val="single" w:color="auto" w:sz="4" w:space="0"/>
              <w:left w:val="single" w:color="auto" w:sz="4" w:space="0"/>
              <w:bottom w:val="single" w:color="auto" w:sz="4" w:space="0"/>
              <w:right w:val="single" w:color="auto" w:sz="4" w:space="0"/>
            </w:tcBorders>
          </w:tcPr>
          <w:p w14:paraId="24B54DE9">
            <w:pPr>
              <w:pStyle w:val="75"/>
              <w:spacing w:line="283" w:lineRule="auto"/>
              <w:ind w:right="7"/>
              <w:rPr>
                <w:rFonts w:ascii="宋体" w:hAnsi="宋体" w:eastAsia="宋体" w:cs="宋体"/>
                <w:color w:val="auto"/>
                <w:sz w:val="20"/>
                <w:szCs w:val="20"/>
                <w:lang w:eastAsia="zh-CN"/>
              </w:rPr>
            </w:pPr>
            <w:r>
              <w:rPr>
                <w:rFonts w:hint="eastAsia" w:ascii="宋体" w:hAnsi="宋体" w:eastAsia="宋体" w:cs="宋体"/>
                <w:color w:val="auto"/>
                <w:w w:val="99"/>
                <w:sz w:val="20"/>
                <w:szCs w:val="20"/>
                <w:lang w:eastAsia="zh-CN"/>
              </w:rPr>
              <w:t>普</w:t>
            </w:r>
            <w:r>
              <w:rPr>
                <w:rFonts w:hint="eastAsia" w:ascii="宋体" w:hAnsi="宋体" w:eastAsia="宋体" w:cs="宋体"/>
                <w:color w:val="auto"/>
                <w:spacing w:val="24"/>
                <w:w w:val="99"/>
                <w:sz w:val="20"/>
                <w:szCs w:val="20"/>
                <w:lang w:eastAsia="zh-CN"/>
              </w:rPr>
              <w:t>通</w:t>
            </w:r>
            <w:r>
              <w:rPr>
                <w:rFonts w:hint="eastAsia" w:ascii="宋体" w:hAnsi="宋体" w:eastAsia="宋体" w:cs="宋体"/>
                <w:color w:val="auto"/>
                <w:w w:val="99"/>
                <w:sz w:val="20"/>
                <w:szCs w:val="20"/>
                <w:lang w:eastAsia="zh-CN"/>
              </w:rPr>
              <w:t>照明用非</w:t>
            </w:r>
            <w:r>
              <w:rPr>
                <w:rFonts w:hint="eastAsia" w:ascii="宋体" w:hAnsi="宋体" w:eastAsia="宋体" w:cs="宋体"/>
                <w:color w:val="auto"/>
                <w:spacing w:val="24"/>
                <w:w w:val="99"/>
                <w:sz w:val="20"/>
                <w:szCs w:val="20"/>
                <w:lang w:eastAsia="zh-CN"/>
              </w:rPr>
              <w:t>定</w:t>
            </w:r>
            <w:r>
              <w:rPr>
                <w:rFonts w:hint="eastAsia" w:ascii="宋体" w:hAnsi="宋体" w:eastAsia="宋体" w:cs="宋体"/>
                <w:color w:val="auto"/>
                <w:w w:val="99"/>
                <w:sz w:val="20"/>
                <w:szCs w:val="20"/>
                <w:lang w:eastAsia="zh-CN"/>
              </w:rPr>
              <w:t>向自镇流</w:t>
            </w:r>
            <w:r>
              <w:rPr>
                <w:rFonts w:hint="eastAsia" w:ascii="宋体" w:hAnsi="宋体" w:eastAsia="宋体" w:cs="宋体"/>
                <w:color w:val="auto"/>
                <w:spacing w:val="1"/>
                <w:w w:val="99"/>
                <w:sz w:val="20"/>
                <w:szCs w:val="20"/>
                <w:lang w:eastAsia="zh-CN"/>
              </w:rPr>
              <w:t>LE</w:t>
            </w:r>
            <w:r>
              <w:rPr>
                <w:rFonts w:hint="eastAsia" w:ascii="宋体" w:hAnsi="宋体" w:eastAsia="宋体" w:cs="宋体"/>
                <w:color w:val="auto"/>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tcPr>
          <w:p w14:paraId="48EF98DA">
            <w:pPr>
              <w:rPr>
                <w:rFonts w:ascii="宋体" w:hAnsi="宋体" w:eastAsia="宋体" w:cs="宋体"/>
                <w:color w:val="auto"/>
                <w:sz w:val="22"/>
                <w:szCs w:val="22"/>
              </w:rPr>
            </w:pPr>
          </w:p>
        </w:tc>
        <w:tc>
          <w:tcPr>
            <w:tcW w:w="3355" w:type="dxa"/>
            <w:tcBorders>
              <w:top w:val="single" w:color="auto" w:sz="4" w:space="0"/>
              <w:left w:val="single" w:color="auto" w:sz="4" w:space="0"/>
              <w:bottom w:val="single" w:color="auto" w:sz="4" w:space="0"/>
              <w:right w:val="single" w:color="auto" w:sz="4" w:space="0"/>
            </w:tcBorders>
          </w:tcPr>
          <w:p w14:paraId="58DE6DB6">
            <w:pPr>
              <w:pStyle w:val="75"/>
              <w:spacing w:line="283" w:lineRule="auto"/>
              <w:ind w:right="7"/>
              <w:rPr>
                <w:rFonts w:ascii="宋体" w:hAnsi="宋体" w:eastAsia="宋体" w:cs="宋体"/>
                <w:color w:val="auto"/>
                <w:sz w:val="20"/>
                <w:szCs w:val="20"/>
                <w:lang w:eastAsia="zh-CN"/>
              </w:rPr>
            </w:pPr>
            <w:r>
              <w:rPr>
                <w:rFonts w:hint="eastAsia" w:ascii="宋体" w:hAnsi="宋体" w:eastAsia="宋体" w:cs="宋体"/>
                <w:color w:val="auto"/>
                <w:spacing w:val="4"/>
                <w:w w:val="99"/>
                <w:sz w:val="20"/>
                <w:szCs w:val="20"/>
                <w:lang w:eastAsia="zh-CN"/>
              </w:rPr>
              <w:t>《</w:t>
            </w:r>
            <w:r>
              <w:rPr>
                <w:rFonts w:hint="eastAsia" w:ascii="宋体" w:hAnsi="宋体" w:eastAsia="宋体" w:cs="宋体"/>
                <w:color w:val="auto"/>
                <w:spacing w:val="2"/>
                <w:w w:val="99"/>
                <w:sz w:val="20"/>
                <w:szCs w:val="20"/>
                <w:lang w:eastAsia="zh-CN"/>
              </w:rPr>
              <w:t>室</w:t>
            </w:r>
            <w:r>
              <w:rPr>
                <w:rFonts w:hint="eastAsia" w:ascii="宋体" w:hAnsi="宋体" w:eastAsia="宋体" w:cs="宋体"/>
                <w:color w:val="auto"/>
                <w:spacing w:val="4"/>
                <w:w w:val="99"/>
                <w:sz w:val="20"/>
                <w:szCs w:val="20"/>
                <w:lang w:eastAsia="zh-CN"/>
              </w:rPr>
              <w:t>内照明</w:t>
            </w:r>
            <w:r>
              <w:rPr>
                <w:rFonts w:hint="eastAsia" w:ascii="宋体" w:hAnsi="宋体" w:eastAsia="宋体" w:cs="宋体"/>
                <w:color w:val="auto"/>
                <w:w w:val="99"/>
                <w:sz w:val="20"/>
                <w:szCs w:val="20"/>
                <w:lang w:eastAsia="zh-CN"/>
              </w:rPr>
              <w:t>用</w:t>
            </w:r>
            <w:r>
              <w:rPr>
                <w:rFonts w:hint="eastAsia" w:ascii="宋体" w:hAnsi="宋体" w:eastAsia="宋体" w:cs="宋体"/>
                <w:color w:val="auto"/>
                <w:spacing w:val="1"/>
                <w:w w:val="99"/>
                <w:sz w:val="20"/>
                <w:szCs w:val="20"/>
                <w:lang w:eastAsia="zh-CN"/>
              </w:rPr>
              <w:t>LE</w:t>
            </w:r>
            <w:r>
              <w:rPr>
                <w:rFonts w:hint="eastAsia" w:ascii="宋体" w:hAnsi="宋体" w:eastAsia="宋体" w:cs="宋体"/>
                <w:color w:val="auto"/>
                <w:w w:val="99"/>
                <w:sz w:val="20"/>
                <w:szCs w:val="20"/>
                <w:lang w:eastAsia="zh-CN"/>
              </w:rPr>
              <w:t>D</w:t>
            </w:r>
            <w:r>
              <w:rPr>
                <w:rFonts w:hint="eastAsia" w:ascii="宋体" w:hAnsi="宋体" w:eastAsia="宋体" w:cs="宋体"/>
                <w:color w:val="auto"/>
                <w:spacing w:val="4"/>
                <w:w w:val="99"/>
                <w:sz w:val="20"/>
                <w:szCs w:val="20"/>
                <w:lang w:eastAsia="zh-CN"/>
              </w:rPr>
              <w:t>产</w:t>
            </w:r>
            <w:r>
              <w:rPr>
                <w:rFonts w:hint="eastAsia" w:ascii="宋体" w:hAnsi="宋体" w:eastAsia="宋体" w:cs="宋体"/>
                <w:color w:val="auto"/>
                <w:spacing w:val="2"/>
                <w:w w:val="99"/>
                <w:sz w:val="20"/>
                <w:szCs w:val="20"/>
                <w:lang w:eastAsia="zh-CN"/>
              </w:rPr>
              <w:t>品</w:t>
            </w:r>
            <w:r>
              <w:rPr>
                <w:rFonts w:hint="eastAsia" w:ascii="宋体" w:hAnsi="宋体" w:eastAsia="宋体" w:cs="宋体"/>
                <w:color w:val="auto"/>
                <w:spacing w:val="4"/>
                <w:w w:val="99"/>
                <w:sz w:val="20"/>
                <w:szCs w:val="20"/>
                <w:lang w:eastAsia="zh-CN"/>
              </w:rPr>
              <w:t>能效</w:t>
            </w:r>
            <w:r>
              <w:rPr>
                <w:rFonts w:hint="eastAsia" w:ascii="宋体" w:hAnsi="宋体" w:eastAsia="宋体" w:cs="宋体"/>
                <w:color w:val="auto"/>
                <w:spacing w:val="2"/>
                <w:w w:val="99"/>
                <w:sz w:val="20"/>
                <w:szCs w:val="20"/>
                <w:lang w:eastAsia="zh-CN"/>
              </w:rPr>
              <w:t>限</w:t>
            </w:r>
            <w:r>
              <w:rPr>
                <w:rFonts w:hint="eastAsia" w:ascii="宋体" w:hAnsi="宋体" w:eastAsia="宋体" w:cs="宋体"/>
                <w:color w:val="auto"/>
                <w:w w:val="99"/>
                <w:sz w:val="20"/>
                <w:szCs w:val="20"/>
                <w:lang w:eastAsia="zh-CN"/>
              </w:rPr>
              <w:t>定值及能</w:t>
            </w:r>
            <w:r>
              <w:rPr>
                <w:rFonts w:hint="eastAsia" w:ascii="宋体" w:hAnsi="宋体" w:eastAsia="宋体" w:cs="宋体"/>
                <w:color w:val="auto"/>
                <w:spacing w:val="2"/>
                <w:w w:val="99"/>
                <w:sz w:val="20"/>
                <w:szCs w:val="20"/>
                <w:lang w:eastAsia="zh-CN"/>
              </w:rPr>
              <w:t>效</w:t>
            </w:r>
            <w:r>
              <w:rPr>
                <w:rFonts w:hint="eastAsia" w:ascii="宋体" w:hAnsi="宋体" w:eastAsia="宋体" w:cs="宋体"/>
                <w:color w:val="auto"/>
                <w:w w:val="99"/>
                <w:sz w:val="20"/>
                <w:szCs w:val="20"/>
                <w:lang w:eastAsia="zh-CN"/>
              </w:rPr>
              <w:t>等级</w:t>
            </w:r>
            <w:r>
              <w:rPr>
                <w:rFonts w:hint="eastAsia" w:ascii="宋体" w:hAnsi="宋体" w:eastAsia="宋体" w:cs="宋体"/>
                <w:color w:val="auto"/>
                <w:spacing w:val="2"/>
                <w:w w:val="99"/>
                <w:sz w:val="20"/>
                <w:szCs w:val="20"/>
                <w:lang w:eastAsia="zh-CN"/>
              </w:rPr>
              <w:t>》</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30</w:t>
            </w:r>
            <w:r>
              <w:rPr>
                <w:rFonts w:hint="eastAsia" w:ascii="宋体" w:hAnsi="宋体" w:eastAsia="宋体" w:cs="宋体"/>
                <w:color w:val="auto"/>
                <w:w w:val="99"/>
                <w:sz w:val="20"/>
                <w:szCs w:val="20"/>
                <w:lang w:eastAsia="zh-CN"/>
              </w:rPr>
              <w:t>25</w:t>
            </w:r>
            <w:r>
              <w:rPr>
                <w:rFonts w:hint="eastAsia" w:ascii="宋体" w:hAnsi="宋体" w:eastAsia="宋体" w:cs="宋体"/>
                <w:color w:val="auto"/>
                <w:spacing w:val="-2"/>
                <w:w w:val="99"/>
                <w:sz w:val="20"/>
                <w:szCs w:val="20"/>
                <w:lang w:eastAsia="zh-CN"/>
              </w:rPr>
              <w:t>5</w:t>
            </w:r>
            <w:r>
              <w:rPr>
                <w:rFonts w:hint="eastAsia" w:ascii="宋体" w:hAnsi="宋体" w:eastAsia="宋体" w:cs="宋体"/>
                <w:color w:val="auto"/>
                <w:w w:val="99"/>
                <w:sz w:val="20"/>
                <w:szCs w:val="20"/>
                <w:lang w:eastAsia="zh-CN"/>
              </w:rPr>
              <w:t>）</w:t>
            </w:r>
          </w:p>
        </w:tc>
      </w:tr>
      <w:tr w14:paraId="767F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jc w:val="center"/>
        </w:trPr>
        <w:tc>
          <w:tcPr>
            <w:tcW w:w="574" w:type="dxa"/>
            <w:tcBorders>
              <w:top w:val="single" w:color="auto" w:sz="4" w:space="0"/>
              <w:left w:val="single" w:color="auto" w:sz="4" w:space="0"/>
              <w:bottom w:val="single" w:color="auto" w:sz="4" w:space="0"/>
              <w:right w:val="single" w:color="auto" w:sz="4" w:space="0"/>
            </w:tcBorders>
          </w:tcPr>
          <w:p w14:paraId="6568479A">
            <w:pPr>
              <w:pStyle w:val="75"/>
              <w:spacing w:before="1"/>
              <w:rPr>
                <w:rFonts w:ascii="宋体" w:hAnsi="宋体" w:eastAsia="宋体" w:cs="宋体"/>
                <w:color w:val="auto"/>
                <w:sz w:val="18"/>
                <w:szCs w:val="18"/>
                <w:lang w:eastAsia="zh-CN"/>
              </w:rPr>
            </w:pPr>
          </w:p>
          <w:p w14:paraId="450F5EB3">
            <w:pPr>
              <w:pStyle w:val="75"/>
              <w:ind w:left="182"/>
              <w:rPr>
                <w:rFonts w:ascii="宋体" w:hAnsi="宋体" w:eastAsia="宋体" w:cs="宋体"/>
                <w:color w:val="auto"/>
                <w:sz w:val="20"/>
                <w:szCs w:val="20"/>
              </w:rPr>
            </w:pPr>
            <w:r>
              <w:rPr>
                <w:rFonts w:hint="eastAsia" w:ascii="宋体" w:hAnsi="宋体" w:eastAsia="宋体" w:cs="宋体"/>
                <w:color w:val="auto"/>
                <w:spacing w:val="1"/>
                <w:w w:val="99"/>
                <w:sz w:val="20"/>
              </w:rPr>
              <w:t>1</w:t>
            </w:r>
            <w:r>
              <w:rPr>
                <w:rFonts w:hint="eastAsia" w:ascii="宋体" w:hAnsi="宋体" w:eastAsia="宋体" w:cs="宋体"/>
                <w:color w:val="auto"/>
                <w:w w:val="99"/>
                <w:sz w:val="20"/>
              </w:rPr>
              <w:t>2</w:t>
            </w:r>
          </w:p>
        </w:tc>
        <w:tc>
          <w:tcPr>
            <w:tcW w:w="1166" w:type="dxa"/>
            <w:tcBorders>
              <w:top w:val="single" w:color="auto" w:sz="4" w:space="0"/>
              <w:left w:val="single" w:color="auto" w:sz="4" w:space="0"/>
              <w:bottom w:val="single" w:color="auto" w:sz="4" w:space="0"/>
              <w:right w:val="single" w:color="auto" w:sz="4" w:space="0"/>
            </w:tcBorders>
          </w:tcPr>
          <w:p w14:paraId="7BD1DC41">
            <w:pPr>
              <w:pStyle w:val="75"/>
              <w:spacing w:before="81"/>
              <w:ind w:left="7"/>
              <w:rPr>
                <w:rFonts w:ascii="宋体" w:hAnsi="宋体" w:eastAsia="宋体" w:cs="宋体"/>
                <w:color w:val="auto"/>
                <w:sz w:val="20"/>
                <w:szCs w:val="20"/>
              </w:rPr>
            </w:pPr>
            <w:r>
              <w:rPr>
                <w:rFonts w:hint="eastAsia" w:ascii="宋体" w:hAnsi="宋体" w:eastAsia="宋体" w:cs="宋体"/>
                <w:color w:val="auto"/>
                <w:w w:val="99"/>
                <w:sz w:val="20"/>
                <w:szCs w:val="20"/>
              </w:rPr>
              <w:t>★</w:t>
            </w:r>
            <w:r>
              <w:rPr>
                <w:rFonts w:hint="eastAsia" w:ascii="宋体" w:hAnsi="宋体" w:eastAsia="宋体" w:cs="宋体"/>
                <w:color w:val="auto"/>
                <w:spacing w:val="1"/>
                <w:w w:val="99"/>
                <w:sz w:val="20"/>
                <w:szCs w:val="20"/>
              </w:rPr>
              <w:t>A020</w:t>
            </w:r>
            <w:r>
              <w:rPr>
                <w:rFonts w:hint="eastAsia" w:ascii="宋体" w:hAnsi="宋体" w:eastAsia="宋体" w:cs="宋体"/>
                <w:color w:val="auto"/>
                <w:w w:val="99"/>
                <w:sz w:val="20"/>
                <w:szCs w:val="20"/>
              </w:rPr>
              <w:t>910电</w:t>
            </w:r>
          </w:p>
          <w:p w14:paraId="5D157BB1">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tcPr>
          <w:p w14:paraId="2CE11676">
            <w:pPr>
              <w:pStyle w:val="75"/>
              <w:spacing w:before="81" w:line="283" w:lineRule="auto"/>
              <w:ind w:left="7" w:right="5"/>
              <w:rPr>
                <w:rFonts w:ascii="宋体" w:hAnsi="宋体" w:eastAsia="宋体" w:cs="宋体"/>
                <w:color w:val="auto"/>
                <w:sz w:val="20"/>
                <w:szCs w:val="20"/>
                <w:lang w:eastAsia="zh-CN"/>
              </w:rPr>
            </w:pPr>
            <w:r>
              <w:rPr>
                <w:rFonts w:hint="eastAsia" w:ascii="宋体" w:hAnsi="宋体" w:eastAsia="宋体" w:cs="宋体"/>
                <w:color w:val="auto"/>
                <w:spacing w:val="1"/>
                <w:w w:val="99"/>
                <w:sz w:val="20"/>
                <w:szCs w:val="20"/>
                <w:lang w:eastAsia="zh-CN"/>
              </w:rPr>
              <w:t>A02</w:t>
            </w:r>
            <w:r>
              <w:rPr>
                <w:rFonts w:hint="eastAsia" w:ascii="宋体" w:hAnsi="宋体" w:eastAsia="宋体" w:cs="宋体"/>
                <w:color w:val="auto"/>
                <w:w w:val="99"/>
                <w:sz w:val="20"/>
                <w:szCs w:val="20"/>
                <w:lang w:eastAsia="zh-CN"/>
              </w:rPr>
              <w:t>09</w:t>
            </w:r>
            <w:r>
              <w:rPr>
                <w:rFonts w:hint="eastAsia" w:ascii="宋体" w:hAnsi="宋体" w:eastAsia="宋体" w:cs="宋体"/>
                <w:color w:val="auto"/>
                <w:spacing w:val="1"/>
                <w:w w:val="99"/>
                <w:sz w:val="20"/>
                <w:szCs w:val="20"/>
                <w:lang w:eastAsia="zh-CN"/>
              </w:rPr>
              <w:t>1</w:t>
            </w:r>
            <w:r>
              <w:rPr>
                <w:rFonts w:hint="eastAsia" w:ascii="宋体" w:hAnsi="宋体" w:eastAsia="宋体" w:cs="宋体"/>
                <w:color w:val="auto"/>
                <w:w w:val="99"/>
                <w:sz w:val="20"/>
                <w:szCs w:val="20"/>
                <w:lang w:eastAsia="zh-CN"/>
              </w:rPr>
              <w:t>001普通电视设备（</w:t>
            </w:r>
            <w:r>
              <w:rPr>
                <w:rFonts w:hint="eastAsia" w:ascii="宋体" w:hAnsi="宋体" w:eastAsia="宋体" w:cs="宋体"/>
                <w:color w:val="auto"/>
                <w:spacing w:val="2"/>
                <w:w w:val="99"/>
                <w:sz w:val="20"/>
                <w:szCs w:val="20"/>
                <w:lang w:eastAsia="zh-CN"/>
              </w:rPr>
              <w:t>电</w:t>
            </w:r>
            <w:r>
              <w:rPr>
                <w:rFonts w:hint="eastAsia" w:ascii="宋体" w:hAnsi="宋体" w:eastAsia="宋体" w:cs="宋体"/>
                <w:color w:val="auto"/>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tcPr>
          <w:p w14:paraId="27F264EB">
            <w:pPr>
              <w:rPr>
                <w:rFonts w:ascii="宋体" w:hAnsi="宋体" w:eastAsia="宋体" w:cs="宋体"/>
                <w:color w:val="auto"/>
                <w:sz w:val="22"/>
                <w:szCs w:val="22"/>
              </w:rPr>
            </w:pPr>
          </w:p>
        </w:tc>
        <w:tc>
          <w:tcPr>
            <w:tcW w:w="3355" w:type="dxa"/>
            <w:tcBorders>
              <w:top w:val="single" w:color="auto" w:sz="4" w:space="0"/>
              <w:left w:val="single" w:color="auto" w:sz="4" w:space="0"/>
              <w:bottom w:val="single" w:color="auto" w:sz="4" w:space="0"/>
              <w:right w:val="single" w:color="auto" w:sz="4" w:space="0"/>
            </w:tcBorders>
          </w:tcPr>
          <w:p w14:paraId="160A67A6">
            <w:pPr>
              <w:pStyle w:val="75"/>
              <w:spacing w:before="81"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《平板电视能效限定值</w:t>
            </w:r>
            <w:r>
              <w:rPr>
                <w:rFonts w:hint="eastAsia" w:ascii="宋体" w:hAnsi="宋体" w:eastAsia="宋体" w:cs="宋体"/>
                <w:color w:val="auto"/>
                <w:spacing w:val="9"/>
                <w:w w:val="99"/>
                <w:sz w:val="20"/>
                <w:szCs w:val="20"/>
                <w:lang w:eastAsia="zh-CN"/>
              </w:rPr>
              <w:t>及</w:t>
            </w:r>
            <w:r>
              <w:rPr>
                <w:rFonts w:hint="eastAsia" w:ascii="宋体" w:hAnsi="宋体" w:eastAsia="宋体" w:cs="宋体"/>
                <w:color w:val="auto"/>
                <w:spacing w:val="12"/>
                <w:w w:val="99"/>
                <w:sz w:val="20"/>
                <w:szCs w:val="20"/>
                <w:lang w:eastAsia="zh-CN"/>
              </w:rPr>
              <w:t>能效</w:t>
            </w:r>
            <w:r>
              <w:rPr>
                <w:rFonts w:hint="eastAsia" w:ascii="宋体" w:hAnsi="宋体" w:eastAsia="宋体" w:cs="宋体"/>
                <w:color w:val="auto"/>
                <w:w w:val="99"/>
                <w:sz w:val="20"/>
                <w:szCs w:val="20"/>
                <w:lang w:eastAsia="zh-CN"/>
              </w:rPr>
              <w:t>等级》（</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248</w:t>
            </w:r>
            <w:r>
              <w:rPr>
                <w:rFonts w:hint="eastAsia" w:ascii="宋体" w:hAnsi="宋体" w:eastAsia="宋体" w:cs="宋体"/>
                <w:color w:val="auto"/>
                <w:w w:val="99"/>
                <w:sz w:val="20"/>
                <w:szCs w:val="20"/>
                <w:lang w:eastAsia="zh-CN"/>
              </w:rPr>
              <w:t>50）</w:t>
            </w:r>
          </w:p>
        </w:tc>
      </w:tr>
      <w:tr w14:paraId="65C4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jc w:val="center"/>
        </w:trPr>
        <w:tc>
          <w:tcPr>
            <w:tcW w:w="574" w:type="dxa"/>
            <w:tcBorders>
              <w:top w:val="single" w:color="auto" w:sz="4" w:space="0"/>
              <w:left w:val="single" w:color="auto" w:sz="4" w:space="0"/>
              <w:bottom w:val="single" w:color="auto" w:sz="4" w:space="0"/>
              <w:right w:val="single" w:color="auto" w:sz="4" w:space="0"/>
            </w:tcBorders>
          </w:tcPr>
          <w:p w14:paraId="5044205F">
            <w:pPr>
              <w:pStyle w:val="75"/>
              <w:rPr>
                <w:rFonts w:ascii="宋体" w:hAnsi="宋体" w:eastAsia="宋体" w:cs="宋体"/>
                <w:color w:val="auto"/>
                <w:sz w:val="20"/>
                <w:szCs w:val="20"/>
                <w:lang w:eastAsia="zh-CN"/>
              </w:rPr>
            </w:pPr>
          </w:p>
          <w:p w14:paraId="65150F13">
            <w:pPr>
              <w:pStyle w:val="75"/>
              <w:rPr>
                <w:rFonts w:ascii="宋体" w:hAnsi="宋体" w:eastAsia="宋体" w:cs="宋体"/>
                <w:color w:val="auto"/>
                <w:sz w:val="20"/>
                <w:szCs w:val="20"/>
                <w:lang w:eastAsia="zh-CN"/>
              </w:rPr>
            </w:pPr>
          </w:p>
          <w:p w14:paraId="1051752C">
            <w:pPr>
              <w:pStyle w:val="75"/>
              <w:spacing w:before="10"/>
              <w:rPr>
                <w:rFonts w:ascii="宋体" w:hAnsi="宋体" w:eastAsia="宋体" w:cs="宋体"/>
                <w:color w:val="auto"/>
                <w:sz w:val="21"/>
                <w:szCs w:val="21"/>
                <w:lang w:eastAsia="zh-CN"/>
              </w:rPr>
            </w:pPr>
          </w:p>
          <w:p w14:paraId="6E7DDBA7">
            <w:pPr>
              <w:pStyle w:val="75"/>
              <w:ind w:left="182"/>
              <w:rPr>
                <w:rFonts w:ascii="宋体" w:hAnsi="宋体" w:eastAsia="宋体" w:cs="宋体"/>
                <w:color w:val="auto"/>
                <w:sz w:val="20"/>
                <w:szCs w:val="20"/>
              </w:rPr>
            </w:pPr>
            <w:r>
              <w:rPr>
                <w:rFonts w:hint="eastAsia" w:ascii="宋体" w:hAnsi="宋体" w:eastAsia="宋体" w:cs="宋体"/>
                <w:color w:val="auto"/>
                <w:spacing w:val="1"/>
                <w:w w:val="99"/>
                <w:sz w:val="20"/>
              </w:rPr>
              <w:t>1</w:t>
            </w:r>
            <w:r>
              <w:rPr>
                <w:rFonts w:hint="eastAsia" w:ascii="宋体" w:hAnsi="宋体" w:eastAsia="宋体" w:cs="宋体"/>
                <w:color w:val="auto"/>
                <w:w w:val="99"/>
                <w:sz w:val="20"/>
              </w:rPr>
              <w:t>3</w:t>
            </w:r>
          </w:p>
        </w:tc>
        <w:tc>
          <w:tcPr>
            <w:tcW w:w="1166" w:type="dxa"/>
            <w:tcBorders>
              <w:top w:val="single" w:color="auto" w:sz="4" w:space="0"/>
              <w:left w:val="single" w:color="auto" w:sz="4" w:space="0"/>
              <w:bottom w:val="single" w:color="auto" w:sz="4" w:space="0"/>
              <w:right w:val="single" w:color="auto" w:sz="4" w:space="0"/>
            </w:tcBorders>
          </w:tcPr>
          <w:p w14:paraId="6E014BD6">
            <w:pPr>
              <w:pStyle w:val="75"/>
              <w:rPr>
                <w:rFonts w:ascii="宋体" w:hAnsi="宋体" w:eastAsia="宋体" w:cs="宋体"/>
                <w:color w:val="auto"/>
                <w:sz w:val="20"/>
                <w:szCs w:val="20"/>
              </w:rPr>
            </w:pPr>
          </w:p>
          <w:p w14:paraId="340DE9BA">
            <w:pPr>
              <w:pStyle w:val="75"/>
              <w:spacing w:before="11"/>
              <w:rPr>
                <w:rFonts w:ascii="宋体" w:hAnsi="宋体" w:eastAsia="宋体" w:cs="宋体"/>
                <w:color w:val="auto"/>
                <w:sz w:val="29"/>
                <w:szCs w:val="29"/>
              </w:rPr>
            </w:pPr>
          </w:p>
          <w:p w14:paraId="4D0A9DC0">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w:t>
            </w:r>
            <w:r>
              <w:rPr>
                <w:rFonts w:hint="eastAsia" w:ascii="宋体" w:hAnsi="宋体" w:eastAsia="宋体" w:cs="宋体"/>
                <w:color w:val="auto"/>
                <w:spacing w:val="1"/>
                <w:w w:val="99"/>
                <w:sz w:val="20"/>
                <w:szCs w:val="20"/>
              </w:rPr>
              <w:t>A020</w:t>
            </w:r>
            <w:r>
              <w:rPr>
                <w:rFonts w:hint="eastAsia" w:ascii="宋体" w:hAnsi="宋体" w:eastAsia="宋体" w:cs="宋体"/>
                <w:color w:val="auto"/>
                <w:w w:val="99"/>
                <w:sz w:val="20"/>
                <w:szCs w:val="20"/>
              </w:rPr>
              <w:t>911视</w:t>
            </w:r>
          </w:p>
          <w:p w14:paraId="4D45FDEE">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tcPr>
          <w:p w14:paraId="69EFE782">
            <w:pPr>
              <w:pStyle w:val="75"/>
              <w:rPr>
                <w:rFonts w:ascii="宋体" w:hAnsi="宋体" w:eastAsia="宋体" w:cs="宋体"/>
                <w:color w:val="auto"/>
                <w:sz w:val="20"/>
                <w:szCs w:val="20"/>
              </w:rPr>
            </w:pPr>
          </w:p>
          <w:p w14:paraId="06582688">
            <w:pPr>
              <w:pStyle w:val="75"/>
              <w:spacing w:before="11"/>
              <w:rPr>
                <w:rFonts w:ascii="宋体" w:hAnsi="宋体" w:eastAsia="宋体" w:cs="宋体"/>
                <w:color w:val="auto"/>
                <w:sz w:val="29"/>
                <w:szCs w:val="29"/>
              </w:rPr>
            </w:pPr>
          </w:p>
          <w:p w14:paraId="5B3F00F5">
            <w:pPr>
              <w:pStyle w:val="75"/>
              <w:spacing w:line="283" w:lineRule="auto"/>
              <w:ind w:left="7" w:right="5"/>
              <w:rPr>
                <w:rFonts w:ascii="宋体" w:hAnsi="宋体" w:eastAsia="宋体" w:cs="宋体"/>
                <w:color w:val="auto"/>
                <w:sz w:val="20"/>
                <w:szCs w:val="20"/>
              </w:rPr>
            </w:pPr>
            <w:r>
              <w:rPr>
                <w:rFonts w:hint="eastAsia" w:ascii="宋体" w:hAnsi="宋体" w:eastAsia="宋体" w:cs="宋体"/>
                <w:color w:val="auto"/>
                <w:spacing w:val="1"/>
                <w:w w:val="99"/>
                <w:sz w:val="20"/>
                <w:szCs w:val="20"/>
              </w:rPr>
              <w:t>A02</w:t>
            </w:r>
            <w:r>
              <w:rPr>
                <w:rFonts w:hint="eastAsia" w:ascii="宋体" w:hAnsi="宋体" w:eastAsia="宋体" w:cs="宋体"/>
                <w:color w:val="auto"/>
                <w:w w:val="99"/>
                <w:sz w:val="20"/>
                <w:szCs w:val="20"/>
              </w:rPr>
              <w:t>09</w:t>
            </w:r>
            <w:r>
              <w:rPr>
                <w:rFonts w:hint="eastAsia" w:ascii="宋体" w:hAnsi="宋体" w:eastAsia="宋体" w:cs="宋体"/>
                <w:color w:val="auto"/>
                <w:spacing w:val="1"/>
                <w:w w:val="99"/>
                <w:sz w:val="20"/>
                <w:szCs w:val="20"/>
              </w:rPr>
              <w:t>1</w:t>
            </w:r>
            <w:r>
              <w:rPr>
                <w:rFonts w:hint="eastAsia" w:ascii="宋体" w:hAnsi="宋体" w:eastAsia="宋体" w:cs="宋体"/>
                <w:color w:val="auto"/>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tcPr>
          <w:p w14:paraId="27456B15">
            <w:pPr>
              <w:pStyle w:val="75"/>
              <w:rPr>
                <w:rFonts w:ascii="宋体" w:hAnsi="宋体" w:eastAsia="宋体" w:cs="宋体"/>
                <w:color w:val="auto"/>
                <w:sz w:val="20"/>
                <w:szCs w:val="20"/>
              </w:rPr>
            </w:pPr>
          </w:p>
          <w:p w14:paraId="3F553E63">
            <w:pPr>
              <w:pStyle w:val="75"/>
              <w:rPr>
                <w:rFonts w:ascii="宋体" w:hAnsi="宋体" w:eastAsia="宋体" w:cs="宋体"/>
                <w:color w:val="auto"/>
                <w:sz w:val="20"/>
                <w:szCs w:val="20"/>
              </w:rPr>
            </w:pPr>
          </w:p>
          <w:p w14:paraId="1DD6B0BF">
            <w:pPr>
              <w:pStyle w:val="75"/>
              <w:spacing w:before="10"/>
              <w:rPr>
                <w:rFonts w:ascii="宋体" w:hAnsi="宋体" w:eastAsia="宋体" w:cs="宋体"/>
                <w:color w:val="auto"/>
                <w:sz w:val="21"/>
                <w:szCs w:val="21"/>
              </w:rPr>
            </w:pPr>
          </w:p>
          <w:p w14:paraId="4DC8ACFB">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监视器</w:t>
            </w:r>
          </w:p>
        </w:tc>
        <w:tc>
          <w:tcPr>
            <w:tcW w:w="3355" w:type="dxa"/>
            <w:tcBorders>
              <w:top w:val="single" w:color="auto" w:sz="4" w:space="0"/>
              <w:left w:val="single" w:color="auto" w:sz="4" w:space="0"/>
              <w:bottom w:val="single" w:color="auto" w:sz="4" w:space="0"/>
              <w:right w:val="single" w:color="auto" w:sz="4" w:space="0"/>
            </w:tcBorders>
          </w:tcPr>
          <w:p w14:paraId="49B44830">
            <w:pPr>
              <w:pStyle w:val="75"/>
              <w:spacing w:before="28" w:line="283" w:lineRule="auto"/>
              <w:ind w:left="7" w:right="5"/>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以射频信号为主要信号</w:t>
            </w:r>
            <w:r>
              <w:rPr>
                <w:rFonts w:hint="eastAsia" w:ascii="宋体" w:hAnsi="宋体" w:eastAsia="宋体" w:cs="宋体"/>
                <w:color w:val="auto"/>
                <w:spacing w:val="9"/>
                <w:w w:val="99"/>
                <w:sz w:val="20"/>
                <w:szCs w:val="20"/>
                <w:lang w:eastAsia="zh-CN"/>
              </w:rPr>
              <w:t>输</w:t>
            </w:r>
            <w:r>
              <w:rPr>
                <w:rFonts w:hint="eastAsia" w:ascii="宋体" w:hAnsi="宋体" w:eastAsia="宋体" w:cs="宋体"/>
                <w:color w:val="auto"/>
                <w:spacing w:val="12"/>
                <w:w w:val="99"/>
                <w:sz w:val="20"/>
                <w:szCs w:val="20"/>
                <w:lang w:eastAsia="zh-CN"/>
              </w:rPr>
              <w:t>入的</w:t>
            </w:r>
            <w:r>
              <w:rPr>
                <w:rFonts w:hint="eastAsia" w:ascii="宋体" w:hAnsi="宋体" w:eastAsia="宋体" w:cs="宋体"/>
                <w:color w:val="auto"/>
                <w:w w:val="99"/>
                <w:sz w:val="20"/>
                <w:szCs w:val="20"/>
                <w:lang w:eastAsia="zh-CN"/>
              </w:rPr>
              <w:t>监视器应</w:t>
            </w:r>
            <w:r>
              <w:rPr>
                <w:rFonts w:hint="eastAsia" w:ascii="宋体" w:hAnsi="宋体" w:eastAsia="宋体" w:cs="宋体"/>
                <w:color w:val="auto"/>
                <w:spacing w:val="2"/>
                <w:w w:val="99"/>
                <w:sz w:val="20"/>
                <w:szCs w:val="20"/>
                <w:lang w:eastAsia="zh-CN"/>
              </w:rPr>
              <w:t>符</w:t>
            </w:r>
            <w:r>
              <w:rPr>
                <w:rFonts w:hint="eastAsia" w:ascii="宋体" w:hAnsi="宋体" w:eastAsia="宋体" w:cs="宋体"/>
                <w:color w:val="auto"/>
                <w:spacing w:val="-58"/>
                <w:w w:val="99"/>
                <w:sz w:val="20"/>
                <w:szCs w:val="20"/>
                <w:lang w:eastAsia="zh-CN"/>
              </w:rPr>
              <w:t>合</w:t>
            </w:r>
            <w:r>
              <w:rPr>
                <w:rFonts w:hint="eastAsia" w:ascii="宋体" w:hAnsi="宋体" w:eastAsia="宋体" w:cs="宋体"/>
                <w:color w:val="auto"/>
                <w:spacing w:val="2"/>
                <w:w w:val="99"/>
                <w:sz w:val="20"/>
                <w:szCs w:val="20"/>
                <w:lang w:eastAsia="zh-CN"/>
              </w:rPr>
              <w:t>《</w:t>
            </w:r>
            <w:r>
              <w:rPr>
                <w:rFonts w:hint="eastAsia" w:ascii="宋体" w:hAnsi="宋体" w:eastAsia="宋体" w:cs="宋体"/>
                <w:color w:val="auto"/>
                <w:w w:val="99"/>
                <w:sz w:val="20"/>
                <w:szCs w:val="20"/>
                <w:lang w:eastAsia="zh-CN"/>
              </w:rPr>
              <w:t>平板</w:t>
            </w:r>
            <w:r>
              <w:rPr>
                <w:rFonts w:hint="eastAsia" w:ascii="宋体" w:hAnsi="宋体" w:eastAsia="宋体" w:cs="宋体"/>
                <w:color w:val="auto"/>
                <w:spacing w:val="2"/>
                <w:w w:val="99"/>
                <w:sz w:val="20"/>
                <w:szCs w:val="20"/>
                <w:lang w:eastAsia="zh-CN"/>
              </w:rPr>
              <w:t>电</w:t>
            </w:r>
            <w:r>
              <w:rPr>
                <w:rFonts w:hint="eastAsia" w:ascii="宋体" w:hAnsi="宋体" w:eastAsia="宋体" w:cs="宋体"/>
                <w:color w:val="auto"/>
                <w:w w:val="99"/>
                <w:sz w:val="20"/>
                <w:szCs w:val="20"/>
                <w:lang w:eastAsia="zh-CN"/>
              </w:rPr>
              <w:t>视能</w:t>
            </w:r>
            <w:r>
              <w:rPr>
                <w:rFonts w:hint="eastAsia" w:ascii="宋体" w:hAnsi="宋体" w:eastAsia="宋体" w:cs="宋体"/>
                <w:color w:val="auto"/>
                <w:spacing w:val="2"/>
                <w:w w:val="99"/>
                <w:sz w:val="20"/>
                <w:szCs w:val="20"/>
                <w:lang w:eastAsia="zh-CN"/>
              </w:rPr>
              <w:t>效</w:t>
            </w:r>
            <w:r>
              <w:rPr>
                <w:rFonts w:hint="eastAsia" w:ascii="宋体" w:hAnsi="宋体" w:eastAsia="宋体" w:cs="宋体"/>
                <w:color w:val="auto"/>
                <w:w w:val="99"/>
                <w:sz w:val="20"/>
                <w:szCs w:val="20"/>
                <w:lang w:eastAsia="zh-CN"/>
              </w:rPr>
              <w:t>限定值及能效</w:t>
            </w:r>
            <w:r>
              <w:rPr>
                <w:rFonts w:hint="eastAsia" w:ascii="宋体" w:hAnsi="宋体" w:eastAsia="宋体" w:cs="宋体"/>
                <w:color w:val="auto"/>
                <w:spacing w:val="2"/>
                <w:w w:val="99"/>
                <w:sz w:val="20"/>
                <w:szCs w:val="20"/>
                <w:lang w:eastAsia="zh-CN"/>
              </w:rPr>
              <w:t>等</w:t>
            </w:r>
            <w:r>
              <w:rPr>
                <w:rFonts w:hint="eastAsia" w:ascii="宋体" w:hAnsi="宋体" w:eastAsia="宋体" w:cs="宋体"/>
                <w:color w:val="auto"/>
                <w:w w:val="99"/>
                <w:sz w:val="20"/>
                <w:szCs w:val="20"/>
                <w:lang w:eastAsia="zh-CN"/>
              </w:rPr>
              <w:t>级》（</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24850</w:t>
            </w:r>
            <w:r>
              <w:rPr>
                <w:rFonts w:hint="eastAsia" w:ascii="宋体" w:hAnsi="宋体" w:eastAsia="宋体" w:cs="宋体"/>
                <w:color w:val="auto"/>
                <w:spacing w:val="-3"/>
                <w:w w:val="99"/>
                <w:sz w:val="20"/>
                <w:szCs w:val="20"/>
                <w:lang w:eastAsia="zh-CN"/>
              </w:rPr>
              <w:t>）</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2"/>
                <w:w w:val="99"/>
                <w:sz w:val="20"/>
                <w:szCs w:val="20"/>
                <w:lang w:eastAsia="zh-CN"/>
              </w:rPr>
              <w:t>以数字信号为主要信号</w:t>
            </w:r>
            <w:r>
              <w:rPr>
                <w:rFonts w:hint="eastAsia" w:ascii="宋体" w:hAnsi="宋体" w:eastAsia="宋体" w:cs="宋体"/>
                <w:color w:val="auto"/>
                <w:spacing w:val="9"/>
                <w:w w:val="99"/>
                <w:sz w:val="20"/>
                <w:szCs w:val="20"/>
                <w:lang w:eastAsia="zh-CN"/>
              </w:rPr>
              <w:t>输</w:t>
            </w:r>
            <w:r>
              <w:rPr>
                <w:rFonts w:hint="eastAsia" w:ascii="宋体" w:hAnsi="宋体" w:eastAsia="宋体" w:cs="宋体"/>
                <w:color w:val="auto"/>
                <w:spacing w:val="12"/>
                <w:w w:val="99"/>
                <w:sz w:val="20"/>
                <w:szCs w:val="20"/>
                <w:lang w:eastAsia="zh-CN"/>
              </w:rPr>
              <w:t>入的</w:t>
            </w:r>
            <w:r>
              <w:rPr>
                <w:rFonts w:hint="eastAsia" w:ascii="宋体" w:hAnsi="宋体" w:eastAsia="宋体" w:cs="宋体"/>
                <w:color w:val="auto"/>
                <w:w w:val="99"/>
                <w:sz w:val="20"/>
                <w:szCs w:val="20"/>
                <w:lang w:eastAsia="zh-CN"/>
              </w:rPr>
              <w:t>监视器应</w:t>
            </w:r>
            <w:r>
              <w:rPr>
                <w:rFonts w:hint="eastAsia" w:ascii="宋体" w:hAnsi="宋体" w:eastAsia="宋体" w:cs="宋体"/>
                <w:color w:val="auto"/>
                <w:spacing w:val="2"/>
                <w:w w:val="99"/>
                <w:sz w:val="20"/>
                <w:szCs w:val="20"/>
                <w:lang w:eastAsia="zh-CN"/>
              </w:rPr>
              <w:t>符</w:t>
            </w:r>
            <w:r>
              <w:rPr>
                <w:rFonts w:hint="eastAsia" w:ascii="宋体" w:hAnsi="宋体" w:eastAsia="宋体" w:cs="宋体"/>
                <w:color w:val="auto"/>
                <w:spacing w:val="-58"/>
                <w:w w:val="99"/>
                <w:sz w:val="20"/>
                <w:szCs w:val="20"/>
                <w:lang w:eastAsia="zh-CN"/>
              </w:rPr>
              <w:t>合</w:t>
            </w:r>
            <w:r>
              <w:rPr>
                <w:rFonts w:hint="eastAsia" w:ascii="宋体" w:hAnsi="宋体" w:eastAsia="宋体" w:cs="宋体"/>
                <w:color w:val="auto"/>
                <w:spacing w:val="2"/>
                <w:w w:val="99"/>
                <w:sz w:val="20"/>
                <w:szCs w:val="20"/>
                <w:lang w:eastAsia="zh-CN"/>
              </w:rPr>
              <w:t>《</w:t>
            </w:r>
            <w:r>
              <w:rPr>
                <w:rFonts w:hint="eastAsia" w:ascii="宋体" w:hAnsi="宋体" w:eastAsia="宋体" w:cs="宋体"/>
                <w:color w:val="auto"/>
                <w:w w:val="99"/>
                <w:sz w:val="20"/>
                <w:szCs w:val="20"/>
                <w:lang w:eastAsia="zh-CN"/>
              </w:rPr>
              <w:t>计算</w:t>
            </w:r>
            <w:r>
              <w:rPr>
                <w:rFonts w:hint="eastAsia" w:ascii="宋体" w:hAnsi="宋体" w:eastAsia="宋体" w:cs="宋体"/>
                <w:color w:val="auto"/>
                <w:spacing w:val="2"/>
                <w:w w:val="99"/>
                <w:sz w:val="20"/>
                <w:szCs w:val="20"/>
                <w:lang w:eastAsia="zh-CN"/>
              </w:rPr>
              <w:t>机</w:t>
            </w:r>
            <w:r>
              <w:rPr>
                <w:rFonts w:hint="eastAsia" w:ascii="宋体" w:hAnsi="宋体" w:eastAsia="宋体" w:cs="宋体"/>
                <w:color w:val="auto"/>
                <w:w w:val="99"/>
                <w:sz w:val="20"/>
                <w:szCs w:val="20"/>
                <w:lang w:eastAsia="zh-CN"/>
              </w:rPr>
              <w:t>显示</w:t>
            </w:r>
            <w:r>
              <w:rPr>
                <w:rFonts w:hint="eastAsia" w:ascii="宋体" w:hAnsi="宋体" w:eastAsia="宋体" w:cs="宋体"/>
                <w:color w:val="auto"/>
                <w:spacing w:val="2"/>
                <w:w w:val="99"/>
                <w:sz w:val="20"/>
                <w:szCs w:val="20"/>
                <w:lang w:eastAsia="zh-CN"/>
              </w:rPr>
              <w:t>器</w:t>
            </w:r>
            <w:r>
              <w:rPr>
                <w:rFonts w:hint="eastAsia" w:ascii="宋体" w:hAnsi="宋体" w:eastAsia="宋体" w:cs="宋体"/>
                <w:color w:val="auto"/>
                <w:w w:val="99"/>
                <w:sz w:val="20"/>
                <w:szCs w:val="20"/>
                <w:lang w:eastAsia="zh-CN"/>
              </w:rPr>
              <w:t>能效限定值及</w:t>
            </w:r>
            <w:r>
              <w:rPr>
                <w:rFonts w:hint="eastAsia" w:ascii="宋体" w:hAnsi="宋体" w:eastAsia="宋体" w:cs="宋体"/>
                <w:color w:val="auto"/>
                <w:spacing w:val="2"/>
                <w:w w:val="99"/>
                <w:sz w:val="20"/>
                <w:szCs w:val="20"/>
                <w:lang w:eastAsia="zh-CN"/>
              </w:rPr>
              <w:t>能</w:t>
            </w:r>
            <w:r>
              <w:rPr>
                <w:rFonts w:hint="eastAsia" w:ascii="宋体" w:hAnsi="宋体" w:eastAsia="宋体" w:cs="宋体"/>
                <w:color w:val="auto"/>
                <w:w w:val="99"/>
                <w:sz w:val="20"/>
                <w:szCs w:val="20"/>
                <w:lang w:eastAsia="zh-CN"/>
              </w:rPr>
              <w:t>效等</w:t>
            </w:r>
            <w:r>
              <w:rPr>
                <w:rFonts w:hint="eastAsia" w:ascii="宋体" w:hAnsi="宋体" w:eastAsia="宋体" w:cs="宋体"/>
                <w:color w:val="auto"/>
                <w:spacing w:val="2"/>
                <w:w w:val="99"/>
                <w:sz w:val="20"/>
                <w:szCs w:val="20"/>
                <w:lang w:eastAsia="zh-CN"/>
              </w:rPr>
              <w:t>级</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21</w:t>
            </w:r>
            <w:r>
              <w:rPr>
                <w:rFonts w:hint="eastAsia" w:ascii="宋体" w:hAnsi="宋体" w:eastAsia="宋体" w:cs="宋体"/>
                <w:color w:val="auto"/>
                <w:w w:val="99"/>
                <w:sz w:val="20"/>
                <w:szCs w:val="20"/>
                <w:lang w:eastAsia="zh-CN"/>
              </w:rPr>
              <w:t>52</w:t>
            </w:r>
            <w:r>
              <w:rPr>
                <w:rFonts w:hint="eastAsia" w:ascii="宋体" w:hAnsi="宋体" w:eastAsia="宋体" w:cs="宋体"/>
                <w:color w:val="auto"/>
                <w:spacing w:val="1"/>
                <w:w w:val="99"/>
                <w:sz w:val="20"/>
                <w:szCs w:val="20"/>
                <w:lang w:eastAsia="zh-CN"/>
              </w:rPr>
              <w:t>0</w:t>
            </w:r>
            <w:r>
              <w:rPr>
                <w:rFonts w:hint="eastAsia" w:ascii="宋体" w:hAnsi="宋体" w:eastAsia="宋体" w:cs="宋体"/>
                <w:color w:val="auto"/>
                <w:w w:val="99"/>
                <w:sz w:val="20"/>
                <w:szCs w:val="20"/>
                <w:lang w:eastAsia="zh-CN"/>
              </w:rPr>
              <w:t>）</w:t>
            </w:r>
          </w:p>
        </w:tc>
      </w:tr>
      <w:tr w14:paraId="4289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jc w:val="center"/>
        </w:trPr>
        <w:tc>
          <w:tcPr>
            <w:tcW w:w="574" w:type="dxa"/>
            <w:tcBorders>
              <w:top w:val="single" w:color="auto" w:sz="4" w:space="0"/>
              <w:left w:val="single" w:color="auto" w:sz="4" w:space="0"/>
              <w:bottom w:val="single" w:color="auto" w:sz="4" w:space="0"/>
              <w:right w:val="single" w:color="auto" w:sz="4" w:space="0"/>
            </w:tcBorders>
          </w:tcPr>
          <w:p w14:paraId="0E2DC748">
            <w:pPr>
              <w:pStyle w:val="75"/>
              <w:spacing w:before="10"/>
              <w:rPr>
                <w:rFonts w:ascii="宋体" w:hAnsi="宋体" w:eastAsia="宋体" w:cs="宋体"/>
                <w:color w:val="auto"/>
                <w:sz w:val="17"/>
                <w:szCs w:val="17"/>
                <w:lang w:eastAsia="zh-CN"/>
              </w:rPr>
            </w:pPr>
          </w:p>
          <w:p w14:paraId="5E31A395">
            <w:pPr>
              <w:pStyle w:val="75"/>
              <w:ind w:left="182"/>
              <w:rPr>
                <w:rFonts w:ascii="宋体" w:hAnsi="宋体" w:eastAsia="宋体" w:cs="宋体"/>
                <w:color w:val="auto"/>
                <w:sz w:val="20"/>
                <w:szCs w:val="20"/>
              </w:rPr>
            </w:pPr>
            <w:r>
              <w:rPr>
                <w:rFonts w:hint="eastAsia" w:ascii="宋体" w:hAnsi="宋体" w:eastAsia="宋体" w:cs="宋体"/>
                <w:color w:val="auto"/>
                <w:spacing w:val="1"/>
                <w:w w:val="99"/>
                <w:sz w:val="20"/>
              </w:rPr>
              <w:t>1</w:t>
            </w:r>
            <w:r>
              <w:rPr>
                <w:rFonts w:hint="eastAsia" w:ascii="宋体" w:hAnsi="宋体" w:eastAsia="宋体" w:cs="宋体"/>
                <w:color w:val="auto"/>
                <w:w w:val="99"/>
                <w:sz w:val="20"/>
              </w:rPr>
              <w:t>4</w:t>
            </w:r>
          </w:p>
        </w:tc>
        <w:tc>
          <w:tcPr>
            <w:tcW w:w="1166" w:type="dxa"/>
            <w:tcBorders>
              <w:top w:val="single" w:color="auto" w:sz="4" w:space="0"/>
              <w:left w:val="single" w:color="auto" w:sz="4" w:space="0"/>
              <w:bottom w:val="single" w:color="auto" w:sz="4" w:space="0"/>
              <w:right w:val="single" w:color="auto" w:sz="4" w:space="0"/>
            </w:tcBorders>
          </w:tcPr>
          <w:p w14:paraId="44AA83A1">
            <w:pPr>
              <w:pStyle w:val="75"/>
              <w:spacing w:before="76"/>
              <w:ind w:left="7"/>
              <w:rPr>
                <w:rFonts w:ascii="宋体" w:hAnsi="宋体" w:eastAsia="宋体" w:cs="宋体"/>
                <w:color w:val="auto"/>
                <w:sz w:val="20"/>
                <w:szCs w:val="20"/>
              </w:rPr>
            </w:pPr>
            <w:r>
              <w:rPr>
                <w:rFonts w:hint="eastAsia" w:ascii="宋体" w:hAnsi="宋体" w:eastAsia="宋体" w:cs="宋体"/>
                <w:color w:val="auto"/>
                <w:spacing w:val="1"/>
                <w:w w:val="99"/>
                <w:sz w:val="20"/>
                <w:szCs w:val="20"/>
              </w:rPr>
              <w:t>A03</w:t>
            </w:r>
            <w:r>
              <w:rPr>
                <w:rFonts w:hint="eastAsia" w:ascii="宋体" w:hAnsi="宋体" w:eastAsia="宋体" w:cs="宋体"/>
                <w:color w:val="auto"/>
                <w:w w:val="99"/>
                <w:sz w:val="20"/>
                <w:szCs w:val="20"/>
              </w:rPr>
              <w:t>12</w:t>
            </w:r>
            <w:r>
              <w:rPr>
                <w:rFonts w:hint="eastAsia" w:ascii="宋体" w:hAnsi="宋体" w:eastAsia="宋体" w:cs="宋体"/>
                <w:color w:val="auto"/>
                <w:spacing w:val="1"/>
                <w:w w:val="99"/>
                <w:sz w:val="20"/>
                <w:szCs w:val="20"/>
              </w:rPr>
              <w:t>1</w:t>
            </w:r>
            <w:r>
              <w:rPr>
                <w:rFonts w:hint="eastAsia" w:ascii="宋体" w:hAnsi="宋体" w:eastAsia="宋体" w:cs="宋体"/>
                <w:color w:val="auto"/>
                <w:w w:val="99"/>
                <w:sz w:val="20"/>
                <w:szCs w:val="20"/>
              </w:rPr>
              <w:t>0饮食</w:t>
            </w:r>
          </w:p>
          <w:p w14:paraId="26292FD9">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tcPr>
          <w:p w14:paraId="6A8B74F6">
            <w:pPr>
              <w:pStyle w:val="75"/>
              <w:spacing w:before="10"/>
              <w:rPr>
                <w:rFonts w:ascii="宋体" w:hAnsi="宋体" w:eastAsia="宋体" w:cs="宋体"/>
                <w:color w:val="auto"/>
                <w:sz w:val="17"/>
                <w:szCs w:val="17"/>
              </w:rPr>
            </w:pPr>
          </w:p>
          <w:p w14:paraId="4DB53D52">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商用燃</w:t>
            </w:r>
            <w:r>
              <w:rPr>
                <w:rFonts w:hint="eastAsia" w:ascii="宋体" w:hAnsi="宋体" w:eastAsia="宋体" w:cs="宋体"/>
                <w:color w:val="auto"/>
                <w:spacing w:val="2"/>
                <w:w w:val="99"/>
                <w:sz w:val="20"/>
                <w:szCs w:val="20"/>
              </w:rPr>
              <w:t>气</w:t>
            </w:r>
            <w:r>
              <w:rPr>
                <w:rFonts w:hint="eastAsia" w:ascii="宋体" w:hAnsi="宋体" w:eastAsia="宋体" w:cs="宋体"/>
                <w:color w:val="auto"/>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tcPr>
          <w:p w14:paraId="49669F3F">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096F7A45">
            <w:pPr>
              <w:pStyle w:val="75"/>
              <w:spacing w:before="76"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《商用燃气灶具能效限</w:t>
            </w:r>
            <w:r>
              <w:rPr>
                <w:rFonts w:hint="eastAsia" w:ascii="宋体" w:hAnsi="宋体" w:eastAsia="宋体" w:cs="宋体"/>
                <w:color w:val="auto"/>
                <w:spacing w:val="9"/>
                <w:w w:val="99"/>
                <w:sz w:val="20"/>
                <w:szCs w:val="20"/>
                <w:lang w:eastAsia="zh-CN"/>
              </w:rPr>
              <w:t>定</w:t>
            </w:r>
            <w:r>
              <w:rPr>
                <w:rFonts w:hint="eastAsia" w:ascii="宋体" w:hAnsi="宋体" w:eastAsia="宋体" w:cs="宋体"/>
                <w:color w:val="auto"/>
                <w:spacing w:val="12"/>
                <w:w w:val="99"/>
                <w:sz w:val="20"/>
                <w:szCs w:val="20"/>
                <w:lang w:eastAsia="zh-CN"/>
              </w:rPr>
              <w:t>值及</w:t>
            </w:r>
            <w:r>
              <w:rPr>
                <w:rFonts w:hint="eastAsia" w:ascii="宋体" w:hAnsi="宋体" w:eastAsia="宋体" w:cs="宋体"/>
                <w:color w:val="auto"/>
                <w:w w:val="99"/>
                <w:sz w:val="20"/>
                <w:szCs w:val="20"/>
                <w:lang w:eastAsia="zh-CN"/>
              </w:rPr>
              <w:t>能效等级</w:t>
            </w:r>
            <w:r>
              <w:rPr>
                <w:rFonts w:hint="eastAsia" w:ascii="宋体" w:hAnsi="宋体" w:eastAsia="宋体" w:cs="宋体"/>
                <w:color w:val="auto"/>
                <w:spacing w:val="2"/>
                <w:w w:val="99"/>
                <w:sz w:val="20"/>
                <w:szCs w:val="20"/>
                <w:lang w:eastAsia="zh-CN"/>
              </w:rPr>
              <w:t>》</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30</w:t>
            </w:r>
            <w:r>
              <w:rPr>
                <w:rFonts w:hint="eastAsia" w:ascii="宋体" w:hAnsi="宋体" w:eastAsia="宋体" w:cs="宋体"/>
                <w:color w:val="auto"/>
                <w:w w:val="99"/>
                <w:sz w:val="20"/>
                <w:szCs w:val="20"/>
                <w:lang w:eastAsia="zh-CN"/>
              </w:rPr>
              <w:t>53</w:t>
            </w:r>
            <w:r>
              <w:rPr>
                <w:rFonts w:hint="eastAsia" w:ascii="宋体" w:hAnsi="宋体" w:eastAsia="宋体" w:cs="宋体"/>
                <w:color w:val="auto"/>
                <w:spacing w:val="1"/>
                <w:w w:val="99"/>
                <w:sz w:val="20"/>
                <w:szCs w:val="20"/>
                <w:lang w:eastAsia="zh-CN"/>
              </w:rPr>
              <w:t>1</w:t>
            </w:r>
            <w:r>
              <w:rPr>
                <w:rFonts w:hint="eastAsia" w:ascii="宋体" w:hAnsi="宋体" w:eastAsia="宋体" w:cs="宋体"/>
                <w:color w:val="auto"/>
                <w:w w:val="99"/>
                <w:sz w:val="20"/>
                <w:szCs w:val="20"/>
                <w:lang w:eastAsia="zh-CN"/>
              </w:rPr>
              <w:t>）</w:t>
            </w:r>
          </w:p>
        </w:tc>
      </w:tr>
      <w:tr w14:paraId="6D6B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jc w:val="center"/>
        </w:trPr>
        <w:tc>
          <w:tcPr>
            <w:tcW w:w="574" w:type="dxa"/>
            <w:vMerge w:val="restart"/>
            <w:tcBorders>
              <w:top w:val="single" w:color="auto" w:sz="4" w:space="0"/>
              <w:left w:val="single" w:color="auto" w:sz="4" w:space="0"/>
              <w:bottom w:val="single" w:color="auto" w:sz="4" w:space="0"/>
              <w:right w:val="single" w:color="auto" w:sz="4" w:space="0"/>
            </w:tcBorders>
          </w:tcPr>
          <w:p w14:paraId="750CF1CB">
            <w:pPr>
              <w:pStyle w:val="75"/>
              <w:rPr>
                <w:rFonts w:ascii="宋体" w:hAnsi="宋体" w:eastAsia="宋体" w:cs="宋体"/>
                <w:color w:val="auto"/>
                <w:sz w:val="20"/>
                <w:szCs w:val="20"/>
                <w:lang w:eastAsia="zh-CN"/>
              </w:rPr>
            </w:pPr>
          </w:p>
          <w:p w14:paraId="025D08CB">
            <w:pPr>
              <w:pStyle w:val="75"/>
              <w:rPr>
                <w:rFonts w:ascii="宋体" w:hAnsi="宋体" w:eastAsia="宋体" w:cs="宋体"/>
                <w:color w:val="auto"/>
                <w:sz w:val="20"/>
                <w:szCs w:val="20"/>
                <w:lang w:eastAsia="zh-CN"/>
              </w:rPr>
            </w:pPr>
          </w:p>
          <w:p w14:paraId="237AD9F4">
            <w:pPr>
              <w:pStyle w:val="75"/>
              <w:rPr>
                <w:rFonts w:ascii="宋体" w:hAnsi="宋体" w:eastAsia="宋体" w:cs="宋体"/>
                <w:color w:val="auto"/>
                <w:sz w:val="20"/>
                <w:szCs w:val="20"/>
                <w:lang w:eastAsia="zh-CN"/>
              </w:rPr>
            </w:pPr>
          </w:p>
          <w:p w14:paraId="7814FF8F">
            <w:pPr>
              <w:pStyle w:val="75"/>
              <w:spacing w:before="1"/>
              <w:rPr>
                <w:rFonts w:ascii="宋体" w:hAnsi="宋体" w:eastAsia="宋体" w:cs="宋体"/>
                <w:color w:val="auto"/>
                <w:sz w:val="29"/>
                <w:szCs w:val="29"/>
                <w:lang w:eastAsia="zh-CN"/>
              </w:rPr>
            </w:pPr>
          </w:p>
          <w:p w14:paraId="7A8E5E9A">
            <w:pPr>
              <w:pStyle w:val="75"/>
              <w:ind w:left="182"/>
              <w:rPr>
                <w:rFonts w:ascii="宋体" w:hAnsi="宋体" w:eastAsia="宋体" w:cs="宋体"/>
                <w:color w:val="auto"/>
                <w:sz w:val="20"/>
                <w:szCs w:val="20"/>
              </w:rPr>
            </w:pPr>
            <w:r>
              <w:rPr>
                <w:rFonts w:hint="eastAsia" w:ascii="宋体" w:hAnsi="宋体" w:eastAsia="宋体" w:cs="宋体"/>
                <w:color w:val="auto"/>
                <w:spacing w:val="1"/>
                <w:w w:val="99"/>
                <w:sz w:val="20"/>
              </w:rPr>
              <w:t>1</w:t>
            </w:r>
            <w:r>
              <w:rPr>
                <w:rFonts w:hint="eastAsia" w:ascii="宋体" w:hAnsi="宋体" w:eastAsia="宋体" w:cs="宋体"/>
                <w:color w:val="auto"/>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tcPr>
          <w:p w14:paraId="2C9386CB">
            <w:pPr>
              <w:pStyle w:val="75"/>
              <w:rPr>
                <w:rFonts w:ascii="宋体" w:hAnsi="宋体" w:eastAsia="宋体" w:cs="宋体"/>
                <w:color w:val="auto"/>
                <w:sz w:val="20"/>
                <w:szCs w:val="20"/>
              </w:rPr>
            </w:pPr>
          </w:p>
          <w:p w14:paraId="221FCD44">
            <w:pPr>
              <w:pStyle w:val="75"/>
              <w:rPr>
                <w:rFonts w:ascii="宋体" w:hAnsi="宋体" w:eastAsia="宋体" w:cs="宋体"/>
                <w:color w:val="auto"/>
                <w:sz w:val="20"/>
                <w:szCs w:val="20"/>
              </w:rPr>
            </w:pPr>
          </w:p>
          <w:p w14:paraId="4964BFA9">
            <w:pPr>
              <w:pStyle w:val="75"/>
              <w:spacing w:before="9"/>
              <w:rPr>
                <w:rFonts w:ascii="宋体" w:hAnsi="宋体" w:eastAsia="宋体" w:cs="宋体"/>
                <w:color w:val="auto"/>
                <w:sz w:val="17"/>
                <w:szCs w:val="17"/>
              </w:rPr>
            </w:pPr>
          </w:p>
          <w:p w14:paraId="26A403F7">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w:t>
            </w:r>
            <w:r>
              <w:rPr>
                <w:rFonts w:hint="eastAsia" w:ascii="宋体" w:hAnsi="宋体" w:eastAsia="宋体" w:cs="宋体"/>
                <w:color w:val="auto"/>
                <w:spacing w:val="1"/>
                <w:w w:val="99"/>
                <w:sz w:val="20"/>
                <w:szCs w:val="20"/>
              </w:rPr>
              <w:t>A060</w:t>
            </w:r>
            <w:r>
              <w:rPr>
                <w:rFonts w:hint="eastAsia" w:ascii="宋体" w:hAnsi="宋体" w:eastAsia="宋体" w:cs="宋体"/>
                <w:color w:val="auto"/>
                <w:w w:val="99"/>
                <w:sz w:val="20"/>
                <w:szCs w:val="20"/>
              </w:rPr>
              <w:t>805便</w:t>
            </w:r>
          </w:p>
          <w:p w14:paraId="4D8822F0">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器</w:t>
            </w:r>
          </w:p>
        </w:tc>
        <w:tc>
          <w:tcPr>
            <w:tcW w:w="1800" w:type="dxa"/>
            <w:tcBorders>
              <w:top w:val="single" w:color="auto" w:sz="4" w:space="0"/>
              <w:left w:val="single" w:color="auto" w:sz="4" w:space="0"/>
              <w:bottom w:val="single" w:color="auto" w:sz="4" w:space="0"/>
              <w:right w:val="single" w:color="auto" w:sz="4" w:space="0"/>
            </w:tcBorders>
          </w:tcPr>
          <w:p w14:paraId="56CD1228">
            <w:pPr>
              <w:pStyle w:val="75"/>
              <w:spacing w:before="5"/>
              <w:rPr>
                <w:rFonts w:ascii="宋体" w:hAnsi="宋体" w:eastAsia="宋体" w:cs="宋体"/>
                <w:color w:val="auto"/>
                <w:sz w:val="21"/>
                <w:szCs w:val="21"/>
              </w:rPr>
            </w:pPr>
          </w:p>
          <w:p w14:paraId="0624DF07">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tcPr>
          <w:p w14:paraId="6EEC812F">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48E671D1">
            <w:pPr>
              <w:pStyle w:val="75"/>
              <w:spacing w:before="124"/>
              <w:ind w:left="7"/>
              <w:rPr>
                <w:rFonts w:ascii="宋体" w:hAnsi="宋体" w:eastAsia="宋体" w:cs="宋体"/>
                <w:color w:val="auto"/>
                <w:sz w:val="20"/>
                <w:szCs w:val="20"/>
                <w:lang w:eastAsia="zh-CN"/>
              </w:rPr>
            </w:pPr>
            <w:r>
              <w:rPr>
                <w:rFonts w:hint="eastAsia" w:ascii="宋体" w:hAnsi="宋体" w:eastAsia="宋体" w:cs="宋体"/>
                <w:color w:val="auto"/>
                <w:w w:val="99"/>
                <w:sz w:val="20"/>
                <w:szCs w:val="20"/>
                <w:lang w:eastAsia="zh-CN"/>
              </w:rPr>
              <w:t>《坐便</w:t>
            </w:r>
            <w:r>
              <w:rPr>
                <w:rFonts w:hint="eastAsia" w:ascii="宋体" w:hAnsi="宋体" w:eastAsia="宋体" w:cs="宋体"/>
                <w:color w:val="auto"/>
                <w:spacing w:val="2"/>
                <w:w w:val="99"/>
                <w:sz w:val="20"/>
                <w:szCs w:val="20"/>
                <w:lang w:eastAsia="zh-CN"/>
              </w:rPr>
              <w:t>器</w:t>
            </w:r>
            <w:r>
              <w:rPr>
                <w:rFonts w:hint="eastAsia" w:ascii="宋体" w:hAnsi="宋体" w:eastAsia="宋体" w:cs="宋体"/>
                <w:color w:val="auto"/>
                <w:w w:val="99"/>
                <w:sz w:val="20"/>
                <w:szCs w:val="20"/>
                <w:lang w:eastAsia="zh-CN"/>
              </w:rPr>
              <w:t>水效</w:t>
            </w:r>
            <w:r>
              <w:rPr>
                <w:rFonts w:hint="eastAsia" w:ascii="宋体" w:hAnsi="宋体" w:eastAsia="宋体" w:cs="宋体"/>
                <w:color w:val="auto"/>
                <w:spacing w:val="2"/>
                <w:w w:val="99"/>
                <w:sz w:val="20"/>
                <w:szCs w:val="20"/>
                <w:lang w:eastAsia="zh-CN"/>
              </w:rPr>
              <w:t>限</w:t>
            </w:r>
            <w:r>
              <w:rPr>
                <w:rFonts w:hint="eastAsia" w:ascii="宋体" w:hAnsi="宋体" w:eastAsia="宋体" w:cs="宋体"/>
                <w:color w:val="auto"/>
                <w:w w:val="99"/>
                <w:sz w:val="20"/>
                <w:szCs w:val="20"/>
                <w:lang w:eastAsia="zh-CN"/>
              </w:rPr>
              <w:t>定值</w:t>
            </w:r>
            <w:r>
              <w:rPr>
                <w:rFonts w:hint="eastAsia" w:ascii="宋体" w:hAnsi="宋体" w:eastAsia="宋体" w:cs="宋体"/>
                <w:color w:val="auto"/>
                <w:spacing w:val="2"/>
                <w:w w:val="99"/>
                <w:sz w:val="20"/>
                <w:szCs w:val="20"/>
                <w:lang w:eastAsia="zh-CN"/>
              </w:rPr>
              <w:t>及</w:t>
            </w:r>
            <w:r>
              <w:rPr>
                <w:rFonts w:hint="eastAsia" w:ascii="宋体" w:hAnsi="宋体" w:eastAsia="宋体" w:cs="宋体"/>
                <w:color w:val="auto"/>
                <w:w w:val="99"/>
                <w:sz w:val="20"/>
                <w:szCs w:val="20"/>
                <w:lang w:eastAsia="zh-CN"/>
              </w:rPr>
              <w:t>水</w:t>
            </w:r>
            <w:r>
              <w:rPr>
                <w:rFonts w:hint="eastAsia" w:ascii="宋体" w:hAnsi="宋体" w:eastAsia="宋体" w:cs="宋体"/>
                <w:color w:val="auto"/>
                <w:spacing w:val="2"/>
                <w:w w:val="99"/>
                <w:sz w:val="20"/>
                <w:szCs w:val="20"/>
                <w:lang w:eastAsia="zh-CN"/>
              </w:rPr>
              <w:t>效</w:t>
            </w:r>
            <w:r>
              <w:rPr>
                <w:rFonts w:hint="eastAsia" w:ascii="宋体" w:hAnsi="宋体" w:eastAsia="宋体" w:cs="宋体"/>
                <w:color w:val="auto"/>
                <w:w w:val="99"/>
                <w:sz w:val="20"/>
                <w:szCs w:val="20"/>
                <w:lang w:eastAsia="zh-CN"/>
              </w:rPr>
              <w:t>等级》</w:t>
            </w:r>
          </w:p>
          <w:p w14:paraId="5DF7532B">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w:t>
            </w:r>
            <w:r>
              <w:rPr>
                <w:rFonts w:hint="eastAsia" w:ascii="宋体" w:hAnsi="宋体" w:eastAsia="宋体" w:cs="宋体"/>
                <w:color w:val="auto"/>
                <w:spacing w:val="1"/>
                <w:w w:val="99"/>
                <w:sz w:val="20"/>
                <w:szCs w:val="20"/>
              </w:rPr>
              <w:t>G</w:t>
            </w:r>
            <w:r>
              <w:rPr>
                <w:rFonts w:hint="eastAsia" w:ascii="宋体" w:hAnsi="宋体" w:eastAsia="宋体" w:cs="宋体"/>
                <w:color w:val="auto"/>
                <w:w w:val="99"/>
                <w:sz w:val="20"/>
                <w:szCs w:val="20"/>
              </w:rPr>
              <w:t>B</w:t>
            </w:r>
            <w:r>
              <w:rPr>
                <w:rFonts w:hint="eastAsia" w:ascii="宋体" w:hAnsi="宋体" w:eastAsia="宋体" w:cs="宋体"/>
                <w:color w:val="auto"/>
                <w:spacing w:val="1"/>
                <w:w w:val="99"/>
                <w:sz w:val="20"/>
                <w:szCs w:val="20"/>
              </w:rPr>
              <w:t>2</w:t>
            </w:r>
            <w:r>
              <w:rPr>
                <w:rFonts w:hint="eastAsia" w:ascii="宋体" w:hAnsi="宋体" w:eastAsia="宋体" w:cs="宋体"/>
                <w:color w:val="auto"/>
                <w:w w:val="99"/>
                <w:sz w:val="20"/>
                <w:szCs w:val="20"/>
              </w:rPr>
              <w:t>55</w:t>
            </w:r>
            <w:r>
              <w:rPr>
                <w:rFonts w:hint="eastAsia" w:ascii="宋体" w:hAnsi="宋体" w:eastAsia="宋体" w:cs="宋体"/>
                <w:color w:val="auto"/>
                <w:spacing w:val="1"/>
                <w:w w:val="99"/>
                <w:sz w:val="20"/>
                <w:szCs w:val="20"/>
              </w:rPr>
              <w:t>02</w:t>
            </w:r>
            <w:r>
              <w:rPr>
                <w:rFonts w:hint="eastAsia" w:ascii="宋体" w:hAnsi="宋体" w:eastAsia="宋体" w:cs="宋体"/>
                <w:color w:val="auto"/>
                <w:w w:val="99"/>
                <w:sz w:val="20"/>
                <w:szCs w:val="20"/>
              </w:rPr>
              <w:t>）</w:t>
            </w:r>
          </w:p>
        </w:tc>
      </w:tr>
      <w:tr w14:paraId="74C0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71485E86">
            <w:pPr>
              <w:widowControl/>
              <w:rPr>
                <w:rFonts w:ascii="宋体" w:hAnsi="宋体" w:eastAsia="宋体" w:cs="宋体"/>
                <w:color w:val="auto"/>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0463636A">
            <w:pPr>
              <w:widowControl/>
              <w:rPr>
                <w:rFonts w:ascii="宋体" w:hAnsi="宋体" w:eastAsia="宋体" w:cs="宋体"/>
                <w:color w:val="auto"/>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tcPr>
          <w:p w14:paraId="015E0BE9">
            <w:pPr>
              <w:pStyle w:val="75"/>
              <w:spacing w:before="5"/>
              <w:rPr>
                <w:rFonts w:ascii="宋体" w:hAnsi="宋体" w:eastAsia="宋体" w:cs="宋体"/>
                <w:color w:val="auto"/>
                <w:sz w:val="21"/>
                <w:szCs w:val="21"/>
              </w:rPr>
            </w:pPr>
          </w:p>
          <w:p w14:paraId="3CB7B051">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tcPr>
          <w:p w14:paraId="7793C0E5">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3E9B4560">
            <w:pPr>
              <w:pStyle w:val="75"/>
              <w:spacing w:before="124"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《蹲便器用水效率限定</w:t>
            </w:r>
            <w:r>
              <w:rPr>
                <w:rFonts w:hint="eastAsia" w:ascii="宋体" w:hAnsi="宋体" w:eastAsia="宋体" w:cs="宋体"/>
                <w:color w:val="auto"/>
                <w:spacing w:val="9"/>
                <w:w w:val="99"/>
                <w:sz w:val="20"/>
                <w:szCs w:val="20"/>
                <w:lang w:eastAsia="zh-CN"/>
              </w:rPr>
              <w:t>值</w:t>
            </w:r>
            <w:r>
              <w:rPr>
                <w:rFonts w:hint="eastAsia" w:ascii="宋体" w:hAnsi="宋体" w:eastAsia="宋体" w:cs="宋体"/>
                <w:color w:val="auto"/>
                <w:spacing w:val="12"/>
                <w:w w:val="99"/>
                <w:sz w:val="20"/>
                <w:szCs w:val="20"/>
                <w:lang w:eastAsia="zh-CN"/>
              </w:rPr>
              <w:t>及用</w:t>
            </w:r>
            <w:r>
              <w:rPr>
                <w:rFonts w:hint="eastAsia" w:ascii="宋体" w:hAnsi="宋体" w:eastAsia="宋体" w:cs="宋体"/>
                <w:color w:val="auto"/>
                <w:w w:val="99"/>
                <w:sz w:val="20"/>
                <w:szCs w:val="20"/>
                <w:lang w:eastAsia="zh-CN"/>
              </w:rPr>
              <w:t>水效率等</w:t>
            </w:r>
            <w:r>
              <w:rPr>
                <w:rFonts w:hint="eastAsia" w:ascii="宋体" w:hAnsi="宋体" w:eastAsia="宋体" w:cs="宋体"/>
                <w:color w:val="auto"/>
                <w:spacing w:val="2"/>
                <w:w w:val="99"/>
                <w:sz w:val="20"/>
                <w:szCs w:val="20"/>
                <w:lang w:eastAsia="zh-CN"/>
              </w:rPr>
              <w:t>级</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307</w:t>
            </w:r>
            <w:r>
              <w:rPr>
                <w:rFonts w:hint="eastAsia" w:ascii="宋体" w:hAnsi="宋体" w:eastAsia="宋体" w:cs="宋体"/>
                <w:color w:val="auto"/>
                <w:w w:val="99"/>
                <w:sz w:val="20"/>
                <w:szCs w:val="20"/>
                <w:lang w:eastAsia="zh-CN"/>
              </w:rPr>
              <w:t>1</w:t>
            </w:r>
            <w:r>
              <w:rPr>
                <w:rFonts w:hint="eastAsia" w:ascii="宋体" w:hAnsi="宋体" w:eastAsia="宋体" w:cs="宋体"/>
                <w:color w:val="auto"/>
                <w:spacing w:val="-1"/>
                <w:w w:val="99"/>
                <w:sz w:val="20"/>
                <w:szCs w:val="20"/>
                <w:lang w:eastAsia="zh-CN"/>
              </w:rPr>
              <w:t>7</w:t>
            </w:r>
            <w:r>
              <w:rPr>
                <w:rFonts w:hint="eastAsia" w:ascii="宋体" w:hAnsi="宋体" w:eastAsia="宋体" w:cs="宋体"/>
                <w:color w:val="auto"/>
                <w:w w:val="99"/>
                <w:sz w:val="20"/>
                <w:szCs w:val="20"/>
                <w:lang w:eastAsia="zh-CN"/>
              </w:rPr>
              <w:t>）</w:t>
            </w:r>
          </w:p>
        </w:tc>
      </w:tr>
      <w:tr w14:paraId="0901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6356641">
            <w:pPr>
              <w:widowControl/>
              <w:rPr>
                <w:rFonts w:ascii="宋体" w:hAnsi="宋体" w:eastAsia="宋体" w:cs="宋体"/>
                <w:color w:val="auto"/>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6E78BFA7">
            <w:pPr>
              <w:widowControl/>
              <w:rPr>
                <w:rFonts w:ascii="宋体" w:hAnsi="宋体" w:eastAsia="宋体" w:cs="宋体"/>
                <w:color w:val="auto"/>
                <w:sz w:val="20"/>
                <w:szCs w:val="20"/>
              </w:rPr>
            </w:pPr>
          </w:p>
        </w:tc>
        <w:tc>
          <w:tcPr>
            <w:tcW w:w="1800" w:type="dxa"/>
            <w:tcBorders>
              <w:top w:val="single" w:color="auto" w:sz="4" w:space="0"/>
              <w:left w:val="single" w:color="auto" w:sz="4" w:space="0"/>
              <w:bottom w:val="single" w:color="auto" w:sz="4" w:space="0"/>
              <w:right w:val="single" w:color="auto" w:sz="4" w:space="0"/>
            </w:tcBorders>
          </w:tcPr>
          <w:p w14:paraId="1D08838D">
            <w:pPr>
              <w:pStyle w:val="75"/>
              <w:spacing w:before="5"/>
              <w:rPr>
                <w:rFonts w:ascii="宋体" w:hAnsi="宋体" w:eastAsia="宋体" w:cs="宋体"/>
                <w:color w:val="auto"/>
                <w:sz w:val="21"/>
                <w:szCs w:val="21"/>
                <w:lang w:eastAsia="zh-CN"/>
              </w:rPr>
            </w:pPr>
          </w:p>
          <w:p w14:paraId="1CF42879">
            <w:pPr>
              <w:pStyle w:val="75"/>
              <w:ind w:left="7"/>
              <w:rPr>
                <w:rFonts w:ascii="宋体" w:hAnsi="宋体" w:eastAsia="宋体" w:cs="宋体"/>
                <w:color w:val="auto"/>
                <w:sz w:val="20"/>
                <w:szCs w:val="20"/>
              </w:rPr>
            </w:pPr>
            <w:r>
              <w:rPr>
                <w:rFonts w:hint="eastAsia" w:ascii="宋体" w:hAnsi="宋体" w:eastAsia="宋体" w:cs="宋体"/>
                <w:color w:val="auto"/>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tcPr>
          <w:p w14:paraId="7E429BF3">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769A2837">
            <w:pPr>
              <w:pStyle w:val="75"/>
              <w:spacing w:before="124" w:line="283" w:lineRule="auto"/>
              <w:ind w:left="7" w:right="4"/>
              <w:rPr>
                <w:rFonts w:ascii="宋体" w:hAnsi="宋体" w:eastAsia="宋体" w:cs="宋体"/>
                <w:color w:val="auto"/>
                <w:sz w:val="20"/>
                <w:szCs w:val="20"/>
                <w:lang w:eastAsia="zh-CN"/>
              </w:rPr>
            </w:pPr>
            <w:r>
              <w:rPr>
                <w:rFonts w:hint="eastAsia" w:ascii="宋体" w:hAnsi="宋体" w:eastAsia="宋体" w:cs="宋体"/>
                <w:color w:val="auto"/>
                <w:spacing w:val="12"/>
                <w:w w:val="99"/>
                <w:sz w:val="20"/>
                <w:szCs w:val="20"/>
                <w:lang w:eastAsia="zh-CN"/>
              </w:rPr>
              <w:t>《小便器用水效率限定</w:t>
            </w:r>
            <w:r>
              <w:rPr>
                <w:rFonts w:hint="eastAsia" w:ascii="宋体" w:hAnsi="宋体" w:eastAsia="宋体" w:cs="宋体"/>
                <w:color w:val="auto"/>
                <w:spacing w:val="9"/>
                <w:w w:val="99"/>
                <w:sz w:val="20"/>
                <w:szCs w:val="20"/>
                <w:lang w:eastAsia="zh-CN"/>
              </w:rPr>
              <w:t>值</w:t>
            </w:r>
            <w:r>
              <w:rPr>
                <w:rFonts w:hint="eastAsia" w:ascii="宋体" w:hAnsi="宋体" w:eastAsia="宋体" w:cs="宋体"/>
                <w:color w:val="auto"/>
                <w:spacing w:val="12"/>
                <w:w w:val="99"/>
                <w:sz w:val="20"/>
                <w:szCs w:val="20"/>
                <w:lang w:eastAsia="zh-CN"/>
              </w:rPr>
              <w:t>及用</w:t>
            </w:r>
            <w:r>
              <w:rPr>
                <w:rFonts w:hint="eastAsia" w:ascii="宋体" w:hAnsi="宋体" w:eastAsia="宋体" w:cs="宋体"/>
                <w:color w:val="auto"/>
                <w:w w:val="99"/>
                <w:sz w:val="20"/>
                <w:szCs w:val="20"/>
                <w:lang w:eastAsia="zh-CN"/>
              </w:rPr>
              <w:t>水效率等</w:t>
            </w:r>
            <w:r>
              <w:rPr>
                <w:rFonts w:hint="eastAsia" w:ascii="宋体" w:hAnsi="宋体" w:eastAsia="宋体" w:cs="宋体"/>
                <w:color w:val="auto"/>
                <w:spacing w:val="2"/>
                <w:w w:val="99"/>
                <w:sz w:val="20"/>
                <w:szCs w:val="20"/>
                <w:lang w:eastAsia="zh-CN"/>
              </w:rPr>
              <w:t>级</w:t>
            </w:r>
            <w:r>
              <w:rPr>
                <w:rFonts w:hint="eastAsia" w:ascii="宋体" w:hAnsi="宋体" w:eastAsia="宋体" w:cs="宋体"/>
                <w:color w:val="auto"/>
                <w:w w:val="99"/>
                <w:sz w:val="20"/>
                <w:szCs w:val="20"/>
                <w:lang w:eastAsia="zh-CN"/>
              </w:rPr>
              <w:t>》（</w:t>
            </w:r>
            <w:r>
              <w:rPr>
                <w:rFonts w:hint="eastAsia" w:ascii="宋体" w:hAnsi="宋体" w:eastAsia="宋体" w:cs="宋体"/>
                <w:color w:val="auto"/>
                <w:spacing w:val="1"/>
                <w:w w:val="99"/>
                <w:sz w:val="20"/>
                <w:szCs w:val="20"/>
                <w:lang w:eastAsia="zh-CN"/>
              </w:rPr>
              <w:t>G</w:t>
            </w:r>
            <w:r>
              <w:rPr>
                <w:rFonts w:hint="eastAsia" w:ascii="宋体" w:hAnsi="宋体" w:eastAsia="宋体" w:cs="宋体"/>
                <w:color w:val="auto"/>
                <w:w w:val="99"/>
                <w:sz w:val="20"/>
                <w:szCs w:val="20"/>
                <w:lang w:eastAsia="zh-CN"/>
              </w:rPr>
              <w:t>B</w:t>
            </w:r>
            <w:r>
              <w:rPr>
                <w:rFonts w:hint="eastAsia" w:ascii="宋体" w:hAnsi="宋体" w:eastAsia="宋体" w:cs="宋体"/>
                <w:color w:val="auto"/>
                <w:spacing w:val="1"/>
                <w:w w:val="99"/>
                <w:sz w:val="20"/>
                <w:szCs w:val="20"/>
                <w:lang w:eastAsia="zh-CN"/>
              </w:rPr>
              <w:t>283</w:t>
            </w:r>
            <w:r>
              <w:rPr>
                <w:rFonts w:hint="eastAsia" w:ascii="宋体" w:hAnsi="宋体" w:eastAsia="宋体" w:cs="宋体"/>
                <w:color w:val="auto"/>
                <w:w w:val="99"/>
                <w:sz w:val="20"/>
                <w:szCs w:val="20"/>
                <w:lang w:eastAsia="zh-CN"/>
              </w:rPr>
              <w:t>7</w:t>
            </w:r>
            <w:r>
              <w:rPr>
                <w:rFonts w:hint="eastAsia" w:ascii="宋体" w:hAnsi="宋体" w:eastAsia="宋体" w:cs="宋体"/>
                <w:color w:val="auto"/>
                <w:spacing w:val="-1"/>
                <w:w w:val="99"/>
                <w:sz w:val="20"/>
                <w:szCs w:val="20"/>
                <w:lang w:eastAsia="zh-CN"/>
              </w:rPr>
              <w:t>7</w:t>
            </w:r>
            <w:r>
              <w:rPr>
                <w:rFonts w:hint="eastAsia" w:ascii="宋体" w:hAnsi="宋体" w:eastAsia="宋体" w:cs="宋体"/>
                <w:color w:val="auto"/>
                <w:w w:val="99"/>
                <w:sz w:val="20"/>
                <w:szCs w:val="20"/>
                <w:lang w:eastAsia="zh-CN"/>
              </w:rPr>
              <w:t>）</w:t>
            </w:r>
          </w:p>
        </w:tc>
      </w:tr>
      <w:tr w14:paraId="5F73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jc w:val="center"/>
        </w:trPr>
        <w:tc>
          <w:tcPr>
            <w:tcW w:w="574" w:type="dxa"/>
            <w:tcBorders>
              <w:top w:val="single" w:color="auto" w:sz="4" w:space="0"/>
              <w:left w:val="single" w:color="auto" w:sz="4" w:space="0"/>
              <w:bottom w:val="single" w:color="auto" w:sz="4" w:space="0"/>
              <w:right w:val="single" w:color="auto" w:sz="4" w:space="0"/>
            </w:tcBorders>
          </w:tcPr>
          <w:p w14:paraId="7DF6A859">
            <w:pPr>
              <w:pStyle w:val="75"/>
              <w:spacing w:before="8"/>
              <w:rPr>
                <w:rFonts w:ascii="宋体" w:hAnsi="宋体" w:eastAsia="宋体" w:cs="宋体"/>
                <w:color w:val="auto"/>
                <w:sz w:val="23"/>
                <w:szCs w:val="23"/>
                <w:lang w:eastAsia="zh-CN"/>
              </w:rPr>
            </w:pPr>
          </w:p>
          <w:p w14:paraId="0214190C">
            <w:pPr>
              <w:pStyle w:val="75"/>
              <w:ind w:left="182"/>
              <w:rPr>
                <w:rFonts w:ascii="宋体" w:hAnsi="宋体" w:eastAsia="宋体" w:cs="宋体"/>
                <w:color w:val="auto"/>
                <w:sz w:val="20"/>
                <w:szCs w:val="20"/>
              </w:rPr>
            </w:pPr>
            <w:r>
              <w:rPr>
                <w:rFonts w:hint="eastAsia" w:ascii="宋体" w:hAnsi="宋体" w:eastAsia="宋体" w:cs="宋体"/>
                <w:color w:val="auto"/>
                <w:sz w:val="20"/>
              </w:rPr>
              <w:t>16</w:t>
            </w:r>
          </w:p>
        </w:tc>
        <w:tc>
          <w:tcPr>
            <w:tcW w:w="1166" w:type="dxa"/>
            <w:tcBorders>
              <w:top w:val="single" w:color="auto" w:sz="4" w:space="0"/>
              <w:left w:val="single" w:color="auto" w:sz="4" w:space="0"/>
              <w:bottom w:val="single" w:color="auto" w:sz="4" w:space="0"/>
              <w:right w:val="single" w:color="auto" w:sz="4" w:space="0"/>
            </w:tcBorders>
          </w:tcPr>
          <w:p w14:paraId="3498A949">
            <w:pPr>
              <w:pStyle w:val="75"/>
              <w:spacing w:before="153"/>
              <w:ind w:left="7"/>
              <w:rPr>
                <w:rFonts w:ascii="宋体" w:hAnsi="宋体" w:eastAsia="宋体" w:cs="宋体"/>
                <w:color w:val="auto"/>
                <w:sz w:val="20"/>
                <w:szCs w:val="20"/>
              </w:rPr>
            </w:pPr>
            <w:r>
              <w:rPr>
                <w:rFonts w:hint="eastAsia" w:ascii="宋体" w:hAnsi="宋体" w:eastAsia="宋体" w:cs="宋体"/>
                <w:color w:val="auto"/>
                <w:sz w:val="20"/>
                <w:szCs w:val="20"/>
              </w:rPr>
              <w:t>★A060806水</w:t>
            </w:r>
          </w:p>
          <w:p w14:paraId="057088A0">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嘴</w:t>
            </w:r>
          </w:p>
        </w:tc>
        <w:tc>
          <w:tcPr>
            <w:tcW w:w="1800" w:type="dxa"/>
            <w:tcBorders>
              <w:top w:val="single" w:color="auto" w:sz="4" w:space="0"/>
              <w:left w:val="single" w:color="auto" w:sz="4" w:space="0"/>
              <w:bottom w:val="single" w:color="auto" w:sz="4" w:space="0"/>
              <w:right w:val="single" w:color="auto" w:sz="4" w:space="0"/>
            </w:tcBorders>
          </w:tcPr>
          <w:p w14:paraId="3FAF87D3">
            <w:pPr>
              <w:rPr>
                <w:rFonts w:ascii="宋体" w:hAnsi="宋体" w:eastAsia="宋体" w:cs="宋体"/>
                <w:color w:val="auto"/>
                <w:w w:val="99"/>
                <w:sz w:val="20"/>
                <w:szCs w:val="20"/>
              </w:rPr>
            </w:pPr>
          </w:p>
        </w:tc>
        <w:tc>
          <w:tcPr>
            <w:tcW w:w="1915" w:type="dxa"/>
            <w:tcBorders>
              <w:top w:val="single" w:color="auto" w:sz="4" w:space="0"/>
              <w:left w:val="single" w:color="auto" w:sz="4" w:space="0"/>
              <w:bottom w:val="single" w:color="auto" w:sz="4" w:space="0"/>
              <w:right w:val="single" w:color="auto" w:sz="4" w:space="0"/>
            </w:tcBorders>
          </w:tcPr>
          <w:p w14:paraId="33F135F1">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60E580FE">
            <w:pPr>
              <w:pStyle w:val="75"/>
              <w:spacing w:before="153" w:line="283" w:lineRule="auto"/>
              <w:ind w:left="7" w:right="4"/>
              <w:rPr>
                <w:rFonts w:ascii="宋体" w:hAnsi="宋体" w:eastAsia="宋体" w:cs="宋体"/>
                <w:color w:val="auto"/>
                <w:spacing w:val="12"/>
                <w:w w:val="99"/>
                <w:sz w:val="20"/>
                <w:szCs w:val="20"/>
                <w:lang w:eastAsia="zh-CN"/>
              </w:rPr>
            </w:pPr>
            <w:r>
              <w:rPr>
                <w:rFonts w:hint="eastAsia" w:ascii="宋体" w:hAnsi="宋体" w:eastAsia="宋体" w:cs="宋体"/>
                <w:color w:val="auto"/>
                <w:spacing w:val="10"/>
                <w:sz w:val="20"/>
                <w:szCs w:val="20"/>
                <w:lang w:eastAsia="zh-CN"/>
              </w:rPr>
              <w:t>《水嘴用水效率限定值及用水效</w:t>
            </w:r>
            <w:r>
              <w:rPr>
                <w:rFonts w:hint="eastAsia" w:ascii="宋体" w:hAnsi="宋体" w:eastAsia="宋体" w:cs="宋体"/>
                <w:color w:val="auto"/>
                <w:sz w:val="20"/>
                <w:szCs w:val="20"/>
                <w:lang w:eastAsia="zh-CN"/>
              </w:rPr>
              <w:t>率等级》（GB 25501）</w:t>
            </w:r>
          </w:p>
        </w:tc>
      </w:tr>
      <w:tr w14:paraId="48DF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jc w:val="center"/>
        </w:trPr>
        <w:tc>
          <w:tcPr>
            <w:tcW w:w="574" w:type="dxa"/>
            <w:tcBorders>
              <w:top w:val="single" w:color="auto" w:sz="4" w:space="0"/>
              <w:left w:val="single" w:color="auto" w:sz="4" w:space="0"/>
              <w:bottom w:val="single" w:color="auto" w:sz="4" w:space="0"/>
              <w:right w:val="single" w:color="auto" w:sz="4" w:space="0"/>
            </w:tcBorders>
          </w:tcPr>
          <w:p w14:paraId="6C710459">
            <w:pPr>
              <w:pStyle w:val="75"/>
              <w:spacing w:before="6"/>
              <w:rPr>
                <w:rFonts w:ascii="宋体" w:hAnsi="宋体" w:eastAsia="宋体" w:cs="宋体"/>
                <w:color w:val="auto"/>
                <w:sz w:val="20"/>
                <w:szCs w:val="20"/>
                <w:lang w:eastAsia="zh-CN"/>
              </w:rPr>
            </w:pPr>
          </w:p>
          <w:p w14:paraId="1C8FBAFC">
            <w:pPr>
              <w:pStyle w:val="75"/>
              <w:ind w:left="182"/>
              <w:rPr>
                <w:rFonts w:ascii="宋体" w:hAnsi="宋体" w:eastAsia="宋体" w:cs="宋体"/>
                <w:color w:val="auto"/>
                <w:sz w:val="20"/>
                <w:szCs w:val="20"/>
              </w:rPr>
            </w:pPr>
            <w:r>
              <w:rPr>
                <w:rFonts w:hint="eastAsia" w:ascii="宋体" w:hAnsi="宋体" w:eastAsia="宋体" w:cs="宋体"/>
                <w:color w:val="auto"/>
                <w:sz w:val="20"/>
              </w:rPr>
              <w:t>17</w:t>
            </w:r>
          </w:p>
        </w:tc>
        <w:tc>
          <w:tcPr>
            <w:tcW w:w="1166" w:type="dxa"/>
            <w:tcBorders>
              <w:top w:val="single" w:color="auto" w:sz="4" w:space="0"/>
              <w:left w:val="single" w:color="auto" w:sz="4" w:space="0"/>
              <w:bottom w:val="single" w:color="auto" w:sz="4" w:space="0"/>
              <w:right w:val="single" w:color="auto" w:sz="4" w:space="0"/>
            </w:tcBorders>
          </w:tcPr>
          <w:p w14:paraId="579E9CAA">
            <w:pPr>
              <w:pStyle w:val="75"/>
              <w:spacing w:before="112"/>
              <w:ind w:left="7"/>
              <w:rPr>
                <w:rFonts w:ascii="宋体" w:hAnsi="宋体" w:eastAsia="宋体" w:cs="宋体"/>
                <w:color w:val="auto"/>
                <w:sz w:val="20"/>
                <w:szCs w:val="20"/>
              </w:rPr>
            </w:pPr>
            <w:r>
              <w:rPr>
                <w:rFonts w:hint="eastAsia" w:ascii="宋体" w:hAnsi="宋体" w:eastAsia="宋体" w:cs="宋体"/>
                <w:color w:val="auto"/>
                <w:sz w:val="20"/>
                <w:szCs w:val="20"/>
              </w:rPr>
              <w:t>A060807便器</w:t>
            </w:r>
          </w:p>
          <w:p w14:paraId="5E24CF1A">
            <w:pPr>
              <w:pStyle w:val="75"/>
              <w:spacing w:before="50"/>
              <w:ind w:left="7"/>
              <w:rPr>
                <w:rFonts w:ascii="宋体" w:hAnsi="宋体" w:eastAsia="宋体" w:cs="宋体"/>
                <w:color w:val="auto"/>
                <w:sz w:val="20"/>
                <w:szCs w:val="20"/>
              </w:rPr>
            </w:pPr>
            <w:r>
              <w:rPr>
                <w:rFonts w:hint="eastAsia" w:ascii="宋体" w:hAnsi="宋体" w:eastAsia="宋体" w:cs="宋体"/>
                <w:color w:val="auto"/>
                <w:sz w:val="20"/>
                <w:szCs w:val="20"/>
              </w:rPr>
              <w:t>冲洗阀</w:t>
            </w:r>
          </w:p>
        </w:tc>
        <w:tc>
          <w:tcPr>
            <w:tcW w:w="1800" w:type="dxa"/>
            <w:tcBorders>
              <w:top w:val="single" w:color="auto" w:sz="4" w:space="0"/>
              <w:left w:val="single" w:color="auto" w:sz="4" w:space="0"/>
              <w:bottom w:val="single" w:color="auto" w:sz="4" w:space="0"/>
              <w:right w:val="single" w:color="auto" w:sz="4" w:space="0"/>
            </w:tcBorders>
          </w:tcPr>
          <w:p w14:paraId="472E9AE2">
            <w:pPr>
              <w:rPr>
                <w:rFonts w:ascii="宋体" w:hAnsi="宋体" w:eastAsia="宋体" w:cs="宋体"/>
                <w:color w:val="auto"/>
                <w:w w:val="99"/>
                <w:sz w:val="20"/>
                <w:szCs w:val="20"/>
              </w:rPr>
            </w:pPr>
          </w:p>
        </w:tc>
        <w:tc>
          <w:tcPr>
            <w:tcW w:w="1915" w:type="dxa"/>
            <w:tcBorders>
              <w:top w:val="single" w:color="auto" w:sz="4" w:space="0"/>
              <w:left w:val="single" w:color="auto" w:sz="4" w:space="0"/>
              <w:bottom w:val="single" w:color="auto" w:sz="4" w:space="0"/>
              <w:right w:val="single" w:color="auto" w:sz="4" w:space="0"/>
            </w:tcBorders>
          </w:tcPr>
          <w:p w14:paraId="562275FE">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398671D7">
            <w:pPr>
              <w:pStyle w:val="75"/>
              <w:spacing w:before="112" w:line="283" w:lineRule="auto"/>
              <w:ind w:left="7" w:right="4"/>
              <w:rPr>
                <w:rFonts w:ascii="宋体" w:hAnsi="宋体" w:eastAsia="宋体" w:cs="宋体"/>
                <w:color w:val="auto"/>
                <w:spacing w:val="12"/>
                <w:w w:val="99"/>
                <w:sz w:val="20"/>
                <w:szCs w:val="20"/>
                <w:lang w:eastAsia="zh-CN"/>
              </w:rPr>
            </w:pPr>
            <w:r>
              <w:rPr>
                <w:rFonts w:hint="eastAsia" w:ascii="宋体" w:hAnsi="宋体" w:eastAsia="宋体" w:cs="宋体"/>
                <w:color w:val="auto"/>
                <w:spacing w:val="10"/>
                <w:sz w:val="20"/>
                <w:szCs w:val="20"/>
                <w:lang w:eastAsia="zh-CN"/>
              </w:rPr>
              <w:t>《便器冲洗阀用水效率限定值及</w:t>
            </w:r>
            <w:r>
              <w:rPr>
                <w:rFonts w:hint="eastAsia" w:ascii="宋体" w:hAnsi="宋体" w:eastAsia="宋体" w:cs="宋体"/>
                <w:color w:val="auto"/>
                <w:sz w:val="20"/>
                <w:szCs w:val="20"/>
                <w:lang w:eastAsia="zh-CN"/>
              </w:rPr>
              <w:t>用水效率等级》（GB28379）</w:t>
            </w:r>
          </w:p>
        </w:tc>
      </w:tr>
      <w:tr w14:paraId="2652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jc w:val="center"/>
        </w:trPr>
        <w:tc>
          <w:tcPr>
            <w:tcW w:w="574" w:type="dxa"/>
            <w:tcBorders>
              <w:top w:val="single" w:color="auto" w:sz="4" w:space="0"/>
              <w:left w:val="single" w:color="auto" w:sz="4" w:space="0"/>
              <w:bottom w:val="single" w:color="auto" w:sz="4" w:space="0"/>
              <w:right w:val="single" w:color="auto" w:sz="4" w:space="0"/>
            </w:tcBorders>
          </w:tcPr>
          <w:p w14:paraId="77302988">
            <w:pPr>
              <w:pStyle w:val="75"/>
              <w:spacing w:before="12"/>
              <w:rPr>
                <w:rFonts w:ascii="宋体" w:hAnsi="宋体" w:eastAsia="宋体" w:cs="宋体"/>
                <w:color w:val="auto"/>
                <w:sz w:val="21"/>
                <w:szCs w:val="21"/>
                <w:lang w:eastAsia="zh-CN"/>
              </w:rPr>
            </w:pPr>
          </w:p>
          <w:p w14:paraId="6A152D5E">
            <w:pPr>
              <w:pStyle w:val="75"/>
              <w:ind w:left="182"/>
              <w:rPr>
                <w:rFonts w:ascii="宋体" w:hAnsi="宋体" w:eastAsia="宋体" w:cs="宋体"/>
                <w:color w:val="auto"/>
                <w:sz w:val="20"/>
                <w:szCs w:val="20"/>
              </w:rPr>
            </w:pPr>
            <w:r>
              <w:rPr>
                <w:rFonts w:hint="eastAsia" w:ascii="宋体" w:hAnsi="宋体" w:eastAsia="宋体" w:cs="宋体"/>
                <w:color w:val="auto"/>
                <w:sz w:val="20"/>
              </w:rPr>
              <w:t>18</w:t>
            </w:r>
          </w:p>
        </w:tc>
        <w:tc>
          <w:tcPr>
            <w:tcW w:w="1166" w:type="dxa"/>
            <w:tcBorders>
              <w:top w:val="single" w:color="auto" w:sz="4" w:space="0"/>
              <w:left w:val="single" w:color="auto" w:sz="4" w:space="0"/>
              <w:bottom w:val="single" w:color="auto" w:sz="4" w:space="0"/>
              <w:right w:val="single" w:color="auto" w:sz="4" w:space="0"/>
            </w:tcBorders>
          </w:tcPr>
          <w:p w14:paraId="49B4BAD2">
            <w:pPr>
              <w:pStyle w:val="75"/>
              <w:spacing w:before="131"/>
              <w:ind w:left="7"/>
              <w:rPr>
                <w:rFonts w:ascii="宋体" w:hAnsi="宋体" w:eastAsia="宋体" w:cs="宋体"/>
                <w:color w:val="auto"/>
                <w:sz w:val="20"/>
                <w:szCs w:val="20"/>
              </w:rPr>
            </w:pPr>
            <w:r>
              <w:rPr>
                <w:rFonts w:hint="eastAsia" w:ascii="宋体" w:hAnsi="宋体" w:eastAsia="宋体" w:cs="宋体"/>
                <w:color w:val="auto"/>
                <w:sz w:val="20"/>
                <w:szCs w:val="20"/>
              </w:rPr>
              <w:t>A060810淋浴</w:t>
            </w:r>
          </w:p>
          <w:p w14:paraId="16A330A3">
            <w:pPr>
              <w:pStyle w:val="75"/>
              <w:spacing w:before="50"/>
              <w:ind w:left="7"/>
              <w:rPr>
                <w:rFonts w:ascii="宋体" w:hAnsi="宋体" w:eastAsia="宋体" w:cs="宋体"/>
                <w:color w:val="auto"/>
                <w:sz w:val="20"/>
                <w:szCs w:val="20"/>
              </w:rPr>
            </w:pPr>
            <w:r>
              <w:rPr>
                <w:rFonts w:hint="eastAsia" w:ascii="宋体" w:hAnsi="宋体" w:eastAsia="宋体" w:cs="宋体"/>
                <w:color w:val="auto"/>
                <w:w w:val="99"/>
                <w:sz w:val="20"/>
                <w:szCs w:val="20"/>
              </w:rPr>
              <w:t>器</w:t>
            </w:r>
          </w:p>
        </w:tc>
        <w:tc>
          <w:tcPr>
            <w:tcW w:w="1800" w:type="dxa"/>
            <w:tcBorders>
              <w:top w:val="single" w:color="auto" w:sz="4" w:space="0"/>
              <w:left w:val="single" w:color="auto" w:sz="4" w:space="0"/>
              <w:bottom w:val="single" w:color="auto" w:sz="4" w:space="0"/>
              <w:right w:val="single" w:color="auto" w:sz="4" w:space="0"/>
            </w:tcBorders>
          </w:tcPr>
          <w:p w14:paraId="50A35269">
            <w:pPr>
              <w:rPr>
                <w:rFonts w:ascii="宋体" w:hAnsi="宋体" w:eastAsia="宋体" w:cs="宋体"/>
                <w:color w:val="auto"/>
                <w:w w:val="99"/>
                <w:sz w:val="20"/>
                <w:szCs w:val="20"/>
              </w:rPr>
            </w:pPr>
          </w:p>
        </w:tc>
        <w:tc>
          <w:tcPr>
            <w:tcW w:w="1915" w:type="dxa"/>
            <w:tcBorders>
              <w:top w:val="single" w:color="auto" w:sz="4" w:space="0"/>
              <w:left w:val="single" w:color="auto" w:sz="4" w:space="0"/>
              <w:bottom w:val="single" w:color="auto" w:sz="4" w:space="0"/>
              <w:right w:val="single" w:color="auto" w:sz="4" w:space="0"/>
            </w:tcBorders>
          </w:tcPr>
          <w:p w14:paraId="1C9E2298">
            <w:pPr>
              <w:rPr>
                <w:rFonts w:ascii="宋体" w:hAnsi="宋体" w:eastAsia="宋体" w:cs="宋体"/>
                <w:color w:val="auto"/>
                <w:sz w:val="22"/>
                <w:szCs w:val="22"/>
                <w:lang w:eastAsia="en-US"/>
              </w:rPr>
            </w:pPr>
          </w:p>
        </w:tc>
        <w:tc>
          <w:tcPr>
            <w:tcW w:w="3355" w:type="dxa"/>
            <w:tcBorders>
              <w:top w:val="single" w:color="auto" w:sz="4" w:space="0"/>
              <w:left w:val="single" w:color="auto" w:sz="4" w:space="0"/>
              <w:bottom w:val="single" w:color="auto" w:sz="4" w:space="0"/>
              <w:right w:val="single" w:color="auto" w:sz="4" w:space="0"/>
            </w:tcBorders>
          </w:tcPr>
          <w:p w14:paraId="7C2737F6">
            <w:pPr>
              <w:pStyle w:val="75"/>
              <w:spacing w:before="131" w:line="283" w:lineRule="auto"/>
              <w:ind w:left="7" w:right="4"/>
              <w:rPr>
                <w:rFonts w:ascii="宋体" w:hAnsi="宋体" w:eastAsia="宋体" w:cs="宋体"/>
                <w:color w:val="auto"/>
                <w:spacing w:val="12"/>
                <w:w w:val="99"/>
                <w:sz w:val="20"/>
                <w:szCs w:val="20"/>
                <w:lang w:eastAsia="zh-CN"/>
              </w:rPr>
            </w:pPr>
            <w:r>
              <w:rPr>
                <w:rFonts w:hint="eastAsia" w:ascii="宋体" w:hAnsi="宋体" w:eastAsia="宋体" w:cs="宋体"/>
                <w:color w:val="auto"/>
                <w:spacing w:val="10"/>
                <w:sz w:val="20"/>
                <w:szCs w:val="20"/>
                <w:lang w:eastAsia="zh-CN"/>
              </w:rPr>
              <w:t>《淋浴器用水效率限定值及用水</w:t>
            </w:r>
            <w:r>
              <w:rPr>
                <w:rFonts w:hint="eastAsia" w:ascii="宋体" w:hAnsi="宋体" w:eastAsia="宋体" w:cs="宋体"/>
                <w:color w:val="auto"/>
                <w:sz w:val="20"/>
                <w:szCs w:val="20"/>
                <w:lang w:eastAsia="zh-CN"/>
              </w:rPr>
              <w:t>效率等级》（GB28378）</w:t>
            </w:r>
          </w:p>
        </w:tc>
      </w:tr>
    </w:tbl>
    <w:p w14:paraId="277287D8">
      <w:pPr>
        <w:rPr>
          <w:rFonts w:ascii="宋体" w:hAnsi="宋体" w:eastAsia="宋体" w:cs="宋体"/>
          <w:color w:val="auto"/>
          <w:sz w:val="20"/>
          <w:szCs w:val="20"/>
        </w:rPr>
      </w:pPr>
    </w:p>
    <w:p w14:paraId="48D21082">
      <w:pPr>
        <w:spacing w:before="16"/>
        <w:rPr>
          <w:rFonts w:ascii="宋体" w:hAnsi="宋体" w:eastAsia="宋体" w:cs="宋体"/>
          <w:color w:val="auto"/>
          <w:sz w:val="17"/>
          <w:szCs w:val="17"/>
        </w:rPr>
      </w:pPr>
    </w:p>
    <w:p w14:paraId="27739F31">
      <w:pPr>
        <w:rPr>
          <w:rFonts w:ascii="宋体" w:hAnsi="宋体" w:eastAsia="宋体" w:cs="宋体"/>
          <w:color w:val="auto"/>
          <w:sz w:val="20"/>
          <w:szCs w:val="20"/>
        </w:rPr>
      </w:pPr>
    </w:p>
    <w:p w14:paraId="055A0825">
      <w:pPr>
        <w:pStyle w:val="15"/>
        <w:spacing w:line="360" w:lineRule="auto"/>
        <w:rPr>
          <w:rFonts w:ascii="宋体" w:hAnsi="宋体" w:eastAsia="宋体" w:cs="宋体"/>
          <w:color w:val="auto"/>
          <w:szCs w:val="21"/>
        </w:rPr>
      </w:pPr>
      <w:r>
        <w:rPr>
          <w:rFonts w:hint="eastAsia" w:ascii="宋体" w:hAnsi="宋体" w:eastAsia="宋体" w:cs="宋体"/>
          <w:color w:val="auto"/>
          <w:spacing w:val="-3"/>
          <w:szCs w:val="21"/>
        </w:rPr>
        <w:t>注：1.节能产品认证应依据相关国家标准的最新版本，依据国家标准中二级能效（水效）</w:t>
      </w:r>
      <w:r>
        <w:rPr>
          <w:rFonts w:hint="eastAsia" w:ascii="宋体" w:hAnsi="宋体" w:eastAsia="宋体" w:cs="宋体"/>
          <w:color w:val="auto"/>
          <w:szCs w:val="21"/>
        </w:rPr>
        <w:t>指标。</w:t>
      </w:r>
    </w:p>
    <w:p w14:paraId="731043E7">
      <w:pPr>
        <w:pStyle w:val="15"/>
        <w:spacing w:line="360" w:lineRule="auto"/>
        <w:rPr>
          <w:rFonts w:ascii="宋体" w:hAnsi="宋体" w:eastAsia="宋体" w:cs="宋体"/>
          <w:b/>
          <w:bCs/>
          <w:color w:val="auto"/>
          <w:szCs w:val="21"/>
        </w:rPr>
      </w:pPr>
      <w:r>
        <w:rPr>
          <w:rFonts w:hint="eastAsia" w:ascii="宋体" w:hAnsi="宋体" w:eastAsia="宋体" w:cs="宋体"/>
          <w:color w:val="auto"/>
          <w:szCs w:val="21"/>
        </w:rPr>
        <w:t xml:space="preserve">    2</w:t>
      </w:r>
      <w:r>
        <w:rPr>
          <w:rFonts w:hint="eastAsia" w:ascii="宋体" w:hAnsi="宋体" w:eastAsia="宋体" w:cs="宋体"/>
          <w:b/>
          <w:bCs/>
          <w:color w:val="auto"/>
          <w:szCs w:val="21"/>
        </w:rPr>
        <w:t>.以“★”标注的为政府强制采购产品。</w:t>
      </w:r>
    </w:p>
    <w:p w14:paraId="5F1A0A58">
      <w:pPr>
        <w:pStyle w:val="20"/>
        <w:jc w:val="left"/>
        <w:rPr>
          <w:rFonts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附件2：</w:t>
      </w:r>
    </w:p>
    <w:p w14:paraId="40071DB7">
      <w:pPr>
        <w:spacing w:line="528" w:lineRule="exact"/>
        <w:jc w:val="center"/>
        <w:rPr>
          <w:rFonts w:ascii="宋体" w:hAnsi="宋体" w:eastAsia="宋体" w:cs="宋体"/>
          <w:color w:val="auto"/>
          <w:sz w:val="40"/>
          <w:szCs w:val="40"/>
        </w:rPr>
      </w:pPr>
      <w:r>
        <w:rPr>
          <w:rFonts w:hint="eastAsia" w:ascii="宋体" w:hAnsi="宋体" w:eastAsia="宋体" w:cs="宋体"/>
          <w:color w:val="auto"/>
          <w:sz w:val="40"/>
          <w:szCs w:val="40"/>
        </w:rPr>
        <w:t>中小微企业划型标准</w:t>
      </w:r>
    </w:p>
    <w:tbl>
      <w:tblPr>
        <w:tblStyle w:val="37"/>
        <w:tblW w:w="0" w:type="auto"/>
        <w:jc w:val="center"/>
        <w:tblLayout w:type="fixed"/>
        <w:tblCellMar>
          <w:top w:w="0" w:type="dxa"/>
          <w:left w:w="108" w:type="dxa"/>
          <w:bottom w:w="0" w:type="dxa"/>
          <w:right w:w="108" w:type="dxa"/>
        </w:tblCellMar>
      </w:tblPr>
      <w:tblGrid>
        <w:gridCol w:w="1701"/>
        <w:gridCol w:w="2222"/>
        <w:gridCol w:w="1200"/>
        <w:gridCol w:w="1894"/>
        <w:gridCol w:w="1305"/>
        <w:gridCol w:w="975"/>
      </w:tblGrid>
      <w:tr w14:paraId="45A72014">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476A7DE5">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行业名称</w:t>
            </w:r>
          </w:p>
        </w:tc>
        <w:tc>
          <w:tcPr>
            <w:tcW w:w="2222" w:type="dxa"/>
            <w:tcBorders>
              <w:top w:val="single" w:color="auto" w:sz="4" w:space="0"/>
              <w:left w:val="nil"/>
              <w:bottom w:val="single" w:color="auto" w:sz="4" w:space="0"/>
              <w:right w:val="single" w:color="auto" w:sz="4" w:space="0"/>
            </w:tcBorders>
            <w:vAlign w:val="center"/>
          </w:tcPr>
          <w:p w14:paraId="6DEA1786">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指标名称</w:t>
            </w:r>
          </w:p>
        </w:tc>
        <w:tc>
          <w:tcPr>
            <w:tcW w:w="1200" w:type="dxa"/>
            <w:tcBorders>
              <w:top w:val="single" w:color="auto" w:sz="4" w:space="0"/>
              <w:left w:val="nil"/>
              <w:bottom w:val="single" w:color="auto" w:sz="4" w:space="0"/>
              <w:right w:val="single" w:color="auto" w:sz="4" w:space="0"/>
            </w:tcBorders>
            <w:vAlign w:val="center"/>
          </w:tcPr>
          <w:p w14:paraId="1CEA1764">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计量单位</w:t>
            </w:r>
          </w:p>
        </w:tc>
        <w:tc>
          <w:tcPr>
            <w:tcW w:w="1894" w:type="dxa"/>
            <w:tcBorders>
              <w:top w:val="single" w:color="auto" w:sz="4" w:space="0"/>
              <w:left w:val="nil"/>
              <w:bottom w:val="single" w:color="auto" w:sz="4" w:space="0"/>
              <w:right w:val="single" w:color="auto" w:sz="4" w:space="0"/>
            </w:tcBorders>
            <w:vAlign w:val="center"/>
          </w:tcPr>
          <w:p w14:paraId="1379CAA9">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中型</w:t>
            </w:r>
          </w:p>
        </w:tc>
        <w:tc>
          <w:tcPr>
            <w:tcW w:w="1305" w:type="dxa"/>
            <w:tcBorders>
              <w:top w:val="single" w:color="auto" w:sz="4" w:space="0"/>
              <w:left w:val="nil"/>
              <w:bottom w:val="single" w:color="auto" w:sz="4" w:space="0"/>
              <w:right w:val="single" w:color="auto" w:sz="4" w:space="0"/>
            </w:tcBorders>
            <w:vAlign w:val="center"/>
          </w:tcPr>
          <w:p w14:paraId="133D5773">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小型</w:t>
            </w:r>
          </w:p>
        </w:tc>
        <w:tc>
          <w:tcPr>
            <w:tcW w:w="975" w:type="dxa"/>
            <w:tcBorders>
              <w:top w:val="single" w:color="auto" w:sz="4" w:space="0"/>
              <w:left w:val="nil"/>
              <w:bottom w:val="single" w:color="auto" w:sz="4" w:space="0"/>
              <w:right w:val="single" w:color="auto" w:sz="4" w:space="0"/>
            </w:tcBorders>
            <w:vAlign w:val="center"/>
          </w:tcPr>
          <w:p w14:paraId="033A8AC3">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微型</w:t>
            </w:r>
          </w:p>
        </w:tc>
      </w:tr>
      <w:tr w14:paraId="7D9095B6">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2060EA60">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农、林、牧、渔</w:t>
            </w:r>
          </w:p>
        </w:tc>
        <w:tc>
          <w:tcPr>
            <w:tcW w:w="2222" w:type="dxa"/>
            <w:tcBorders>
              <w:top w:val="nil"/>
              <w:left w:val="nil"/>
              <w:bottom w:val="single" w:color="auto" w:sz="4" w:space="0"/>
              <w:right w:val="single" w:color="auto" w:sz="4" w:space="0"/>
            </w:tcBorders>
            <w:vAlign w:val="center"/>
          </w:tcPr>
          <w:p w14:paraId="3F55D35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1FEA175E">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01FD58D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500≤Y＜20000</w:t>
            </w:r>
          </w:p>
        </w:tc>
        <w:tc>
          <w:tcPr>
            <w:tcW w:w="1305" w:type="dxa"/>
            <w:tcBorders>
              <w:top w:val="nil"/>
              <w:left w:val="nil"/>
              <w:bottom w:val="single" w:color="auto" w:sz="4" w:space="0"/>
              <w:right w:val="single" w:color="auto" w:sz="4" w:space="0"/>
            </w:tcBorders>
            <w:vAlign w:val="center"/>
          </w:tcPr>
          <w:p w14:paraId="36ABFB9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50≤Y＜500</w:t>
            </w:r>
          </w:p>
        </w:tc>
        <w:tc>
          <w:tcPr>
            <w:tcW w:w="975" w:type="dxa"/>
            <w:tcBorders>
              <w:top w:val="nil"/>
              <w:left w:val="nil"/>
              <w:bottom w:val="single" w:color="auto" w:sz="4" w:space="0"/>
              <w:right w:val="single" w:color="auto" w:sz="4" w:space="0"/>
            </w:tcBorders>
            <w:vAlign w:val="center"/>
          </w:tcPr>
          <w:p w14:paraId="79256CE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Y＜50</w:t>
            </w:r>
          </w:p>
        </w:tc>
      </w:tr>
      <w:tr w14:paraId="54A8739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CCA4D0D">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工业</w:t>
            </w:r>
          </w:p>
        </w:tc>
        <w:tc>
          <w:tcPr>
            <w:tcW w:w="2222" w:type="dxa"/>
            <w:tcBorders>
              <w:top w:val="nil"/>
              <w:left w:val="nil"/>
              <w:bottom w:val="single" w:color="auto" w:sz="4" w:space="0"/>
              <w:right w:val="single" w:color="auto" w:sz="4" w:space="0"/>
            </w:tcBorders>
            <w:vAlign w:val="center"/>
          </w:tcPr>
          <w:p w14:paraId="078B485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0561DC3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1E4AD01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300≤X＜1000</w:t>
            </w:r>
          </w:p>
        </w:tc>
        <w:tc>
          <w:tcPr>
            <w:tcW w:w="1305" w:type="dxa"/>
            <w:tcBorders>
              <w:top w:val="nil"/>
              <w:left w:val="nil"/>
              <w:bottom w:val="single" w:color="auto" w:sz="4" w:space="0"/>
              <w:right w:val="single" w:color="auto" w:sz="4" w:space="0"/>
            </w:tcBorders>
            <w:vAlign w:val="center"/>
          </w:tcPr>
          <w:p w14:paraId="08A6A32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20≤X＜300</w:t>
            </w:r>
          </w:p>
        </w:tc>
        <w:tc>
          <w:tcPr>
            <w:tcW w:w="975" w:type="dxa"/>
            <w:tcBorders>
              <w:top w:val="nil"/>
              <w:left w:val="nil"/>
              <w:bottom w:val="single" w:color="auto" w:sz="4" w:space="0"/>
              <w:right w:val="single" w:color="auto" w:sz="4" w:space="0"/>
            </w:tcBorders>
            <w:vAlign w:val="center"/>
          </w:tcPr>
          <w:p w14:paraId="32A49319">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X＜20</w:t>
            </w:r>
          </w:p>
        </w:tc>
      </w:tr>
      <w:tr w14:paraId="2BBAB8AE">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73C3B80">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6FB4491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57C4E6E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207E422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2000≤Y＜40000</w:t>
            </w:r>
          </w:p>
        </w:tc>
        <w:tc>
          <w:tcPr>
            <w:tcW w:w="1305" w:type="dxa"/>
            <w:tcBorders>
              <w:top w:val="nil"/>
              <w:left w:val="nil"/>
              <w:bottom w:val="single" w:color="auto" w:sz="4" w:space="0"/>
              <w:right w:val="single" w:color="auto" w:sz="4" w:space="0"/>
            </w:tcBorders>
            <w:vAlign w:val="center"/>
          </w:tcPr>
          <w:p w14:paraId="506A5BE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300≤Y＜2000</w:t>
            </w:r>
          </w:p>
        </w:tc>
        <w:tc>
          <w:tcPr>
            <w:tcW w:w="975" w:type="dxa"/>
            <w:tcBorders>
              <w:top w:val="nil"/>
              <w:left w:val="nil"/>
              <w:bottom w:val="single" w:color="auto" w:sz="4" w:space="0"/>
              <w:right w:val="single" w:color="auto" w:sz="4" w:space="0"/>
            </w:tcBorders>
            <w:vAlign w:val="center"/>
          </w:tcPr>
          <w:p w14:paraId="6FE41E4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Y＜300</w:t>
            </w:r>
          </w:p>
        </w:tc>
      </w:tr>
      <w:tr w14:paraId="2509A10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9C4716F">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建筑业</w:t>
            </w:r>
          </w:p>
        </w:tc>
        <w:tc>
          <w:tcPr>
            <w:tcW w:w="2222" w:type="dxa"/>
            <w:tcBorders>
              <w:top w:val="nil"/>
              <w:left w:val="nil"/>
              <w:bottom w:val="single" w:color="auto" w:sz="4" w:space="0"/>
              <w:right w:val="single" w:color="auto" w:sz="4" w:space="0"/>
            </w:tcBorders>
            <w:vAlign w:val="center"/>
          </w:tcPr>
          <w:p w14:paraId="7553788E">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59F16FC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2068D18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6000≤Y＜80000</w:t>
            </w:r>
          </w:p>
        </w:tc>
        <w:tc>
          <w:tcPr>
            <w:tcW w:w="1305" w:type="dxa"/>
            <w:tcBorders>
              <w:top w:val="nil"/>
              <w:left w:val="nil"/>
              <w:bottom w:val="single" w:color="auto" w:sz="4" w:space="0"/>
              <w:right w:val="single" w:color="auto" w:sz="4" w:space="0"/>
            </w:tcBorders>
            <w:vAlign w:val="center"/>
          </w:tcPr>
          <w:p w14:paraId="59C07CB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300≤Y＜6000</w:t>
            </w:r>
          </w:p>
        </w:tc>
        <w:tc>
          <w:tcPr>
            <w:tcW w:w="975" w:type="dxa"/>
            <w:tcBorders>
              <w:top w:val="nil"/>
              <w:left w:val="nil"/>
              <w:bottom w:val="single" w:color="auto" w:sz="4" w:space="0"/>
              <w:right w:val="single" w:color="auto" w:sz="4" w:space="0"/>
            </w:tcBorders>
            <w:vAlign w:val="center"/>
          </w:tcPr>
          <w:p w14:paraId="3D04431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Y＜300</w:t>
            </w:r>
          </w:p>
        </w:tc>
      </w:tr>
      <w:tr w14:paraId="49976E1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76C1168">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2B411E0E">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资产总额（Z）</w:t>
            </w:r>
          </w:p>
        </w:tc>
        <w:tc>
          <w:tcPr>
            <w:tcW w:w="1200" w:type="dxa"/>
            <w:tcBorders>
              <w:top w:val="nil"/>
              <w:left w:val="nil"/>
              <w:bottom w:val="single" w:color="auto" w:sz="4" w:space="0"/>
              <w:right w:val="single" w:color="auto" w:sz="4" w:space="0"/>
            </w:tcBorders>
            <w:vAlign w:val="center"/>
          </w:tcPr>
          <w:p w14:paraId="0982ABB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07CAEFB3">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5000≤Z＜80000</w:t>
            </w:r>
          </w:p>
        </w:tc>
        <w:tc>
          <w:tcPr>
            <w:tcW w:w="1305" w:type="dxa"/>
            <w:tcBorders>
              <w:top w:val="nil"/>
              <w:left w:val="nil"/>
              <w:bottom w:val="single" w:color="auto" w:sz="4" w:space="0"/>
              <w:right w:val="single" w:color="auto" w:sz="4" w:space="0"/>
            </w:tcBorders>
            <w:vAlign w:val="center"/>
          </w:tcPr>
          <w:p w14:paraId="7A465FB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300≤Z＜5000</w:t>
            </w:r>
          </w:p>
        </w:tc>
        <w:tc>
          <w:tcPr>
            <w:tcW w:w="975" w:type="dxa"/>
            <w:tcBorders>
              <w:top w:val="nil"/>
              <w:left w:val="nil"/>
              <w:bottom w:val="single" w:color="auto" w:sz="4" w:space="0"/>
              <w:right w:val="single" w:color="auto" w:sz="4" w:space="0"/>
            </w:tcBorders>
            <w:vAlign w:val="center"/>
          </w:tcPr>
          <w:p w14:paraId="1C1C9EC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Z＜300</w:t>
            </w:r>
          </w:p>
        </w:tc>
      </w:tr>
      <w:tr w14:paraId="5EF1A92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B32DA87">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批发业</w:t>
            </w:r>
          </w:p>
        </w:tc>
        <w:tc>
          <w:tcPr>
            <w:tcW w:w="2222" w:type="dxa"/>
            <w:tcBorders>
              <w:top w:val="nil"/>
              <w:left w:val="nil"/>
              <w:bottom w:val="single" w:color="auto" w:sz="4" w:space="0"/>
              <w:right w:val="single" w:color="auto" w:sz="4" w:space="0"/>
            </w:tcBorders>
            <w:vAlign w:val="center"/>
          </w:tcPr>
          <w:p w14:paraId="4F70DC6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7A871B1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4B89B90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20≤X＜200</w:t>
            </w:r>
          </w:p>
        </w:tc>
        <w:tc>
          <w:tcPr>
            <w:tcW w:w="1305" w:type="dxa"/>
            <w:tcBorders>
              <w:top w:val="nil"/>
              <w:left w:val="nil"/>
              <w:bottom w:val="single" w:color="auto" w:sz="4" w:space="0"/>
              <w:right w:val="single" w:color="auto" w:sz="4" w:space="0"/>
            </w:tcBorders>
            <w:vAlign w:val="center"/>
          </w:tcPr>
          <w:p w14:paraId="7B88185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5≤X＜20</w:t>
            </w:r>
          </w:p>
        </w:tc>
        <w:tc>
          <w:tcPr>
            <w:tcW w:w="975" w:type="dxa"/>
            <w:tcBorders>
              <w:top w:val="nil"/>
              <w:left w:val="nil"/>
              <w:bottom w:val="single" w:color="auto" w:sz="4" w:space="0"/>
              <w:right w:val="single" w:color="auto" w:sz="4" w:space="0"/>
            </w:tcBorders>
            <w:vAlign w:val="center"/>
          </w:tcPr>
          <w:p w14:paraId="3759FCA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X＜5</w:t>
            </w:r>
          </w:p>
        </w:tc>
      </w:tr>
      <w:tr w14:paraId="02C3C8D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F54FF51">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5B22358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33DAB2E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6F65EE8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5000≤Y＜40000</w:t>
            </w:r>
          </w:p>
        </w:tc>
        <w:tc>
          <w:tcPr>
            <w:tcW w:w="1305" w:type="dxa"/>
            <w:tcBorders>
              <w:top w:val="nil"/>
              <w:left w:val="nil"/>
              <w:bottom w:val="single" w:color="auto" w:sz="4" w:space="0"/>
              <w:right w:val="single" w:color="auto" w:sz="4" w:space="0"/>
            </w:tcBorders>
            <w:vAlign w:val="center"/>
          </w:tcPr>
          <w:p w14:paraId="22C2352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1000≤Y＜5000</w:t>
            </w:r>
          </w:p>
        </w:tc>
        <w:tc>
          <w:tcPr>
            <w:tcW w:w="975" w:type="dxa"/>
            <w:tcBorders>
              <w:top w:val="nil"/>
              <w:left w:val="nil"/>
              <w:bottom w:val="single" w:color="auto" w:sz="4" w:space="0"/>
              <w:right w:val="single" w:color="auto" w:sz="4" w:space="0"/>
            </w:tcBorders>
            <w:vAlign w:val="center"/>
          </w:tcPr>
          <w:p w14:paraId="2ADCEBD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Y＜1000</w:t>
            </w:r>
          </w:p>
        </w:tc>
      </w:tr>
      <w:tr w14:paraId="2E661D41">
        <w:tblPrEx>
          <w:tblCellMar>
            <w:top w:w="0" w:type="dxa"/>
            <w:left w:w="108" w:type="dxa"/>
            <w:bottom w:w="0" w:type="dxa"/>
            <w:right w:w="108" w:type="dxa"/>
          </w:tblCellMar>
        </w:tblPrEx>
        <w:trPr>
          <w:trHeight w:val="90"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DF73652">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零售业</w:t>
            </w:r>
          </w:p>
        </w:tc>
        <w:tc>
          <w:tcPr>
            <w:tcW w:w="2222" w:type="dxa"/>
            <w:tcBorders>
              <w:top w:val="nil"/>
              <w:left w:val="nil"/>
              <w:bottom w:val="single" w:color="auto" w:sz="4" w:space="0"/>
              <w:right w:val="single" w:color="auto" w:sz="4" w:space="0"/>
            </w:tcBorders>
            <w:vAlign w:val="center"/>
          </w:tcPr>
          <w:p w14:paraId="6C96845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563B830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2C5526F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50≤X＜300</w:t>
            </w:r>
          </w:p>
        </w:tc>
        <w:tc>
          <w:tcPr>
            <w:tcW w:w="1305" w:type="dxa"/>
            <w:tcBorders>
              <w:top w:val="nil"/>
              <w:left w:val="nil"/>
              <w:bottom w:val="single" w:color="auto" w:sz="4" w:space="0"/>
              <w:right w:val="single" w:color="auto" w:sz="4" w:space="0"/>
            </w:tcBorders>
            <w:vAlign w:val="center"/>
          </w:tcPr>
          <w:p w14:paraId="6CDA89C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10≤X＜50</w:t>
            </w:r>
          </w:p>
        </w:tc>
        <w:tc>
          <w:tcPr>
            <w:tcW w:w="975" w:type="dxa"/>
            <w:tcBorders>
              <w:top w:val="nil"/>
              <w:left w:val="nil"/>
              <w:bottom w:val="single" w:color="auto" w:sz="4" w:space="0"/>
              <w:right w:val="single" w:color="auto" w:sz="4" w:space="0"/>
            </w:tcBorders>
            <w:vAlign w:val="center"/>
          </w:tcPr>
          <w:p w14:paraId="261CD95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w:t>
            </w:r>
          </w:p>
        </w:tc>
      </w:tr>
      <w:tr w14:paraId="4B85A49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1D82907">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067F51E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4F9E68A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73D3CE0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500≤Y＜20000</w:t>
            </w:r>
          </w:p>
        </w:tc>
        <w:tc>
          <w:tcPr>
            <w:tcW w:w="1305" w:type="dxa"/>
            <w:tcBorders>
              <w:top w:val="nil"/>
              <w:left w:val="nil"/>
              <w:bottom w:val="single" w:color="auto" w:sz="4" w:space="0"/>
              <w:right w:val="single" w:color="auto" w:sz="4" w:space="0"/>
            </w:tcBorders>
            <w:vAlign w:val="center"/>
          </w:tcPr>
          <w:p w14:paraId="6B609B7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100≤Y＜500</w:t>
            </w:r>
          </w:p>
        </w:tc>
        <w:tc>
          <w:tcPr>
            <w:tcW w:w="975" w:type="dxa"/>
            <w:tcBorders>
              <w:top w:val="nil"/>
              <w:left w:val="nil"/>
              <w:bottom w:val="single" w:color="auto" w:sz="4" w:space="0"/>
              <w:right w:val="single" w:color="auto" w:sz="4" w:space="0"/>
            </w:tcBorders>
            <w:vAlign w:val="center"/>
          </w:tcPr>
          <w:p w14:paraId="6D32FAF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w:t>
            </w:r>
          </w:p>
        </w:tc>
      </w:tr>
      <w:tr w14:paraId="5D0F6607">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D8ED3B3">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交通运输业</w:t>
            </w:r>
          </w:p>
        </w:tc>
        <w:tc>
          <w:tcPr>
            <w:tcW w:w="2222" w:type="dxa"/>
            <w:tcBorders>
              <w:top w:val="nil"/>
              <w:left w:val="nil"/>
              <w:bottom w:val="single" w:color="auto" w:sz="4" w:space="0"/>
              <w:right w:val="single" w:color="auto" w:sz="4" w:space="0"/>
            </w:tcBorders>
            <w:vAlign w:val="center"/>
          </w:tcPr>
          <w:p w14:paraId="495845D9">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0CAEEFD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6FEA0223">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300≤X＜1000</w:t>
            </w:r>
          </w:p>
        </w:tc>
        <w:tc>
          <w:tcPr>
            <w:tcW w:w="1305" w:type="dxa"/>
            <w:tcBorders>
              <w:top w:val="nil"/>
              <w:left w:val="nil"/>
              <w:bottom w:val="single" w:color="auto" w:sz="4" w:space="0"/>
              <w:right w:val="single" w:color="auto" w:sz="4" w:space="0"/>
            </w:tcBorders>
            <w:vAlign w:val="center"/>
          </w:tcPr>
          <w:p w14:paraId="02E84F8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20≤X＜300</w:t>
            </w:r>
          </w:p>
        </w:tc>
        <w:tc>
          <w:tcPr>
            <w:tcW w:w="975" w:type="dxa"/>
            <w:tcBorders>
              <w:top w:val="nil"/>
              <w:left w:val="nil"/>
              <w:bottom w:val="single" w:color="auto" w:sz="4" w:space="0"/>
              <w:right w:val="single" w:color="auto" w:sz="4" w:space="0"/>
            </w:tcBorders>
            <w:vAlign w:val="center"/>
          </w:tcPr>
          <w:p w14:paraId="7D2AACF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X＜20</w:t>
            </w:r>
          </w:p>
        </w:tc>
      </w:tr>
      <w:tr w14:paraId="3EBDDEC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89615A4">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2E5EEC73">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4FD39B7E">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0CD30B8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3000≤Y＜30000</w:t>
            </w:r>
          </w:p>
        </w:tc>
        <w:tc>
          <w:tcPr>
            <w:tcW w:w="1305" w:type="dxa"/>
            <w:tcBorders>
              <w:top w:val="nil"/>
              <w:left w:val="nil"/>
              <w:bottom w:val="single" w:color="auto" w:sz="4" w:space="0"/>
              <w:right w:val="single" w:color="auto" w:sz="4" w:space="0"/>
            </w:tcBorders>
            <w:vAlign w:val="center"/>
          </w:tcPr>
          <w:p w14:paraId="0F74D513">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200≤Y＜3000</w:t>
            </w:r>
          </w:p>
        </w:tc>
        <w:tc>
          <w:tcPr>
            <w:tcW w:w="975" w:type="dxa"/>
            <w:tcBorders>
              <w:top w:val="nil"/>
              <w:left w:val="nil"/>
              <w:bottom w:val="single" w:color="auto" w:sz="4" w:space="0"/>
              <w:right w:val="single" w:color="auto" w:sz="4" w:space="0"/>
            </w:tcBorders>
            <w:vAlign w:val="center"/>
          </w:tcPr>
          <w:p w14:paraId="63302AF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Y＜200</w:t>
            </w:r>
          </w:p>
        </w:tc>
      </w:tr>
      <w:tr w14:paraId="08885F5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A02968F">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仓储业</w:t>
            </w:r>
          </w:p>
        </w:tc>
        <w:tc>
          <w:tcPr>
            <w:tcW w:w="2222" w:type="dxa"/>
            <w:tcBorders>
              <w:top w:val="nil"/>
              <w:left w:val="nil"/>
              <w:bottom w:val="single" w:color="auto" w:sz="4" w:space="0"/>
              <w:right w:val="single" w:color="auto" w:sz="4" w:space="0"/>
            </w:tcBorders>
            <w:vAlign w:val="center"/>
          </w:tcPr>
          <w:p w14:paraId="1D53F3A3">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69C2342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77913D99">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100≤X＜200</w:t>
            </w:r>
          </w:p>
        </w:tc>
        <w:tc>
          <w:tcPr>
            <w:tcW w:w="1305" w:type="dxa"/>
            <w:tcBorders>
              <w:top w:val="nil"/>
              <w:left w:val="nil"/>
              <w:bottom w:val="single" w:color="auto" w:sz="4" w:space="0"/>
              <w:right w:val="single" w:color="auto" w:sz="4" w:space="0"/>
            </w:tcBorders>
            <w:vAlign w:val="center"/>
          </w:tcPr>
          <w:p w14:paraId="104526E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20≤X＜100</w:t>
            </w:r>
          </w:p>
        </w:tc>
        <w:tc>
          <w:tcPr>
            <w:tcW w:w="975" w:type="dxa"/>
            <w:tcBorders>
              <w:top w:val="nil"/>
              <w:left w:val="nil"/>
              <w:bottom w:val="single" w:color="auto" w:sz="4" w:space="0"/>
              <w:right w:val="single" w:color="auto" w:sz="4" w:space="0"/>
            </w:tcBorders>
            <w:vAlign w:val="center"/>
          </w:tcPr>
          <w:p w14:paraId="52DAAB8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X＜20</w:t>
            </w:r>
          </w:p>
        </w:tc>
      </w:tr>
      <w:tr w14:paraId="78C6D13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1012FF2">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1F5F004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3FD01409">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15EE1A5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1000≤Y＜30000</w:t>
            </w:r>
          </w:p>
        </w:tc>
        <w:tc>
          <w:tcPr>
            <w:tcW w:w="1305" w:type="dxa"/>
            <w:tcBorders>
              <w:top w:val="nil"/>
              <w:left w:val="nil"/>
              <w:bottom w:val="single" w:color="auto" w:sz="4" w:space="0"/>
              <w:right w:val="single" w:color="auto" w:sz="4" w:space="0"/>
            </w:tcBorders>
            <w:vAlign w:val="center"/>
          </w:tcPr>
          <w:p w14:paraId="2B1A2E0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100≤Y＜1000</w:t>
            </w:r>
          </w:p>
        </w:tc>
        <w:tc>
          <w:tcPr>
            <w:tcW w:w="975" w:type="dxa"/>
            <w:tcBorders>
              <w:top w:val="nil"/>
              <w:left w:val="nil"/>
              <w:bottom w:val="single" w:color="auto" w:sz="4" w:space="0"/>
              <w:right w:val="single" w:color="auto" w:sz="4" w:space="0"/>
            </w:tcBorders>
            <w:vAlign w:val="center"/>
          </w:tcPr>
          <w:p w14:paraId="6F85CAA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w:t>
            </w:r>
          </w:p>
        </w:tc>
      </w:tr>
      <w:tr w14:paraId="64035F0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CC5E62D">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邮政业</w:t>
            </w:r>
          </w:p>
        </w:tc>
        <w:tc>
          <w:tcPr>
            <w:tcW w:w="2222" w:type="dxa"/>
            <w:tcBorders>
              <w:top w:val="nil"/>
              <w:left w:val="nil"/>
              <w:bottom w:val="single" w:color="auto" w:sz="4" w:space="0"/>
              <w:right w:val="single" w:color="auto" w:sz="4" w:space="0"/>
            </w:tcBorders>
            <w:vAlign w:val="center"/>
          </w:tcPr>
          <w:p w14:paraId="7586A18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7995E53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4ECC7C0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300≤X＜1000</w:t>
            </w:r>
          </w:p>
        </w:tc>
        <w:tc>
          <w:tcPr>
            <w:tcW w:w="1305" w:type="dxa"/>
            <w:tcBorders>
              <w:top w:val="nil"/>
              <w:left w:val="nil"/>
              <w:bottom w:val="single" w:color="auto" w:sz="4" w:space="0"/>
              <w:right w:val="single" w:color="auto" w:sz="4" w:space="0"/>
            </w:tcBorders>
            <w:vAlign w:val="center"/>
          </w:tcPr>
          <w:p w14:paraId="7057022E">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20≤X＜300</w:t>
            </w:r>
          </w:p>
        </w:tc>
        <w:tc>
          <w:tcPr>
            <w:tcW w:w="975" w:type="dxa"/>
            <w:tcBorders>
              <w:top w:val="nil"/>
              <w:left w:val="nil"/>
              <w:bottom w:val="single" w:color="auto" w:sz="4" w:space="0"/>
              <w:right w:val="single" w:color="auto" w:sz="4" w:space="0"/>
            </w:tcBorders>
            <w:vAlign w:val="center"/>
          </w:tcPr>
          <w:p w14:paraId="687763E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X＜20</w:t>
            </w:r>
          </w:p>
        </w:tc>
      </w:tr>
      <w:tr w14:paraId="21B476F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B916A14">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0CB83FA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7701B4B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076212B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2000≤Y＜30000</w:t>
            </w:r>
          </w:p>
        </w:tc>
        <w:tc>
          <w:tcPr>
            <w:tcW w:w="1305" w:type="dxa"/>
            <w:tcBorders>
              <w:top w:val="nil"/>
              <w:left w:val="nil"/>
              <w:bottom w:val="single" w:color="auto" w:sz="4" w:space="0"/>
              <w:right w:val="single" w:color="auto" w:sz="4" w:space="0"/>
            </w:tcBorders>
            <w:vAlign w:val="center"/>
          </w:tcPr>
          <w:p w14:paraId="6B676F23">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100≤Y＜2000</w:t>
            </w:r>
          </w:p>
        </w:tc>
        <w:tc>
          <w:tcPr>
            <w:tcW w:w="975" w:type="dxa"/>
            <w:tcBorders>
              <w:top w:val="nil"/>
              <w:left w:val="nil"/>
              <w:bottom w:val="single" w:color="auto" w:sz="4" w:space="0"/>
              <w:right w:val="single" w:color="auto" w:sz="4" w:space="0"/>
            </w:tcBorders>
            <w:vAlign w:val="center"/>
          </w:tcPr>
          <w:p w14:paraId="6FE6FC7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w:t>
            </w:r>
          </w:p>
        </w:tc>
      </w:tr>
      <w:tr w14:paraId="39B039F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1D3E6FB">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住宿业</w:t>
            </w:r>
          </w:p>
        </w:tc>
        <w:tc>
          <w:tcPr>
            <w:tcW w:w="2222" w:type="dxa"/>
            <w:tcBorders>
              <w:top w:val="nil"/>
              <w:left w:val="nil"/>
              <w:bottom w:val="single" w:color="auto" w:sz="4" w:space="0"/>
              <w:right w:val="single" w:color="auto" w:sz="4" w:space="0"/>
            </w:tcBorders>
            <w:vAlign w:val="center"/>
          </w:tcPr>
          <w:p w14:paraId="3D9005B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731A950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6AB054E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100≤X＜300</w:t>
            </w:r>
          </w:p>
        </w:tc>
        <w:tc>
          <w:tcPr>
            <w:tcW w:w="1305" w:type="dxa"/>
            <w:tcBorders>
              <w:top w:val="nil"/>
              <w:left w:val="nil"/>
              <w:bottom w:val="single" w:color="auto" w:sz="4" w:space="0"/>
              <w:right w:val="single" w:color="auto" w:sz="4" w:space="0"/>
            </w:tcBorders>
            <w:vAlign w:val="center"/>
          </w:tcPr>
          <w:p w14:paraId="2E06E31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10≤X＜100</w:t>
            </w:r>
          </w:p>
        </w:tc>
        <w:tc>
          <w:tcPr>
            <w:tcW w:w="975" w:type="dxa"/>
            <w:tcBorders>
              <w:top w:val="nil"/>
              <w:left w:val="nil"/>
              <w:bottom w:val="single" w:color="auto" w:sz="4" w:space="0"/>
              <w:right w:val="single" w:color="auto" w:sz="4" w:space="0"/>
            </w:tcBorders>
            <w:vAlign w:val="center"/>
          </w:tcPr>
          <w:p w14:paraId="1A91607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w:t>
            </w:r>
          </w:p>
        </w:tc>
      </w:tr>
      <w:tr w14:paraId="53C8D14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79F13B3">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7B82E6C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075C7BE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68A3DD3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2000≤Y＜10000</w:t>
            </w:r>
          </w:p>
        </w:tc>
        <w:tc>
          <w:tcPr>
            <w:tcW w:w="1305" w:type="dxa"/>
            <w:tcBorders>
              <w:top w:val="nil"/>
              <w:left w:val="nil"/>
              <w:bottom w:val="single" w:color="auto" w:sz="4" w:space="0"/>
              <w:right w:val="single" w:color="auto" w:sz="4" w:space="0"/>
            </w:tcBorders>
            <w:vAlign w:val="center"/>
          </w:tcPr>
          <w:p w14:paraId="036818B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100≤Y＜2000</w:t>
            </w:r>
          </w:p>
        </w:tc>
        <w:tc>
          <w:tcPr>
            <w:tcW w:w="975" w:type="dxa"/>
            <w:tcBorders>
              <w:top w:val="nil"/>
              <w:left w:val="nil"/>
              <w:bottom w:val="single" w:color="auto" w:sz="4" w:space="0"/>
              <w:right w:val="single" w:color="auto" w:sz="4" w:space="0"/>
            </w:tcBorders>
            <w:vAlign w:val="center"/>
          </w:tcPr>
          <w:p w14:paraId="0D8B86A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w:t>
            </w:r>
          </w:p>
        </w:tc>
      </w:tr>
      <w:tr w14:paraId="7A7B3A2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F6D09C8">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餐饮业</w:t>
            </w:r>
          </w:p>
        </w:tc>
        <w:tc>
          <w:tcPr>
            <w:tcW w:w="2222" w:type="dxa"/>
            <w:tcBorders>
              <w:top w:val="nil"/>
              <w:left w:val="nil"/>
              <w:bottom w:val="single" w:color="auto" w:sz="4" w:space="0"/>
              <w:right w:val="single" w:color="auto" w:sz="4" w:space="0"/>
            </w:tcBorders>
            <w:vAlign w:val="center"/>
          </w:tcPr>
          <w:p w14:paraId="52107AD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5303049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73BF1C3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100≤X＜300</w:t>
            </w:r>
          </w:p>
        </w:tc>
        <w:tc>
          <w:tcPr>
            <w:tcW w:w="1305" w:type="dxa"/>
            <w:tcBorders>
              <w:top w:val="nil"/>
              <w:left w:val="nil"/>
              <w:bottom w:val="single" w:color="auto" w:sz="4" w:space="0"/>
              <w:right w:val="single" w:color="auto" w:sz="4" w:space="0"/>
            </w:tcBorders>
            <w:vAlign w:val="center"/>
          </w:tcPr>
          <w:p w14:paraId="0B8A2363">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10≤X＜100</w:t>
            </w:r>
          </w:p>
        </w:tc>
        <w:tc>
          <w:tcPr>
            <w:tcW w:w="975" w:type="dxa"/>
            <w:tcBorders>
              <w:top w:val="nil"/>
              <w:left w:val="nil"/>
              <w:bottom w:val="single" w:color="auto" w:sz="4" w:space="0"/>
              <w:right w:val="single" w:color="auto" w:sz="4" w:space="0"/>
            </w:tcBorders>
            <w:vAlign w:val="center"/>
          </w:tcPr>
          <w:p w14:paraId="6EFDE30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w:t>
            </w:r>
          </w:p>
        </w:tc>
      </w:tr>
      <w:tr w14:paraId="250BFE7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B039F4F">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3BBBEC3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642764D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6B7022C4">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2000≤Y＜10000</w:t>
            </w:r>
          </w:p>
        </w:tc>
        <w:tc>
          <w:tcPr>
            <w:tcW w:w="1305" w:type="dxa"/>
            <w:tcBorders>
              <w:top w:val="nil"/>
              <w:left w:val="nil"/>
              <w:bottom w:val="single" w:color="auto" w:sz="4" w:space="0"/>
              <w:right w:val="single" w:color="auto" w:sz="4" w:space="0"/>
            </w:tcBorders>
            <w:vAlign w:val="center"/>
          </w:tcPr>
          <w:p w14:paraId="106FA8AE">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100≤Y＜2000</w:t>
            </w:r>
          </w:p>
        </w:tc>
        <w:tc>
          <w:tcPr>
            <w:tcW w:w="975" w:type="dxa"/>
            <w:tcBorders>
              <w:top w:val="nil"/>
              <w:left w:val="nil"/>
              <w:bottom w:val="single" w:color="auto" w:sz="4" w:space="0"/>
              <w:right w:val="single" w:color="auto" w:sz="4" w:space="0"/>
            </w:tcBorders>
            <w:vAlign w:val="center"/>
          </w:tcPr>
          <w:p w14:paraId="762F36A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w:t>
            </w:r>
          </w:p>
        </w:tc>
      </w:tr>
      <w:tr w14:paraId="6BA3610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B415A6B">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信息传输业</w:t>
            </w:r>
          </w:p>
        </w:tc>
        <w:tc>
          <w:tcPr>
            <w:tcW w:w="2222" w:type="dxa"/>
            <w:tcBorders>
              <w:top w:val="nil"/>
              <w:left w:val="nil"/>
              <w:bottom w:val="single" w:color="auto" w:sz="4" w:space="0"/>
              <w:right w:val="single" w:color="auto" w:sz="4" w:space="0"/>
            </w:tcBorders>
            <w:vAlign w:val="center"/>
          </w:tcPr>
          <w:p w14:paraId="247A183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7208B2F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2C993C6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100≤X＜2000</w:t>
            </w:r>
          </w:p>
        </w:tc>
        <w:tc>
          <w:tcPr>
            <w:tcW w:w="1305" w:type="dxa"/>
            <w:tcBorders>
              <w:top w:val="nil"/>
              <w:left w:val="nil"/>
              <w:bottom w:val="single" w:color="auto" w:sz="4" w:space="0"/>
              <w:right w:val="single" w:color="auto" w:sz="4" w:space="0"/>
            </w:tcBorders>
            <w:vAlign w:val="center"/>
          </w:tcPr>
          <w:p w14:paraId="2C3CBB4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10≤X＜100</w:t>
            </w:r>
          </w:p>
        </w:tc>
        <w:tc>
          <w:tcPr>
            <w:tcW w:w="975" w:type="dxa"/>
            <w:tcBorders>
              <w:top w:val="nil"/>
              <w:left w:val="nil"/>
              <w:bottom w:val="single" w:color="auto" w:sz="4" w:space="0"/>
              <w:right w:val="single" w:color="auto" w:sz="4" w:space="0"/>
            </w:tcBorders>
            <w:vAlign w:val="center"/>
          </w:tcPr>
          <w:p w14:paraId="283E218E">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w:t>
            </w:r>
          </w:p>
        </w:tc>
      </w:tr>
      <w:tr w14:paraId="3FDB6923">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C252158">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4EBB23E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3109A7F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63E07F2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1000≤Y＜100000</w:t>
            </w:r>
          </w:p>
        </w:tc>
        <w:tc>
          <w:tcPr>
            <w:tcW w:w="1305" w:type="dxa"/>
            <w:tcBorders>
              <w:top w:val="nil"/>
              <w:left w:val="nil"/>
              <w:bottom w:val="single" w:color="auto" w:sz="4" w:space="0"/>
              <w:right w:val="single" w:color="auto" w:sz="4" w:space="0"/>
            </w:tcBorders>
            <w:vAlign w:val="center"/>
          </w:tcPr>
          <w:p w14:paraId="74E2ECF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100≤Y＜1000</w:t>
            </w:r>
          </w:p>
        </w:tc>
        <w:tc>
          <w:tcPr>
            <w:tcW w:w="975" w:type="dxa"/>
            <w:tcBorders>
              <w:top w:val="nil"/>
              <w:left w:val="nil"/>
              <w:bottom w:val="single" w:color="auto" w:sz="4" w:space="0"/>
              <w:right w:val="single" w:color="auto" w:sz="4" w:space="0"/>
            </w:tcBorders>
            <w:vAlign w:val="center"/>
          </w:tcPr>
          <w:p w14:paraId="07593EC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w:t>
            </w:r>
          </w:p>
        </w:tc>
      </w:tr>
      <w:tr w14:paraId="44422127">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9CCF16B">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软件和信息技术服务业</w:t>
            </w:r>
          </w:p>
        </w:tc>
        <w:tc>
          <w:tcPr>
            <w:tcW w:w="2222" w:type="dxa"/>
            <w:tcBorders>
              <w:top w:val="nil"/>
              <w:left w:val="nil"/>
              <w:bottom w:val="single" w:color="auto" w:sz="4" w:space="0"/>
              <w:right w:val="single" w:color="auto" w:sz="4" w:space="0"/>
            </w:tcBorders>
            <w:vAlign w:val="center"/>
          </w:tcPr>
          <w:p w14:paraId="3A35D2C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5937D04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05EF440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100≤X＜300</w:t>
            </w:r>
          </w:p>
        </w:tc>
        <w:tc>
          <w:tcPr>
            <w:tcW w:w="1305" w:type="dxa"/>
            <w:tcBorders>
              <w:top w:val="nil"/>
              <w:left w:val="nil"/>
              <w:bottom w:val="single" w:color="auto" w:sz="4" w:space="0"/>
              <w:right w:val="single" w:color="auto" w:sz="4" w:space="0"/>
            </w:tcBorders>
            <w:vAlign w:val="center"/>
          </w:tcPr>
          <w:p w14:paraId="6CC08A2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10≤X＜100</w:t>
            </w:r>
          </w:p>
        </w:tc>
        <w:tc>
          <w:tcPr>
            <w:tcW w:w="975" w:type="dxa"/>
            <w:tcBorders>
              <w:top w:val="nil"/>
              <w:left w:val="nil"/>
              <w:bottom w:val="single" w:color="auto" w:sz="4" w:space="0"/>
              <w:right w:val="single" w:color="auto" w:sz="4" w:space="0"/>
            </w:tcBorders>
            <w:vAlign w:val="center"/>
          </w:tcPr>
          <w:p w14:paraId="5AC32579">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w:t>
            </w:r>
          </w:p>
        </w:tc>
      </w:tr>
      <w:tr w14:paraId="05290C1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BDA3745">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72B2C80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0D3E41C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21E035B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1000≤Y＜10000</w:t>
            </w:r>
          </w:p>
        </w:tc>
        <w:tc>
          <w:tcPr>
            <w:tcW w:w="1305" w:type="dxa"/>
            <w:tcBorders>
              <w:top w:val="nil"/>
              <w:left w:val="nil"/>
              <w:bottom w:val="single" w:color="auto" w:sz="4" w:space="0"/>
              <w:right w:val="single" w:color="auto" w:sz="4" w:space="0"/>
            </w:tcBorders>
            <w:vAlign w:val="center"/>
          </w:tcPr>
          <w:p w14:paraId="1F735B2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50≤Y＜1000</w:t>
            </w:r>
          </w:p>
        </w:tc>
        <w:tc>
          <w:tcPr>
            <w:tcW w:w="975" w:type="dxa"/>
            <w:tcBorders>
              <w:top w:val="nil"/>
              <w:left w:val="nil"/>
              <w:bottom w:val="single" w:color="auto" w:sz="4" w:space="0"/>
              <w:right w:val="single" w:color="auto" w:sz="4" w:space="0"/>
            </w:tcBorders>
            <w:vAlign w:val="center"/>
          </w:tcPr>
          <w:p w14:paraId="711DED8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Y＜50</w:t>
            </w:r>
          </w:p>
        </w:tc>
      </w:tr>
      <w:tr w14:paraId="5763ACF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6557E9D">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房地产开发经营</w:t>
            </w:r>
          </w:p>
        </w:tc>
        <w:tc>
          <w:tcPr>
            <w:tcW w:w="2222" w:type="dxa"/>
            <w:tcBorders>
              <w:top w:val="nil"/>
              <w:left w:val="nil"/>
              <w:bottom w:val="single" w:color="auto" w:sz="4" w:space="0"/>
              <w:right w:val="single" w:color="auto" w:sz="4" w:space="0"/>
            </w:tcBorders>
            <w:vAlign w:val="center"/>
          </w:tcPr>
          <w:p w14:paraId="214DB52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47B41786">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64EEC5F9">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1000≤Y＜200000</w:t>
            </w:r>
          </w:p>
        </w:tc>
        <w:tc>
          <w:tcPr>
            <w:tcW w:w="1305" w:type="dxa"/>
            <w:tcBorders>
              <w:top w:val="nil"/>
              <w:left w:val="nil"/>
              <w:bottom w:val="single" w:color="auto" w:sz="4" w:space="0"/>
              <w:right w:val="single" w:color="auto" w:sz="4" w:space="0"/>
            </w:tcBorders>
            <w:vAlign w:val="center"/>
          </w:tcPr>
          <w:p w14:paraId="4DC6677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100≤X＜1000</w:t>
            </w:r>
          </w:p>
        </w:tc>
        <w:tc>
          <w:tcPr>
            <w:tcW w:w="975" w:type="dxa"/>
            <w:tcBorders>
              <w:top w:val="nil"/>
              <w:left w:val="nil"/>
              <w:bottom w:val="single" w:color="auto" w:sz="4" w:space="0"/>
              <w:right w:val="single" w:color="auto" w:sz="4" w:space="0"/>
            </w:tcBorders>
            <w:vAlign w:val="center"/>
          </w:tcPr>
          <w:p w14:paraId="74AC91C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X＜100</w:t>
            </w:r>
          </w:p>
        </w:tc>
      </w:tr>
      <w:tr w14:paraId="4ED8E9D9">
        <w:tblPrEx>
          <w:tblCellMar>
            <w:top w:w="0" w:type="dxa"/>
            <w:left w:w="108" w:type="dxa"/>
            <w:bottom w:w="0" w:type="dxa"/>
            <w:right w:w="108" w:type="dxa"/>
          </w:tblCellMar>
        </w:tblPrEx>
        <w:trPr>
          <w:trHeight w:val="225" w:hRule="atLeast"/>
          <w:jc w:val="center"/>
        </w:trPr>
        <w:tc>
          <w:tcPr>
            <w:tcW w:w="1701" w:type="dxa"/>
            <w:vMerge w:val="continue"/>
            <w:tcBorders>
              <w:top w:val="single" w:color="auto" w:sz="4" w:space="0"/>
              <w:left w:val="single" w:color="auto" w:sz="4" w:space="0"/>
              <w:bottom w:val="single" w:color="auto" w:sz="4" w:space="0"/>
              <w:right w:val="single" w:color="auto" w:sz="4" w:space="0"/>
            </w:tcBorders>
            <w:vAlign w:val="center"/>
          </w:tcPr>
          <w:p w14:paraId="321F40DD">
            <w:pPr>
              <w:widowControl/>
              <w:jc w:val="center"/>
              <w:rPr>
                <w:rFonts w:ascii="宋体" w:hAnsi="宋体" w:eastAsia="宋体" w:cs="宋体"/>
                <w:b/>
                <w:bCs/>
                <w:color w:val="auto"/>
                <w:kern w:val="0"/>
                <w:szCs w:val="21"/>
              </w:rPr>
            </w:pPr>
          </w:p>
        </w:tc>
        <w:tc>
          <w:tcPr>
            <w:tcW w:w="2222" w:type="dxa"/>
            <w:tcBorders>
              <w:top w:val="single" w:color="auto" w:sz="4" w:space="0"/>
              <w:left w:val="nil"/>
              <w:bottom w:val="single" w:color="auto" w:sz="4" w:space="0"/>
              <w:right w:val="single" w:color="auto" w:sz="4" w:space="0"/>
            </w:tcBorders>
            <w:vAlign w:val="center"/>
          </w:tcPr>
          <w:p w14:paraId="07ACAF2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资产总额（Z）</w:t>
            </w:r>
          </w:p>
        </w:tc>
        <w:tc>
          <w:tcPr>
            <w:tcW w:w="1200" w:type="dxa"/>
            <w:tcBorders>
              <w:top w:val="single" w:color="auto" w:sz="4" w:space="0"/>
              <w:left w:val="nil"/>
              <w:bottom w:val="single" w:color="auto" w:sz="4" w:space="0"/>
              <w:right w:val="single" w:color="auto" w:sz="4" w:space="0"/>
            </w:tcBorders>
            <w:vAlign w:val="center"/>
          </w:tcPr>
          <w:p w14:paraId="29A9D53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single" w:color="auto" w:sz="4" w:space="0"/>
              <w:left w:val="nil"/>
              <w:bottom w:val="single" w:color="auto" w:sz="4" w:space="0"/>
              <w:right w:val="single" w:color="auto" w:sz="4" w:space="0"/>
            </w:tcBorders>
            <w:vAlign w:val="center"/>
          </w:tcPr>
          <w:p w14:paraId="099F254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5000≤Z＜10000</w:t>
            </w:r>
          </w:p>
        </w:tc>
        <w:tc>
          <w:tcPr>
            <w:tcW w:w="1305" w:type="dxa"/>
            <w:tcBorders>
              <w:top w:val="single" w:color="auto" w:sz="4" w:space="0"/>
              <w:left w:val="nil"/>
              <w:bottom w:val="single" w:color="auto" w:sz="4" w:space="0"/>
              <w:right w:val="single" w:color="auto" w:sz="4" w:space="0"/>
            </w:tcBorders>
            <w:vAlign w:val="center"/>
          </w:tcPr>
          <w:p w14:paraId="18F1DEA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2000≤Y＜5000</w:t>
            </w:r>
          </w:p>
        </w:tc>
        <w:tc>
          <w:tcPr>
            <w:tcW w:w="975" w:type="dxa"/>
            <w:tcBorders>
              <w:top w:val="single" w:color="auto" w:sz="4" w:space="0"/>
              <w:left w:val="nil"/>
              <w:bottom w:val="single" w:color="auto" w:sz="4" w:space="0"/>
              <w:right w:val="single" w:color="auto" w:sz="4" w:space="0"/>
            </w:tcBorders>
            <w:vAlign w:val="center"/>
          </w:tcPr>
          <w:p w14:paraId="6663D695">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Y＜2000</w:t>
            </w:r>
          </w:p>
        </w:tc>
      </w:tr>
      <w:tr w14:paraId="4446F8D3">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D3A7AF2">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物业管理</w:t>
            </w:r>
          </w:p>
        </w:tc>
        <w:tc>
          <w:tcPr>
            <w:tcW w:w="2222" w:type="dxa"/>
            <w:tcBorders>
              <w:top w:val="nil"/>
              <w:left w:val="nil"/>
              <w:bottom w:val="single" w:color="auto" w:sz="4" w:space="0"/>
              <w:right w:val="single" w:color="auto" w:sz="4" w:space="0"/>
            </w:tcBorders>
            <w:vAlign w:val="center"/>
          </w:tcPr>
          <w:p w14:paraId="47ECE37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6A23A32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625D8A1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300≤X＜1000</w:t>
            </w:r>
          </w:p>
        </w:tc>
        <w:tc>
          <w:tcPr>
            <w:tcW w:w="1305" w:type="dxa"/>
            <w:tcBorders>
              <w:top w:val="nil"/>
              <w:left w:val="nil"/>
              <w:bottom w:val="single" w:color="auto" w:sz="4" w:space="0"/>
              <w:right w:val="single" w:color="auto" w:sz="4" w:space="0"/>
            </w:tcBorders>
            <w:vAlign w:val="center"/>
          </w:tcPr>
          <w:p w14:paraId="5532F149">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100≤X＜300</w:t>
            </w:r>
          </w:p>
        </w:tc>
        <w:tc>
          <w:tcPr>
            <w:tcW w:w="975" w:type="dxa"/>
            <w:tcBorders>
              <w:top w:val="nil"/>
              <w:left w:val="nil"/>
              <w:bottom w:val="single" w:color="auto" w:sz="4" w:space="0"/>
              <w:right w:val="single" w:color="auto" w:sz="4" w:space="0"/>
            </w:tcBorders>
            <w:vAlign w:val="center"/>
          </w:tcPr>
          <w:p w14:paraId="499F9D5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X＜100</w:t>
            </w:r>
          </w:p>
        </w:tc>
      </w:tr>
      <w:tr w14:paraId="474B2C44">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DDBEEC0">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19FCBFB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营业收入（Y）</w:t>
            </w:r>
          </w:p>
        </w:tc>
        <w:tc>
          <w:tcPr>
            <w:tcW w:w="1200" w:type="dxa"/>
            <w:tcBorders>
              <w:top w:val="nil"/>
              <w:left w:val="nil"/>
              <w:bottom w:val="single" w:color="auto" w:sz="4" w:space="0"/>
              <w:right w:val="single" w:color="auto" w:sz="4" w:space="0"/>
            </w:tcBorders>
            <w:vAlign w:val="center"/>
          </w:tcPr>
          <w:p w14:paraId="1AFFB31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14738D3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1000≤Y＜5000</w:t>
            </w:r>
          </w:p>
        </w:tc>
        <w:tc>
          <w:tcPr>
            <w:tcW w:w="1305" w:type="dxa"/>
            <w:tcBorders>
              <w:top w:val="nil"/>
              <w:left w:val="nil"/>
              <w:bottom w:val="single" w:color="auto" w:sz="4" w:space="0"/>
              <w:right w:val="single" w:color="auto" w:sz="4" w:space="0"/>
            </w:tcBorders>
            <w:vAlign w:val="center"/>
          </w:tcPr>
          <w:p w14:paraId="156E9EF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500≤Y＜1000</w:t>
            </w:r>
          </w:p>
        </w:tc>
        <w:tc>
          <w:tcPr>
            <w:tcW w:w="975" w:type="dxa"/>
            <w:tcBorders>
              <w:top w:val="nil"/>
              <w:left w:val="nil"/>
              <w:bottom w:val="single" w:color="auto" w:sz="4" w:space="0"/>
              <w:right w:val="single" w:color="auto" w:sz="4" w:space="0"/>
            </w:tcBorders>
            <w:vAlign w:val="center"/>
          </w:tcPr>
          <w:p w14:paraId="3338928C">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Y＜500</w:t>
            </w:r>
          </w:p>
        </w:tc>
      </w:tr>
      <w:tr w14:paraId="0F1FC7F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0A3EA48">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租赁和商务服务业</w:t>
            </w:r>
          </w:p>
        </w:tc>
        <w:tc>
          <w:tcPr>
            <w:tcW w:w="2222" w:type="dxa"/>
            <w:tcBorders>
              <w:top w:val="nil"/>
              <w:left w:val="nil"/>
              <w:bottom w:val="single" w:color="auto" w:sz="4" w:space="0"/>
              <w:right w:val="single" w:color="auto" w:sz="4" w:space="0"/>
            </w:tcBorders>
            <w:vAlign w:val="center"/>
          </w:tcPr>
          <w:p w14:paraId="3A39DA5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3D7372E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68796B3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100≤X＜300</w:t>
            </w:r>
          </w:p>
        </w:tc>
        <w:tc>
          <w:tcPr>
            <w:tcW w:w="1305" w:type="dxa"/>
            <w:tcBorders>
              <w:top w:val="nil"/>
              <w:left w:val="nil"/>
              <w:bottom w:val="single" w:color="auto" w:sz="4" w:space="0"/>
              <w:right w:val="single" w:color="auto" w:sz="4" w:space="0"/>
            </w:tcBorders>
            <w:vAlign w:val="center"/>
          </w:tcPr>
          <w:p w14:paraId="239CC49D">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10≤X＜100</w:t>
            </w:r>
          </w:p>
        </w:tc>
        <w:tc>
          <w:tcPr>
            <w:tcW w:w="975" w:type="dxa"/>
            <w:tcBorders>
              <w:top w:val="nil"/>
              <w:left w:val="nil"/>
              <w:bottom w:val="single" w:color="auto" w:sz="4" w:space="0"/>
              <w:right w:val="single" w:color="auto" w:sz="4" w:space="0"/>
            </w:tcBorders>
            <w:vAlign w:val="center"/>
          </w:tcPr>
          <w:p w14:paraId="506277A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w:t>
            </w:r>
          </w:p>
        </w:tc>
      </w:tr>
      <w:tr w14:paraId="2DE918D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19EF1A5">
            <w:pPr>
              <w:widowControl/>
              <w:jc w:val="center"/>
              <w:rPr>
                <w:rFonts w:ascii="宋体" w:hAnsi="宋体" w:eastAsia="宋体" w:cs="宋体"/>
                <w:b/>
                <w:bCs/>
                <w:color w:val="auto"/>
                <w:kern w:val="0"/>
                <w:szCs w:val="21"/>
              </w:rPr>
            </w:pPr>
          </w:p>
        </w:tc>
        <w:tc>
          <w:tcPr>
            <w:tcW w:w="2222" w:type="dxa"/>
            <w:tcBorders>
              <w:top w:val="nil"/>
              <w:left w:val="nil"/>
              <w:bottom w:val="single" w:color="auto" w:sz="4" w:space="0"/>
              <w:right w:val="single" w:color="auto" w:sz="4" w:space="0"/>
            </w:tcBorders>
            <w:vAlign w:val="center"/>
          </w:tcPr>
          <w:p w14:paraId="16D4E8B7">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资产总额（Z）</w:t>
            </w:r>
          </w:p>
        </w:tc>
        <w:tc>
          <w:tcPr>
            <w:tcW w:w="1200" w:type="dxa"/>
            <w:tcBorders>
              <w:top w:val="nil"/>
              <w:left w:val="nil"/>
              <w:bottom w:val="single" w:color="auto" w:sz="4" w:space="0"/>
              <w:right w:val="single" w:color="auto" w:sz="4" w:space="0"/>
            </w:tcBorders>
            <w:vAlign w:val="center"/>
          </w:tcPr>
          <w:p w14:paraId="329BD9E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万元</w:t>
            </w:r>
          </w:p>
        </w:tc>
        <w:tc>
          <w:tcPr>
            <w:tcW w:w="1894" w:type="dxa"/>
            <w:tcBorders>
              <w:top w:val="nil"/>
              <w:left w:val="nil"/>
              <w:bottom w:val="single" w:color="auto" w:sz="4" w:space="0"/>
              <w:right w:val="single" w:color="auto" w:sz="4" w:space="0"/>
            </w:tcBorders>
            <w:vAlign w:val="center"/>
          </w:tcPr>
          <w:p w14:paraId="2D2185F2">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8000≤Z＜120000</w:t>
            </w:r>
          </w:p>
        </w:tc>
        <w:tc>
          <w:tcPr>
            <w:tcW w:w="1305" w:type="dxa"/>
            <w:tcBorders>
              <w:top w:val="nil"/>
              <w:left w:val="nil"/>
              <w:bottom w:val="single" w:color="auto" w:sz="4" w:space="0"/>
              <w:right w:val="single" w:color="auto" w:sz="4" w:space="0"/>
            </w:tcBorders>
            <w:vAlign w:val="center"/>
          </w:tcPr>
          <w:p w14:paraId="0D02D751">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100≤Z＜8000</w:t>
            </w:r>
          </w:p>
        </w:tc>
        <w:tc>
          <w:tcPr>
            <w:tcW w:w="975" w:type="dxa"/>
            <w:tcBorders>
              <w:top w:val="nil"/>
              <w:left w:val="nil"/>
              <w:bottom w:val="single" w:color="auto" w:sz="4" w:space="0"/>
              <w:right w:val="single" w:color="auto" w:sz="4" w:space="0"/>
            </w:tcBorders>
            <w:vAlign w:val="center"/>
          </w:tcPr>
          <w:p w14:paraId="1614481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Y＜100</w:t>
            </w:r>
          </w:p>
        </w:tc>
      </w:tr>
      <w:tr w14:paraId="5AF1770C">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6082C099">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其他未列明行业</w:t>
            </w:r>
          </w:p>
        </w:tc>
        <w:tc>
          <w:tcPr>
            <w:tcW w:w="2222" w:type="dxa"/>
            <w:tcBorders>
              <w:top w:val="nil"/>
              <w:left w:val="nil"/>
              <w:bottom w:val="single" w:color="auto" w:sz="4" w:space="0"/>
              <w:right w:val="single" w:color="auto" w:sz="4" w:space="0"/>
            </w:tcBorders>
            <w:vAlign w:val="center"/>
          </w:tcPr>
          <w:p w14:paraId="10E51CA0">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从业人员（X）</w:t>
            </w:r>
          </w:p>
        </w:tc>
        <w:tc>
          <w:tcPr>
            <w:tcW w:w="1200" w:type="dxa"/>
            <w:tcBorders>
              <w:top w:val="nil"/>
              <w:left w:val="nil"/>
              <w:bottom w:val="single" w:color="auto" w:sz="4" w:space="0"/>
              <w:right w:val="single" w:color="auto" w:sz="4" w:space="0"/>
            </w:tcBorders>
            <w:vAlign w:val="center"/>
          </w:tcPr>
          <w:p w14:paraId="223DA29A">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人</w:t>
            </w:r>
          </w:p>
        </w:tc>
        <w:tc>
          <w:tcPr>
            <w:tcW w:w="1894" w:type="dxa"/>
            <w:tcBorders>
              <w:top w:val="nil"/>
              <w:left w:val="nil"/>
              <w:bottom w:val="single" w:color="auto" w:sz="4" w:space="0"/>
              <w:right w:val="single" w:color="auto" w:sz="4" w:space="0"/>
            </w:tcBorders>
            <w:vAlign w:val="center"/>
          </w:tcPr>
          <w:p w14:paraId="681FB37F">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100≤X＜300</w:t>
            </w:r>
          </w:p>
        </w:tc>
        <w:tc>
          <w:tcPr>
            <w:tcW w:w="1305" w:type="dxa"/>
            <w:tcBorders>
              <w:top w:val="nil"/>
              <w:left w:val="nil"/>
              <w:bottom w:val="single" w:color="auto" w:sz="4" w:space="0"/>
              <w:right w:val="single" w:color="auto" w:sz="4" w:space="0"/>
            </w:tcBorders>
            <w:vAlign w:val="center"/>
          </w:tcPr>
          <w:p w14:paraId="782C8FCB">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10≤X＜100</w:t>
            </w:r>
          </w:p>
        </w:tc>
        <w:tc>
          <w:tcPr>
            <w:tcW w:w="975" w:type="dxa"/>
            <w:tcBorders>
              <w:top w:val="nil"/>
              <w:left w:val="nil"/>
              <w:bottom w:val="single" w:color="auto" w:sz="4" w:space="0"/>
              <w:right w:val="single" w:color="auto" w:sz="4" w:space="0"/>
            </w:tcBorders>
            <w:vAlign w:val="center"/>
          </w:tcPr>
          <w:p w14:paraId="58B75018">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X＜10</w:t>
            </w:r>
          </w:p>
        </w:tc>
      </w:tr>
    </w:tbl>
    <w:p w14:paraId="40F5F659">
      <w:pPr>
        <w:spacing w:line="360" w:lineRule="auto"/>
        <w:ind w:firstLine="525" w:firstLineChars="250"/>
        <w:rPr>
          <w:rFonts w:ascii="宋体" w:hAnsi="宋体" w:eastAsia="宋体" w:cs="宋体"/>
          <w:color w:val="auto"/>
          <w:szCs w:val="21"/>
        </w:rPr>
      </w:pPr>
      <w:r>
        <w:rPr>
          <w:rFonts w:hint="eastAsia" w:ascii="宋体" w:hAnsi="宋体" w:eastAsia="宋体" w:cs="宋体"/>
          <w:color w:val="auto"/>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05AF09BA">
      <w:pPr>
        <w:pStyle w:val="20"/>
        <w:jc w:val="center"/>
        <w:rPr>
          <w:rFonts w:ascii="宋体" w:hAnsi="宋体" w:eastAsia="宋体" w:cs="宋体"/>
          <w:color w:val="auto"/>
        </w:rPr>
      </w:pPr>
    </w:p>
    <w:p w14:paraId="5A64870F">
      <w:pPr>
        <w:pStyle w:val="20"/>
        <w:jc w:val="left"/>
        <w:rPr>
          <w:rFonts w:ascii="宋体" w:hAnsi="宋体" w:eastAsia="宋体" w:cs="宋体"/>
          <w:color w:val="auto"/>
          <w:sz w:val="32"/>
          <w:szCs w:val="32"/>
        </w:rPr>
      </w:pPr>
    </w:p>
    <w:p w14:paraId="5CFBE4D9">
      <w:pPr>
        <w:pStyle w:val="20"/>
        <w:jc w:val="left"/>
        <w:rPr>
          <w:rFonts w:ascii="宋体" w:hAnsi="宋体" w:eastAsia="宋体" w:cs="宋体"/>
          <w:color w:val="auto"/>
          <w:sz w:val="32"/>
          <w:szCs w:val="32"/>
        </w:rPr>
      </w:pPr>
    </w:p>
    <w:p w14:paraId="315F1034">
      <w:pPr>
        <w:pStyle w:val="20"/>
        <w:jc w:val="left"/>
        <w:rPr>
          <w:rFonts w:ascii="宋体" w:hAnsi="宋体" w:eastAsia="宋体" w:cs="宋体"/>
          <w:color w:val="auto"/>
          <w:sz w:val="32"/>
          <w:szCs w:val="32"/>
        </w:rPr>
      </w:pPr>
    </w:p>
    <w:p w14:paraId="3AB82A3D">
      <w:pPr>
        <w:pStyle w:val="20"/>
        <w:jc w:val="left"/>
        <w:rPr>
          <w:rFonts w:ascii="宋体" w:hAnsi="宋体" w:eastAsia="宋体" w:cs="宋体"/>
          <w:color w:val="auto"/>
          <w:sz w:val="32"/>
          <w:szCs w:val="32"/>
        </w:rPr>
      </w:pPr>
    </w:p>
    <w:p w14:paraId="44CC5AC1">
      <w:pPr>
        <w:pStyle w:val="20"/>
        <w:rPr>
          <w:rFonts w:ascii="宋体" w:hAnsi="宋体" w:eastAsia="宋体" w:cs="宋体"/>
          <w:color w:val="auto"/>
        </w:rPr>
      </w:pPr>
    </w:p>
    <w:p w14:paraId="2FB24E25">
      <w:pPr>
        <w:pStyle w:val="20"/>
        <w:jc w:val="center"/>
        <w:rPr>
          <w:rFonts w:ascii="宋体" w:hAnsi="宋体" w:eastAsia="宋体" w:cs="宋体"/>
          <w:color w:val="auto"/>
        </w:rPr>
      </w:pPr>
      <w:r>
        <w:rPr>
          <w:rFonts w:hint="eastAsia" w:ascii="宋体" w:hAnsi="宋体" w:eastAsia="宋体" w:cs="宋体"/>
          <w:color w:val="auto"/>
        </w:rPr>
        <w:t xml:space="preserve"> </w:t>
      </w:r>
      <w:bookmarkStart w:id="39" w:name="_Toc532545044"/>
      <w:bookmarkStart w:id="40" w:name="_Toc80092992"/>
    </w:p>
    <w:p w14:paraId="02ED78BE">
      <w:pPr>
        <w:pStyle w:val="20"/>
        <w:jc w:val="center"/>
        <w:outlineLvl w:val="0"/>
        <w:rPr>
          <w:rFonts w:ascii="宋体" w:hAnsi="宋体" w:eastAsia="宋体" w:cs="宋体"/>
          <w:b/>
          <w:color w:val="auto"/>
          <w:sz w:val="36"/>
          <w:szCs w:val="36"/>
        </w:rPr>
      </w:pPr>
      <w:r>
        <w:rPr>
          <w:rFonts w:hint="eastAsia" w:ascii="宋体" w:hAnsi="宋体" w:eastAsia="宋体" w:cs="宋体"/>
          <w:color w:val="auto"/>
        </w:rPr>
        <w:br w:type="page"/>
      </w:r>
      <w:bookmarkStart w:id="41" w:name="_Toc5337"/>
      <w:r>
        <w:rPr>
          <w:rFonts w:hint="eastAsia" w:ascii="宋体" w:hAnsi="宋体" w:eastAsia="宋体" w:cs="宋体"/>
          <w:b/>
          <w:color w:val="auto"/>
          <w:sz w:val="36"/>
        </w:rPr>
        <w:t>第三章  投标人须知</w:t>
      </w:r>
      <w:bookmarkEnd w:id="39"/>
      <w:bookmarkEnd w:id="40"/>
      <w:bookmarkEnd w:id="41"/>
    </w:p>
    <w:p w14:paraId="140B35D2">
      <w:pPr>
        <w:jc w:val="center"/>
        <w:rPr>
          <w:rFonts w:ascii="宋体" w:hAnsi="宋体" w:eastAsia="宋体" w:cs="宋体"/>
          <w:color w:val="auto"/>
          <w:sz w:val="36"/>
          <w:szCs w:val="36"/>
        </w:rPr>
      </w:pPr>
      <w:bookmarkStart w:id="42" w:name="_Toc254970526"/>
      <w:bookmarkStart w:id="43" w:name="_Toc254970667"/>
      <w:bookmarkStart w:id="44" w:name="_Toc80092993"/>
      <w:r>
        <w:rPr>
          <w:rFonts w:hint="eastAsia" w:ascii="宋体" w:hAnsi="宋体" w:eastAsia="宋体" w:cs="宋体"/>
          <w:color w:val="auto"/>
          <w:sz w:val="36"/>
          <w:szCs w:val="36"/>
        </w:rPr>
        <w:t>投标人须知前附表</w:t>
      </w:r>
      <w:bookmarkEnd w:id="42"/>
      <w:bookmarkEnd w:id="43"/>
    </w:p>
    <w:tbl>
      <w:tblPr>
        <w:tblStyle w:val="37"/>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6"/>
        <w:gridCol w:w="8607"/>
      </w:tblGrid>
      <w:tr w14:paraId="72E2F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0AED0E72">
            <w:pPr>
              <w:snapToGrid w:val="0"/>
              <w:spacing w:line="400" w:lineRule="exact"/>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8607" w:type="dxa"/>
            <w:tcBorders>
              <w:top w:val="single" w:color="auto" w:sz="4" w:space="0"/>
              <w:left w:val="single" w:color="auto" w:sz="4" w:space="0"/>
              <w:bottom w:val="single" w:color="auto" w:sz="4" w:space="0"/>
              <w:right w:val="single" w:color="auto" w:sz="4" w:space="0"/>
            </w:tcBorders>
            <w:vAlign w:val="center"/>
          </w:tcPr>
          <w:p w14:paraId="3A74ADDD">
            <w:pPr>
              <w:snapToGrid w:val="0"/>
              <w:spacing w:line="4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编列内容</w:t>
            </w:r>
          </w:p>
        </w:tc>
      </w:tr>
      <w:tr w14:paraId="57B19E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195F9BF0">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607" w:type="dxa"/>
            <w:tcBorders>
              <w:top w:val="single" w:color="auto" w:sz="4" w:space="0"/>
              <w:left w:val="single" w:color="auto" w:sz="4" w:space="0"/>
              <w:bottom w:val="single" w:color="auto" w:sz="4" w:space="0"/>
              <w:right w:val="single" w:color="auto" w:sz="4" w:space="0"/>
            </w:tcBorders>
            <w:vAlign w:val="center"/>
          </w:tcPr>
          <w:p w14:paraId="4D710426">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投标人的资格要求：详见招标公告。</w:t>
            </w:r>
          </w:p>
        </w:tc>
      </w:tr>
      <w:tr w14:paraId="2588E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5B335F41">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8607" w:type="dxa"/>
            <w:tcBorders>
              <w:top w:val="single" w:color="auto" w:sz="4" w:space="0"/>
              <w:left w:val="single" w:color="auto" w:sz="4" w:space="0"/>
              <w:bottom w:val="single" w:color="auto" w:sz="4" w:space="0"/>
              <w:right w:val="single" w:color="auto" w:sz="4" w:space="0"/>
            </w:tcBorders>
            <w:vAlign w:val="center"/>
          </w:tcPr>
          <w:p w14:paraId="3D002A80">
            <w:pPr>
              <w:pStyle w:val="13"/>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本项目是否接受联合体投标：详见招标公告。</w:t>
            </w:r>
          </w:p>
        </w:tc>
      </w:tr>
      <w:tr w14:paraId="5A5D0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55499C48">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607" w:type="dxa"/>
            <w:tcBorders>
              <w:top w:val="single" w:color="auto" w:sz="4" w:space="0"/>
              <w:left w:val="single" w:color="auto" w:sz="4" w:space="0"/>
              <w:bottom w:val="single" w:color="auto" w:sz="4" w:space="0"/>
              <w:right w:val="single" w:color="auto" w:sz="4" w:space="0"/>
            </w:tcBorders>
            <w:vAlign w:val="center"/>
          </w:tcPr>
          <w:p w14:paraId="64B3B8D3">
            <w:pPr>
              <w:autoSpaceDE w:val="0"/>
              <w:autoSpaceDN w:val="0"/>
              <w:snapToGrid w:val="0"/>
              <w:spacing w:line="400" w:lineRule="exact"/>
              <w:textAlignment w:val="bottom"/>
              <w:rPr>
                <w:rFonts w:ascii="宋体" w:hAnsi="宋体" w:eastAsia="宋体" w:cs="宋体"/>
                <w:color w:val="auto"/>
                <w:szCs w:val="21"/>
                <w:highlight w:val="none"/>
              </w:rPr>
            </w:pPr>
            <w:bookmarkStart w:id="45" w:name="_Hlk54105293"/>
            <w:r>
              <w:rPr>
                <w:rFonts w:hint="eastAsia" w:ascii="宋体" w:hAnsi="宋体" w:eastAsia="宋体" w:cs="宋体"/>
                <w:color w:val="auto"/>
                <w:szCs w:val="21"/>
                <w:highlight w:val="none"/>
              </w:rPr>
              <w:t>如接受联合体投标，</w:t>
            </w:r>
            <w:bookmarkEnd w:id="45"/>
            <w:r>
              <w:rPr>
                <w:rFonts w:hint="eastAsia" w:ascii="宋体" w:hAnsi="宋体" w:eastAsia="宋体" w:cs="宋体"/>
                <w:color w:val="auto"/>
                <w:szCs w:val="21"/>
                <w:highlight w:val="none"/>
              </w:rPr>
              <w:t>联合体投标要求如下：</w:t>
            </w:r>
          </w:p>
          <w:p w14:paraId="536AE4C3">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1、两个以上投标人可以组成一个投标联合体，以一个投标人的身份共同参加投标，联合体投标人的名称应统一按“XXX 公司与 XXX 公司的联合体”的规则填写。</w:t>
            </w:r>
          </w:p>
          <w:p w14:paraId="2849D974">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122881EF">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0E2A4CF1">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4、以联合体形式参加政府采购活动的，联合体各方不得再单独参加或者与其他投标人另外组成联合体参加同一合同项下的政府采购活动，否则与之相关的投标文件作废。</w:t>
            </w:r>
          </w:p>
          <w:p w14:paraId="2D095413">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5、联合体中有同类资质的投标人按照联合体分工承担相同工作的，应当按照资质等级较低的投标人确定资质等级。</w:t>
            </w:r>
          </w:p>
          <w:p w14:paraId="4C5AA290">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6、联合体投标业绩、履约能力按照联合体各方其中较高的一方认定并计算（招标文件另有规定的除外）。</w:t>
            </w:r>
          </w:p>
          <w:p w14:paraId="5D3AB516">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7、联合体各方均应按照招标文件的规定提交资格证明文件。</w:t>
            </w:r>
          </w:p>
        </w:tc>
      </w:tr>
      <w:tr w14:paraId="6568DB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2248C362">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7.2</w:t>
            </w:r>
          </w:p>
        </w:tc>
        <w:tc>
          <w:tcPr>
            <w:tcW w:w="8607" w:type="dxa"/>
            <w:tcBorders>
              <w:top w:val="single" w:color="auto" w:sz="4" w:space="0"/>
              <w:left w:val="single" w:color="auto" w:sz="4" w:space="0"/>
              <w:bottom w:val="single" w:color="auto" w:sz="4" w:space="0"/>
              <w:right w:val="single" w:color="auto" w:sz="4" w:space="0"/>
            </w:tcBorders>
            <w:vAlign w:val="center"/>
          </w:tcPr>
          <w:p w14:paraId="404C1DD6">
            <w:pPr>
              <w:pStyle w:val="13"/>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☑本项目不允许分包。</w:t>
            </w:r>
          </w:p>
          <w:p w14:paraId="2B071962">
            <w:pPr>
              <w:pStyle w:val="13"/>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□本项目允许分包：</w:t>
            </w:r>
          </w:p>
          <w:p w14:paraId="381C96A0">
            <w:pPr>
              <w:pStyle w:val="13"/>
              <w:spacing w:line="400" w:lineRule="exact"/>
              <w:rPr>
                <w:rFonts w:ascii="宋体" w:hAnsi="宋体" w:eastAsia="宋体" w:cs="宋体"/>
                <w:color w:val="auto"/>
                <w:szCs w:val="21"/>
                <w:highlight w:val="none"/>
                <w:u w:val="single"/>
              </w:rPr>
            </w:pPr>
            <w:r>
              <w:rPr>
                <w:rFonts w:hint="eastAsia" w:ascii="宋体" w:hAnsi="宋体" w:eastAsia="宋体" w:cs="宋体"/>
                <w:color w:val="auto"/>
                <w:szCs w:val="21"/>
                <w:highlight w:val="none"/>
              </w:rPr>
              <w:t>分包内容：</w:t>
            </w:r>
            <w:r>
              <w:rPr>
                <w:rFonts w:hint="eastAsia" w:ascii="宋体" w:hAnsi="宋体" w:eastAsia="宋体" w:cs="宋体"/>
                <w:color w:val="auto"/>
                <w:szCs w:val="21"/>
                <w:highlight w:val="none"/>
                <w:u w:val="single"/>
              </w:rPr>
              <w:t xml:space="preserve">                                     。</w:t>
            </w:r>
          </w:p>
          <w:p w14:paraId="43253975">
            <w:pPr>
              <w:pStyle w:val="13"/>
              <w:spacing w:line="400" w:lineRule="exact"/>
              <w:jc w:val="both"/>
              <w:rPr>
                <w:rFonts w:ascii="宋体" w:hAnsi="宋体" w:eastAsia="宋体" w:cs="宋体"/>
                <w:color w:val="auto"/>
                <w:szCs w:val="21"/>
                <w:highlight w:val="none"/>
                <w:u w:val="single"/>
              </w:rPr>
            </w:pPr>
            <w:r>
              <w:rPr>
                <w:rFonts w:hint="eastAsia" w:ascii="宋体" w:hAnsi="宋体" w:eastAsia="宋体" w:cs="宋体"/>
                <w:color w:val="auto"/>
                <w:szCs w:val="21"/>
                <w:highlight w:val="none"/>
              </w:rPr>
              <w:t>分包金额或者比例：</w:t>
            </w:r>
            <w:r>
              <w:rPr>
                <w:rFonts w:hint="eastAsia" w:ascii="宋体" w:hAnsi="宋体" w:eastAsia="宋体" w:cs="宋体"/>
                <w:color w:val="auto"/>
                <w:szCs w:val="21"/>
                <w:highlight w:val="none"/>
                <w:u w:val="single"/>
              </w:rPr>
              <w:t xml:space="preserve">                             。</w:t>
            </w:r>
          </w:p>
        </w:tc>
      </w:tr>
      <w:tr w14:paraId="4E265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4F90A4E0">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8607" w:type="dxa"/>
            <w:tcBorders>
              <w:top w:val="single" w:color="auto" w:sz="4" w:space="0"/>
              <w:left w:val="single" w:color="auto" w:sz="4" w:space="0"/>
              <w:bottom w:val="single" w:color="auto" w:sz="4" w:space="0"/>
              <w:right w:val="single" w:color="auto" w:sz="4" w:space="0"/>
            </w:tcBorders>
            <w:vAlign w:val="center"/>
          </w:tcPr>
          <w:p w14:paraId="378C6E61">
            <w:pPr>
              <w:pStyle w:val="13"/>
              <w:spacing w:line="400" w:lineRule="exact"/>
              <w:jc w:val="both"/>
              <w:rPr>
                <w:rFonts w:ascii="宋体" w:hAnsi="宋体" w:eastAsia="宋体" w:cs="宋体"/>
                <w:color w:val="auto"/>
                <w:szCs w:val="21"/>
                <w:highlight w:val="none"/>
              </w:rPr>
            </w:pPr>
            <w:r>
              <w:rPr>
                <w:rFonts w:hint="eastAsia" w:ascii="宋体" w:hAnsi="宋体" w:eastAsia="宋体" w:cs="宋体"/>
                <w:color w:val="auto"/>
                <w:szCs w:val="21"/>
                <w:highlight w:val="none"/>
              </w:rPr>
              <w:t>1、采用最低评标价法的采购项目，提供相同品牌产品（非单一产品采购项目的，指核心产品）的不同投标人评标价相同时，按照下列方式确定一个投标人获得中标人推荐资格：评标委员会随机抽取/按投标报价低的原则确定，投标报价相同的按节能环保优先、技术指标高优先、质保期长优先、交货期短优先、故障响应时间短优先的顺序依次确定。</w:t>
            </w:r>
          </w:p>
          <w:p w14:paraId="76DAB0AC">
            <w:pPr>
              <w:pStyle w:val="13"/>
              <w:spacing w:line="400" w:lineRule="exact"/>
              <w:jc w:val="both"/>
              <w:rPr>
                <w:rFonts w:ascii="宋体" w:hAnsi="宋体" w:eastAsia="宋体" w:cs="宋体"/>
                <w:color w:val="auto"/>
                <w:szCs w:val="21"/>
                <w:highlight w:val="none"/>
              </w:rPr>
            </w:pPr>
            <w:r>
              <w:rPr>
                <w:rFonts w:hint="eastAsia" w:ascii="宋体" w:hAnsi="宋体" w:eastAsia="宋体" w:cs="宋体"/>
                <w:color w:val="auto"/>
                <w:szCs w:val="21"/>
                <w:highlight w:val="none"/>
              </w:rPr>
              <w:t>2、采用综合评分法的采购项目，提供相同品牌产品（非单一产品采购项目的，指核心产品）的不同投标人评审得分相同时，按照下列方式确定一个投标人获得中标人推荐资格：评标委员会随机抽取/按投标报价低的原则确定，投标报价相同的按综合评分中技术水平、售后服务、履约能力、政策功能得分高低依次确定。</w:t>
            </w:r>
          </w:p>
        </w:tc>
      </w:tr>
      <w:tr w14:paraId="3CF69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996" w:type="dxa"/>
            <w:vMerge w:val="restart"/>
            <w:tcBorders>
              <w:top w:val="single" w:color="auto" w:sz="4" w:space="0"/>
              <w:left w:val="single" w:color="auto" w:sz="4" w:space="0"/>
              <w:right w:val="single" w:color="auto" w:sz="4" w:space="0"/>
            </w:tcBorders>
            <w:vAlign w:val="center"/>
          </w:tcPr>
          <w:p w14:paraId="3FBFC5BB">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11.5</w:t>
            </w:r>
          </w:p>
        </w:tc>
        <w:tc>
          <w:tcPr>
            <w:tcW w:w="8607" w:type="dxa"/>
            <w:tcBorders>
              <w:top w:val="single" w:color="auto" w:sz="4" w:space="0"/>
              <w:left w:val="single" w:color="auto" w:sz="4" w:space="0"/>
              <w:bottom w:val="single" w:color="auto" w:sz="4" w:space="0"/>
              <w:right w:val="single" w:color="auto" w:sz="4" w:space="0"/>
            </w:tcBorders>
            <w:vAlign w:val="center"/>
          </w:tcPr>
          <w:p w14:paraId="77757607">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☑本项目不组织现场考察。</w:t>
            </w:r>
          </w:p>
          <w:p w14:paraId="0DE6F02E">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□本项目组织现场考察：</w:t>
            </w:r>
          </w:p>
          <w:p w14:paraId="0D435E34">
            <w:pPr>
              <w:snapToGrid w:val="0"/>
              <w:spacing w:line="400" w:lineRule="exact"/>
              <w:rPr>
                <w:rFonts w:ascii="宋体" w:hAnsi="宋体" w:eastAsia="宋体" w:cs="宋体"/>
                <w:color w:val="auto"/>
                <w:szCs w:val="21"/>
                <w:highlight w:val="none"/>
                <w:u w:val="single"/>
              </w:rPr>
            </w:pPr>
            <w:r>
              <w:rPr>
                <w:rFonts w:hint="eastAsia" w:ascii="宋体" w:hAnsi="宋体" w:eastAsia="宋体" w:cs="宋体"/>
                <w:color w:val="auto"/>
                <w:szCs w:val="21"/>
                <w:highlight w:val="none"/>
              </w:rPr>
              <w:t>集中时间：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，逾期后果自负。集中地点：</w:t>
            </w:r>
            <w:r>
              <w:rPr>
                <w:rFonts w:hint="eastAsia" w:ascii="宋体" w:hAnsi="宋体" w:eastAsia="宋体" w:cs="宋体"/>
                <w:color w:val="auto"/>
                <w:szCs w:val="21"/>
                <w:highlight w:val="none"/>
                <w:u w:val="single"/>
              </w:rPr>
              <w:t xml:space="preserve">   （集合并签到） </w:t>
            </w:r>
          </w:p>
          <w:p w14:paraId="2205C362">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461330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996" w:type="dxa"/>
            <w:vMerge w:val="continue"/>
            <w:tcBorders>
              <w:left w:val="single" w:color="auto" w:sz="4" w:space="0"/>
              <w:bottom w:val="single" w:color="auto" w:sz="4" w:space="0"/>
              <w:right w:val="single" w:color="auto" w:sz="4" w:space="0"/>
            </w:tcBorders>
            <w:vAlign w:val="center"/>
          </w:tcPr>
          <w:p w14:paraId="5D2E8F22">
            <w:pPr>
              <w:spacing w:line="400" w:lineRule="exact"/>
              <w:jc w:val="center"/>
              <w:rPr>
                <w:rFonts w:ascii="宋体" w:hAnsi="宋体" w:eastAsia="宋体" w:cs="宋体"/>
                <w:color w:val="auto"/>
                <w:szCs w:val="21"/>
                <w:highlight w:val="none"/>
              </w:rPr>
            </w:pPr>
          </w:p>
        </w:tc>
        <w:tc>
          <w:tcPr>
            <w:tcW w:w="8607" w:type="dxa"/>
            <w:tcBorders>
              <w:top w:val="single" w:color="auto" w:sz="4" w:space="0"/>
              <w:left w:val="single" w:color="auto" w:sz="4" w:space="0"/>
              <w:bottom w:val="single" w:color="auto" w:sz="4" w:space="0"/>
              <w:right w:val="single" w:color="auto" w:sz="4" w:space="0"/>
            </w:tcBorders>
            <w:vAlign w:val="center"/>
          </w:tcPr>
          <w:p w14:paraId="39FEFB30">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☑不组织召开开标前答疑会</w:t>
            </w:r>
          </w:p>
          <w:p w14:paraId="24678CCA">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□组织召开开标前答疑会</w:t>
            </w:r>
          </w:p>
          <w:p w14:paraId="0E3A5C63">
            <w:pPr>
              <w:snapToGrid w:val="0"/>
              <w:spacing w:line="400" w:lineRule="exact"/>
              <w:rPr>
                <w:rFonts w:ascii="宋体" w:hAnsi="宋体" w:eastAsia="宋体" w:cs="宋体"/>
                <w:color w:val="auto"/>
                <w:szCs w:val="21"/>
                <w:highlight w:val="none"/>
                <w:u w:val="single"/>
              </w:rPr>
            </w:pPr>
            <w:r>
              <w:rPr>
                <w:rFonts w:hint="eastAsia" w:ascii="宋体" w:hAnsi="宋体" w:eastAsia="宋体" w:cs="宋体"/>
                <w:color w:val="auto"/>
                <w:szCs w:val="21"/>
                <w:highlight w:val="none"/>
              </w:rPr>
              <w:t>会议开始时间：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，逾期后果自负。会议地点：</w:t>
            </w:r>
            <w:r>
              <w:rPr>
                <w:rFonts w:hint="eastAsia" w:ascii="宋体" w:hAnsi="宋体" w:eastAsia="宋体" w:cs="宋体"/>
                <w:color w:val="auto"/>
                <w:szCs w:val="21"/>
                <w:highlight w:val="none"/>
                <w:u w:val="single"/>
              </w:rPr>
              <w:t xml:space="preserve">              </w:t>
            </w:r>
          </w:p>
          <w:p w14:paraId="616D9C24">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0025D7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vMerge w:val="restart"/>
            <w:tcBorders>
              <w:top w:val="single" w:color="auto" w:sz="4" w:space="0"/>
              <w:left w:val="single" w:color="auto" w:sz="4" w:space="0"/>
              <w:right w:val="single" w:color="auto" w:sz="4" w:space="0"/>
            </w:tcBorders>
            <w:vAlign w:val="center"/>
          </w:tcPr>
          <w:p w14:paraId="262CC1BB">
            <w:pPr>
              <w:spacing w:line="400" w:lineRule="exact"/>
              <w:jc w:val="center"/>
              <w:rPr>
                <w:rFonts w:ascii="宋体" w:hAnsi="宋体" w:eastAsia="宋体" w:cs="宋体"/>
                <w:color w:val="auto"/>
                <w:szCs w:val="21"/>
                <w:highlight w:val="none"/>
              </w:rPr>
            </w:pPr>
            <w:bookmarkStart w:id="46" w:name="_13.1"/>
            <w:bookmarkEnd w:id="46"/>
            <w:r>
              <w:rPr>
                <w:rFonts w:hint="eastAsia" w:ascii="宋体" w:hAnsi="宋体" w:eastAsia="宋体" w:cs="宋体"/>
                <w:color w:val="auto"/>
                <w:szCs w:val="21"/>
                <w:highlight w:val="none"/>
              </w:rPr>
              <w:t>13.</w:t>
            </w:r>
            <w:bookmarkStart w:id="47" w:name="_Hlt19632543"/>
            <w:r>
              <w:rPr>
                <w:rFonts w:hint="eastAsia" w:ascii="宋体" w:hAnsi="宋体" w:eastAsia="宋体" w:cs="宋体"/>
                <w:color w:val="auto"/>
                <w:szCs w:val="21"/>
                <w:highlight w:val="none"/>
              </w:rPr>
              <w:t>1</w:t>
            </w:r>
            <w:bookmarkEnd w:id="47"/>
          </w:p>
        </w:tc>
        <w:tc>
          <w:tcPr>
            <w:tcW w:w="8607" w:type="dxa"/>
            <w:tcBorders>
              <w:top w:val="single" w:color="auto" w:sz="4" w:space="0"/>
              <w:left w:val="single" w:color="auto" w:sz="4" w:space="0"/>
              <w:bottom w:val="single" w:color="auto" w:sz="4" w:space="0"/>
              <w:right w:val="single" w:color="auto" w:sz="4" w:space="0"/>
            </w:tcBorders>
            <w:vAlign w:val="center"/>
          </w:tcPr>
          <w:p w14:paraId="316B4DA4">
            <w:pPr>
              <w:snapToGrid w:val="0"/>
              <w:spacing w:line="40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报价文件:</w:t>
            </w:r>
          </w:p>
          <w:p w14:paraId="40C852EE">
            <w:pPr>
              <w:tabs>
                <w:tab w:val="left" w:pos="459"/>
              </w:tabs>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1、投标函（格式后附）；</w:t>
            </w:r>
            <w:r>
              <w:rPr>
                <w:rFonts w:hint="eastAsia" w:ascii="宋体" w:hAnsi="宋体" w:eastAsia="宋体" w:cs="宋体"/>
                <w:b/>
                <w:color w:val="auto"/>
                <w:szCs w:val="21"/>
                <w:highlight w:val="none"/>
              </w:rPr>
              <w:t>（必须提供，否则按无效投标处理）</w:t>
            </w:r>
          </w:p>
          <w:p w14:paraId="61C1AFC7">
            <w:pPr>
              <w:tabs>
                <w:tab w:val="left" w:pos="459"/>
              </w:tabs>
              <w:snapToGrid w:val="0"/>
              <w:spacing w:line="400" w:lineRule="exact"/>
              <w:jc w:val="left"/>
              <w:rPr>
                <w:rFonts w:ascii="宋体" w:hAnsi="宋体" w:eastAsia="宋体" w:cs="宋体"/>
                <w:color w:val="auto"/>
                <w:szCs w:val="21"/>
                <w:highlight w:val="none"/>
              </w:rPr>
            </w:pPr>
            <w:bookmarkStart w:id="48" w:name="_Hlk71299233"/>
            <w:r>
              <w:rPr>
                <w:rFonts w:hint="eastAsia" w:ascii="宋体" w:hAnsi="宋体" w:eastAsia="宋体" w:cs="宋体"/>
                <w:color w:val="auto"/>
                <w:szCs w:val="21"/>
                <w:highlight w:val="none"/>
              </w:rPr>
              <w:t>2、开标一览表</w:t>
            </w:r>
            <w:bookmarkEnd w:id="48"/>
            <w:r>
              <w:rPr>
                <w:rFonts w:hint="eastAsia" w:ascii="宋体" w:hAnsi="宋体" w:eastAsia="宋体" w:cs="宋体"/>
                <w:color w:val="auto"/>
                <w:szCs w:val="21"/>
                <w:highlight w:val="none"/>
              </w:rPr>
              <w:t>（格式后附）； （</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2C477672">
            <w:pPr>
              <w:snapToGrid w:val="0"/>
              <w:spacing w:line="400" w:lineRule="exact"/>
              <w:jc w:val="left"/>
              <w:rPr>
                <w:rFonts w:ascii="宋体" w:hAnsi="宋体" w:eastAsia="宋体" w:cs="宋体"/>
                <w:color w:val="auto"/>
                <w:highlight w:val="none"/>
              </w:rPr>
            </w:pPr>
            <w:r>
              <w:rPr>
                <w:rFonts w:hint="eastAsia" w:ascii="宋体" w:hAnsi="宋体" w:eastAsia="宋体" w:cs="宋体"/>
                <w:color w:val="auto"/>
                <w:szCs w:val="21"/>
                <w:highlight w:val="none"/>
              </w:rPr>
              <w:t>3、其他证明文件（投标人如属于小型、微型企业的，请提供《中小企业声明函》(格式见附件)；属监狱企业的，请提供由省级以上监狱管理局、戒毒管理局（含新疆生产建设兵团）出具的属于监狱企业的证明文件；属于残疾人福利性单位的，请提供《残疾人福利性单位声明函》(格式见附件)）；（格式见附件）</w:t>
            </w:r>
          </w:p>
          <w:p w14:paraId="7AD4A999">
            <w:pPr>
              <w:tabs>
                <w:tab w:val="left" w:pos="459"/>
              </w:tabs>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4、投标人针对报价需要说明的其他文件和说明（格式自拟）。</w:t>
            </w:r>
          </w:p>
          <w:p w14:paraId="733FA24F">
            <w:pPr>
              <w:snapToGrid w:val="0"/>
              <w:spacing w:line="400" w:lineRule="exact"/>
              <w:ind w:firstLine="420"/>
              <w:jc w:val="left"/>
              <w:rPr>
                <w:rFonts w:ascii="宋体" w:hAnsi="宋体" w:eastAsia="宋体" w:cs="宋体"/>
                <w:color w:val="auto"/>
                <w:szCs w:val="21"/>
                <w:highlight w:val="none"/>
              </w:rPr>
            </w:pPr>
            <w:r>
              <w:rPr>
                <w:rFonts w:hint="eastAsia" w:ascii="宋体" w:hAnsi="宋体" w:eastAsia="宋体" w:cs="宋体"/>
                <w:b/>
                <w:bCs/>
                <w:color w:val="auto"/>
                <w:szCs w:val="21"/>
                <w:highlight w:val="none"/>
              </w:rPr>
              <w:t>注：投标函、开标一览表必须由法定代表人或者委托代理人在规定签章处逐一签字或电子签名并加盖投标人公章，否则按无效投标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3F12F7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vMerge w:val="continue"/>
            <w:tcBorders>
              <w:left w:val="single" w:color="auto" w:sz="4" w:space="0"/>
              <w:right w:val="single" w:color="auto" w:sz="4" w:space="0"/>
            </w:tcBorders>
            <w:vAlign w:val="center"/>
          </w:tcPr>
          <w:p w14:paraId="74569C06">
            <w:pPr>
              <w:spacing w:line="400" w:lineRule="exact"/>
              <w:rPr>
                <w:rFonts w:ascii="宋体" w:hAnsi="宋体" w:eastAsia="宋体" w:cs="宋体"/>
                <w:color w:val="auto"/>
                <w:szCs w:val="21"/>
                <w:highlight w:val="none"/>
              </w:rPr>
            </w:pPr>
          </w:p>
        </w:tc>
        <w:tc>
          <w:tcPr>
            <w:tcW w:w="8607" w:type="dxa"/>
            <w:tcBorders>
              <w:top w:val="single" w:color="auto" w:sz="4" w:space="0"/>
              <w:left w:val="single" w:color="auto" w:sz="4" w:space="0"/>
              <w:bottom w:val="single" w:color="auto" w:sz="4" w:space="0"/>
              <w:right w:val="single" w:color="auto" w:sz="4" w:space="0"/>
            </w:tcBorders>
            <w:vAlign w:val="center"/>
          </w:tcPr>
          <w:p w14:paraId="3587D774">
            <w:pPr>
              <w:snapToGrid w:val="0"/>
              <w:spacing w:line="40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资格证明文件:</w:t>
            </w:r>
          </w:p>
          <w:p w14:paraId="682EEA61">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1、投标人为法人或者其他组织的，证明文件为其营业执照复印件（如营业执照或者事业单位法人证书或者执业许可证等）；供应商为自然人的，证明文件为其身份证复印件；</w:t>
            </w:r>
            <w:r>
              <w:rPr>
                <w:rFonts w:hint="eastAsia" w:ascii="宋体" w:hAnsi="宋体" w:eastAsia="宋体" w:cs="宋体"/>
                <w:b/>
                <w:color w:val="auto"/>
                <w:szCs w:val="21"/>
                <w:highlight w:val="none"/>
              </w:rPr>
              <w:t>（必须提供，否则投标文件按无效响应处理）</w:t>
            </w:r>
          </w:p>
          <w:p w14:paraId="31E2E4A1">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2、投标人依法缴纳税收的相关材料（投标截止之日前近半年内任意连续三个月的依法缴纳税收的凭据复印件；依法免税的供应商，必须提供相应文件证明其依法免税。从成立之日起到投标文件提交截止时间止不足要求月数的，只需提供从成立之日起的依法缴纳税收相应证明文件）；</w:t>
            </w:r>
            <w:r>
              <w:rPr>
                <w:rFonts w:hint="eastAsia" w:ascii="宋体" w:hAnsi="宋体" w:eastAsia="宋体" w:cs="宋体"/>
                <w:b/>
                <w:color w:val="auto"/>
                <w:szCs w:val="21"/>
                <w:highlight w:val="none"/>
              </w:rPr>
              <w:t>（必须提供，否则按无效投标处理）</w:t>
            </w:r>
          </w:p>
          <w:p w14:paraId="5CB267CD">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3、投标人依法缴纳社会保障资金的相关材料[投标截止之日前近半年内任意连续三个月的依法缴纳社会保障资金的缴费凭证（专用收据或者社会保险缴纳清单）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eastAsia="宋体" w:cs="宋体"/>
                <w:b/>
                <w:color w:val="auto"/>
                <w:szCs w:val="21"/>
                <w:highlight w:val="none"/>
              </w:rPr>
              <w:t>（必须提供，否则按无效投标处理）</w:t>
            </w:r>
          </w:p>
          <w:p w14:paraId="48BF349B">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4、投标人经第三方审计的2023年度的财务报表（财务报表至少包含资产负债表、利润表、现金流量表及其附注、审计报告）复印件或投标截止之日前三个月内投标人基本开户银行出具的资信证明（仅提供银行出具的存款证明不能作为其银行资信证明）复印件；</w:t>
            </w:r>
            <w:r>
              <w:rPr>
                <w:rFonts w:hint="eastAsia" w:ascii="宋体" w:hAnsi="宋体" w:eastAsia="宋体" w:cs="宋体"/>
                <w:b/>
                <w:color w:val="auto"/>
                <w:szCs w:val="21"/>
                <w:highlight w:val="none"/>
              </w:rPr>
              <w:t>（除自然人外必须提供，否则按无效投标处理）</w:t>
            </w:r>
          </w:p>
          <w:p w14:paraId="25E7660A">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5、具备履行合同所必需的设备和专业技术服务能力的承诺书；</w:t>
            </w:r>
            <w:r>
              <w:rPr>
                <w:rFonts w:hint="eastAsia" w:ascii="宋体" w:hAnsi="宋体" w:eastAsia="宋体" w:cs="宋体"/>
                <w:b/>
                <w:color w:val="auto"/>
                <w:szCs w:val="21"/>
                <w:highlight w:val="none"/>
              </w:rPr>
              <w:t>（必须提供，否则按无效投标处理）</w:t>
            </w:r>
          </w:p>
          <w:p w14:paraId="576D3C3B">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6、投标人参加政府采购活动前三年内在经营活动中没有重大违法记录的书面声明原件；</w:t>
            </w:r>
            <w:r>
              <w:rPr>
                <w:rFonts w:hint="eastAsia" w:ascii="宋体" w:hAnsi="宋体" w:eastAsia="宋体" w:cs="宋体"/>
                <w:b/>
                <w:color w:val="auto"/>
                <w:szCs w:val="21"/>
                <w:highlight w:val="none"/>
              </w:rPr>
              <w:t>（必须提供，否则按无效投标处理）</w:t>
            </w:r>
          </w:p>
          <w:p w14:paraId="1A66A0BB">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7、投标人直接控股、管理关系信息表（格式后附）；</w:t>
            </w:r>
            <w:r>
              <w:rPr>
                <w:rFonts w:hint="eastAsia" w:ascii="宋体" w:hAnsi="宋体" w:eastAsia="宋体" w:cs="宋体"/>
                <w:b/>
                <w:color w:val="auto"/>
                <w:szCs w:val="21"/>
                <w:highlight w:val="none"/>
              </w:rPr>
              <w:t>（必须提供，否则按无效投标处理）</w:t>
            </w:r>
          </w:p>
          <w:p w14:paraId="1C13FF78">
            <w:pPr>
              <w:snapToGrid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8、投标声明（格式后附）；</w:t>
            </w:r>
            <w:r>
              <w:rPr>
                <w:rFonts w:hint="eastAsia" w:ascii="宋体" w:hAnsi="宋体" w:eastAsia="宋体" w:cs="宋体"/>
                <w:b/>
                <w:bCs/>
                <w:color w:val="auto"/>
                <w:szCs w:val="21"/>
                <w:highlight w:val="none"/>
              </w:rPr>
              <w:t>（必须提供，否则按无效投标处理）</w:t>
            </w:r>
          </w:p>
          <w:p w14:paraId="084B3481">
            <w:pPr>
              <w:snapToGrid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中小企业声明函（格式后附）；若是监狱企业，须提供由省级以上监狱管理局、戒毒管理局(含新疆生产建设兵团)出具的属于监狱企业的证明文件）；若是残疾人福利性单位参加，须提供该通知规定的《残疾人福利性单位声明函》（格式后附）；</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其中B标段</w:t>
            </w:r>
            <w:r>
              <w:rPr>
                <w:rFonts w:hint="eastAsia" w:ascii="宋体" w:hAnsi="宋体" w:eastAsia="宋体" w:cs="宋体"/>
                <w:b/>
                <w:bCs/>
                <w:color w:val="auto"/>
                <w:szCs w:val="21"/>
                <w:highlight w:val="none"/>
              </w:rPr>
              <w:t>必须提供，否则按无效投标处理）</w:t>
            </w:r>
          </w:p>
          <w:p w14:paraId="58B6ACA1">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、联合体协议书（格式后附）；</w:t>
            </w:r>
            <w:r>
              <w:rPr>
                <w:rFonts w:hint="eastAsia" w:ascii="宋体" w:hAnsi="宋体" w:eastAsia="宋体" w:cs="宋体"/>
                <w:b/>
                <w:color w:val="auto"/>
                <w:szCs w:val="21"/>
                <w:highlight w:val="none"/>
              </w:rPr>
              <w:t>（联合体投标时必须提供，否则按无效投标处理）</w:t>
            </w:r>
          </w:p>
          <w:p w14:paraId="1A256C56">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、招标文件要求的其他资格证明文件；</w:t>
            </w:r>
            <w:r>
              <w:rPr>
                <w:rFonts w:hint="eastAsia" w:ascii="宋体" w:hAnsi="宋体" w:eastAsia="宋体" w:cs="宋体"/>
                <w:b/>
                <w:color w:val="auto"/>
                <w:szCs w:val="21"/>
                <w:highlight w:val="none"/>
              </w:rPr>
              <w:t>（如有要求，必须提供，否则按无效投标处理）</w:t>
            </w:r>
          </w:p>
          <w:p w14:paraId="5EB5FC62">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、除招标文件规定必须提供以外，投标人认为需要提供的其他证明材料。</w:t>
            </w:r>
          </w:p>
          <w:p w14:paraId="41501CD0">
            <w:pPr>
              <w:snapToGrid w:val="0"/>
              <w:spacing w:line="400" w:lineRule="exact"/>
              <w:ind w:firstLine="422" w:firstLineChars="200"/>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注：</w:t>
            </w:r>
          </w:p>
          <w:p w14:paraId="119C8242">
            <w:pPr>
              <w:snapToGrid w:val="0"/>
              <w:spacing w:line="40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bCs/>
                <w:color w:val="auto"/>
                <w:szCs w:val="21"/>
                <w:highlight w:val="none"/>
              </w:rPr>
              <w:t>1、以上标明“必须提供”的材料属于复印件的，必须加盖投标人公章，否则按无效投标</w:t>
            </w:r>
            <w:r>
              <w:rPr>
                <w:rFonts w:hint="eastAsia" w:ascii="宋体" w:hAnsi="宋体" w:eastAsia="宋体" w:cs="宋体"/>
                <w:b/>
                <w:color w:val="auto"/>
                <w:szCs w:val="21"/>
                <w:highlight w:val="none"/>
              </w:rPr>
              <w:t>处理。</w:t>
            </w:r>
          </w:p>
          <w:p w14:paraId="7DB058DB">
            <w:pPr>
              <w:snapToGrid w:val="0"/>
              <w:spacing w:line="400" w:lineRule="exact"/>
              <w:ind w:firstLine="422" w:firstLineChars="200"/>
              <w:jc w:val="left"/>
              <w:rPr>
                <w:rFonts w:ascii="宋体" w:hAnsi="宋体" w:eastAsia="宋体" w:cs="宋体"/>
                <w:b/>
                <w:bCs/>
                <w:color w:val="auto"/>
                <w:szCs w:val="21"/>
                <w:highlight w:val="none"/>
              </w:rPr>
            </w:pPr>
            <w:r>
              <w:rPr>
                <w:rFonts w:hint="eastAsia" w:ascii="宋体" w:hAnsi="宋体" w:eastAsia="宋体" w:cs="宋体"/>
                <w:b/>
                <w:color w:val="auto"/>
                <w:szCs w:val="21"/>
                <w:highlight w:val="none"/>
              </w:rPr>
              <w:t>2、</w:t>
            </w:r>
            <w:r>
              <w:rPr>
                <w:rFonts w:hint="eastAsia" w:ascii="宋体" w:hAnsi="宋体" w:eastAsia="宋体" w:cs="宋体"/>
                <w:b/>
                <w:bCs/>
                <w:color w:val="auto"/>
                <w:szCs w:val="21"/>
                <w:highlight w:val="none"/>
              </w:rPr>
              <w:t>投标声明必须由法定代表人在规定签章处签字并加盖投标人公章，否则按无效投标处理。</w:t>
            </w:r>
          </w:p>
          <w:p w14:paraId="556D25D8">
            <w:pPr>
              <w:snapToGrid w:val="0"/>
              <w:spacing w:line="400" w:lineRule="exact"/>
              <w:ind w:firstLine="422" w:firstLineChars="200"/>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3、投标人直接控股、管理关系信息表必须由法定代表人或者委托代理人在规定签章处签字并加盖投标人公章，否则按无效投标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p w14:paraId="027ABF0A">
            <w:pPr>
              <w:snapToGrid w:val="0"/>
              <w:spacing w:line="400" w:lineRule="exact"/>
              <w:ind w:firstLine="422" w:firstLineChars="200"/>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4、分公司参加投标的，应当取得总公司授权，否则按无效投标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300A3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vMerge w:val="continue"/>
            <w:tcBorders>
              <w:left w:val="single" w:color="auto" w:sz="4" w:space="0"/>
              <w:right w:val="single" w:color="auto" w:sz="4" w:space="0"/>
            </w:tcBorders>
            <w:vAlign w:val="center"/>
          </w:tcPr>
          <w:p w14:paraId="0D3E34A3">
            <w:pPr>
              <w:spacing w:line="400" w:lineRule="exact"/>
              <w:rPr>
                <w:rFonts w:ascii="宋体" w:hAnsi="宋体" w:eastAsia="宋体" w:cs="宋体"/>
                <w:color w:val="auto"/>
                <w:szCs w:val="21"/>
                <w:highlight w:val="none"/>
              </w:rPr>
            </w:pPr>
          </w:p>
        </w:tc>
        <w:tc>
          <w:tcPr>
            <w:tcW w:w="8607" w:type="dxa"/>
            <w:tcBorders>
              <w:top w:val="single" w:color="auto" w:sz="4" w:space="0"/>
              <w:left w:val="single" w:color="auto" w:sz="4" w:space="0"/>
              <w:bottom w:val="single" w:color="auto" w:sz="4" w:space="0"/>
              <w:right w:val="single" w:color="auto" w:sz="4" w:space="0"/>
            </w:tcBorders>
            <w:vAlign w:val="center"/>
          </w:tcPr>
          <w:p w14:paraId="18E82BA5">
            <w:pPr>
              <w:snapToGrid w:val="0"/>
              <w:spacing w:line="40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商务文件：</w:t>
            </w:r>
          </w:p>
          <w:p w14:paraId="691D5C63">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1、无串通投标行为的承诺函（格式后附）；（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6499F723">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2、法定代表人身份证明及法定代表人有效身份证正反面复印件（格式后附）；（</w:t>
            </w:r>
            <w:r>
              <w:rPr>
                <w:rFonts w:hint="eastAsia" w:ascii="宋体" w:hAnsi="宋体" w:eastAsia="宋体" w:cs="宋体"/>
                <w:b/>
                <w:bCs/>
                <w:color w:val="auto"/>
                <w:szCs w:val="21"/>
                <w:highlight w:val="none"/>
              </w:rPr>
              <w:t>除自然人投标外</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31621CFE">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3、授权委托书及委托代理人有效身份证正反面复印件（格式后附）；（</w:t>
            </w:r>
            <w:r>
              <w:rPr>
                <w:rFonts w:hint="eastAsia" w:ascii="宋体" w:hAnsi="宋体" w:eastAsia="宋体" w:cs="宋体"/>
                <w:b/>
                <w:color w:val="auto"/>
                <w:szCs w:val="21"/>
                <w:highlight w:val="none"/>
              </w:rPr>
              <w:t>委托时必须提供，否则按无效投标处理</w:t>
            </w:r>
            <w:r>
              <w:rPr>
                <w:rFonts w:hint="eastAsia" w:ascii="宋体" w:hAnsi="宋体" w:eastAsia="宋体" w:cs="宋体"/>
                <w:color w:val="auto"/>
                <w:szCs w:val="21"/>
                <w:highlight w:val="none"/>
              </w:rPr>
              <w:t>）</w:t>
            </w:r>
          </w:p>
          <w:p w14:paraId="03CDC7F7">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4、商务要求偏离表（格式后附）；（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6ED58402">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5、售后服务承诺（格式自拟）；（</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776A882D">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6、投标人情况介绍（格式自拟）；</w:t>
            </w:r>
          </w:p>
          <w:p w14:paraId="130348AD">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7、投标人类似成功案例的业绩证明［以中标（成交）通知书或合同复印件为准］；（格式见附件）</w:t>
            </w:r>
          </w:p>
          <w:p w14:paraId="46C0D363">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8、除招标文件规定必须提供以外，投标人认为需要提供的其他证明材料（格式自拟）。（投标人根据“第二章 采购需求”及“第四章 评标方法及评标标准”提供有关证明材料）。</w:t>
            </w:r>
          </w:p>
          <w:p w14:paraId="51B83065">
            <w:pPr>
              <w:snapToGrid w:val="0"/>
              <w:spacing w:line="400" w:lineRule="exact"/>
              <w:ind w:firstLine="422" w:firstLineChars="200"/>
              <w:jc w:val="left"/>
              <w:rPr>
                <w:rFonts w:ascii="宋体" w:hAnsi="宋体" w:eastAsia="宋体" w:cs="宋体"/>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7E2FD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vMerge w:val="continue"/>
            <w:tcBorders>
              <w:left w:val="single" w:color="auto" w:sz="4" w:space="0"/>
              <w:bottom w:val="single" w:color="auto" w:sz="4" w:space="0"/>
              <w:right w:val="single" w:color="auto" w:sz="4" w:space="0"/>
            </w:tcBorders>
            <w:vAlign w:val="center"/>
          </w:tcPr>
          <w:p w14:paraId="64AF3DFC">
            <w:pPr>
              <w:spacing w:line="400" w:lineRule="exact"/>
              <w:rPr>
                <w:rFonts w:ascii="宋体" w:hAnsi="宋体" w:eastAsia="宋体" w:cs="宋体"/>
                <w:color w:val="auto"/>
                <w:szCs w:val="21"/>
                <w:highlight w:val="none"/>
              </w:rPr>
            </w:pPr>
          </w:p>
        </w:tc>
        <w:tc>
          <w:tcPr>
            <w:tcW w:w="8607" w:type="dxa"/>
            <w:tcBorders>
              <w:top w:val="single" w:color="auto" w:sz="4" w:space="0"/>
              <w:left w:val="single" w:color="auto" w:sz="4" w:space="0"/>
              <w:bottom w:val="single" w:color="auto" w:sz="4" w:space="0"/>
              <w:right w:val="single" w:color="auto" w:sz="4" w:space="0"/>
            </w:tcBorders>
            <w:vAlign w:val="center"/>
          </w:tcPr>
          <w:p w14:paraId="1794EF4D">
            <w:pPr>
              <w:snapToGrid w:val="0"/>
              <w:spacing w:line="400" w:lineRule="exact"/>
              <w:jc w:val="left"/>
              <w:rPr>
                <w:rFonts w:ascii="宋体" w:hAnsi="宋体" w:eastAsia="宋体" w:cs="宋体"/>
                <w:b/>
                <w:i/>
                <w:color w:val="auto"/>
                <w:szCs w:val="21"/>
                <w:highlight w:val="none"/>
              </w:rPr>
            </w:pPr>
            <w:r>
              <w:rPr>
                <w:rFonts w:hint="eastAsia" w:ascii="宋体" w:hAnsi="宋体" w:eastAsia="宋体" w:cs="宋体"/>
                <w:b/>
                <w:color w:val="auto"/>
                <w:szCs w:val="21"/>
                <w:highlight w:val="none"/>
              </w:rPr>
              <w:t>技术文件：</w:t>
            </w:r>
          </w:p>
          <w:p w14:paraId="60BC5BC3">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1、设备性能配置清单格式（格式后附）；</w:t>
            </w:r>
            <w:r>
              <w:rPr>
                <w:rFonts w:hint="eastAsia" w:ascii="宋体" w:hAnsi="宋体" w:eastAsia="宋体" w:cs="宋体"/>
                <w:b/>
                <w:bCs/>
                <w:color w:val="auto"/>
                <w:szCs w:val="21"/>
                <w:highlight w:val="none"/>
              </w:rPr>
              <w:t>（必须提供，否则按无效投标处理）</w:t>
            </w:r>
          </w:p>
          <w:p w14:paraId="0E713561">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2、技术要求偏离表（格式后附）；</w:t>
            </w:r>
            <w:r>
              <w:rPr>
                <w:rFonts w:hint="eastAsia" w:ascii="宋体" w:hAnsi="宋体" w:eastAsia="宋体" w:cs="宋体"/>
                <w:b/>
                <w:bCs/>
                <w:color w:val="auto"/>
                <w:szCs w:val="21"/>
                <w:highlight w:val="none"/>
              </w:rPr>
              <w:t>（必须提供，否则按无效投标处理）</w:t>
            </w:r>
          </w:p>
          <w:p w14:paraId="7B5CBFDC">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3、项目技术方案（格式自拟）【根据项目需求，结合评标办法评审内容进行编制】；（如有请提供）</w:t>
            </w:r>
          </w:p>
          <w:p w14:paraId="055FD496">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4、项目实施人员一览表（格式后附）；（如有请提供）</w:t>
            </w:r>
          </w:p>
          <w:p w14:paraId="24F71FB6">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5、投标人对本项目的合理化建议和改进措施（格式自拟）；</w:t>
            </w:r>
          </w:p>
          <w:p w14:paraId="7F2E9AAE">
            <w:pPr>
              <w:snapToGrid w:val="0"/>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6、除招标文件规定必须提供以外，投标人需要说明的其他文件和说明（格式自拟）。</w:t>
            </w:r>
          </w:p>
          <w:p w14:paraId="083A7BFA">
            <w:pPr>
              <w:snapToGrid w:val="0"/>
              <w:spacing w:line="400" w:lineRule="exact"/>
              <w:ind w:firstLine="316" w:firstLineChars="150"/>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01428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72B69607">
            <w:pPr>
              <w:spacing w:line="400" w:lineRule="exact"/>
              <w:jc w:val="center"/>
              <w:rPr>
                <w:rFonts w:ascii="宋体" w:hAnsi="宋体" w:eastAsia="宋体" w:cs="宋体"/>
                <w:color w:val="auto"/>
                <w:szCs w:val="21"/>
                <w:highlight w:val="none"/>
              </w:rPr>
            </w:pPr>
            <w:bookmarkStart w:id="49" w:name="_13.5"/>
            <w:bookmarkEnd w:id="49"/>
            <w:r>
              <w:rPr>
                <w:rFonts w:hint="eastAsia" w:ascii="宋体" w:hAnsi="宋体" w:eastAsia="宋体" w:cs="宋体"/>
                <w:color w:val="auto"/>
                <w:szCs w:val="21"/>
                <w:highlight w:val="none"/>
              </w:rPr>
              <w:t>16</w:t>
            </w:r>
            <w:bookmarkStart w:id="50" w:name="_Hlt19194066"/>
            <w:bookmarkStart w:id="51" w:name="_Hlt19194067"/>
            <w:bookmarkStart w:id="52" w:name="_Hlt19693758"/>
            <w:bookmarkStart w:id="53" w:name="_Hlt19693759"/>
            <w:r>
              <w:rPr>
                <w:rFonts w:hint="eastAsia" w:ascii="宋体" w:hAnsi="宋体" w:eastAsia="宋体" w:cs="宋体"/>
                <w:color w:val="auto"/>
                <w:szCs w:val="21"/>
                <w:highlight w:val="none"/>
              </w:rPr>
              <w:t>.</w:t>
            </w:r>
            <w:bookmarkEnd w:id="50"/>
            <w:bookmarkEnd w:id="51"/>
            <w:bookmarkEnd w:id="52"/>
            <w:bookmarkEnd w:id="53"/>
            <w:r>
              <w:rPr>
                <w:rFonts w:hint="eastAsia" w:ascii="宋体" w:hAnsi="宋体" w:eastAsia="宋体" w:cs="宋体"/>
                <w:color w:val="auto"/>
                <w:szCs w:val="21"/>
                <w:highlight w:val="none"/>
              </w:rPr>
              <w:t>2</w:t>
            </w:r>
          </w:p>
        </w:tc>
        <w:tc>
          <w:tcPr>
            <w:tcW w:w="8607" w:type="dxa"/>
            <w:tcBorders>
              <w:top w:val="single" w:color="auto" w:sz="4" w:space="0"/>
              <w:left w:val="single" w:color="auto" w:sz="4" w:space="0"/>
              <w:bottom w:val="single" w:color="auto" w:sz="4" w:space="0"/>
              <w:right w:val="single" w:color="auto" w:sz="4" w:space="0"/>
            </w:tcBorders>
            <w:vAlign w:val="center"/>
          </w:tcPr>
          <w:p w14:paraId="784A4603">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投标报价要求：</w:t>
            </w:r>
          </w:p>
          <w:p w14:paraId="166FDA26">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投标报价是履行合同的最终价格，必须包含：</w:t>
            </w:r>
          </w:p>
          <w:p w14:paraId="004CE47C">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（1）货物的价格；</w:t>
            </w:r>
          </w:p>
          <w:p w14:paraId="02A272AE">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（2）必要的保险费用和各项税金；</w:t>
            </w:r>
          </w:p>
          <w:p w14:paraId="5D354DC9">
            <w:pPr>
              <w:snapToGrid w:val="0"/>
              <w:spacing w:line="360" w:lineRule="auto"/>
              <w:rPr>
                <w:rFonts w:ascii="宋体" w:hAnsi="宋体" w:eastAsia="宋体" w:cs="宋体"/>
                <w:b/>
                <w:color w:val="auto"/>
                <w:szCs w:val="21"/>
                <w:highlight w:val="none"/>
              </w:rPr>
            </w:pPr>
            <w:r>
              <w:rPr>
                <w:rFonts w:hint="eastAsia" w:ascii="宋体" w:hAnsi="宋体" w:eastAsia="宋体" w:cs="宋体"/>
                <w:color w:val="auto"/>
                <w:szCs w:val="21"/>
                <w:highlight w:val="none"/>
              </w:rPr>
              <w:t>（3）其他：</w:t>
            </w:r>
            <w:r>
              <w:rPr>
                <w:rFonts w:hint="eastAsia" w:ascii="宋体" w:hAnsi="宋体" w:eastAsia="宋体" w:cs="宋体"/>
                <w:color w:val="auto"/>
                <w:szCs w:val="21"/>
                <w:highlight w:val="none"/>
                <w:u w:val="single"/>
              </w:rPr>
              <w:t>货物的标准附件、备品备件、专用工具的价格；运输、装卸、安装、调试、培训、技术支持、售后服务、验收等费用。</w:t>
            </w:r>
          </w:p>
        </w:tc>
      </w:tr>
      <w:tr w14:paraId="3A330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6739ADBD">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17.2</w:t>
            </w:r>
          </w:p>
        </w:tc>
        <w:tc>
          <w:tcPr>
            <w:tcW w:w="8607" w:type="dxa"/>
            <w:tcBorders>
              <w:top w:val="single" w:color="auto" w:sz="4" w:space="0"/>
              <w:left w:val="single" w:color="auto" w:sz="4" w:space="0"/>
              <w:bottom w:val="single" w:color="auto" w:sz="4" w:space="0"/>
              <w:right w:val="single" w:color="auto" w:sz="4" w:space="0"/>
            </w:tcBorders>
            <w:vAlign w:val="center"/>
          </w:tcPr>
          <w:p w14:paraId="0B86527A">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投标有效期：投标截止之日起60天内。</w:t>
            </w:r>
          </w:p>
        </w:tc>
      </w:tr>
      <w:tr w14:paraId="700E44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7E5553C4">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18.1</w:t>
            </w:r>
          </w:p>
        </w:tc>
        <w:tc>
          <w:tcPr>
            <w:tcW w:w="8607" w:type="dxa"/>
            <w:tcBorders>
              <w:top w:val="single" w:color="auto" w:sz="4" w:space="0"/>
              <w:left w:val="single" w:color="auto" w:sz="4" w:space="0"/>
              <w:bottom w:val="single" w:color="auto" w:sz="4" w:space="0"/>
              <w:right w:val="single" w:color="auto" w:sz="4" w:space="0"/>
            </w:tcBorders>
            <w:vAlign w:val="center"/>
          </w:tcPr>
          <w:p w14:paraId="72530C15">
            <w:pPr>
              <w:autoSpaceDE w:val="0"/>
              <w:autoSpaceDN w:val="0"/>
              <w:snapToGrid w:val="0"/>
              <w:spacing w:line="400" w:lineRule="exact"/>
              <w:textAlignment w:val="bottom"/>
              <w:rPr>
                <w:rFonts w:ascii="宋体" w:hAnsi="宋体" w:eastAsia="宋体" w:cs="宋体"/>
                <w:b/>
                <w:color w:val="auto"/>
                <w:szCs w:val="21"/>
                <w:highlight w:val="none"/>
              </w:rPr>
            </w:pPr>
            <w:r>
              <w:rPr>
                <w:rFonts w:hint="eastAsia" w:ascii="宋体" w:hAnsi="宋体" w:eastAsia="宋体" w:cs="宋体"/>
                <w:color w:val="auto"/>
                <w:szCs w:val="21"/>
                <w:highlight w:val="none"/>
              </w:rPr>
              <w:t>本项目不收取投标保证金。</w:t>
            </w:r>
          </w:p>
        </w:tc>
      </w:tr>
      <w:tr w14:paraId="5E680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17988796">
            <w:pPr>
              <w:spacing w:line="400" w:lineRule="exact"/>
              <w:jc w:val="center"/>
              <w:rPr>
                <w:rFonts w:ascii="宋体" w:hAnsi="宋体" w:eastAsia="宋体" w:cs="宋体"/>
                <w:color w:val="auto"/>
                <w:szCs w:val="21"/>
                <w:highlight w:val="none"/>
              </w:rPr>
            </w:pPr>
            <w:bookmarkStart w:id="54" w:name="_19.2"/>
            <w:bookmarkEnd w:id="54"/>
            <w:r>
              <w:rPr>
                <w:rFonts w:hint="eastAsia" w:ascii="宋体" w:hAnsi="宋体" w:eastAsia="宋体" w:cs="宋体"/>
                <w:color w:val="auto"/>
                <w:szCs w:val="21"/>
                <w:highlight w:val="none"/>
              </w:rPr>
              <w:t>19.2</w:t>
            </w:r>
          </w:p>
        </w:tc>
        <w:tc>
          <w:tcPr>
            <w:tcW w:w="8607" w:type="dxa"/>
            <w:tcBorders>
              <w:top w:val="single" w:color="auto" w:sz="4" w:space="0"/>
              <w:left w:val="single" w:color="auto" w:sz="4" w:space="0"/>
              <w:bottom w:val="single" w:color="auto" w:sz="4" w:space="0"/>
              <w:right w:val="single" w:color="auto" w:sz="4" w:space="0"/>
            </w:tcBorders>
            <w:vAlign w:val="center"/>
          </w:tcPr>
          <w:p w14:paraId="6A0A26A9">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投标文件应按报价文件、资格证明文件、商务文件、技术文件分别编制，</w:t>
            </w:r>
            <w:r>
              <w:rPr>
                <w:rFonts w:hint="eastAsia" w:ascii="宋体" w:hAnsi="宋体" w:eastAsia="宋体" w:cs="宋体"/>
                <w:color w:val="auto"/>
                <w:szCs w:val="21"/>
                <w:highlight w:val="none"/>
                <w:lang w:bidi="ar"/>
              </w:rPr>
              <w:t>并按广西政府采购云平台的要求编制、加密、上传。</w:t>
            </w:r>
          </w:p>
        </w:tc>
      </w:tr>
      <w:tr w14:paraId="09077E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61B47C37">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607" w:type="dxa"/>
            <w:tcBorders>
              <w:top w:val="single" w:color="auto" w:sz="4" w:space="0"/>
              <w:left w:val="single" w:color="auto" w:sz="4" w:space="0"/>
              <w:bottom w:val="single" w:color="auto" w:sz="4" w:space="0"/>
              <w:right w:val="single" w:color="auto" w:sz="4" w:space="0"/>
            </w:tcBorders>
            <w:vAlign w:val="center"/>
          </w:tcPr>
          <w:p w14:paraId="1E21CA82">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电子投标文件应在制作完成后，投标人应按广西政府采购云平台的要求进行加密，并在规定时间内解密，否则，由此产生的后果由投标人自行负责。</w:t>
            </w:r>
          </w:p>
        </w:tc>
      </w:tr>
      <w:tr w14:paraId="418A1A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48539D3F">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8607" w:type="dxa"/>
            <w:tcBorders>
              <w:top w:val="single" w:color="auto" w:sz="4" w:space="0"/>
              <w:left w:val="single" w:color="auto" w:sz="4" w:space="0"/>
              <w:bottom w:val="single" w:color="auto" w:sz="4" w:space="0"/>
              <w:right w:val="single" w:color="auto" w:sz="4" w:space="0"/>
            </w:tcBorders>
            <w:vAlign w:val="center"/>
          </w:tcPr>
          <w:p w14:paraId="14956059">
            <w:pPr>
              <w:snapToGrid w:val="0"/>
              <w:spacing w:line="400" w:lineRule="exact"/>
              <w:rPr>
                <w:rFonts w:ascii="宋体" w:hAnsi="宋体" w:eastAsia="宋体" w:cs="宋体"/>
                <w:color w:val="auto"/>
                <w:szCs w:val="21"/>
                <w:highlight w:val="none"/>
                <w:u w:val="single"/>
              </w:rPr>
            </w:pPr>
            <w:r>
              <w:rPr>
                <w:rFonts w:hint="eastAsia" w:ascii="宋体" w:hAnsi="宋体" w:eastAsia="宋体" w:cs="宋体"/>
                <w:color w:val="auto"/>
                <w:szCs w:val="21"/>
                <w:highlight w:val="none"/>
              </w:rPr>
              <w:t>1、投标截止时间：详见招标公告</w:t>
            </w:r>
          </w:p>
          <w:p w14:paraId="209978B3">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2、投标地点：详见招标公告</w:t>
            </w:r>
          </w:p>
        </w:tc>
      </w:tr>
      <w:tr w14:paraId="078E84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17C2BD99">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8607" w:type="dxa"/>
            <w:tcBorders>
              <w:top w:val="single" w:color="auto" w:sz="4" w:space="0"/>
              <w:left w:val="single" w:color="auto" w:sz="4" w:space="0"/>
              <w:bottom w:val="single" w:color="auto" w:sz="4" w:space="0"/>
              <w:right w:val="single" w:color="auto" w:sz="4" w:space="0"/>
            </w:tcBorders>
            <w:vAlign w:val="center"/>
          </w:tcPr>
          <w:p w14:paraId="09FF652E">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1、开标时间：详见招标公告</w:t>
            </w:r>
          </w:p>
          <w:p w14:paraId="5DB0A385">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2、开标地点：详见招标公告</w:t>
            </w:r>
          </w:p>
        </w:tc>
      </w:tr>
      <w:tr w14:paraId="64965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27E6DD30">
            <w:pPr>
              <w:spacing w:line="400" w:lineRule="exact"/>
              <w:jc w:val="center"/>
              <w:rPr>
                <w:rFonts w:ascii="宋体" w:hAnsi="宋体" w:eastAsia="宋体" w:cs="宋体"/>
                <w:color w:val="auto"/>
                <w:szCs w:val="21"/>
                <w:highlight w:val="none"/>
              </w:rPr>
            </w:pPr>
            <w:r>
              <w:rPr>
                <w:rFonts w:hint="eastAsia" w:ascii="宋体" w:hAnsi="宋体" w:eastAsia="宋体" w:cs="宋体"/>
                <w:bCs/>
                <w:color w:val="auto"/>
                <w:szCs w:val="21"/>
                <w:highlight w:val="none"/>
              </w:rPr>
              <w:t>24.2</w:t>
            </w:r>
          </w:p>
        </w:tc>
        <w:tc>
          <w:tcPr>
            <w:tcW w:w="8607" w:type="dxa"/>
            <w:tcBorders>
              <w:top w:val="single" w:color="auto" w:sz="4" w:space="0"/>
              <w:left w:val="single" w:color="auto" w:sz="4" w:space="0"/>
              <w:bottom w:val="single" w:color="auto" w:sz="4" w:space="0"/>
              <w:right w:val="single" w:color="auto" w:sz="4" w:space="0"/>
            </w:tcBorders>
            <w:vAlign w:val="center"/>
          </w:tcPr>
          <w:p w14:paraId="5C0E7AA1">
            <w:pPr>
              <w:snapToGrid w:val="0"/>
              <w:spacing w:line="400" w:lineRule="exact"/>
              <w:rPr>
                <w:rFonts w:ascii="宋体" w:hAnsi="宋体" w:eastAsia="宋体" w:cs="宋体"/>
                <w:color w:val="auto"/>
                <w:szCs w:val="21"/>
                <w:highlight w:val="none"/>
              </w:rPr>
            </w:pPr>
            <w:r>
              <w:rPr>
                <w:rFonts w:hint="eastAsia" w:ascii="宋体" w:hAnsi="宋体" w:eastAsia="宋体" w:cs="宋体"/>
                <w:bCs/>
                <w:color w:val="auto"/>
                <w:szCs w:val="21"/>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eastAsia="宋体" w:cs="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eastAsia="宋体" w:cs="宋体"/>
                <w:b/>
                <w:color w:val="auto"/>
                <w:szCs w:val="21"/>
                <w:highlight w:val="none"/>
              </w:rPr>
              <w:t>并在发起解密</w:t>
            </w:r>
            <w:r>
              <w:rPr>
                <w:rFonts w:hint="eastAsia" w:ascii="宋体" w:hAnsi="宋体" w:eastAsia="宋体" w:cs="宋体"/>
                <w:b/>
                <w:bCs/>
                <w:color w:val="auto"/>
                <w:szCs w:val="21"/>
                <w:highlight w:val="none"/>
              </w:rPr>
              <w:t>通知</w:t>
            </w:r>
            <w:r>
              <w:rPr>
                <w:rFonts w:hint="eastAsia" w:ascii="宋体" w:hAnsi="宋体" w:eastAsia="宋体" w:cs="宋体"/>
                <w:b/>
                <w:color w:val="auto"/>
                <w:szCs w:val="21"/>
                <w:highlight w:val="none"/>
              </w:rPr>
              <w:t>之时起30分钟内完成</w:t>
            </w:r>
            <w:r>
              <w:rPr>
                <w:rFonts w:hint="eastAsia" w:ascii="宋体" w:hAnsi="宋体" w:eastAsia="宋体" w:cs="宋体"/>
                <w:b/>
                <w:bCs/>
                <w:color w:val="auto"/>
                <w:szCs w:val="21"/>
                <w:highlight w:val="none"/>
              </w:rPr>
              <w:t>对电子投标文件解密。投标文件未按时解密的，视为无效投标。</w:t>
            </w:r>
          </w:p>
        </w:tc>
      </w:tr>
      <w:tr w14:paraId="7503CA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7859D55D">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25.3（3）</w:t>
            </w:r>
          </w:p>
        </w:tc>
        <w:tc>
          <w:tcPr>
            <w:tcW w:w="8607" w:type="dxa"/>
            <w:tcBorders>
              <w:top w:val="single" w:color="auto" w:sz="4" w:space="0"/>
              <w:left w:val="single" w:color="auto" w:sz="4" w:space="0"/>
              <w:bottom w:val="single" w:color="auto" w:sz="4" w:space="0"/>
              <w:right w:val="single" w:color="auto" w:sz="4" w:space="0"/>
            </w:tcBorders>
            <w:vAlign w:val="center"/>
          </w:tcPr>
          <w:p w14:paraId="6A6E248E">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采购人或者采购代理机构在资格审查结束前，对投标人进行信用查询。</w:t>
            </w:r>
          </w:p>
          <w:p w14:paraId="3B320C61">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47"/>
                <w:rFonts w:hint="eastAsia" w:ascii="宋体" w:hAnsi="宋体" w:eastAsia="宋体" w:cs="宋体"/>
                <w:color w:val="auto"/>
                <w:szCs w:val="21"/>
                <w:highlight w:val="none"/>
              </w:rPr>
              <w:t>www.ccgp.gov.cn</w:t>
            </w:r>
            <w:r>
              <w:rPr>
                <w:rStyle w:val="47"/>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14:paraId="5D2D11E1">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信用查询截止时点：资格审查结束前。</w:t>
            </w:r>
          </w:p>
          <w:p w14:paraId="0A93E123">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查询记录和证据留存方式：将查询网站中的查询记录截图并作为评审资料保存。</w:t>
            </w:r>
          </w:p>
          <w:p w14:paraId="783F614F">
            <w:pPr>
              <w:snapToGrid w:val="0"/>
              <w:spacing w:line="400" w:lineRule="exact"/>
              <w:rPr>
                <w:rFonts w:ascii="宋体" w:hAnsi="宋体" w:eastAsia="宋体" w:cs="宋体"/>
                <w:b/>
                <w:color w:val="auto"/>
                <w:szCs w:val="21"/>
                <w:highlight w:val="none"/>
              </w:rPr>
            </w:pPr>
            <w:r>
              <w:rPr>
                <w:rFonts w:hint="eastAsia" w:ascii="宋体" w:hAnsi="宋体" w:eastAsia="宋体" w:cs="宋体"/>
                <w:color w:val="auto"/>
                <w:szCs w:val="21"/>
                <w:highlight w:val="none"/>
              </w:rPr>
              <w:t>信用信息使用规则：根据财政部《关于在政府采购活动中查询及使用信用记录有关问题的通知》（财库〔2016〕125号）的规定，</w:t>
            </w:r>
            <w:r>
              <w:rPr>
                <w:rFonts w:hint="eastAsia" w:ascii="宋体" w:hAnsi="宋体" w:eastAsia="宋体" w:cs="宋体"/>
                <w:color w:val="auto"/>
                <w:szCs w:val="21"/>
                <w:highlight w:val="none"/>
                <w:lang w:bidi="ar"/>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43F159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1E17E3F9">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26</w:t>
            </w:r>
          </w:p>
        </w:tc>
        <w:tc>
          <w:tcPr>
            <w:tcW w:w="8607" w:type="dxa"/>
            <w:tcBorders>
              <w:top w:val="single" w:color="auto" w:sz="4" w:space="0"/>
              <w:left w:val="single" w:color="auto" w:sz="4" w:space="0"/>
              <w:bottom w:val="single" w:color="auto" w:sz="4" w:space="0"/>
              <w:right w:val="single" w:color="auto" w:sz="4" w:space="0"/>
            </w:tcBorders>
            <w:vAlign w:val="center"/>
          </w:tcPr>
          <w:p w14:paraId="1F9F7C4F">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评标委员会的人数：</w:t>
            </w:r>
            <w:r>
              <w:rPr>
                <w:rFonts w:hint="eastAsia" w:ascii="宋体" w:hAnsi="宋体" w:eastAsia="宋体" w:cs="宋体"/>
                <w:color w:val="auto"/>
                <w:szCs w:val="21"/>
                <w:highlight w:val="none"/>
                <w:lang w:bidi="ar"/>
              </w:rPr>
              <w:t>5人。</w:t>
            </w:r>
          </w:p>
        </w:tc>
      </w:tr>
      <w:tr w14:paraId="73F882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73AB4847">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8607" w:type="dxa"/>
            <w:tcBorders>
              <w:top w:val="single" w:color="auto" w:sz="4" w:space="0"/>
              <w:left w:val="single" w:color="auto" w:sz="4" w:space="0"/>
              <w:bottom w:val="single" w:color="auto" w:sz="4" w:space="0"/>
              <w:right w:val="single" w:color="auto" w:sz="4" w:space="0"/>
            </w:tcBorders>
            <w:vAlign w:val="center"/>
          </w:tcPr>
          <w:p w14:paraId="6797EECE">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评标方法：综合评分法</w:t>
            </w:r>
          </w:p>
        </w:tc>
      </w:tr>
      <w:tr w14:paraId="57D69B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96" w:type="dxa"/>
            <w:vMerge w:val="restart"/>
            <w:tcBorders>
              <w:top w:val="single" w:color="auto" w:sz="4" w:space="0"/>
              <w:left w:val="single" w:color="auto" w:sz="4" w:space="0"/>
              <w:right w:val="single" w:color="auto" w:sz="4" w:space="0"/>
            </w:tcBorders>
            <w:vAlign w:val="center"/>
          </w:tcPr>
          <w:p w14:paraId="4D19429C">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29.2</w:t>
            </w:r>
          </w:p>
        </w:tc>
        <w:tc>
          <w:tcPr>
            <w:tcW w:w="8607" w:type="dxa"/>
            <w:tcBorders>
              <w:top w:val="single" w:color="auto" w:sz="4" w:space="0"/>
              <w:left w:val="single" w:color="auto" w:sz="4" w:space="0"/>
              <w:right w:val="single" w:color="auto" w:sz="4" w:space="0"/>
            </w:tcBorders>
            <w:vAlign w:val="center"/>
          </w:tcPr>
          <w:p w14:paraId="6F34B494">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各标段商务要求评审中（带“▲”的实质性要求条款除外）允许负偏离的条款数为</w:t>
            </w:r>
            <w:r>
              <w:rPr>
                <w:rFonts w:hint="eastAsia" w:ascii="宋体" w:hAnsi="宋体" w:eastAsia="宋体" w:cs="宋体"/>
                <w:color w:val="auto"/>
                <w:szCs w:val="21"/>
                <w:highlight w:val="none"/>
                <w:u w:val="single"/>
              </w:rPr>
              <w:t xml:space="preserve"> 0 </w:t>
            </w:r>
            <w:r>
              <w:rPr>
                <w:rFonts w:hint="eastAsia" w:ascii="宋体" w:hAnsi="宋体" w:eastAsia="宋体" w:cs="宋体"/>
                <w:color w:val="auto"/>
                <w:szCs w:val="21"/>
                <w:highlight w:val="none"/>
              </w:rPr>
              <w:t>项。</w:t>
            </w:r>
          </w:p>
          <w:p w14:paraId="217E2AA0">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各标段技术要求评审中（带“▲”的实质性要求条款除外）允许负偏离的条款数</w:t>
            </w:r>
            <w:r>
              <w:rPr>
                <w:rFonts w:hint="eastAsia" w:ascii="宋体" w:hAnsi="宋体" w:eastAsia="宋体" w:cs="宋体"/>
                <w:b/>
                <w:bCs/>
                <w:color w:val="auto"/>
                <w:szCs w:val="21"/>
                <w:highlight w:val="none"/>
              </w:rPr>
              <w:t>为</w:t>
            </w:r>
            <w:r>
              <w:rPr>
                <w:rFonts w:hint="eastAsia" w:ascii="宋体" w:hAnsi="宋体" w:eastAsia="宋体" w:cs="宋体"/>
                <w:b/>
                <w:bCs/>
                <w:color w:val="auto"/>
                <w:szCs w:val="21"/>
                <w:highlight w:val="none"/>
                <w:u w:val="single"/>
              </w:rPr>
              <w:t xml:space="preserve"> 3  </w:t>
            </w:r>
            <w:r>
              <w:rPr>
                <w:rFonts w:hint="eastAsia" w:ascii="宋体" w:hAnsi="宋体" w:eastAsia="宋体" w:cs="宋体"/>
                <w:b/>
                <w:bCs/>
                <w:color w:val="auto"/>
                <w:szCs w:val="21"/>
                <w:highlight w:val="none"/>
              </w:rPr>
              <w:t>项。</w:t>
            </w:r>
          </w:p>
        </w:tc>
      </w:tr>
      <w:tr w14:paraId="6A37A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96" w:type="dxa"/>
            <w:vMerge w:val="continue"/>
            <w:tcBorders>
              <w:left w:val="single" w:color="auto" w:sz="4" w:space="0"/>
              <w:right w:val="single" w:color="auto" w:sz="4" w:space="0"/>
            </w:tcBorders>
            <w:vAlign w:val="center"/>
          </w:tcPr>
          <w:p w14:paraId="1D8A4E7F">
            <w:pPr>
              <w:spacing w:line="400" w:lineRule="exact"/>
              <w:jc w:val="center"/>
              <w:rPr>
                <w:rFonts w:ascii="宋体" w:hAnsi="宋体" w:eastAsia="宋体" w:cs="宋体"/>
                <w:color w:val="auto"/>
                <w:szCs w:val="21"/>
                <w:highlight w:val="none"/>
              </w:rPr>
            </w:pPr>
          </w:p>
        </w:tc>
        <w:tc>
          <w:tcPr>
            <w:tcW w:w="8607" w:type="dxa"/>
            <w:tcBorders>
              <w:top w:val="single" w:color="auto" w:sz="4" w:space="0"/>
              <w:left w:val="single" w:color="auto" w:sz="4" w:space="0"/>
              <w:right w:val="single" w:color="auto" w:sz="4" w:space="0"/>
            </w:tcBorders>
            <w:vAlign w:val="center"/>
          </w:tcPr>
          <w:p w14:paraId="688BEEF0">
            <w:pPr>
              <w:snapToGrid w:val="0"/>
              <w:spacing w:line="400" w:lineRule="exact"/>
              <w:rPr>
                <w:rFonts w:ascii="宋体" w:hAnsi="宋体" w:eastAsia="宋体" w:cs="宋体"/>
                <w:color w:val="auto"/>
                <w:szCs w:val="21"/>
                <w:highlight w:val="none"/>
                <w:u w:val="single"/>
              </w:rPr>
            </w:pPr>
            <w:r>
              <w:rPr>
                <w:rFonts w:hint="eastAsia" w:ascii="宋体" w:hAnsi="宋体" w:eastAsia="宋体" w:cs="宋体"/>
                <w:color w:val="auto"/>
                <w:highlight w:val="none"/>
              </w:rPr>
              <w:t>中标候选人推荐数量：3家</w:t>
            </w:r>
          </w:p>
        </w:tc>
      </w:tr>
      <w:tr w14:paraId="3AC16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3510C4A1">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30.1</w:t>
            </w:r>
          </w:p>
        </w:tc>
        <w:tc>
          <w:tcPr>
            <w:tcW w:w="8607" w:type="dxa"/>
            <w:tcBorders>
              <w:top w:val="single" w:color="auto" w:sz="4" w:space="0"/>
              <w:left w:val="single" w:color="auto" w:sz="4" w:space="0"/>
              <w:bottom w:val="single" w:color="auto" w:sz="4" w:space="0"/>
              <w:right w:val="single" w:color="auto" w:sz="4" w:space="0"/>
            </w:tcBorders>
            <w:vAlign w:val="center"/>
          </w:tcPr>
          <w:p w14:paraId="50402741">
            <w:pPr>
              <w:autoSpaceDE w:val="0"/>
              <w:autoSpaceDN w:val="0"/>
              <w:snapToGrid w:val="0"/>
              <w:spacing w:line="400" w:lineRule="exact"/>
              <w:textAlignment w:val="bottom"/>
              <w:rPr>
                <w:rFonts w:ascii="宋体" w:hAnsi="宋体" w:eastAsia="宋体" w:cs="宋体"/>
                <w:color w:val="auto"/>
                <w:highlight w:val="none"/>
              </w:rPr>
            </w:pPr>
            <w:r>
              <w:rPr>
                <w:rFonts w:hint="eastAsia" w:ascii="宋体" w:hAnsi="宋体" w:eastAsia="宋体" w:cs="宋体"/>
                <w:color w:val="auto"/>
                <w:highlight w:val="none"/>
              </w:rPr>
              <w:t>提供相同品牌产品且 通过资格审查、符合性 审查的不同投标人参 加同一合同项下投标 的中标候选人确定方式：</w:t>
            </w:r>
          </w:p>
          <w:p w14:paraId="43E918F4">
            <w:pPr>
              <w:spacing w:before="174" w:line="360" w:lineRule="auto"/>
              <w:ind w:right="101"/>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pacing w:val="4"/>
                <w:szCs w:val="21"/>
                <w:highlight w:val="none"/>
              </w:rPr>
              <w:t>随机抽取（采用最低评标价法</w:t>
            </w:r>
            <w:r>
              <w:rPr>
                <w:rFonts w:hint="eastAsia" w:ascii="宋体" w:hAnsi="宋体" w:eastAsia="宋体" w:cs="宋体"/>
                <w:color w:val="auto"/>
                <w:spacing w:val="5"/>
                <w:szCs w:val="21"/>
                <w:highlight w:val="none"/>
              </w:rPr>
              <w:t>，</w:t>
            </w:r>
            <w:r>
              <w:rPr>
                <w:rFonts w:hint="eastAsia" w:ascii="宋体" w:hAnsi="宋体" w:eastAsia="宋体" w:cs="宋体"/>
                <w:color w:val="auto"/>
                <w:spacing w:val="4"/>
                <w:szCs w:val="21"/>
                <w:highlight w:val="none"/>
              </w:rPr>
              <w:t>报价相同时</w:t>
            </w:r>
            <w:r>
              <w:rPr>
                <w:rFonts w:hint="eastAsia" w:ascii="宋体" w:hAnsi="宋体" w:eastAsia="宋体" w:cs="宋体"/>
                <w:color w:val="auto"/>
                <w:spacing w:val="5"/>
                <w:szCs w:val="21"/>
                <w:highlight w:val="none"/>
              </w:rPr>
              <w:t>；</w:t>
            </w:r>
            <w:r>
              <w:rPr>
                <w:rFonts w:hint="eastAsia" w:ascii="宋体" w:hAnsi="宋体" w:eastAsia="宋体" w:cs="宋体"/>
                <w:color w:val="auto"/>
                <w:spacing w:val="4"/>
                <w:szCs w:val="21"/>
                <w:highlight w:val="none"/>
              </w:rPr>
              <w:t>采用综合评分</w:t>
            </w:r>
            <w:r>
              <w:rPr>
                <w:rFonts w:hint="eastAsia" w:ascii="宋体" w:hAnsi="宋体" w:eastAsia="宋体" w:cs="宋体"/>
                <w:color w:val="auto"/>
                <w:spacing w:val="3"/>
                <w:szCs w:val="21"/>
                <w:highlight w:val="none"/>
              </w:rPr>
              <w:t>法</w:t>
            </w:r>
            <w:r>
              <w:rPr>
                <w:rFonts w:hint="eastAsia" w:ascii="宋体" w:hAnsi="宋体" w:eastAsia="宋体" w:cs="宋体"/>
                <w:color w:val="auto"/>
                <w:spacing w:val="5"/>
                <w:szCs w:val="21"/>
                <w:highlight w:val="none"/>
              </w:rPr>
              <w:t>，</w:t>
            </w:r>
            <w:r>
              <w:rPr>
                <w:rFonts w:hint="eastAsia" w:ascii="宋体" w:hAnsi="宋体" w:eastAsia="宋体" w:cs="宋体"/>
                <w:color w:val="auto"/>
                <w:spacing w:val="3"/>
                <w:szCs w:val="21"/>
                <w:highlight w:val="none"/>
              </w:rPr>
              <w:t>评审价相</w:t>
            </w:r>
            <w:r>
              <w:rPr>
                <w:rFonts w:hint="eastAsia" w:ascii="宋体" w:hAnsi="宋体" w:eastAsia="宋体" w:cs="宋体"/>
                <w:color w:val="auto"/>
                <w:szCs w:val="21"/>
                <w:highlight w:val="none"/>
              </w:rPr>
              <w:t>同时</w:t>
            </w:r>
            <w:r>
              <w:rPr>
                <w:rFonts w:hint="eastAsia" w:ascii="宋体" w:hAnsi="宋体" w:eastAsia="宋体" w:cs="宋体"/>
                <w:color w:val="auto"/>
                <w:spacing w:val="-29"/>
                <w:szCs w:val="21"/>
                <w:highlight w:val="none"/>
              </w:rPr>
              <w:t>）</w:t>
            </w:r>
          </w:p>
          <w:p w14:paraId="5118433D">
            <w:pPr>
              <w:pStyle w:val="5"/>
              <w:ind w:left="0" w:firstLine="0"/>
              <w:rPr>
                <w:rFonts w:ascii="宋体" w:hAnsi="宋体" w:eastAsia="宋体" w:cs="宋体"/>
                <w:color w:val="auto"/>
                <w:highlight w:val="none"/>
              </w:rPr>
            </w:pPr>
            <w:r>
              <w:rPr>
                <w:rFonts w:hint="eastAsia" w:ascii="宋体" w:hAnsi="宋体" w:eastAsia="宋体" w:cs="宋体"/>
                <w:color w:val="auto"/>
                <w:spacing w:val="-13"/>
                <w:sz w:val="21"/>
                <w:szCs w:val="21"/>
                <w:highlight w:val="none"/>
              </w:rPr>
              <w:t>☑其他</w:t>
            </w:r>
            <w:r>
              <w:rPr>
                <w:rFonts w:hint="eastAsia" w:ascii="宋体" w:hAnsi="宋体" w:eastAsia="宋体" w:cs="宋体"/>
                <w:color w:val="auto"/>
                <w:spacing w:val="-12"/>
                <w:sz w:val="21"/>
                <w:szCs w:val="21"/>
                <w:highlight w:val="none"/>
              </w:rPr>
              <w:t>方式</w:t>
            </w:r>
            <w:r>
              <w:rPr>
                <w:rFonts w:hint="eastAsia" w:ascii="宋体" w:hAnsi="宋体" w:eastAsia="宋体" w:cs="宋体"/>
                <w:color w:val="auto"/>
                <w:spacing w:val="-120"/>
                <w:sz w:val="21"/>
                <w:szCs w:val="21"/>
                <w:highlight w:val="none"/>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评审后得分最高的同品牌投标人获得中标人推荐资格。评审得分相同的，按投标报价由低到高顺序排列，投标报价最低的获得中标人推荐资格</w:t>
            </w:r>
            <w:r>
              <w:rPr>
                <w:rFonts w:hint="eastAsia" w:ascii="宋体" w:hAnsi="宋体" w:eastAsia="宋体" w:cs="宋体"/>
                <w:color w:val="auto"/>
                <w:sz w:val="21"/>
                <w:szCs w:val="21"/>
                <w:highlight w:val="none"/>
              </w:rPr>
              <w:t xml:space="preserve">。   </w:t>
            </w:r>
          </w:p>
        </w:tc>
      </w:tr>
      <w:tr w14:paraId="4B9A8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96" w:type="dxa"/>
            <w:tcBorders>
              <w:top w:val="single" w:color="auto" w:sz="4" w:space="0"/>
              <w:left w:val="single" w:color="auto" w:sz="4" w:space="0"/>
              <w:bottom w:val="single" w:color="auto" w:sz="4" w:space="0"/>
              <w:right w:val="single" w:color="auto" w:sz="4" w:space="0"/>
            </w:tcBorders>
            <w:vAlign w:val="center"/>
          </w:tcPr>
          <w:p w14:paraId="202EE689">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35.1</w:t>
            </w:r>
          </w:p>
        </w:tc>
        <w:tc>
          <w:tcPr>
            <w:tcW w:w="8607" w:type="dxa"/>
            <w:tcBorders>
              <w:top w:val="single" w:color="auto" w:sz="4" w:space="0"/>
              <w:left w:val="single" w:color="auto" w:sz="4" w:space="0"/>
              <w:bottom w:val="single" w:color="auto" w:sz="4" w:space="0"/>
              <w:right w:val="single" w:color="auto" w:sz="4" w:space="0"/>
            </w:tcBorders>
            <w:vAlign w:val="center"/>
          </w:tcPr>
          <w:p w14:paraId="533896B0">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☑本项目不收取履约保证金。</w:t>
            </w:r>
          </w:p>
          <w:p w14:paraId="0084EB92">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□本项目收取履约保证金，具体规定如下：</w:t>
            </w:r>
          </w:p>
          <w:p w14:paraId="53B5AD04">
            <w:pPr>
              <w:pStyle w:val="13"/>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履约保证金金额：按中标金额的</w:t>
            </w:r>
            <w:r>
              <w:rPr>
                <w:rFonts w:hint="eastAsia" w:ascii="宋体" w:hAnsi="宋体" w:eastAsia="宋体" w:cs="宋体"/>
                <w:color w:val="auto"/>
                <w:szCs w:val="21"/>
                <w:highlight w:val="none"/>
                <w:u w:val="single"/>
              </w:rPr>
              <w:t xml:space="preserve">  0  </w:t>
            </w:r>
            <w:r>
              <w:rPr>
                <w:rFonts w:hint="eastAsia" w:ascii="宋体" w:hAnsi="宋体" w:eastAsia="宋体" w:cs="宋体"/>
                <w:color w:val="auto"/>
                <w:szCs w:val="21"/>
                <w:highlight w:val="none"/>
              </w:rPr>
              <w:t>%（注：履约保证金不超过</w:t>
            </w:r>
            <w:r>
              <w:rPr>
                <w:rFonts w:hint="eastAsia" w:ascii="宋体" w:hAnsi="宋体" w:eastAsia="宋体" w:cs="宋体"/>
                <w:color w:val="auto"/>
                <w:highlight w:val="none"/>
              </w:rPr>
              <w:t>政府采购合同金额的</w:t>
            </w:r>
            <w:r>
              <w:rPr>
                <w:rFonts w:hint="eastAsia" w:ascii="宋体" w:hAnsi="宋体" w:eastAsia="宋体" w:cs="宋体"/>
                <w:color w:val="auto"/>
                <w:szCs w:val="21"/>
                <w:highlight w:val="none"/>
              </w:rPr>
              <w:t>5%）。</w:t>
            </w:r>
          </w:p>
          <w:p w14:paraId="5B1802D4">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履约保证金递交方式：银行转账、支票、汇票、本票或者金融、担保机构出具的保函等非现金方式。</w:t>
            </w:r>
          </w:p>
          <w:p w14:paraId="22ABBCF2">
            <w:pPr>
              <w:autoSpaceDE w:val="0"/>
              <w:autoSpaceDN w:val="0"/>
              <w:snapToGrid w:val="0"/>
              <w:spacing w:line="400" w:lineRule="exact"/>
              <w:textAlignment w:val="bottom"/>
              <w:rPr>
                <w:rFonts w:ascii="宋体" w:hAnsi="宋体" w:eastAsia="宋体" w:cs="宋体"/>
                <w:color w:val="auto"/>
                <w:szCs w:val="21"/>
                <w:highlight w:val="none"/>
                <w:u w:val="single"/>
              </w:rPr>
            </w:pPr>
            <w:r>
              <w:rPr>
                <w:rFonts w:hint="eastAsia" w:ascii="宋体" w:hAnsi="宋体" w:eastAsia="宋体" w:cs="宋体"/>
                <w:color w:val="auto"/>
                <w:szCs w:val="21"/>
                <w:highlight w:val="none"/>
              </w:rPr>
              <w:t>履约保证金退付方式、时间及条件：</w:t>
            </w:r>
            <w:r>
              <w:rPr>
                <w:rFonts w:hint="eastAsia" w:ascii="宋体" w:hAnsi="宋体" w:eastAsia="宋体" w:cs="宋体"/>
                <w:b/>
                <w:color w:val="auto"/>
                <w:szCs w:val="21"/>
                <w:highlight w:val="none"/>
                <w:u w:val="single"/>
              </w:rPr>
              <w:t>由中标人向履约保证金收取单位提供《广西壮族自治区政府采购项目合同验收书》（详见桂财采〔2015〕22号），保证金收取单位在收到合格材料后5个工作日内办理退还手续（不计利息）</w:t>
            </w:r>
            <w:r>
              <w:rPr>
                <w:rFonts w:hint="eastAsia" w:ascii="宋体" w:hAnsi="宋体" w:eastAsia="宋体" w:cs="宋体"/>
                <w:color w:val="auto"/>
                <w:szCs w:val="21"/>
                <w:highlight w:val="none"/>
              </w:rPr>
              <w:t>。</w:t>
            </w:r>
          </w:p>
          <w:p w14:paraId="425FE272">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履约保证金指定账户：</w:t>
            </w:r>
          </w:p>
          <w:p w14:paraId="61B55156">
            <w:pPr>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户名：</w:t>
            </w:r>
          </w:p>
          <w:p w14:paraId="39CCAF29">
            <w:pPr>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开户银行：</w:t>
            </w:r>
          </w:p>
          <w:p w14:paraId="0397C0DB">
            <w:pPr>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账号：</w:t>
            </w:r>
          </w:p>
          <w:p w14:paraId="7EE9639C">
            <w:pPr>
              <w:spacing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备注：</w:t>
            </w:r>
          </w:p>
          <w:p w14:paraId="014B04DD">
            <w:pPr>
              <w:spacing w:line="40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1</w:t>
            </w:r>
            <w:bookmarkStart w:id="55" w:name="_Hlk54170335"/>
            <w:r>
              <w:rPr>
                <w:rFonts w:hint="eastAsia" w:ascii="宋体" w:hAnsi="宋体" w:eastAsia="宋体" w:cs="宋体"/>
                <w:b/>
                <w:color w:val="auto"/>
                <w:szCs w:val="21"/>
                <w:highlight w:val="none"/>
              </w:rPr>
              <w:t>、根据《广西壮族自治区财政厅关于进一步发挥政府采购政策功能促进企业发展的通知》（</w:t>
            </w:r>
            <w:bookmarkStart w:id="56" w:name="fileno"/>
            <w:r>
              <w:rPr>
                <w:rFonts w:hint="eastAsia" w:ascii="宋体" w:hAnsi="宋体" w:eastAsia="宋体" w:cs="宋体"/>
                <w:b/>
                <w:color w:val="auto"/>
                <w:szCs w:val="21"/>
                <w:highlight w:val="none"/>
              </w:rPr>
              <w:t>桂财采〔2022〕30号</w:t>
            </w:r>
            <w:bookmarkEnd w:id="56"/>
            <w:r>
              <w:rPr>
                <w:rFonts w:hint="eastAsia" w:ascii="宋体" w:hAnsi="宋体" w:eastAsia="宋体" w:cs="宋体"/>
                <w:b/>
                <w:color w:val="auto"/>
                <w:szCs w:val="21"/>
                <w:highlight w:val="none"/>
              </w:rPr>
              <w:t>）规定，采购文件要求中标或者成交供应商提交履约保证金的，履约保证金数额不得超过政府采购合同金额的5%，对中小企业收取的履约保证金数额不得超过政府采购合同金额的2%。采购人可根据供应商的资信等情况减免履约保证金。</w:t>
            </w:r>
            <w:bookmarkEnd w:id="55"/>
          </w:p>
          <w:p w14:paraId="49500987">
            <w:pPr>
              <w:spacing w:line="40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5D14C52E">
            <w:pPr>
              <w:spacing w:line="40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3、采用金融、担保机构出具的保函的，必须为无条件保函，否则不予签订合同。</w:t>
            </w:r>
          </w:p>
          <w:p w14:paraId="67C4D5AA">
            <w:pPr>
              <w:spacing w:line="400" w:lineRule="exact"/>
              <w:jc w:val="left"/>
              <w:rPr>
                <w:rFonts w:ascii="宋体" w:hAnsi="宋体" w:eastAsia="宋体" w:cs="宋体"/>
                <w:color w:val="auto"/>
                <w:kern w:val="0"/>
                <w:szCs w:val="21"/>
                <w:highlight w:val="none"/>
              </w:rPr>
            </w:pPr>
            <w:r>
              <w:rPr>
                <w:rFonts w:hint="eastAsia" w:ascii="宋体" w:hAnsi="宋体" w:eastAsia="宋体" w:cs="宋体"/>
                <w:b/>
                <w:color w:val="auto"/>
                <w:szCs w:val="21"/>
                <w:highlight w:val="none"/>
              </w:rPr>
              <w:t>4、投标人为联合体的，由联合体其中一方按规定提交的履约保证金，视为有效履约保证金。</w:t>
            </w:r>
          </w:p>
        </w:tc>
      </w:tr>
      <w:tr w14:paraId="111E03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50141F9C">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36.1</w:t>
            </w:r>
          </w:p>
        </w:tc>
        <w:tc>
          <w:tcPr>
            <w:tcW w:w="8607" w:type="dxa"/>
            <w:tcBorders>
              <w:top w:val="single" w:color="auto" w:sz="4" w:space="0"/>
              <w:left w:val="single" w:color="auto" w:sz="4" w:space="0"/>
              <w:bottom w:val="single" w:color="auto" w:sz="4" w:space="0"/>
              <w:right w:val="single" w:color="auto" w:sz="4" w:space="0"/>
            </w:tcBorders>
            <w:vAlign w:val="center"/>
          </w:tcPr>
          <w:p w14:paraId="41F18D50">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电子采购合同需要供应商通过有效CA证书进行电子签署</w:t>
            </w:r>
          </w:p>
        </w:tc>
      </w:tr>
      <w:tr w14:paraId="65C2B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47DD14D8">
            <w:pPr>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38.2</w:t>
            </w:r>
          </w:p>
        </w:tc>
        <w:tc>
          <w:tcPr>
            <w:tcW w:w="8607" w:type="dxa"/>
            <w:tcBorders>
              <w:top w:val="single" w:color="auto" w:sz="4" w:space="0"/>
              <w:left w:val="single" w:color="auto" w:sz="4" w:space="0"/>
              <w:bottom w:val="single" w:color="auto" w:sz="4" w:space="0"/>
              <w:right w:val="single" w:color="auto" w:sz="4" w:space="0"/>
            </w:tcBorders>
            <w:vAlign w:val="center"/>
          </w:tcPr>
          <w:p w14:paraId="0C407940">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接收质疑函方式：以纸质书面形式</w:t>
            </w:r>
          </w:p>
          <w:p w14:paraId="65B6F4E8">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质疑联系部门及联系方式：广西睿翼工程咨询有限公司招标部；</w:t>
            </w:r>
          </w:p>
          <w:p w14:paraId="02878B06">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联系电话：0778-2211981；</w:t>
            </w:r>
          </w:p>
          <w:p w14:paraId="60C416A7">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通讯地址：河池市金城江区金城中路2-4号铜鼓园写字楼3楼 。</w:t>
            </w:r>
          </w:p>
          <w:p w14:paraId="44B80748">
            <w:pPr>
              <w:autoSpaceDE w:val="0"/>
              <w:autoSpaceDN w:val="0"/>
              <w:snapToGrid w:val="0"/>
              <w:spacing w:line="400" w:lineRule="exact"/>
              <w:textAlignment w:val="bottom"/>
              <w:rPr>
                <w:rFonts w:ascii="宋体" w:hAnsi="宋体" w:eastAsia="宋体" w:cs="宋体"/>
                <w:color w:val="auto"/>
                <w:szCs w:val="21"/>
                <w:highlight w:val="none"/>
              </w:rPr>
            </w:pPr>
            <w:r>
              <w:rPr>
                <w:rFonts w:hint="eastAsia" w:ascii="宋体" w:hAnsi="宋体" w:eastAsia="宋体" w:cs="宋体"/>
                <w:color w:val="auto"/>
                <w:highlight w:val="none"/>
              </w:rPr>
              <w:t>现场提交质疑办理业务时间：工作日，</w:t>
            </w:r>
            <w:r>
              <w:rPr>
                <w:rFonts w:hint="eastAsia" w:ascii="宋体" w:hAnsi="宋体" w:eastAsia="宋体" w:cs="宋体"/>
                <w:color w:val="auto"/>
                <w:szCs w:val="21"/>
                <w:highlight w:val="none"/>
              </w:rPr>
              <w:t>上午8:00-12:00；下午1</w:t>
            </w:r>
            <w:r>
              <w:rPr>
                <w:rFonts w:hint="eastAsia" w:ascii="宋体" w:hAnsi="宋体" w:eastAsia="宋体" w:cs="宋体"/>
                <w:color w:val="auto"/>
                <w:highlight w:val="none"/>
              </w:rPr>
              <w:t>5</w:t>
            </w:r>
            <w:r>
              <w:rPr>
                <w:rFonts w:hint="eastAsia" w:ascii="宋体" w:hAnsi="宋体" w:eastAsia="宋体" w:cs="宋体"/>
                <w:color w:val="auto"/>
                <w:szCs w:val="21"/>
                <w:highlight w:val="none"/>
              </w:rPr>
              <w:t>:</w:t>
            </w:r>
            <w:r>
              <w:rPr>
                <w:rFonts w:hint="eastAsia" w:ascii="宋体" w:hAnsi="宋体" w:eastAsia="宋体" w:cs="宋体"/>
                <w:color w:val="auto"/>
                <w:highlight w:val="none"/>
              </w:rPr>
              <w:t>00</w:t>
            </w:r>
            <w:r>
              <w:rPr>
                <w:rFonts w:hint="eastAsia" w:ascii="宋体" w:hAnsi="宋体" w:eastAsia="宋体" w:cs="宋体"/>
                <w:color w:val="auto"/>
                <w:szCs w:val="21"/>
                <w:highlight w:val="none"/>
              </w:rPr>
              <w:t>-1</w:t>
            </w:r>
            <w:r>
              <w:rPr>
                <w:rFonts w:hint="eastAsia" w:ascii="宋体" w:hAnsi="宋体" w:eastAsia="宋体" w:cs="宋体"/>
                <w:color w:val="auto"/>
                <w:highlight w:val="none"/>
              </w:rPr>
              <w:t>8</w:t>
            </w:r>
            <w:r>
              <w:rPr>
                <w:rFonts w:hint="eastAsia" w:ascii="宋体" w:hAnsi="宋体" w:eastAsia="宋体" w:cs="宋体"/>
                <w:color w:val="auto"/>
                <w:szCs w:val="21"/>
                <w:highlight w:val="none"/>
              </w:rPr>
              <w:t>:</w:t>
            </w:r>
            <w:r>
              <w:rPr>
                <w:rFonts w:hint="eastAsia" w:ascii="宋体" w:hAnsi="宋体" w:eastAsia="宋体" w:cs="宋体"/>
                <w:color w:val="auto"/>
                <w:highlight w:val="none"/>
              </w:rPr>
              <w:t>0</w:t>
            </w:r>
            <w:r>
              <w:rPr>
                <w:rFonts w:hint="eastAsia" w:ascii="宋体" w:hAnsi="宋体" w:eastAsia="宋体" w:cs="宋体"/>
                <w:color w:val="auto"/>
                <w:szCs w:val="21"/>
                <w:highlight w:val="none"/>
              </w:rPr>
              <w:t>0（北京时间）</w:t>
            </w:r>
          </w:p>
        </w:tc>
      </w:tr>
      <w:tr w14:paraId="6BB1A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1B179FA8">
            <w:pPr>
              <w:spacing w:line="400" w:lineRule="exact"/>
              <w:jc w:val="center"/>
              <w:rPr>
                <w:rFonts w:ascii="宋体" w:hAnsi="宋体" w:eastAsia="宋体" w:cs="宋体"/>
                <w:color w:val="auto"/>
                <w:szCs w:val="21"/>
                <w:highlight w:val="none"/>
              </w:rPr>
            </w:pPr>
            <w:bookmarkStart w:id="57" w:name="_Hlt17709148"/>
            <w:r>
              <w:rPr>
                <w:rFonts w:hint="eastAsia" w:ascii="宋体" w:hAnsi="宋体" w:eastAsia="宋体" w:cs="宋体"/>
                <w:color w:val="auto"/>
                <w:szCs w:val="21"/>
                <w:highlight w:val="none"/>
              </w:rPr>
              <w:t>3</w:t>
            </w:r>
            <w:bookmarkEnd w:id="57"/>
            <w:r>
              <w:rPr>
                <w:rFonts w:hint="eastAsia" w:ascii="宋体" w:hAnsi="宋体" w:eastAsia="宋体" w:cs="宋体"/>
                <w:color w:val="auto"/>
                <w:szCs w:val="21"/>
                <w:highlight w:val="none"/>
              </w:rPr>
              <w:t>9.1</w:t>
            </w:r>
          </w:p>
        </w:tc>
        <w:tc>
          <w:tcPr>
            <w:tcW w:w="8607" w:type="dxa"/>
            <w:tcBorders>
              <w:top w:val="single" w:color="auto" w:sz="4" w:space="0"/>
              <w:left w:val="single" w:color="auto" w:sz="4" w:space="0"/>
              <w:bottom w:val="single" w:color="auto" w:sz="4" w:space="0"/>
              <w:right w:val="single" w:color="auto" w:sz="4" w:space="0"/>
            </w:tcBorders>
            <w:vAlign w:val="center"/>
          </w:tcPr>
          <w:p w14:paraId="60128789">
            <w:pPr>
              <w:pStyle w:val="20"/>
              <w:snapToGrid w:val="0"/>
              <w:spacing w:line="400" w:lineRule="exact"/>
              <w:rPr>
                <w:rFonts w:ascii="宋体" w:hAnsi="宋体" w:eastAsia="宋体" w:cs="宋体"/>
                <w:color w:val="auto"/>
                <w:highlight w:val="none"/>
              </w:rPr>
            </w:pPr>
            <w:r>
              <w:rPr>
                <w:rFonts w:hint="eastAsia" w:ascii="宋体" w:hAnsi="宋体" w:eastAsia="宋体" w:cs="宋体"/>
                <w:color w:val="auto"/>
                <w:highlight w:val="none"/>
              </w:rPr>
              <w:t>1、采购代理服务费支付方式：本项目的招标代理服务费按以下收费标准向中标人收取，领取中标通知书前，中标人应向采购代理机构一次付清招标代理服务费，否则采购代理机构有权不予以办理。</w:t>
            </w:r>
          </w:p>
          <w:p w14:paraId="15A720A8">
            <w:pPr>
              <w:pStyle w:val="20"/>
              <w:snapToGrid w:val="0"/>
              <w:spacing w:line="400" w:lineRule="exact"/>
              <w:rPr>
                <w:rFonts w:ascii="宋体" w:hAnsi="宋体" w:eastAsia="宋体" w:cs="宋体"/>
                <w:color w:val="auto"/>
                <w:highlight w:val="none"/>
              </w:rPr>
            </w:pPr>
            <w:r>
              <w:rPr>
                <w:rFonts w:hint="eastAsia" w:ascii="宋体" w:hAnsi="宋体" w:eastAsia="宋体" w:cs="宋体"/>
                <w:color w:val="auto"/>
                <w:highlight w:val="none"/>
              </w:rPr>
              <w:t>☑采购代理服务费收取标准：</w:t>
            </w:r>
          </w:p>
          <w:p w14:paraId="063C723F">
            <w:pPr>
              <w:pStyle w:val="20"/>
              <w:snapToGrid w:val="0"/>
              <w:spacing w:line="400" w:lineRule="exact"/>
              <w:rPr>
                <w:rFonts w:ascii="宋体" w:hAnsi="宋体" w:eastAsia="宋体" w:cs="宋体"/>
                <w:color w:val="auto"/>
                <w:highlight w:val="none"/>
              </w:rPr>
            </w:pPr>
            <w:r>
              <w:rPr>
                <w:rFonts w:hint="eastAsia" w:ascii="宋体" w:hAnsi="宋体" w:eastAsia="宋体" w:cs="宋体"/>
                <w:color w:val="auto"/>
                <w:highlight w:val="none"/>
              </w:rPr>
              <w:t>以中标金额为计费额，按本须知正文第39.2条规定的收费计算标准（货物招标）采用差额定率累进法计算出收费基准价格，采购代理服务费收费以签订合同的下浮系数0%收取。</w:t>
            </w:r>
          </w:p>
          <w:p w14:paraId="40F73DB3">
            <w:pPr>
              <w:pStyle w:val="20"/>
              <w:snapToGrid w:val="0"/>
              <w:spacing w:line="400" w:lineRule="exact"/>
              <w:rPr>
                <w:rFonts w:ascii="宋体" w:hAnsi="宋体" w:eastAsia="宋体" w:cs="宋体"/>
                <w:color w:val="auto"/>
                <w:highlight w:val="none"/>
              </w:rPr>
            </w:pPr>
            <w:r>
              <w:rPr>
                <w:rFonts w:hint="eastAsia" w:ascii="宋体" w:hAnsi="宋体" w:eastAsia="宋体" w:cs="宋体"/>
                <w:color w:val="auto"/>
                <w:highlight w:val="none"/>
              </w:rPr>
              <w:t>□固定采购代理收费</w:t>
            </w:r>
            <w:r>
              <w:rPr>
                <w:rFonts w:hint="eastAsia" w:ascii="宋体" w:hAnsi="宋体" w:eastAsia="宋体" w:cs="宋体"/>
                <w:color w:val="auto"/>
                <w:highlight w:val="none"/>
                <w:u w:val="single"/>
              </w:rPr>
              <w:t xml:space="preserve">              。</w:t>
            </w:r>
          </w:p>
        </w:tc>
      </w:tr>
      <w:tr w14:paraId="09C6A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05C31D13">
            <w:pPr>
              <w:snapToGrid w:val="0"/>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40.1</w:t>
            </w:r>
          </w:p>
        </w:tc>
        <w:tc>
          <w:tcPr>
            <w:tcW w:w="8607" w:type="dxa"/>
            <w:tcBorders>
              <w:top w:val="single" w:color="auto" w:sz="4" w:space="0"/>
              <w:left w:val="single" w:color="auto" w:sz="4" w:space="0"/>
              <w:bottom w:val="single" w:color="auto" w:sz="4" w:space="0"/>
              <w:right w:val="single" w:color="auto" w:sz="4" w:space="0"/>
            </w:tcBorders>
            <w:vAlign w:val="center"/>
          </w:tcPr>
          <w:p w14:paraId="63AD5BD6">
            <w:pPr>
              <w:snapToGrid w:val="0"/>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30A88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6" w:type="dxa"/>
            <w:tcBorders>
              <w:top w:val="single" w:color="auto" w:sz="4" w:space="0"/>
              <w:left w:val="single" w:color="auto" w:sz="4" w:space="0"/>
              <w:bottom w:val="single" w:color="auto" w:sz="4" w:space="0"/>
              <w:right w:val="single" w:color="auto" w:sz="4" w:space="0"/>
            </w:tcBorders>
            <w:vAlign w:val="center"/>
          </w:tcPr>
          <w:p w14:paraId="657A465F">
            <w:pPr>
              <w:snapToGrid w:val="0"/>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40.2</w:t>
            </w:r>
          </w:p>
        </w:tc>
        <w:tc>
          <w:tcPr>
            <w:tcW w:w="8607" w:type="dxa"/>
            <w:tcBorders>
              <w:top w:val="single" w:color="auto" w:sz="4" w:space="0"/>
              <w:left w:val="single" w:color="auto" w:sz="4" w:space="0"/>
              <w:bottom w:val="single" w:color="auto" w:sz="4" w:space="0"/>
              <w:right w:val="single" w:color="auto" w:sz="4" w:space="0"/>
            </w:tcBorders>
            <w:vAlign w:val="center"/>
          </w:tcPr>
          <w:p w14:paraId="48734B1F">
            <w:pPr>
              <w:pStyle w:val="20"/>
              <w:snapToGrid w:val="0"/>
              <w:spacing w:line="400" w:lineRule="exact"/>
              <w:rPr>
                <w:rFonts w:ascii="宋体" w:hAnsi="宋体" w:eastAsia="宋体" w:cs="宋体"/>
                <w:bCs/>
                <w:color w:val="auto"/>
                <w:highlight w:val="none"/>
              </w:rPr>
            </w:pPr>
            <w:r>
              <w:rPr>
                <w:rFonts w:hint="eastAsia" w:ascii="宋体" w:hAnsi="宋体" w:eastAsia="宋体" w:cs="宋体"/>
                <w:bCs/>
                <w:color w:val="auto"/>
                <w:highlight w:val="none"/>
              </w:rPr>
              <w:t>1、本招标文件中描述投标人的“公章”是指根据我国对公章的管理规定，用投标人法定主体行为名称制作的印章</w:t>
            </w:r>
            <w:r>
              <w:rPr>
                <w:rFonts w:hint="eastAsia" w:ascii="宋体" w:hAnsi="宋体" w:eastAsia="宋体" w:cs="宋体"/>
                <w:color w:val="auto"/>
                <w:highlight w:val="none"/>
              </w:rPr>
              <w:t>（含电子印章）</w:t>
            </w:r>
            <w:r>
              <w:rPr>
                <w:rFonts w:hint="eastAsia" w:ascii="宋体" w:hAnsi="宋体" w:eastAsia="宋体" w:cs="宋体"/>
                <w:bCs/>
                <w:color w:val="auto"/>
                <w:highlight w:val="none"/>
              </w:rPr>
              <w:t>，除本招标文件有特殊规定外，投标人的财务章、部门章、分公司章、工会章、合同章、投标专用章、业务专用章及银行的转账章、现金收讫章、现金付讫章等其他形式印章均不能代替公章。</w:t>
            </w:r>
          </w:p>
          <w:p w14:paraId="1D1C3FB7">
            <w:pPr>
              <w:pStyle w:val="20"/>
              <w:snapToGrid w:val="0"/>
              <w:spacing w:line="400" w:lineRule="exact"/>
              <w:rPr>
                <w:rFonts w:ascii="宋体" w:hAnsi="宋体" w:eastAsia="宋体" w:cs="宋体"/>
                <w:bCs/>
                <w:color w:val="auto"/>
                <w:highlight w:val="none"/>
              </w:rPr>
            </w:pPr>
            <w:r>
              <w:rPr>
                <w:rFonts w:hint="eastAsia" w:ascii="宋体" w:hAnsi="宋体" w:eastAsia="宋体" w:cs="宋体"/>
                <w:bCs/>
                <w:color w:val="auto"/>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5C885B3">
            <w:pPr>
              <w:pStyle w:val="20"/>
              <w:snapToGrid w:val="0"/>
              <w:spacing w:line="400" w:lineRule="exact"/>
              <w:rPr>
                <w:rFonts w:ascii="宋体" w:hAnsi="宋体" w:eastAsia="宋体" w:cs="宋体"/>
                <w:bCs/>
                <w:color w:val="auto"/>
                <w:highlight w:val="none"/>
              </w:rPr>
            </w:pPr>
            <w:r>
              <w:rPr>
                <w:rFonts w:hint="eastAsia" w:ascii="宋体" w:hAnsi="宋体" w:eastAsia="宋体" w:cs="宋体"/>
                <w:bCs/>
                <w:color w:val="auto"/>
                <w:highlight w:val="none"/>
              </w:rPr>
              <w:t>3、本招标文件中描述投标人的“签字”是指投标人的法定代表人或者委托代理人</w:t>
            </w:r>
            <w:r>
              <w:rPr>
                <w:rFonts w:hint="eastAsia" w:ascii="宋体" w:hAnsi="宋体" w:eastAsia="宋体" w:cs="宋体"/>
                <w:color w:val="auto"/>
                <w:highlight w:val="none"/>
              </w:rPr>
              <w:t>在文件规定签署处签名（含电子签名）的行为，私章、印鉴等其他形式均不能代替签字</w:t>
            </w:r>
            <w:r>
              <w:rPr>
                <w:rFonts w:hint="eastAsia" w:ascii="宋体" w:hAnsi="宋体" w:eastAsia="宋体" w:cs="宋体"/>
                <w:bCs/>
                <w:color w:val="auto"/>
                <w:highlight w:val="none"/>
              </w:rPr>
              <w:t>。</w:t>
            </w:r>
          </w:p>
          <w:p w14:paraId="7E46BF2E">
            <w:pPr>
              <w:pStyle w:val="20"/>
              <w:snapToGrid w:val="0"/>
              <w:spacing w:line="400" w:lineRule="exact"/>
              <w:rPr>
                <w:rFonts w:ascii="宋体" w:hAnsi="宋体" w:eastAsia="宋体" w:cs="宋体"/>
                <w:bCs/>
                <w:color w:val="auto"/>
                <w:highlight w:val="none"/>
              </w:rPr>
            </w:pPr>
            <w:r>
              <w:rPr>
                <w:rFonts w:hint="eastAsia" w:ascii="宋体" w:hAnsi="宋体" w:eastAsia="宋体" w:cs="宋体"/>
                <w:bCs/>
                <w:color w:val="auto"/>
                <w:highlight w:val="none"/>
              </w:rPr>
              <w:t>4、自然人投标的，招标文件规定盖公章处由自然人摁手指指印。</w:t>
            </w:r>
          </w:p>
          <w:p w14:paraId="485670C4">
            <w:pPr>
              <w:spacing w:line="400" w:lineRule="exact"/>
              <w:jc w:val="left"/>
              <w:rPr>
                <w:rFonts w:ascii="宋体" w:hAnsi="宋体" w:eastAsia="宋体" w:cs="宋体"/>
                <w:color w:val="auto"/>
                <w:szCs w:val="21"/>
                <w:highlight w:val="none"/>
              </w:rPr>
            </w:pPr>
            <w:r>
              <w:rPr>
                <w:rFonts w:hint="eastAsia" w:ascii="宋体" w:hAnsi="宋体" w:eastAsia="宋体" w:cs="宋体"/>
                <w:bCs/>
                <w:color w:val="auto"/>
                <w:szCs w:val="21"/>
                <w:highlight w:val="none"/>
              </w:rPr>
              <w:t>5、本招标文件所称的“以上”“以下”“以内”“届满”，包括本数；所称的“不满”“超过”“以外”，不包括本数。</w:t>
            </w:r>
          </w:p>
        </w:tc>
      </w:tr>
    </w:tbl>
    <w:p w14:paraId="6A9D42F7">
      <w:pPr>
        <w:pStyle w:val="4"/>
        <w:keepNext w:val="0"/>
        <w:keepLines w:val="0"/>
        <w:jc w:val="center"/>
        <w:rPr>
          <w:rFonts w:ascii="宋体" w:hAnsi="宋体" w:eastAsia="宋体" w:cs="宋体"/>
          <w:color w:val="auto"/>
        </w:rPr>
      </w:pPr>
      <w:r>
        <w:rPr>
          <w:rFonts w:hint="eastAsia" w:ascii="宋体" w:hAnsi="宋体" w:eastAsia="宋体" w:cs="宋体"/>
          <w:color w:val="auto"/>
        </w:rPr>
        <w:br w:type="page"/>
      </w:r>
      <w:bookmarkEnd w:id="44"/>
      <w:r>
        <w:rPr>
          <w:rFonts w:hint="eastAsia" w:ascii="宋体" w:hAnsi="宋体" w:eastAsia="宋体" w:cs="宋体"/>
          <w:color w:val="auto"/>
        </w:rPr>
        <w:t>投标人须知正文</w:t>
      </w:r>
    </w:p>
    <w:p w14:paraId="67310E17">
      <w:pPr>
        <w:pStyle w:val="4"/>
        <w:keepNext w:val="0"/>
        <w:keepLines w:val="0"/>
        <w:jc w:val="center"/>
        <w:rPr>
          <w:rFonts w:ascii="宋体" w:hAnsi="宋体" w:eastAsia="宋体" w:cs="宋体"/>
          <w:color w:val="auto"/>
        </w:rPr>
      </w:pPr>
      <w:r>
        <w:rPr>
          <w:rFonts w:hint="eastAsia" w:ascii="宋体" w:hAnsi="宋体" w:eastAsia="宋体" w:cs="宋体"/>
          <w:color w:val="auto"/>
        </w:rPr>
        <w:t>一、总  则</w:t>
      </w:r>
    </w:p>
    <w:p w14:paraId="3B91C31B">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1.适用范围</w:t>
      </w:r>
    </w:p>
    <w:p w14:paraId="33C4BC8D">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1C6A3E9">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1.2本招标文件</w:t>
      </w:r>
      <w:r>
        <w:rPr>
          <w:rFonts w:hint="eastAsia" w:ascii="宋体" w:hAnsi="宋体" w:eastAsia="宋体" w:cs="宋体"/>
          <w:color w:val="auto"/>
          <w:spacing w:val="-6"/>
          <w:szCs w:val="21"/>
        </w:rPr>
        <w:t>适用于本项目的所有采购程序和环节（法律、法规另有规定的，从其规定）。</w:t>
      </w:r>
    </w:p>
    <w:p w14:paraId="613BEB9C">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2.定义</w:t>
      </w:r>
    </w:p>
    <w:p w14:paraId="7663AFE3">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2.1“采购人”是指依法进行政府采购的国家机关、事业单位、团体组织。</w:t>
      </w:r>
    </w:p>
    <w:p w14:paraId="31815D61">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2.2“采购代理机构”是指政府采购集中采购机构和集中采购机构以外的采购代理机构。</w:t>
      </w:r>
    </w:p>
    <w:p w14:paraId="3B192616">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2.3“供应商”是指向采购人提供货物、工程或者服务的法人、其他组织或者自然人。</w:t>
      </w:r>
    </w:p>
    <w:p w14:paraId="2A539B14">
      <w:pPr>
        <w:pStyle w:val="7"/>
        <w:spacing w:line="360" w:lineRule="auto"/>
        <w:rPr>
          <w:rFonts w:ascii="宋体" w:hAnsi="宋体" w:eastAsia="宋体" w:cs="宋体"/>
          <w:color w:val="auto"/>
          <w:szCs w:val="21"/>
        </w:rPr>
      </w:pPr>
      <w:r>
        <w:rPr>
          <w:rFonts w:hint="eastAsia" w:ascii="宋体" w:hAnsi="宋体" w:eastAsia="宋体" w:cs="宋体"/>
          <w:color w:val="auto"/>
          <w:szCs w:val="21"/>
        </w:rPr>
        <w:t>2.4“投标人”是指响应招标、参加投标竞争的法人、其他组织或者自然人。</w:t>
      </w:r>
    </w:p>
    <w:p w14:paraId="3BEBAF0E">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2.5“货物”是指各种形态和种类的物品，包括原材料、燃料、设备、产品等；“服务”是指除货物和工程以外的其他政府采购对象。</w:t>
      </w:r>
    </w:p>
    <w:p w14:paraId="75849F53">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2.6“售后服务” 是指商品出售以后所提供的各种服务，包含但不限于投标人须承担的备品备件、包装、运输、装卸、保险、货到就位以及安装、调试、培训、保修以及其他各种服务。</w:t>
      </w:r>
    </w:p>
    <w:p w14:paraId="37237866">
      <w:pPr>
        <w:pStyle w:val="6"/>
        <w:keepNext w:val="0"/>
        <w:keepLines w:val="0"/>
        <w:spacing w:before="0" w:after="0" w:line="360" w:lineRule="auto"/>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2.7“书面形式”是指合同书、信件和数据电文（包括电报、电传、传真、电子数据交换和电子邮件）等可以有形地表现所载内容的形式。</w:t>
      </w:r>
    </w:p>
    <w:p w14:paraId="6362A115">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2.8“实质性要求”是指招标文件中已经指明不满足则投标无效的条款，或者不能负偏离的条款，或者采购需求中带“▲”的条款。</w:t>
      </w:r>
    </w:p>
    <w:p w14:paraId="3DBE78F1">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2.9 “正偏离”，是指投标文件对招标文件“采购需求”中有关条款作出的响应优于条款要求并有利于采购人的情形。</w:t>
      </w:r>
    </w:p>
    <w:p w14:paraId="118B3D4B">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2.10“负偏离”，是指投标文件对招标文件“采购需求”中有关条款作出的响应不满足条款要求，导致采购人要求不能得到满足的情形。</w:t>
      </w:r>
    </w:p>
    <w:p w14:paraId="7726D151">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2.11“允许负偏离的条款”是指采购需求中的不属于“实质性要求”的条款。</w:t>
      </w:r>
    </w:p>
    <w:p w14:paraId="45EF1D92">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3.投标人的资格要求</w:t>
      </w:r>
    </w:p>
    <w:p w14:paraId="382B38BA">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投标人的资格要求详见“招标公告”。</w:t>
      </w:r>
    </w:p>
    <w:p w14:paraId="776239E9">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4.投标委托</w:t>
      </w:r>
    </w:p>
    <w:p w14:paraId="54B9E965">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投标人代表参加投标活动过程中必须携带个人有效身份证件。如投标人代表不是法定代表人，须持有授权委托书（按第六章要求格式填写）。</w:t>
      </w:r>
    </w:p>
    <w:p w14:paraId="355187F8">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5.投标费用</w:t>
      </w:r>
    </w:p>
    <w:p w14:paraId="2E076BBF">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投标费用：投标人应承担参与本次采购活动有关的所有费用，包括但不限于获取招标文件、勘查现场、编制和提交投标文件、参加澄清说明、签订合同等，不论投标结果如何，均应自行承担。</w:t>
      </w:r>
    </w:p>
    <w:p w14:paraId="5DAB2AC0">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6.联合体投标</w:t>
      </w:r>
    </w:p>
    <w:p w14:paraId="16C57872">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6.1本项目是否接受联合体投标，详见“投标人须知前附表”。</w:t>
      </w:r>
    </w:p>
    <w:p w14:paraId="02013F10">
      <w:pPr>
        <w:snapToGrid w:val="0"/>
        <w:spacing w:line="360" w:lineRule="auto"/>
        <w:ind w:firstLine="420" w:firstLineChars="200"/>
        <w:jc w:val="left"/>
        <w:rPr>
          <w:rFonts w:ascii="宋体" w:hAnsi="宋体" w:eastAsia="宋体" w:cs="宋体"/>
          <w:bCs/>
          <w:color w:val="auto"/>
          <w:szCs w:val="21"/>
        </w:rPr>
      </w:pPr>
      <w:r>
        <w:rPr>
          <w:rFonts w:hint="eastAsia" w:ascii="宋体" w:hAnsi="宋体" w:eastAsia="宋体" w:cs="宋体"/>
          <w:bCs/>
          <w:color w:val="auto"/>
          <w:szCs w:val="21"/>
        </w:rPr>
        <w:t>6.2如接受联合体投标，联合体投标要求详见“投标人须知前附表”。</w:t>
      </w:r>
    </w:p>
    <w:p w14:paraId="7FDEE348">
      <w:pPr>
        <w:pStyle w:val="6"/>
        <w:keepNext w:val="0"/>
        <w:keepLines w:val="0"/>
        <w:spacing w:before="0" w:after="0" w:line="360" w:lineRule="auto"/>
        <w:ind w:firstLine="424" w:firstLineChars="202"/>
        <w:rPr>
          <w:rFonts w:ascii="宋体" w:hAnsi="宋体" w:eastAsia="宋体" w:cs="宋体"/>
          <w:color w:val="auto"/>
          <w:sz w:val="24"/>
        </w:rPr>
      </w:pPr>
      <w:r>
        <w:rPr>
          <w:rFonts w:hint="eastAsia" w:ascii="宋体" w:hAnsi="宋体" w:eastAsia="宋体" w:cs="宋体"/>
          <w:b w:val="0"/>
          <w:color w:val="auto"/>
          <w:sz w:val="21"/>
          <w:szCs w:val="21"/>
        </w:rPr>
        <w:t xml:space="preserve">6.3 </w:t>
      </w:r>
      <w:bookmarkStart w:id="58" w:name="_Hlk65857072"/>
      <w:r>
        <w:rPr>
          <w:rFonts w:hint="eastAsia" w:ascii="宋体" w:hAnsi="宋体" w:eastAsia="宋体" w:cs="宋体"/>
          <w:b w:val="0"/>
          <w:color w:val="auto"/>
          <w:sz w:val="21"/>
          <w:szCs w:val="21"/>
        </w:rPr>
        <w:t>根据《政府采购促进中小企业发展管理办法》（财库〔2020〕46号）第九条第二款</w:t>
      </w:r>
      <w:r>
        <w:rPr>
          <w:rFonts w:hint="eastAsia" w:ascii="宋体" w:hAnsi="宋体" w:eastAsia="宋体" w:cs="宋体"/>
          <w:b w:val="0"/>
          <w:bCs w:val="0"/>
          <w:color w:val="auto"/>
          <w:sz w:val="21"/>
          <w:szCs w:val="21"/>
        </w:rPr>
        <w:t>及《财政部关于进一步加大政府采购支持中小企业力度的通知》财库〔2022〕19号规定</w:t>
      </w:r>
      <w:r>
        <w:rPr>
          <w:rFonts w:hint="eastAsia" w:ascii="宋体" w:hAnsi="宋体" w:eastAsia="宋体" w:cs="宋体"/>
          <w:b w:val="0"/>
          <w:color w:val="auto"/>
          <w:sz w:val="21"/>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58"/>
    </w:p>
    <w:p w14:paraId="59E7F377">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 xml:space="preserve">7.转包与分包             </w:t>
      </w:r>
    </w:p>
    <w:p w14:paraId="0865CA09">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7.1本项目不允许转包。</w:t>
      </w:r>
    </w:p>
    <w:p w14:paraId="5CD3D81C">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3DBCEF18">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6F33233">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8.特别说明</w:t>
      </w:r>
    </w:p>
    <w:p w14:paraId="02C6E399">
      <w:pPr>
        <w:pStyle w:val="6"/>
        <w:keepNext w:val="0"/>
        <w:keepLines w:val="0"/>
        <w:spacing w:before="0" w:after="0" w:line="360" w:lineRule="auto"/>
        <w:ind w:firstLine="367" w:firstLineChars="175"/>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8.1如果本招标文件要求提供投标人或制造商的资格、信誉、荣誉、业绩与企业认证等材料的，资格、信誉、荣誉、业绩与企业认证等必须为投标人或者制造商所拥有或自身获得 。</w:t>
      </w:r>
    </w:p>
    <w:p w14:paraId="6AB2EB35">
      <w:pPr>
        <w:pStyle w:val="6"/>
        <w:keepNext w:val="0"/>
        <w:keepLines w:val="0"/>
        <w:spacing w:before="0" w:after="0" w:line="360" w:lineRule="auto"/>
        <w:ind w:firstLine="367" w:firstLineChars="175"/>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8.2投标人应仔细阅读招标文件的所有内容，按照招标文件的要求提交投标文件，并对所提供的全部资料的真实性承担法律责任。</w:t>
      </w:r>
    </w:p>
    <w:p w14:paraId="2A5A6DC9">
      <w:pPr>
        <w:pStyle w:val="6"/>
        <w:keepNext w:val="0"/>
        <w:keepLines w:val="0"/>
        <w:spacing w:before="0" w:after="0" w:line="360" w:lineRule="auto"/>
        <w:ind w:firstLine="367" w:firstLineChars="175"/>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8.3投标人在投标活动中提供任何虚假材料，将报监管部门查处；中标后发现的，中标人须依法赔偿采购人，且民事赔偿并不免除违法投标人的行政与刑事责任。</w:t>
      </w:r>
    </w:p>
    <w:p w14:paraId="793169F0">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9.回避与串通投标</w:t>
      </w:r>
    </w:p>
    <w:p w14:paraId="41317861">
      <w:pPr>
        <w:pStyle w:val="6"/>
        <w:keepNext w:val="0"/>
        <w:keepLines w:val="0"/>
        <w:spacing w:before="0" w:after="0" w:line="360" w:lineRule="auto"/>
        <w:ind w:firstLine="367" w:firstLineChars="175"/>
        <w:rPr>
          <w:rFonts w:ascii="宋体" w:hAnsi="宋体" w:eastAsia="宋体" w:cs="宋体"/>
          <w:b w:val="0"/>
          <w:color w:val="auto"/>
          <w:sz w:val="21"/>
          <w:szCs w:val="21"/>
        </w:rPr>
      </w:pPr>
      <w:r>
        <w:rPr>
          <w:rFonts w:hint="eastAsia" w:ascii="宋体" w:hAnsi="宋体" w:eastAsia="宋体" w:cs="宋体"/>
          <w:b w:val="0"/>
          <w:color w:val="auto"/>
          <w:sz w:val="21"/>
          <w:szCs w:val="21"/>
        </w:rPr>
        <w:t>9.1在政府采购活动中，采购人员及相关人员与供应商有下列利害关系之一的，应当回避：</w:t>
      </w:r>
    </w:p>
    <w:p w14:paraId="6753AFCC">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（1）参加采购活动前3年内与供应商存在劳动关系；</w:t>
      </w:r>
    </w:p>
    <w:p w14:paraId="0E02BABC">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（2）参加采购活动前3年内担任供应商的董事、监事；</w:t>
      </w:r>
    </w:p>
    <w:p w14:paraId="291C5A12">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（3）参加采购活动前3年内是供应商的控股股东或者实际控制人；</w:t>
      </w:r>
    </w:p>
    <w:p w14:paraId="31923F1B">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（4）与供应商的法定代表人或者负责人有夫妻、直系血亲、三代以内旁系血亲或者近姻亲关系；</w:t>
      </w:r>
    </w:p>
    <w:p w14:paraId="5A763171">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（5）与供应商有其他可能影响政府采购活动公平、公正进行的关系。</w:t>
      </w:r>
    </w:p>
    <w:p w14:paraId="47DC21D0">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89C592B">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9.2有下列情形之一的视为投标人相互串通投标，投标文件将被视为无效：</w:t>
      </w:r>
    </w:p>
    <w:p w14:paraId="0431B876">
      <w:pPr>
        <w:pStyle w:val="20"/>
        <w:snapToGrid w:val="0"/>
        <w:spacing w:line="360" w:lineRule="auto"/>
        <w:ind w:left="2" w:leftChars="1" w:firstLine="422" w:firstLineChars="200"/>
        <w:rPr>
          <w:rFonts w:ascii="宋体" w:hAnsi="宋体" w:eastAsia="宋体" w:cs="宋体"/>
          <w:b/>
          <w:color w:val="auto"/>
        </w:rPr>
      </w:pPr>
      <w:r>
        <w:rPr>
          <w:rFonts w:hint="eastAsia" w:ascii="宋体" w:hAnsi="宋体" w:eastAsia="宋体" w:cs="宋体"/>
          <w:b/>
          <w:color w:val="auto"/>
        </w:rPr>
        <w:t xml:space="preserve">（1）不同投标人的投标文件由同一单位或者个人编制； </w:t>
      </w:r>
    </w:p>
    <w:p w14:paraId="54D04724">
      <w:pPr>
        <w:pStyle w:val="20"/>
        <w:snapToGrid w:val="0"/>
        <w:spacing w:line="360" w:lineRule="auto"/>
        <w:ind w:left="2" w:leftChars="1" w:firstLine="422" w:firstLineChars="200"/>
        <w:rPr>
          <w:rFonts w:ascii="宋体" w:hAnsi="宋体" w:eastAsia="宋体" w:cs="宋体"/>
          <w:b/>
          <w:color w:val="auto"/>
        </w:rPr>
      </w:pPr>
      <w:r>
        <w:rPr>
          <w:rFonts w:hint="eastAsia" w:ascii="宋体" w:hAnsi="宋体" w:eastAsia="宋体" w:cs="宋体"/>
          <w:b/>
          <w:color w:val="auto"/>
        </w:rPr>
        <w:t>（2）不同投标人委托同一单位或者个人办理投标事宜；</w:t>
      </w:r>
    </w:p>
    <w:p w14:paraId="50226C73">
      <w:pPr>
        <w:pStyle w:val="20"/>
        <w:snapToGrid w:val="0"/>
        <w:spacing w:line="360" w:lineRule="auto"/>
        <w:ind w:left="2" w:leftChars="1" w:firstLine="422" w:firstLineChars="200"/>
        <w:rPr>
          <w:rFonts w:ascii="宋体" w:hAnsi="宋体" w:eastAsia="宋体" w:cs="宋体"/>
          <w:b/>
          <w:color w:val="auto"/>
        </w:rPr>
      </w:pPr>
      <w:r>
        <w:rPr>
          <w:rFonts w:hint="eastAsia" w:ascii="宋体" w:hAnsi="宋体" w:eastAsia="宋体" w:cs="宋体"/>
          <w:b/>
          <w:color w:val="auto"/>
        </w:rPr>
        <w:t>（3）不同的投标人的投标文件载明的项目管理员为同一个人；</w:t>
      </w:r>
    </w:p>
    <w:p w14:paraId="44A9D4C7">
      <w:pPr>
        <w:pStyle w:val="20"/>
        <w:snapToGrid w:val="0"/>
        <w:spacing w:line="360" w:lineRule="auto"/>
        <w:ind w:left="2" w:leftChars="1" w:firstLine="422" w:firstLineChars="200"/>
        <w:rPr>
          <w:rFonts w:ascii="宋体" w:hAnsi="宋体" w:eastAsia="宋体" w:cs="宋体"/>
          <w:b/>
          <w:color w:val="auto"/>
        </w:rPr>
      </w:pPr>
      <w:r>
        <w:rPr>
          <w:rFonts w:hint="eastAsia" w:ascii="宋体" w:hAnsi="宋体" w:eastAsia="宋体" w:cs="宋体"/>
          <w:b/>
          <w:color w:val="auto"/>
        </w:rPr>
        <w:t>（4）不同投标人的投标文件异常一致或者投标报价呈规律性差异；</w:t>
      </w:r>
    </w:p>
    <w:p w14:paraId="3C3F9594">
      <w:pPr>
        <w:pStyle w:val="20"/>
        <w:snapToGrid w:val="0"/>
        <w:spacing w:line="360" w:lineRule="auto"/>
        <w:ind w:left="2" w:leftChars="1" w:firstLine="422" w:firstLineChars="200"/>
        <w:rPr>
          <w:rFonts w:ascii="宋体" w:hAnsi="宋体" w:eastAsia="宋体" w:cs="宋体"/>
          <w:b/>
          <w:color w:val="auto"/>
        </w:rPr>
      </w:pPr>
      <w:r>
        <w:rPr>
          <w:rFonts w:hint="eastAsia" w:ascii="宋体" w:hAnsi="宋体" w:eastAsia="宋体" w:cs="宋体"/>
          <w:b/>
          <w:color w:val="auto"/>
        </w:rPr>
        <w:t>（5）不同投标人的投标文件相互混装；</w:t>
      </w:r>
    </w:p>
    <w:p w14:paraId="50F6B26D">
      <w:pPr>
        <w:pStyle w:val="20"/>
        <w:snapToGrid w:val="0"/>
        <w:spacing w:line="360" w:lineRule="auto"/>
        <w:ind w:left="2" w:leftChars="1" w:firstLine="422" w:firstLineChars="200"/>
        <w:rPr>
          <w:rFonts w:ascii="宋体" w:hAnsi="宋体" w:eastAsia="宋体" w:cs="宋体"/>
          <w:b/>
          <w:color w:val="auto"/>
        </w:rPr>
      </w:pPr>
      <w:r>
        <w:rPr>
          <w:rFonts w:hint="eastAsia" w:ascii="宋体" w:hAnsi="宋体" w:eastAsia="宋体" w:cs="宋体"/>
          <w:b/>
          <w:color w:val="auto"/>
        </w:rPr>
        <w:t>（6）不同投标人的投标保证金从同一单位或者个人账户转出。</w:t>
      </w:r>
    </w:p>
    <w:p w14:paraId="00041A6C">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9.3供应商有下列情形之一的，属于恶意串通行为，将报同级监督管理部门：</w:t>
      </w:r>
    </w:p>
    <w:p w14:paraId="67742BAA">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（1）供应商直接或者间接从采购人或者采购代理机构处获得其他供应商的相关信息并修改其投标文件或者响应文件；</w:t>
      </w:r>
    </w:p>
    <w:p w14:paraId="4B30ACC4">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（2）供应商按照采购人或者采购代理机构的授意撤换、修改投标文件或者响应文件；</w:t>
      </w:r>
    </w:p>
    <w:p w14:paraId="1CD84F06">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（3）供应商之间协商报价、技术方案等投标文件或者响应文件的实质性内容；</w:t>
      </w:r>
    </w:p>
    <w:p w14:paraId="273A8E45">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（4）属于同一集团、协会、商会等组织成员的供应商按照该组织要求协同参加政府采购活动；</w:t>
      </w:r>
    </w:p>
    <w:p w14:paraId="1BA4ACB9">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（5）供应商之间事先约定一致抬高或者压低投标报价，或者在招标项目中事先约定轮流以高价位或者低价位中标，或者事先约定由某一特定供应商中标，然后再参加投标；</w:t>
      </w:r>
    </w:p>
    <w:p w14:paraId="50B2C192">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（6）供应商之间商定部分供应商放弃参加政府采购活动或者放弃中标；</w:t>
      </w:r>
    </w:p>
    <w:p w14:paraId="098AD084">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（7）供应商与采购人或者采购代理机构之间、供应商相互之间，为谋求特定供应商中标或者排斥其他供应商的其他串通行为。</w:t>
      </w:r>
    </w:p>
    <w:p w14:paraId="3F785CD1">
      <w:pPr>
        <w:pStyle w:val="20"/>
        <w:snapToGrid w:val="0"/>
        <w:spacing w:line="360" w:lineRule="auto"/>
        <w:ind w:left="2" w:leftChars="1" w:firstLine="422" w:firstLineChars="200"/>
        <w:rPr>
          <w:rFonts w:ascii="宋体" w:hAnsi="宋体" w:eastAsia="宋体" w:cs="宋体"/>
          <w:b/>
          <w:color w:val="auto"/>
        </w:rPr>
      </w:pPr>
    </w:p>
    <w:p w14:paraId="0DB891C7">
      <w:pPr>
        <w:pStyle w:val="4"/>
        <w:keepNext w:val="0"/>
        <w:keepLines w:val="0"/>
        <w:jc w:val="center"/>
        <w:rPr>
          <w:rFonts w:ascii="宋体" w:hAnsi="宋体" w:eastAsia="宋体" w:cs="宋体"/>
          <w:color w:val="auto"/>
        </w:rPr>
      </w:pPr>
      <w:r>
        <w:rPr>
          <w:rFonts w:hint="eastAsia" w:ascii="宋体" w:hAnsi="宋体" w:eastAsia="宋体" w:cs="宋体"/>
          <w:color w:val="auto"/>
        </w:rPr>
        <w:t>二、招标文件</w:t>
      </w:r>
    </w:p>
    <w:p w14:paraId="3F479962">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10.招标文件的组成</w:t>
      </w:r>
    </w:p>
    <w:p w14:paraId="5D12B65C">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（1）招标公告；</w:t>
      </w:r>
    </w:p>
    <w:p w14:paraId="75CA57E2">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 xml:space="preserve">（2）采购需求； </w:t>
      </w:r>
    </w:p>
    <w:p w14:paraId="27B0E4F7">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（3）投标人须知；</w:t>
      </w:r>
    </w:p>
    <w:p w14:paraId="348BC8C3">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（4）评标方法及评标标准；</w:t>
      </w:r>
    </w:p>
    <w:p w14:paraId="0E7AD15C">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（5）拟签订的合同文本；</w:t>
      </w:r>
    </w:p>
    <w:p w14:paraId="014FBE51">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（6）投标文件格式。</w:t>
      </w:r>
    </w:p>
    <w:p w14:paraId="00F9CAC2">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11.招标文件的澄清、修改 、现场考察和答疑会</w:t>
      </w:r>
    </w:p>
    <w:p w14:paraId="6A5306F8">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11.1投标人应认真审阅本招标文件，如有疑问，或发现其中有误或有要求不合理的，应在招标公告期限届满之日起7个工作日内以纸质书面形式要求采购人或采购代理机构对招标文件予以澄清；否则，由此产生的后果由投标人自行负责。</w:t>
      </w:r>
    </w:p>
    <w:p w14:paraId="4923292B">
      <w:pPr>
        <w:pStyle w:val="6"/>
        <w:keepNext w:val="0"/>
        <w:keepLines w:val="0"/>
        <w:spacing w:before="0" w:after="0" w:line="360" w:lineRule="auto"/>
        <w:ind w:firstLine="420" w:firstLineChars="200"/>
        <w:rPr>
          <w:rFonts w:ascii="宋体" w:hAnsi="宋体" w:eastAsia="宋体" w:cs="宋体"/>
          <w:color w:val="auto"/>
        </w:rPr>
      </w:pPr>
      <w:r>
        <w:rPr>
          <w:rFonts w:hint="eastAsia" w:ascii="宋体" w:hAnsi="宋体" w:eastAsia="宋体" w:cs="宋体"/>
          <w:b w:val="0"/>
          <w:color w:val="auto"/>
          <w:sz w:val="21"/>
          <w:szCs w:val="21"/>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3680C2E4">
      <w:pPr>
        <w:spacing w:line="360" w:lineRule="auto"/>
        <w:ind w:firstLine="420" w:firstLineChars="200"/>
        <w:rPr>
          <w:rFonts w:ascii="宋体" w:hAnsi="宋体" w:eastAsia="宋体" w:cs="宋体"/>
          <w:color w:val="auto"/>
          <w:szCs w:val="21"/>
        </w:rPr>
      </w:pPr>
      <w:r>
        <w:rPr>
          <w:rFonts w:hint="eastAsia" w:ascii="宋体" w:hAnsi="宋体" w:eastAsia="宋体" w:cs="宋体"/>
          <w:color w:val="auto"/>
        </w:rPr>
        <w:t>11.3采购人和采购代理机构可以视采购具体情况，变更投标截止时间和开标时间，并</w:t>
      </w:r>
      <w:r>
        <w:rPr>
          <w:rFonts w:hint="eastAsia" w:ascii="宋体" w:hAnsi="宋体" w:eastAsia="宋体" w:cs="宋体"/>
          <w:color w:val="auto"/>
          <w:szCs w:val="21"/>
        </w:rPr>
        <w:t>在原公告发布媒体上发布更正公告。</w:t>
      </w:r>
    </w:p>
    <w:p w14:paraId="6EE5ED84">
      <w:pPr>
        <w:spacing w:line="360" w:lineRule="auto"/>
        <w:ind w:firstLine="420" w:firstLineChars="200"/>
        <w:rPr>
          <w:rFonts w:ascii="宋体" w:hAnsi="宋体" w:eastAsia="宋体" w:cs="宋体"/>
          <w:color w:val="auto"/>
        </w:rPr>
      </w:pPr>
      <w:r>
        <w:rPr>
          <w:rFonts w:hint="eastAsia" w:ascii="宋体" w:hAnsi="宋体" w:eastAsia="宋体" w:cs="宋体"/>
          <w:color w:val="auto"/>
          <w:szCs w:val="21"/>
        </w:rPr>
        <w:t>11.4招标文件澄清、答复、修改、补充的内容为招标文件的组成部分。</w:t>
      </w:r>
      <w:r>
        <w:rPr>
          <w:rFonts w:hint="eastAsia" w:ascii="宋体" w:hAnsi="宋体" w:eastAsia="宋体" w:cs="宋体"/>
          <w:b/>
          <w:color w:val="auto"/>
          <w:szCs w:val="21"/>
        </w:rPr>
        <w:t>当招标文件与招标文件的澄清、答复、修改、补充通知就同一内容的表述不一致时，以最后发出的文件为准。</w:t>
      </w:r>
    </w:p>
    <w:p w14:paraId="2C4FFA41">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11.5采购人或者采购代理机构可以在招标文件提供期限截止后，组织已获取招标文件的潜在投标人现场考察或者召开开标前答疑会，具体详见“投标人须知前附表”。</w:t>
      </w:r>
    </w:p>
    <w:p w14:paraId="02FE0939">
      <w:pPr>
        <w:pStyle w:val="20"/>
        <w:snapToGrid w:val="0"/>
        <w:spacing w:line="360" w:lineRule="auto"/>
        <w:ind w:firstLine="420" w:firstLineChars="200"/>
        <w:rPr>
          <w:rFonts w:ascii="宋体" w:hAnsi="宋体" w:eastAsia="宋体" w:cs="宋体"/>
          <w:color w:val="auto"/>
        </w:rPr>
      </w:pPr>
    </w:p>
    <w:p w14:paraId="7CC7C9CF">
      <w:pPr>
        <w:pStyle w:val="4"/>
        <w:keepNext w:val="0"/>
        <w:keepLines w:val="0"/>
        <w:jc w:val="center"/>
        <w:rPr>
          <w:rFonts w:ascii="宋体" w:hAnsi="宋体" w:eastAsia="宋体" w:cs="宋体"/>
          <w:color w:val="auto"/>
        </w:rPr>
      </w:pPr>
      <w:r>
        <w:rPr>
          <w:rFonts w:hint="eastAsia" w:ascii="宋体" w:hAnsi="宋体" w:eastAsia="宋体" w:cs="宋体"/>
          <w:color w:val="auto"/>
        </w:rPr>
        <w:t>三、投标文件的编制</w:t>
      </w:r>
    </w:p>
    <w:p w14:paraId="495A2AB1">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12.投标文件的编制原则</w:t>
      </w:r>
    </w:p>
    <w:p w14:paraId="64212A7D">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投标人必须按照招标文件的要求编制投标文件。投标文件必须对招标文件提出的要求和条件作出明确响应。</w:t>
      </w:r>
    </w:p>
    <w:p w14:paraId="2D3A5C5A">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13.投标文件的组成</w:t>
      </w:r>
    </w:p>
    <w:p w14:paraId="3DBF0588">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13.1投标文件由报价文件、资格证明文件、商务文件、技术文件四部分组成。</w:t>
      </w:r>
    </w:p>
    <w:p w14:paraId="0991CBEF">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（1）报价文件： 具体材料见“投标人须知前附表”。</w:t>
      </w:r>
    </w:p>
    <w:p w14:paraId="11F4DD94">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（2）资格证明文件：具体材料见“投标人须知前附表”。</w:t>
      </w:r>
    </w:p>
    <w:p w14:paraId="1AF372D5">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（3）商务文件：具体材料见“投标人须知前附表”。</w:t>
      </w:r>
    </w:p>
    <w:p w14:paraId="59B56895">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（4）技术文件：具体材料见“投标人须知前附表”。</w:t>
      </w:r>
    </w:p>
    <w:p w14:paraId="6E434F52">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14.投标文件的语言及计量</w:t>
      </w:r>
    </w:p>
    <w:p w14:paraId="73C9F74C">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14.1语言文字</w:t>
      </w:r>
    </w:p>
    <w:p w14:paraId="57F401EE">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5DC9D2F">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14.2投标计量单位</w:t>
      </w:r>
    </w:p>
    <w:p w14:paraId="61A2BA67">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招标文件已有明确规定的，使用招标文件规定的计量单位；招标文件没有规定的，应采用中华人民共和国法定计量单位，货币种类为人民币，否则视同未响应。</w:t>
      </w:r>
    </w:p>
    <w:p w14:paraId="68B9810C">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15.投标的风险</w:t>
      </w:r>
    </w:p>
    <w:p w14:paraId="60757C9B">
      <w:pPr>
        <w:pStyle w:val="20"/>
        <w:snapToGrid w:val="0"/>
        <w:spacing w:line="360" w:lineRule="auto"/>
        <w:ind w:firstLine="420" w:firstLineChars="200"/>
        <w:jc w:val="left"/>
        <w:rPr>
          <w:rFonts w:ascii="宋体" w:hAnsi="宋体" w:eastAsia="宋体" w:cs="宋体"/>
          <w:color w:val="auto"/>
        </w:rPr>
      </w:pPr>
      <w:r>
        <w:rPr>
          <w:rFonts w:hint="eastAsia" w:ascii="宋体" w:hAnsi="宋体" w:eastAsia="宋体" w:cs="宋体"/>
          <w:color w:val="auto"/>
        </w:rPr>
        <w:t>投标人没有按照招标文件要求提供全部资料，或者投标人没有对招标文件作出实质性响应是投标人的风险，并可能导致其投标被拒绝。</w:t>
      </w:r>
    </w:p>
    <w:p w14:paraId="0E7FE0B8">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16.投标报价</w:t>
      </w:r>
    </w:p>
    <w:p w14:paraId="7D2D0B65">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16.1投标报价应按“第六章　投标文件格式”中“开标一览表”格式填写。</w:t>
      </w:r>
    </w:p>
    <w:p w14:paraId="1283A799">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16.2投标报价具体包括内容详见“投标人须知前附表”。</w:t>
      </w:r>
    </w:p>
    <w:p w14:paraId="33987E66">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16.3投标人必须就所投每个分标的全部内容分别作完整唯一总价报价，不得存在漏项报价；投标人必须就所投分标的单项内容作唯一报价。</w:t>
      </w:r>
    </w:p>
    <w:p w14:paraId="7220B87C">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17.投标有效期</w:t>
      </w:r>
    </w:p>
    <w:p w14:paraId="6EF74E0C">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17.1投标有效期是指为保证采购人有足够的时间在开标后完成评标、定标、合同签订等工作而要求投标人提交的投标文件在一定时间内保持有效的期限。</w:t>
      </w:r>
    </w:p>
    <w:p w14:paraId="46C4BF89">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17.2 投标有效期应按规定的期限作出承诺，具体详见“投标人须知前附表”。</w:t>
      </w:r>
    </w:p>
    <w:p w14:paraId="399427FE">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17.3投标人的投标文件在投标有效期内均保持有效。</w:t>
      </w:r>
    </w:p>
    <w:p w14:paraId="4E8901E1">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18.投标保证金</w:t>
      </w:r>
    </w:p>
    <w:p w14:paraId="3BFE9535">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18.1投标人须按“投标人须知前附表” 的规定提交投标保证金。</w:t>
      </w:r>
    </w:p>
    <w:p w14:paraId="14964379">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18.2投标保证金的退还</w:t>
      </w:r>
    </w:p>
    <w:p w14:paraId="20C55238">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未中标人的投标保证金自中标通知书发出之日起5个工作日内退还；中标人的投标保证金自政府采购合同签订之日起5个工作日内退还。 </w:t>
      </w:r>
    </w:p>
    <w:p w14:paraId="59532B89">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18.3除逾期退还投标保证金和终止招标的情形以外，投标保证金不计息。</w:t>
      </w:r>
    </w:p>
    <w:p w14:paraId="19FE073D">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18.4投标人有下列情形之一的，投标保证金将不予退还： </w:t>
      </w:r>
    </w:p>
    <w:p w14:paraId="7A20A449">
      <w:pPr>
        <w:snapToGrid w:val="0"/>
        <w:spacing w:line="360" w:lineRule="auto"/>
        <w:ind w:firstLine="411" w:firstLineChars="196"/>
        <w:jc w:val="left"/>
        <w:rPr>
          <w:rFonts w:ascii="宋体" w:hAnsi="宋体" w:eastAsia="宋体" w:cs="宋体"/>
          <w:color w:val="auto"/>
          <w:szCs w:val="21"/>
        </w:rPr>
      </w:pPr>
      <w:r>
        <w:rPr>
          <w:rFonts w:hint="eastAsia" w:ascii="宋体" w:hAnsi="宋体" w:eastAsia="宋体" w:cs="宋体"/>
          <w:color w:val="auto"/>
          <w:szCs w:val="21"/>
        </w:rPr>
        <w:t>（1）投标人在投标有效期内撤销投标文件的；</w:t>
      </w:r>
    </w:p>
    <w:p w14:paraId="25BAF238">
      <w:pPr>
        <w:snapToGrid w:val="0"/>
        <w:spacing w:line="360" w:lineRule="auto"/>
        <w:ind w:firstLine="411" w:firstLineChars="196"/>
        <w:jc w:val="left"/>
        <w:rPr>
          <w:rFonts w:ascii="宋体" w:hAnsi="宋体" w:eastAsia="宋体" w:cs="宋体"/>
          <w:color w:val="auto"/>
          <w:szCs w:val="21"/>
        </w:rPr>
      </w:pPr>
      <w:r>
        <w:rPr>
          <w:rFonts w:hint="eastAsia" w:ascii="宋体" w:hAnsi="宋体" w:eastAsia="宋体" w:cs="宋体"/>
          <w:color w:val="auto"/>
          <w:szCs w:val="21"/>
        </w:rPr>
        <w:t>（2）未按规定提交履约保证金的；</w:t>
      </w:r>
    </w:p>
    <w:p w14:paraId="3F71A264">
      <w:pPr>
        <w:snapToGrid w:val="0"/>
        <w:spacing w:line="360" w:lineRule="auto"/>
        <w:ind w:firstLine="411" w:firstLineChars="196"/>
        <w:jc w:val="left"/>
        <w:rPr>
          <w:rFonts w:ascii="宋体" w:hAnsi="宋体" w:eastAsia="宋体" w:cs="宋体"/>
          <w:color w:val="auto"/>
          <w:szCs w:val="21"/>
        </w:rPr>
      </w:pPr>
      <w:r>
        <w:rPr>
          <w:rFonts w:hint="eastAsia" w:ascii="宋体" w:hAnsi="宋体" w:eastAsia="宋体" w:cs="宋体"/>
          <w:color w:val="auto"/>
          <w:szCs w:val="21"/>
        </w:rPr>
        <w:t>（3）投标人在投标过程中弄虚作假，提供虚假材料的；</w:t>
      </w:r>
    </w:p>
    <w:p w14:paraId="79696898">
      <w:pPr>
        <w:snapToGrid w:val="0"/>
        <w:spacing w:line="360" w:lineRule="auto"/>
        <w:ind w:firstLine="411" w:firstLineChars="196"/>
        <w:rPr>
          <w:rFonts w:ascii="宋体" w:hAnsi="宋体" w:eastAsia="宋体" w:cs="宋体"/>
          <w:color w:val="auto"/>
          <w:szCs w:val="21"/>
        </w:rPr>
      </w:pPr>
      <w:r>
        <w:rPr>
          <w:rFonts w:hint="eastAsia" w:ascii="宋体" w:hAnsi="宋体" w:eastAsia="宋体" w:cs="宋体"/>
          <w:color w:val="auto"/>
          <w:szCs w:val="21"/>
        </w:rPr>
        <w:t>（4）中标人无正当理由不与采购人签订合同的；</w:t>
      </w:r>
    </w:p>
    <w:p w14:paraId="7BBC75DA">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（5）投标人出现本章第9.2、9.3情形的；</w:t>
      </w:r>
    </w:p>
    <w:p w14:paraId="0495C988">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（6）法律法规规定的其他情形。</w:t>
      </w:r>
    </w:p>
    <w:p w14:paraId="7300BD62">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19.投标文件的编制</w:t>
      </w:r>
    </w:p>
    <w:p w14:paraId="77CD9217">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5FA39C59">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19.2投标文件应按报价文件、资格证明文件、商务文件、技术文件分别编制电子文件，并按广西政府采购云平台的要求编制、加密、上传。</w:t>
      </w:r>
    </w:p>
    <w:p w14:paraId="49D37F53">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19.</w:t>
      </w:r>
      <w:bookmarkStart w:id="59" w:name="_Hlk65832616"/>
      <w:r>
        <w:rPr>
          <w:rFonts w:hint="eastAsia" w:ascii="宋体" w:hAnsi="宋体" w:eastAsia="宋体" w:cs="宋体"/>
          <w:b w:val="0"/>
          <w:color w:val="auto"/>
          <w:sz w:val="21"/>
          <w:szCs w:val="21"/>
        </w:rPr>
        <w:t>3投标文件须由投标人在规定位置盖公章并签字</w:t>
      </w:r>
      <w:bookmarkStart w:id="60" w:name="_Hlk65832569"/>
      <w:r>
        <w:rPr>
          <w:rFonts w:hint="eastAsia" w:ascii="宋体" w:hAnsi="宋体" w:eastAsia="宋体" w:cs="宋体"/>
          <w:b w:val="0"/>
          <w:color w:val="auto"/>
          <w:sz w:val="21"/>
          <w:szCs w:val="21"/>
        </w:rPr>
        <w:t>（具体以投标人须知前附表或投标文件格式规定为准）</w:t>
      </w:r>
      <w:bookmarkEnd w:id="59"/>
      <w:bookmarkEnd w:id="60"/>
      <w:r>
        <w:rPr>
          <w:rFonts w:hint="eastAsia" w:ascii="宋体" w:hAnsi="宋体" w:eastAsia="宋体" w:cs="宋体"/>
          <w:b w:val="0"/>
          <w:color w:val="auto"/>
          <w:sz w:val="21"/>
          <w:szCs w:val="21"/>
        </w:rPr>
        <w:t>，</w:t>
      </w:r>
      <w:r>
        <w:rPr>
          <w:rFonts w:hint="eastAsia" w:ascii="宋体" w:hAnsi="宋体" w:eastAsia="宋体" w:cs="宋体"/>
          <w:color w:val="auto"/>
          <w:sz w:val="21"/>
          <w:szCs w:val="21"/>
        </w:rPr>
        <w:t>否则按无效投标处理</w:t>
      </w:r>
      <w:r>
        <w:rPr>
          <w:rFonts w:hint="eastAsia" w:ascii="宋体" w:hAnsi="宋体" w:eastAsia="宋体" w:cs="宋体"/>
          <w:b w:val="0"/>
          <w:color w:val="auto"/>
          <w:sz w:val="21"/>
          <w:szCs w:val="21"/>
        </w:rPr>
        <w:t>。</w:t>
      </w:r>
    </w:p>
    <w:p w14:paraId="7759A12F">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19.4投标文件中标注的投标人名称应与主体资格证明（如营业执照、事业单位法人证书、执业许可证、自然人身份证等）及公章一致，</w:t>
      </w:r>
      <w:r>
        <w:rPr>
          <w:rFonts w:hint="eastAsia" w:ascii="宋体" w:hAnsi="宋体" w:eastAsia="宋体" w:cs="宋体"/>
          <w:color w:val="auto"/>
          <w:sz w:val="21"/>
          <w:szCs w:val="21"/>
        </w:rPr>
        <w:t>否则按无效投标处理</w:t>
      </w:r>
      <w:r>
        <w:rPr>
          <w:rFonts w:hint="eastAsia" w:ascii="宋体" w:hAnsi="宋体" w:eastAsia="宋体" w:cs="宋体"/>
          <w:b w:val="0"/>
          <w:color w:val="auto"/>
          <w:sz w:val="21"/>
          <w:szCs w:val="21"/>
        </w:rPr>
        <w:t>。</w:t>
      </w:r>
    </w:p>
    <w:p w14:paraId="055FA73F">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14221E8E">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20.投标文件的加密、解密</w:t>
      </w:r>
    </w:p>
    <w:p w14:paraId="69A6207D">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20.1电子投标文件编制完成后，投标人应按广西政府采购云平台的要求进行加密，并在规定时间内解密，否则，由此产生的后果由投标人自行负责。</w:t>
      </w:r>
    </w:p>
    <w:p w14:paraId="5DE4020F">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21.投标文件的提交</w:t>
      </w:r>
    </w:p>
    <w:p w14:paraId="3320EC02">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21.1投标人必须在“投标人须知前附表”规定的投标文件接收时间和投标地点提交投标文件。</w:t>
      </w:r>
    </w:p>
    <w:p w14:paraId="4767AFC1">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21.2本项目为全流程电子化政府采购项目，通过广西政府采购云平台（https://www.gcy.zfcg.gxzf.gov.cn/）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17789F84">
      <w:pPr>
        <w:pStyle w:val="6"/>
        <w:keepNext w:val="0"/>
        <w:keepLines w:val="0"/>
        <w:spacing w:before="0" w:after="0" w:line="360" w:lineRule="auto"/>
        <w:ind w:firstLine="420" w:firstLineChars="200"/>
        <w:jc w:val="left"/>
        <w:rPr>
          <w:rFonts w:ascii="宋体" w:hAnsi="宋体" w:eastAsia="宋体" w:cs="宋体"/>
          <w:b w:val="0"/>
          <w:color w:val="auto"/>
          <w:sz w:val="21"/>
          <w:szCs w:val="21"/>
        </w:rPr>
      </w:pPr>
      <w:r>
        <w:rPr>
          <w:rFonts w:hint="eastAsia" w:ascii="宋体" w:hAnsi="宋体" w:eastAsia="宋体" w:cs="宋体"/>
          <w:b w:val="0"/>
          <w:color w:val="auto"/>
          <w:sz w:val="21"/>
          <w:szCs w:val="21"/>
        </w:rPr>
        <w:t>21.3未在规定时间内上传或者未按广西政府采购云平台的要求编制、加密的电子投标文件，广西政府采购云平台将拒收。</w:t>
      </w:r>
    </w:p>
    <w:p w14:paraId="7B16B063">
      <w:pPr>
        <w:pStyle w:val="7"/>
        <w:rPr>
          <w:rFonts w:ascii="宋体" w:hAnsi="宋体" w:eastAsia="宋体" w:cs="宋体"/>
          <w:color w:val="auto"/>
        </w:rPr>
      </w:pPr>
      <w:r>
        <w:rPr>
          <w:rFonts w:hint="eastAsia" w:ascii="宋体" w:hAnsi="宋体" w:eastAsia="宋体" w:cs="宋体"/>
          <w:color w:val="auto"/>
          <w:szCs w:val="21"/>
        </w:rPr>
        <w:t>21.4电子投标文件提交方式见“招标公告”中“四、提交投标文件截止时间、开标时间和地点”</w:t>
      </w:r>
    </w:p>
    <w:p w14:paraId="1805BEA5">
      <w:pPr>
        <w:pStyle w:val="7"/>
        <w:rPr>
          <w:rFonts w:ascii="宋体" w:hAnsi="宋体" w:eastAsia="宋体" w:cs="宋体"/>
          <w:color w:val="auto"/>
        </w:rPr>
      </w:pPr>
    </w:p>
    <w:p w14:paraId="3F31E4C5">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22. 投标文件的补充、修改、撤回与退回</w:t>
      </w:r>
    </w:p>
    <w:p w14:paraId="7EB30363">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22.1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0F72841">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22.2在投标截止时间止提交投标文件的投标人不足3家时，不得开标，采购代理机构将根据广西政府采购云平台的操作将电子版投标文件退回，除此之外采购人和采购代理机构对已提交的投标文件概不退回。</w:t>
      </w:r>
    </w:p>
    <w:p w14:paraId="6111A2DA">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22.3 投标人在投标截止时间后书面通知采购人、采购代理机构撤销投标文件的，将根据本须知正文18.4的规定不予退还其投标保证金。</w:t>
      </w:r>
    </w:p>
    <w:p w14:paraId="00274DBD">
      <w:pPr>
        <w:pStyle w:val="17"/>
        <w:snapToGrid w:val="0"/>
        <w:spacing w:line="360" w:lineRule="auto"/>
        <w:ind w:firstLine="739"/>
        <w:rPr>
          <w:rFonts w:ascii="宋体" w:hAnsi="宋体" w:eastAsia="宋体" w:cs="宋体"/>
          <w:snapToGrid w:val="0"/>
          <w:color w:val="auto"/>
          <w:sz w:val="21"/>
          <w:szCs w:val="21"/>
        </w:rPr>
      </w:pPr>
    </w:p>
    <w:p w14:paraId="66C1285A">
      <w:pPr>
        <w:pStyle w:val="4"/>
        <w:keepNext w:val="0"/>
        <w:keepLines w:val="0"/>
        <w:jc w:val="center"/>
        <w:rPr>
          <w:rFonts w:ascii="宋体" w:hAnsi="宋体" w:eastAsia="宋体" w:cs="宋体"/>
          <w:color w:val="auto"/>
        </w:rPr>
      </w:pPr>
      <w:r>
        <w:rPr>
          <w:rFonts w:hint="eastAsia" w:ascii="宋体" w:hAnsi="宋体" w:eastAsia="宋体" w:cs="宋体"/>
          <w:color w:val="auto"/>
        </w:rPr>
        <w:t>四、开    标</w:t>
      </w:r>
    </w:p>
    <w:p w14:paraId="54244F7D">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23.开标时间和地点</w:t>
      </w:r>
    </w:p>
    <w:p w14:paraId="72BA261F">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23.1开标时间及地点详见“投标人须知前附表”</w:t>
      </w:r>
    </w:p>
    <w:p w14:paraId="32A361F2">
      <w:pPr>
        <w:snapToGrid w:val="0"/>
        <w:spacing w:line="360" w:lineRule="auto"/>
        <w:ind w:firstLine="420"/>
        <w:jc w:val="left"/>
        <w:rPr>
          <w:rFonts w:ascii="宋体" w:hAnsi="宋体" w:eastAsia="宋体" w:cs="宋体"/>
          <w:color w:val="auto"/>
          <w:szCs w:val="21"/>
        </w:rPr>
      </w:pPr>
      <w:r>
        <w:rPr>
          <w:rFonts w:hint="eastAsia" w:ascii="宋体" w:hAnsi="宋体" w:eastAsia="宋体" w:cs="宋体"/>
          <w:color w:val="auto"/>
          <w:szCs w:val="21"/>
        </w:rPr>
        <w:t>23.2如投标人成功解密投标文件，但未在“政采云”电子开标大厅参加开标的，视同认可开标过程和结果，由此产生的后果由投标人自行负责。成功解密投标文件的投标人不足3家的，不得开标。</w:t>
      </w:r>
    </w:p>
    <w:p w14:paraId="0B49A6C8">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24.开标程序</w:t>
      </w:r>
    </w:p>
    <w:p w14:paraId="4FBC968D">
      <w:pPr>
        <w:autoSpaceDE w:val="0"/>
        <w:autoSpaceDN w:val="0"/>
        <w:adjustRightInd w:val="0"/>
        <w:spacing w:line="440" w:lineRule="exact"/>
        <w:ind w:firstLine="420" w:firstLineChars="200"/>
        <w:rPr>
          <w:rFonts w:ascii="宋体" w:hAnsi="宋体" w:eastAsia="宋体" w:cs="宋体"/>
          <w:color w:val="auto"/>
          <w:kern w:val="0"/>
          <w:szCs w:val="21"/>
        </w:rPr>
      </w:pPr>
      <w:r>
        <w:rPr>
          <w:rFonts w:hint="eastAsia" w:ascii="宋体" w:hAnsi="宋体" w:eastAsia="宋体" w:cs="宋体"/>
          <w:bCs/>
          <w:color w:val="auto"/>
          <w:szCs w:val="21"/>
        </w:rPr>
        <w:t>24.1</w:t>
      </w:r>
      <w:r>
        <w:rPr>
          <w:rFonts w:hint="eastAsia" w:ascii="宋体" w:hAnsi="宋体" w:eastAsia="宋体" w:cs="宋体"/>
          <w:color w:val="auto"/>
          <w:kern w:val="0"/>
          <w:szCs w:val="21"/>
        </w:rPr>
        <w:t>开标形式：</w:t>
      </w:r>
    </w:p>
    <w:p w14:paraId="38184FB9">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CB01FCC">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24.2开标程序：</w:t>
      </w:r>
    </w:p>
    <w:p w14:paraId="31DC587E">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（1）解密电子投标文件。广西政府采购云平台按开标时间自动提取所有投标文件。采购代理机构依托广西政府采购云平台向各投标人发出电子加密投标文件【开始解密】通知，由投标人进行投标文件解密。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eastAsia="宋体" w:cs="宋体"/>
          <w:b/>
          <w:bCs/>
          <w:color w:val="auto"/>
          <w:szCs w:val="21"/>
        </w:rPr>
        <w:t>投标人的法定代表人或其委托代理人须携带加密时所用的CA锁准时登录到广西政府采购云平台电子开标大厅签到</w:t>
      </w:r>
      <w:r>
        <w:rPr>
          <w:rFonts w:hint="eastAsia" w:ascii="宋体" w:hAnsi="宋体" w:eastAsia="宋体" w:cs="宋体"/>
          <w:b/>
          <w:color w:val="auto"/>
          <w:szCs w:val="21"/>
        </w:rPr>
        <w:t>并在发起解密</w:t>
      </w:r>
      <w:r>
        <w:rPr>
          <w:rFonts w:hint="eastAsia" w:ascii="宋体" w:hAnsi="宋体" w:eastAsia="宋体" w:cs="宋体"/>
          <w:b/>
          <w:bCs/>
          <w:color w:val="auto"/>
          <w:szCs w:val="21"/>
        </w:rPr>
        <w:t>通知</w:t>
      </w:r>
      <w:r>
        <w:rPr>
          <w:rFonts w:hint="eastAsia" w:ascii="宋体" w:hAnsi="宋体" w:eastAsia="宋体" w:cs="宋体"/>
          <w:b/>
          <w:color w:val="auto"/>
          <w:szCs w:val="21"/>
        </w:rPr>
        <w:t>之时起30分钟内完成</w:t>
      </w:r>
      <w:r>
        <w:rPr>
          <w:rFonts w:hint="eastAsia" w:ascii="宋体" w:hAnsi="宋体" w:eastAsia="宋体" w:cs="宋体"/>
          <w:b/>
          <w:bCs/>
          <w:color w:val="auto"/>
          <w:szCs w:val="21"/>
        </w:rPr>
        <w:t>对电子投标文件解密。投标文件未按时解密的，视为无效投标。</w:t>
      </w:r>
      <w:r>
        <w:rPr>
          <w:rFonts w:hint="eastAsia" w:ascii="宋体" w:hAnsi="宋体" w:eastAsia="宋体" w:cs="宋体"/>
          <w:bCs/>
          <w:color w:val="auto"/>
          <w:szCs w:val="21"/>
        </w:rPr>
        <w:t>（解密异常情况处理：详见本章29.4 电子交易活动的中止）</w:t>
      </w:r>
    </w:p>
    <w:p w14:paraId="66FA8A7D">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（2）电子唱标。投标文件解密结束，各投标供应商报价均在广西政府采购云平台远程不见面开标大厅展示；</w:t>
      </w:r>
    </w:p>
    <w:p w14:paraId="44B8CF08">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（3）签署电子《政府采购活动现场确认声明书》。通过邮件形式在远程不见面开标大厅发送各投标人签署电子《政府采购活动现场确认声明书》。</w:t>
      </w:r>
    </w:p>
    <w:p w14:paraId="0D2EE169">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（4）开标过程由采购代理机构如实记录，并电子留痕，由参加电子开标的各投标人代表对电子开标记录在开标记录公布后15分钟内进行当场校核及勘误，并线上确认，未确认的视同认可开标结果。</w:t>
      </w:r>
    </w:p>
    <w:p w14:paraId="7D8A21DE">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6024839">
      <w:pPr>
        <w:autoSpaceDE w:val="0"/>
        <w:autoSpaceDN w:val="0"/>
        <w:adjustRightInd w:val="0"/>
        <w:spacing w:line="440" w:lineRule="exact"/>
        <w:ind w:firstLine="420" w:firstLineChars="200"/>
        <w:rPr>
          <w:rFonts w:ascii="宋体" w:hAnsi="宋体" w:eastAsia="宋体" w:cs="宋体"/>
          <w:bCs/>
          <w:color w:val="auto"/>
          <w:szCs w:val="21"/>
        </w:rPr>
      </w:pPr>
      <w:r>
        <w:rPr>
          <w:rFonts w:hint="eastAsia" w:ascii="宋体" w:hAnsi="宋体" w:eastAsia="宋体" w:cs="宋体"/>
          <w:bCs/>
          <w:color w:val="auto"/>
          <w:szCs w:val="21"/>
        </w:rPr>
        <w:t>（6）开标结束。</w:t>
      </w:r>
    </w:p>
    <w:p w14:paraId="5672D98E">
      <w:pPr>
        <w:autoSpaceDE w:val="0"/>
        <w:autoSpaceDN w:val="0"/>
        <w:adjustRightInd w:val="0"/>
        <w:spacing w:line="440" w:lineRule="exact"/>
        <w:ind w:firstLine="422" w:firstLineChars="200"/>
        <w:rPr>
          <w:rFonts w:ascii="宋体" w:hAnsi="宋体" w:eastAsia="宋体" w:cs="宋体"/>
          <w:b/>
          <w:bCs/>
          <w:color w:val="auto"/>
          <w:szCs w:val="21"/>
        </w:rPr>
      </w:pPr>
      <w:r>
        <w:rPr>
          <w:rFonts w:hint="eastAsia" w:ascii="宋体" w:hAnsi="宋体" w:eastAsia="宋体" w:cs="宋体"/>
          <w:b/>
          <w:bCs/>
          <w:color w:val="auto"/>
          <w:szCs w:val="21"/>
        </w:rPr>
        <w:t>特别说明：如遇广西政府采购云平台电子化开标或评审程序调整的，按调整后执行。</w:t>
      </w:r>
    </w:p>
    <w:p w14:paraId="1F6E29AC">
      <w:pPr>
        <w:pStyle w:val="4"/>
        <w:keepNext w:val="0"/>
        <w:keepLines w:val="0"/>
        <w:ind w:firstLine="0" w:firstLineChars="0"/>
        <w:rPr>
          <w:rFonts w:ascii="宋体" w:hAnsi="宋体" w:eastAsia="宋体" w:cs="宋体"/>
          <w:color w:val="auto"/>
        </w:rPr>
      </w:pPr>
    </w:p>
    <w:p w14:paraId="4E24A4DC">
      <w:pPr>
        <w:pStyle w:val="4"/>
        <w:keepNext w:val="0"/>
        <w:keepLines w:val="0"/>
        <w:jc w:val="center"/>
        <w:rPr>
          <w:rFonts w:ascii="宋体" w:hAnsi="宋体" w:eastAsia="宋体" w:cs="宋体"/>
          <w:color w:val="auto"/>
        </w:rPr>
      </w:pPr>
      <w:r>
        <w:rPr>
          <w:rFonts w:hint="eastAsia" w:ascii="宋体" w:hAnsi="宋体" w:eastAsia="宋体" w:cs="宋体"/>
          <w:color w:val="auto"/>
        </w:rPr>
        <w:t>五、资格审查</w:t>
      </w:r>
    </w:p>
    <w:p w14:paraId="4AB0F298">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25.资格审查</w:t>
      </w:r>
    </w:p>
    <w:p w14:paraId="0A2DF933">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25.1开标结束后，采购人或者采购代理机构依法对投标人的资格进行审查。</w:t>
      </w:r>
    </w:p>
    <w:p w14:paraId="5E8C303B">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25.2资格审查标准为本招标文件中载明对投标人资格要求的条件。本项目资格审查采用合格制，凡符合招标文件规定的投标人资格要求的投标人均通过资格审查。</w:t>
      </w:r>
    </w:p>
    <w:p w14:paraId="70252F2A">
      <w:pPr>
        <w:pStyle w:val="6"/>
        <w:keepNext w:val="0"/>
        <w:keepLines w:val="0"/>
        <w:spacing w:before="0" w:after="0" w:line="360" w:lineRule="auto"/>
        <w:ind w:firstLine="422" w:firstLineChars="200"/>
        <w:rPr>
          <w:rFonts w:ascii="宋体" w:hAnsi="宋体" w:eastAsia="宋体" w:cs="宋体"/>
          <w:color w:val="auto"/>
          <w:sz w:val="21"/>
          <w:szCs w:val="21"/>
        </w:rPr>
      </w:pPr>
      <w:r>
        <w:rPr>
          <w:rFonts w:hint="eastAsia" w:ascii="宋体" w:hAnsi="宋体" w:eastAsia="宋体" w:cs="宋体"/>
          <w:color w:val="auto"/>
          <w:sz w:val="21"/>
          <w:szCs w:val="21"/>
        </w:rPr>
        <w:t>25.3 投标人有下列情形之一的，资格审查不通过，作无效投标处理：</w:t>
      </w:r>
    </w:p>
    <w:p w14:paraId="53E65C18">
      <w:pPr>
        <w:pStyle w:val="20"/>
        <w:snapToGrid w:val="0"/>
        <w:spacing w:line="360" w:lineRule="auto"/>
        <w:ind w:firstLine="422" w:firstLineChars="200"/>
        <w:rPr>
          <w:rFonts w:ascii="宋体" w:hAnsi="宋体" w:eastAsia="宋体" w:cs="宋体"/>
          <w:b/>
          <w:color w:val="auto"/>
        </w:rPr>
      </w:pPr>
      <w:r>
        <w:rPr>
          <w:rFonts w:hint="eastAsia" w:ascii="宋体" w:hAnsi="宋体" w:eastAsia="宋体" w:cs="宋体"/>
          <w:b/>
          <w:color w:val="auto"/>
        </w:rPr>
        <w:t>（1）未按招标文件规定的方式获取本招标文件的投标人；</w:t>
      </w:r>
    </w:p>
    <w:p w14:paraId="58FE2D0F">
      <w:pPr>
        <w:pStyle w:val="20"/>
        <w:snapToGrid w:val="0"/>
        <w:spacing w:line="360" w:lineRule="auto"/>
        <w:ind w:firstLine="422" w:firstLineChars="200"/>
        <w:rPr>
          <w:rFonts w:ascii="宋体" w:hAnsi="宋体" w:eastAsia="宋体" w:cs="宋体"/>
          <w:b/>
          <w:color w:val="auto"/>
        </w:rPr>
      </w:pPr>
      <w:r>
        <w:rPr>
          <w:rFonts w:hint="eastAsia" w:ascii="宋体" w:hAnsi="宋体" w:eastAsia="宋体" w:cs="宋体"/>
          <w:b/>
          <w:color w:val="auto"/>
        </w:rPr>
        <w:t>（2）不具备招标文件中规定的资格要求的；</w:t>
      </w:r>
    </w:p>
    <w:p w14:paraId="4FBE0921">
      <w:pPr>
        <w:pStyle w:val="20"/>
        <w:snapToGrid w:val="0"/>
        <w:spacing w:line="360" w:lineRule="auto"/>
        <w:ind w:firstLine="422" w:firstLineChars="200"/>
        <w:rPr>
          <w:rFonts w:ascii="宋体" w:hAnsi="宋体" w:eastAsia="宋体" w:cs="宋体"/>
          <w:b/>
          <w:color w:val="auto"/>
        </w:rPr>
      </w:pPr>
      <w:r>
        <w:rPr>
          <w:rFonts w:hint="eastAsia" w:ascii="宋体" w:hAnsi="宋体" w:eastAsia="宋体" w:cs="宋体"/>
          <w:b/>
          <w:color w:val="auto"/>
        </w:rPr>
        <w:t>（3）在“信用中国”网站（www.creditchina.gov.cn） 、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186A806B">
      <w:pPr>
        <w:pStyle w:val="20"/>
        <w:snapToGrid w:val="0"/>
        <w:spacing w:line="360" w:lineRule="auto"/>
        <w:ind w:firstLine="422" w:firstLineChars="200"/>
        <w:rPr>
          <w:rFonts w:ascii="宋体" w:hAnsi="宋体" w:eastAsia="宋体" w:cs="宋体"/>
          <w:b/>
          <w:color w:val="auto"/>
        </w:rPr>
      </w:pPr>
      <w:r>
        <w:rPr>
          <w:rFonts w:hint="eastAsia" w:ascii="宋体" w:hAnsi="宋体" w:eastAsia="宋体" w:cs="宋体"/>
          <w:b/>
          <w:color w:val="auto"/>
        </w:rPr>
        <w:t>（4）同一合同项下的不同投标人，单位负责人为同一人或者存在直接控股、管理关系的；为本项目提供过整体设计、规范编制或者项目管理、监理、检测等服务的供应商，再参加该采购项目的其他采购活动的；</w:t>
      </w:r>
    </w:p>
    <w:p w14:paraId="344E1522">
      <w:pPr>
        <w:pStyle w:val="20"/>
        <w:snapToGrid w:val="0"/>
        <w:spacing w:line="360" w:lineRule="auto"/>
        <w:ind w:firstLine="422" w:firstLineChars="200"/>
        <w:rPr>
          <w:rFonts w:ascii="宋体" w:hAnsi="宋体" w:eastAsia="宋体" w:cs="宋体"/>
          <w:b/>
          <w:color w:val="auto"/>
        </w:rPr>
      </w:pPr>
      <w:r>
        <w:rPr>
          <w:rFonts w:hint="eastAsia" w:ascii="宋体" w:hAnsi="宋体" w:eastAsia="宋体" w:cs="宋体"/>
          <w:b/>
          <w:color w:val="auto"/>
        </w:rPr>
        <w:t>（5）投标文件中的资格证明文件缺少任一项“投标人须知前附表”资格证明文件规定“必须提供”的文件资料的；</w:t>
      </w:r>
    </w:p>
    <w:p w14:paraId="42ADBAB5">
      <w:pPr>
        <w:pStyle w:val="20"/>
        <w:snapToGrid w:val="0"/>
        <w:spacing w:line="360" w:lineRule="auto"/>
        <w:ind w:firstLine="422" w:firstLineChars="200"/>
        <w:rPr>
          <w:rFonts w:ascii="宋体" w:hAnsi="宋体" w:eastAsia="宋体" w:cs="宋体"/>
          <w:b/>
          <w:color w:val="auto"/>
        </w:rPr>
      </w:pPr>
      <w:r>
        <w:rPr>
          <w:rFonts w:hint="eastAsia" w:ascii="宋体" w:hAnsi="宋体" w:eastAsia="宋体" w:cs="宋体"/>
          <w:b/>
          <w:color w:val="auto"/>
        </w:rPr>
        <w:t>（6）投标文件中的资格证明文件出现任一项不符合“投标人须知前附表”资格证明文件规定“必须提供”的文件资料要求或者无效的。</w:t>
      </w:r>
    </w:p>
    <w:p w14:paraId="18380F29">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color w:val="auto"/>
          <w:sz w:val="21"/>
          <w:szCs w:val="21"/>
        </w:rPr>
        <w:t>25.4合格投标人不足3家的，不得评标。</w:t>
      </w:r>
    </w:p>
    <w:p w14:paraId="4EFB5194">
      <w:pPr>
        <w:pStyle w:val="20"/>
        <w:snapToGrid w:val="0"/>
        <w:spacing w:line="360" w:lineRule="auto"/>
        <w:ind w:left="689" w:leftChars="228" w:hanging="210" w:hangingChars="100"/>
        <w:rPr>
          <w:rFonts w:ascii="宋体" w:hAnsi="宋体" w:eastAsia="宋体" w:cs="宋体"/>
          <w:color w:val="auto"/>
        </w:rPr>
      </w:pPr>
    </w:p>
    <w:p w14:paraId="079EAF2D">
      <w:pPr>
        <w:pStyle w:val="4"/>
        <w:keepNext w:val="0"/>
        <w:keepLines w:val="0"/>
        <w:jc w:val="center"/>
        <w:rPr>
          <w:rFonts w:ascii="宋体" w:hAnsi="宋体" w:eastAsia="宋体" w:cs="宋体"/>
          <w:color w:val="auto"/>
        </w:rPr>
      </w:pPr>
      <w:r>
        <w:rPr>
          <w:rFonts w:hint="eastAsia" w:ascii="宋体" w:hAnsi="宋体" w:eastAsia="宋体" w:cs="宋体"/>
          <w:color w:val="auto"/>
        </w:rPr>
        <w:t>六、评   标</w:t>
      </w:r>
    </w:p>
    <w:p w14:paraId="20CA7A27">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26.组建评标委员会</w:t>
      </w:r>
    </w:p>
    <w:p w14:paraId="30CF7306">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评标委员会由采购人代表和评审专家组成，具体人数详见“投标人须知前附表”，其中评审专家不得少于成员总数的三分之二。</w:t>
      </w:r>
    </w:p>
    <w:p w14:paraId="1200821C">
      <w:pPr>
        <w:pStyle w:val="20"/>
        <w:snapToGrid w:val="0"/>
        <w:spacing w:line="360" w:lineRule="auto"/>
        <w:ind w:left="2" w:leftChars="1" w:firstLine="420" w:firstLineChars="200"/>
        <w:rPr>
          <w:rFonts w:ascii="宋体" w:hAnsi="宋体" w:eastAsia="宋体" w:cs="宋体"/>
          <w:color w:val="auto"/>
        </w:rPr>
      </w:pPr>
      <w:r>
        <w:rPr>
          <w:rFonts w:hint="eastAsia" w:ascii="宋体" w:hAnsi="宋体" w:eastAsia="宋体" w:cs="宋体"/>
          <w:color w:val="auto"/>
        </w:rPr>
        <w:t>参加过采购项目前期咨询论证的专家，不得参加该采购项目的评审活动。</w:t>
      </w:r>
    </w:p>
    <w:p w14:paraId="110B351B">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27.评标的依据</w:t>
      </w:r>
    </w:p>
    <w:p w14:paraId="39E25E3C">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评标委员会以“第四章 评标方法和评标标准”为依据对投标文件进行评审，没有规定的方法、评审因素和标准，不作为评标依据。</w:t>
      </w:r>
    </w:p>
    <w:p w14:paraId="21185C9B">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28.评标原则</w:t>
      </w:r>
    </w:p>
    <w:p w14:paraId="666EA3B9">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7B70180">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28.2评委表决。评标委员会成员对需要共同认定的事项存在争议的，应当按照少数服从多数的原则作出结论。</w:t>
      </w:r>
    </w:p>
    <w:p w14:paraId="25265013">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ECD2113">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28.4评标过程的监控。本项目评标过程实行全程录音、录像监控，</w:t>
      </w:r>
      <w:r>
        <w:rPr>
          <w:rFonts w:hint="eastAsia" w:ascii="宋体" w:hAnsi="宋体" w:eastAsia="宋体" w:cs="宋体"/>
          <w:b/>
          <w:bCs/>
          <w:color w:val="auto"/>
        </w:rPr>
        <w:t>投标人在评标过程中所进行的试图影响评标结果的不公正活动，可能导致其投标无效</w:t>
      </w:r>
      <w:r>
        <w:rPr>
          <w:rFonts w:hint="eastAsia" w:ascii="宋体" w:hAnsi="宋体" w:eastAsia="宋体" w:cs="宋体"/>
          <w:color w:val="auto"/>
        </w:rPr>
        <w:t>。</w:t>
      </w:r>
    </w:p>
    <w:p w14:paraId="253F3154">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29.评标方法及中标候选人推荐</w:t>
      </w:r>
    </w:p>
    <w:p w14:paraId="38E90BDA">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29.1本项目的评标方法详见“投标人须知前附表”。</w:t>
      </w:r>
    </w:p>
    <w:p w14:paraId="4694D174">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29.2 中标候选人推荐数量详见“投标人须知前附表”。</w:t>
      </w:r>
    </w:p>
    <w:p w14:paraId="66EC23B4">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29.3评标委员会将按照“第四章 评标方法和评标标准”规定的方法、评审因素、标准和程序对投标文件进行评审。</w:t>
      </w:r>
    </w:p>
    <w:p w14:paraId="47AD3504">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29.4电子交易活动的中止。采购过程中出现以下情形，导致电子交易平台无法正常运行，或者无法保证电子交易的公平、公正和安全时，采购代理机构可中止电子交易活动：</w:t>
      </w:r>
    </w:p>
    <w:p w14:paraId="5EEF4A02">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 xml:space="preserve">（1）电子交易平台发生故障而无法登录访问的； </w:t>
      </w:r>
    </w:p>
    <w:p w14:paraId="5116B268">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（2）电子交易平台应用或数据库出现错误，不能进行正常操作的；</w:t>
      </w:r>
    </w:p>
    <w:p w14:paraId="30B0A20C">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（3）电子交易平台发现严重安全漏洞，有潜在泄密危险的；</w:t>
      </w:r>
    </w:p>
    <w:p w14:paraId="74546DC5">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 xml:space="preserve">（4）病毒发作导致不能进行正常操作的； </w:t>
      </w:r>
    </w:p>
    <w:p w14:paraId="2994F02B">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（4）其他无法保证电子交易的公平、公正和安全的情况。</w:t>
      </w:r>
    </w:p>
    <w:p w14:paraId="55969499">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29.5出现以上情形，不影响采购公平、公正性的，采购代理机构可以待上述情形消除后继续组织电子交易活动；影响或可能影响采购公平、公正性的，经采购代理机构确认后，应当重新采购。</w:t>
      </w:r>
    </w:p>
    <w:p w14:paraId="4C24FFE1">
      <w:pPr>
        <w:pStyle w:val="20"/>
        <w:snapToGrid w:val="0"/>
        <w:spacing w:line="360" w:lineRule="auto"/>
        <w:rPr>
          <w:rFonts w:ascii="宋体" w:hAnsi="宋体" w:eastAsia="宋体" w:cs="宋体"/>
          <w:color w:val="auto"/>
        </w:rPr>
      </w:pPr>
    </w:p>
    <w:p w14:paraId="5D7F922B">
      <w:pPr>
        <w:pStyle w:val="4"/>
        <w:keepNext w:val="0"/>
        <w:keepLines w:val="0"/>
        <w:jc w:val="center"/>
        <w:rPr>
          <w:rFonts w:ascii="宋体" w:hAnsi="宋体" w:eastAsia="宋体" w:cs="宋体"/>
          <w:color w:val="auto"/>
        </w:rPr>
      </w:pPr>
      <w:r>
        <w:rPr>
          <w:rFonts w:hint="eastAsia" w:ascii="宋体" w:hAnsi="宋体" w:eastAsia="宋体" w:cs="宋体"/>
          <w:color w:val="auto"/>
        </w:rPr>
        <w:t>七、中标和合同</w:t>
      </w:r>
    </w:p>
    <w:p w14:paraId="74E11A6C">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30 确定中标人</w:t>
      </w:r>
    </w:p>
    <w:p w14:paraId="347461C3">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8B4B3AC">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30.2采购人在收到评标报告5个工作日内未按评标报告推荐的中标候选人顺序确定中标人，又不能说明合法理由的，视同按评标报告推荐的顺序确定排名第一的中标候选人为中标人。</w:t>
      </w:r>
    </w:p>
    <w:p w14:paraId="53130F40">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出现下列情形之一的，应予废标：</w:t>
      </w:r>
    </w:p>
    <w:p w14:paraId="78B3AE57">
      <w:pPr>
        <w:snapToGrid w:val="0"/>
        <w:spacing w:line="360" w:lineRule="auto"/>
        <w:ind w:firstLine="420" w:firstLineChars="200"/>
        <w:rPr>
          <w:rFonts w:ascii="宋体" w:hAnsi="宋体" w:eastAsia="宋体" w:cs="宋体"/>
          <w:color w:val="auto"/>
          <w:szCs w:val="21"/>
        </w:rPr>
      </w:pPr>
      <w:bookmarkStart w:id="61" w:name="_Toc148089560"/>
      <w:r>
        <w:rPr>
          <w:rFonts w:hint="eastAsia" w:ascii="宋体" w:hAnsi="宋体" w:eastAsia="宋体" w:cs="宋体"/>
          <w:color w:val="auto"/>
          <w:szCs w:val="21"/>
        </w:rPr>
        <w:t>30.3无效投标或废标条款</w:t>
      </w:r>
      <w:bookmarkEnd w:id="61"/>
    </w:p>
    <w:p w14:paraId="3FBE6A02">
      <w:pPr>
        <w:pStyle w:val="20"/>
        <w:spacing w:line="380" w:lineRule="exact"/>
        <w:ind w:firstLine="420"/>
        <w:rPr>
          <w:rFonts w:ascii="宋体" w:hAnsi="宋体" w:eastAsia="宋体" w:cs="宋体"/>
          <w:color w:val="auto"/>
          <w:szCs w:val="21"/>
        </w:rPr>
      </w:pPr>
      <w:r>
        <w:rPr>
          <w:rFonts w:hint="eastAsia" w:ascii="宋体" w:hAnsi="宋体" w:eastAsia="宋体" w:cs="宋体"/>
          <w:color w:val="auto"/>
          <w:szCs w:val="21"/>
        </w:rPr>
        <w:t>30.3.1投标文件属下列情况之一的，按无效投标处理：</w:t>
      </w:r>
    </w:p>
    <w:p w14:paraId="0C83DCF3">
      <w:pPr>
        <w:pStyle w:val="20"/>
        <w:spacing w:line="380" w:lineRule="exact"/>
        <w:ind w:firstLine="426"/>
        <w:rPr>
          <w:rFonts w:ascii="宋体" w:hAnsi="宋体" w:eastAsia="宋体" w:cs="宋体"/>
          <w:color w:val="auto"/>
          <w:szCs w:val="21"/>
        </w:rPr>
      </w:pPr>
      <w:r>
        <w:rPr>
          <w:rFonts w:hint="eastAsia" w:ascii="宋体" w:hAnsi="宋体" w:eastAsia="宋体" w:cs="宋体"/>
          <w:color w:val="auto"/>
          <w:szCs w:val="21"/>
        </w:rPr>
        <w:t>(1)未按照招标文件规定要求密封、签署、盖章的；</w:t>
      </w:r>
    </w:p>
    <w:p w14:paraId="62065740">
      <w:pPr>
        <w:pStyle w:val="20"/>
        <w:spacing w:line="380" w:lineRule="exact"/>
        <w:ind w:firstLine="420" w:firstLineChars="200"/>
        <w:rPr>
          <w:rFonts w:ascii="宋体" w:hAnsi="宋体" w:eastAsia="宋体" w:cs="宋体"/>
          <w:color w:val="auto"/>
          <w:szCs w:val="21"/>
        </w:rPr>
      </w:pPr>
      <w:r>
        <w:rPr>
          <w:rFonts w:hint="eastAsia" w:ascii="宋体" w:hAnsi="宋体" w:eastAsia="宋体" w:cs="宋体"/>
          <w:color w:val="auto"/>
          <w:szCs w:val="21"/>
        </w:rPr>
        <w:t>(2)不具备招标文件中规定资格要求的；</w:t>
      </w:r>
    </w:p>
    <w:p w14:paraId="32E9C5B6">
      <w:pPr>
        <w:pStyle w:val="20"/>
        <w:spacing w:line="380" w:lineRule="exact"/>
        <w:ind w:firstLine="420" w:firstLineChars="200"/>
        <w:rPr>
          <w:rFonts w:ascii="宋体" w:hAnsi="宋体" w:eastAsia="宋体" w:cs="宋体"/>
          <w:color w:val="auto"/>
          <w:szCs w:val="21"/>
        </w:rPr>
      </w:pPr>
      <w:r>
        <w:rPr>
          <w:rFonts w:hint="eastAsia" w:ascii="宋体" w:hAnsi="宋体" w:eastAsia="宋体" w:cs="宋体"/>
          <w:color w:val="auto"/>
          <w:szCs w:val="21"/>
        </w:rPr>
        <w:t>(3)不符合法律、法规和招标文件中规定的实质性要求的；</w:t>
      </w:r>
    </w:p>
    <w:p w14:paraId="23269D73">
      <w:pPr>
        <w:pStyle w:val="20"/>
        <w:tabs>
          <w:tab w:val="left" w:pos="540"/>
        </w:tabs>
        <w:spacing w:line="380" w:lineRule="exact"/>
        <w:ind w:firstLine="420"/>
        <w:rPr>
          <w:rFonts w:ascii="宋体" w:hAnsi="宋体" w:eastAsia="宋体" w:cs="宋体"/>
          <w:color w:val="auto"/>
          <w:szCs w:val="21"/>
        </w:rPr>
      </w:pPr>
      <w:r>
        <w:rPr>
          <w:rFonts w:hint="eastAsia" w:ascii="宋体" w:hAnsi="宋体" w:eastAsia="宋体" w:cs="宋体"/>
          <w:color w:val="auto"/>
          <w:szCs w:val="21"/>
        </w:rPr>
        <w:t>30.3.2投标过程中有下列情形之一者，应予废标：</w:t>
      </w:r>
    </w:p>
    <w:p w14:paraId="5843086E">
      <w:pPr>
        <w:pStyle w:val="20"/>
        <w:tabs>
          <w:tab w:val="left" w:pos="540"/>
        </w:tabs>
        <w:spacing w:line="380" w:lineRule="exact"/>
        <w:ind w:firstLine="420" w:firstLineChars="200"/>
        <w:rPr>
          <w:rFonts w:ascii="宋体" w:hAnsi="宋体" w:eastAsia="宋体" w:cs="宋体"/>
          <w:color w:val="auto"/>
          <w:szCs w:val="21"/>
        </w:rPr>
      </w:pPr>
      <w:r>
        <w:rPr>
          <w:rFonts w:hint="eastAsia" w:ascii="宋体" w:hAnsi="宋体" w:eastAsia="宋体" w:cs="宋体"/>
          <w:color w:val="auto"/>
          <w:szCs w:val="21"/>
        </w:rPr>
        <w:t>(1)出现影响投标公正的违法、违规行为的；</w:t>
      </w:r>
    </w:p>
    <w:p w14:paraId="4E1D1F0C">
      <w:pPr>
        <w:pStyle w:val="20"/>
        <w:tabs>
          <w:tab w:val="left" w:pos="540"/>
        </w:tabs>
        <w:spacing w:line="380" w:lineRule="exact"/>
        <w:ind w:firstLine="420" w:firstLineChars="200"/>
        <w:rPr>
          <w:rFonts w:ascii="宋体" w:hAnsi="宋体" w:eastAsia="宋体" w:cs="宋体"/>
          <w:color w:val="auto"/>
          <w:szCs w:val="21"/>
        </w:rPr>
      </w:pPr>
      <w:r>
        <w:rPr>
          <w:rFonts w:hint="eastAsia" w:ascii="宋体" w:hAnsi="宋体" w:eastAsia="宋体" w:cs="宋体"/>
          <w:color w:val="auto"/>
          <w:szCs w:val="21"/>
        </w:rPr>
        <w:t>(2)投标人的全部投标报价均超过了招标预算，建设单位不能支付的；</w:t>
      </w:r>
    </w:p>
    <w:p w14:paraId="5A332848">
      <w:pPr>
        <w:pStyle w:val="20"/>
        <w:spacing w:line="380" w:lineRule="exact"/>
        <w:ind w:firstLine="420" w:firstLineChars="200"/>
        <w:rPr>
          <w:rFonts w:ascii="宋体" w:hAnsi="宋体" w:eastAsia="宋体" w:cs="宋体"/>
          <w:color w:val="auto"/>
        </w:rPr>
      </w:pPr>
      <w:r>
        <w:rPr>
          <w:rFonts w:hint="eastAsia" w:ascii="宋体" w:hAnsi="宋体" w:eastAsia="宋体" w:cs="宋体"/>
          <w:color w:val="auto"/>
          <w:szCs w:val="21"/>
        </w:rPr>
        <w:t>(3)因重大变故，投标任务取消的。</w:t>
      </w:r>
    </w:p>
    <w:p w14:paraId="5CC214E5">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（4）符合专业条件的供应商或者对招标文件作实质响应的供应商不足三家的；</w:t>
      </w:r>
    </w:p>
    <w:p w14:paraId="23A4C641">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废标后，采购人应当将废标理由通知所有投标人。</w:t>
      </w:r>
    </w:p>
    <w:p w14:paraId="503EFFB2">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30.4 中标人拒绝签订政府采购合同（包括但不限于放弃中标、因不可抗力不能履行合同而放弃签订合同），采购人可以按照评审报告推荐的中标候选人名单排序，确定下一候选人为中标供应商，也可以重新开展政府采购活动。拒绝签订政府采购合同的中标人不得参加对该项目重新开展的采购活动。</w:t>
      </w:r>
    </w:p>
    <w:p w14:paraId="36A715E2">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31. 结果公告</w:t>
      </w:r>
    </w:p>
    <w:p w14:paraId="1E7CCD68">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31.1采购人或者采购代理机构应当自中标人确定之日起2个工作日内，在省级以上财政部门指定的媒体上公告中标结果，招标文件应当随中标结果同时公告。</w:t>
      </w:r>
      <w:r>
        <w:rPr>
          <w:rFonts w:hint="eastAsia" w:ascii="宋体" w:hAnsi="宋体" w:eastAsia="宋体" w:cs="宋体"/>
          <w:color w:val="auto"/>
          <w:sz w:val="21"/>
          <w:szCs w:val="21"/>
        </w:rPr>
        <w:t>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eastAsia="宋体" w:cs="宋体"/>
          <w:b w:val="0"/>
          <w:color w:val="auto"/>
          <w:sz w:val="21"/>
          <w:szCs w:val="21"/>
        </w:rPr>
        <w:t>排名第二的中标候选人因前款规定的同样原因被取消中标资格的，采购人可以确定排名第三的中标候选人为中标人，以此类推。以上信息查询记录及相关证据与采购文件一并保存。</w:t>
      </w:r>
    </w:p>
    <w:p w14:paraId="4B7DD6C0">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31.2中标供应商享受《政府采购促进中小企业发展管理办法》（财库〔2020〕46号）规定的中小企业扶持政策的，采购人、采购代理机构应当随中标结果公开中标供应商的《中小企业声明函》。</w:t>
      </w:r>
    </w:p>
    <w:p w14:paraId="687C157F">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32.发出中标通知书</w:t>
      </w:r>
    </w:p>
    <w:p w14:paraId="6EE5998E">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在公告中标结果的同时，采购代理机构向中标人发出中标通知书。对未通过资格审查的投标人，应当告知其未通过的原因；采用综合评分办法评审的，还应当告知未中标人本人的评审得分与排序。</w:t>
      </w:r>
    </w:p>
    <w:p w14:paraId="56CE1708">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33. 投标文件的退还</w:t>
      </w:r>
    </w:p>
    <w:p w14:paraId="25159B23">
      <w:pPr>
        <w:pStyle w:val="6"/>
        <w:keepNext w:val="0"/>
        <w:keepLines w:val="0"/>
        <w:spacing w:before="0" w:after="0" w:line="360" w:lineRule="auto"/>
        <w:ind w:firstLine="420" w:firstLineChars="200"/>
        <w:rPr>
          <w:rFonts w:ascii="宋体" w:hAnsi="宋体" w:eastAsia="宋体" w:cs="宋体"/>
          <w:b w:val="0"/>
          <w:bCs w:val="0"/>
          <w:color w:val="auto"/>
          <w:sz w:val="21"/>
          <w:szCs w:val="21"/>
        </w:rPr>
      </w:pPr>
      <w:r>
        <w:rPr>
          <w:rFonts w:hint="eastAsia" w:ascii="宋体" w:hAnsi="宋体" w:eastAsia="宋体" w:cs="宋体"/>
          <w:b w:val="0"/>
          <w:bCs w:val="0"/>
          <w:color w:val="auto"/>
          <w:sz w:val="21"/>
          <w:szCs w:val="21"/>
        </w:rPr>
        <w:t>投标人的投标文件不予退还。</w:t>
      </w:r>
    </w:p>
    <w:p w14:paraId="12D557CE">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34.合同授予标准</w:t>
      </w:r>
    </w:p>
    <w:p w14:paraId="1811DE62">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合同将授予被确定实质上响应招标文件要求，具备履行合同能力的中标人（招标文件另有约定多名中标人的除外）。</w:t>
      </w:r>
    </w:p>
    <w:p w14:paraId="64D82154">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35.履约保证金</w:t>
      </w:r>
    </w:p>
    <w:p w14:paraId="122E76FE">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35.1 履约保证金的金额、提交方式、退付的时间和条件详见 “投标人须知前附表”。中标人未按规定提交履约保证金的，视为拒绝与采购人签订合同。</w:t>
      </w:r>
    </w:p>
    <w:p w14:paraId="0CC667E3">
      <w:pPr>
        <w:pStyle w:val="6"/>
        <w:keepNext w:val="0"/>
        <w:keepLines w:val="0"/>
        <w:spacing w:before="0" w:after="0" w:line="360" w:lineRule="auto"/>
        <w:ind w:firstLine="316" w:firstLineChars="150"/>
        <w:rPr>
          <w:rFonts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b w:val="0"/>
          <w:color w:val="auto"/>
          <w:sz w:val="21"/>
          <w:szCs w:val="21"/>
        </w:rPr>
        <w:t>35.2在履约保证金退还日期前，若中标人的开户名称、开户银行、账号有变动的，请以书面形式通知履约保证金收取单位，否则由此产生的后果由中标人自行承担。</w:t>
      </w:r>
    </w:p>
    <w:p w14:paraId="0F694092">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36.签订合同</w:t>
      </w:r>
    </w:p>
    <w:p w14:paraId="28C2A0BE">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36.1投标人领取中标通知书（书面或电子）后，按“投标人须知前附表”规定向采购人出示相关证明材料，经采购人核验合格后方可签订采购合同（书面或电子）。如中标人为联合体的，联合体各方应当共同与采购人签订采购合同，就采购合同约定的事项对采购人承担连带责任。</w:t>
      </w:r>
    </w:p>
    <w:p w14:paraId="50310BF0">
      <w:pPr>
        <w:pStyle w:val="6"/>
        <w:keepNext w:val="0"/>
        <w:keepLines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36.2签订合同时间：按中标通知书规定的时间与采购人签订合同（最长不能超过25日）。</w:t>
      </w:r>
    </w:p>
    <w:p w14:paraId="3DE8B2AD">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36.3中标人拒绝与采购人签订合同的，按照本须知正文第30.4条的规定执行。</w:t>
      </w:r>
    </w:p>
    <w:p w14:paraId="11F747F7">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37.政府采购合同公告</w:t>
      </w:r>
    </w:p>
    <w:p w14:paraId="50680FF5">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采购人或者受托采购代理机构应当自政府采购合同签订之日起2个工作日内，将政府采购合同在省级以上人民政府财政部门指定的媒体上公告，但政府采购合同中涉及国家秘密、商业秘密的内容除外。</w:t>
      </w:r>
    </w:p>
    <w:p w14:paraId="1A5198F7">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38. 询问、质疑和投诉</w:t>
      </w:r>
    </w:p>
    <w:p w14:paraId="76F92E6C">
      <w:pPr>
        <w:pStyle w:val="7"/>
        <w:spacing w:line="360" w:lineRule="auto"/>
        <w:rPr>
          <w:rFonts w:ascii="宋体" w:hAnsi="宋体" w:eastAsia="宋体" w:cs="宋体"/>
          <w:color w:val="auto"/>
          <w:szCs w:val="21"/>
        </w:rPr>
      </w:pPr>
      <w:r>
        <w:rPr>
          <w:rFonts w:hint="eastAsia" w:ascii="宋体" w:hAnsi="宋体" w:eastAsia="宋体" w:cs="宋体"/>
          <w:color w:val="auto"/>
          <w:szCs w:val="21"/>
        </w:rPr>
        <w:t>38.1供应商对政府采购活动事项有疑问的，可以向采购人提出询问，采购人或者采购代理机构应当在3个工作日内对供应商依法提出的询问作出答复，但答复的内容不得涉及商业秘密。</w:t>
      </w:r>
    </w:p>
    <w:p w14:paraId="05BC0D99">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38.2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C2F7A72">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（1）对可以质疑的招标文件提出质疑的，为收到招标文件之日或者招标文件公告期限届满之日；</w:t>
      </w:r>
    </w:p>
    <w:p w14:paraId="072F0CA7">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（2）对采购过程提出质疑的，为各采购程序环节结束之日；</w:t>
      </w:r>
    </w:p>
    <w:p w14:paraId="1FA67B24">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color w:val="auto"/>
        </w:rPr>
        <w:t>（3）对中标结果提出质疑的，为中标结果公告期限届满之日。</w:t>
      </w:r>
    </w:p>
    <w:p w14:paraId="3C59B358">
      <w:pPr>
        <w:pStyle w:val="6"/>
        <w:keepNext w:val="0"/>
        <w:keepLines w:val="0"/>
        <w:spacing w:before="0" w:after="0" w:line="360" w:lineRule="auto"/>
        <w:ind w:firstLine="315" w:firstLineChars="15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38.3 </w:t>
      </w:r>
      <w:r>
        <w:rPr>
          <w:rFonts w:hint="eastAsia" w:ascii="宋体" w:hAnsi="宋体" w:eastAsia="宋体" w:cs="宋体"/>
          <w:color w:val="auto"/>
          <w:sz w:val="21"/>
        </w:rPr>
        <w:t>供应商提出质疑应当提交质疑函和必要的证明材料，针对同一采购程序环节的质疑必须在法定质疑期内一次性提出。质疑函应当包括下列内容（质疑函格式后附）：</w:t>
      </w:r>
    </w:p>
    <w:p w14:paraId="2A6BBD17">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bCs/>
          <w:color w:val="auto"/>
        </w:rPr>
        <w:t>（1）供应商的姓名或者名称、地址、邮编、联系人及联系电话；</w:t>
      </w:r>
    </w:p>
    <w:p w14:paraId="5325AE3D">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bCs/>
          <w:color w:val="auto"/>
        </w:rPr>
        <w:t>（2）质疑项目的名称、编号；</w:t>
      </w:r>
    </w:p>
    <w:p w14:paraId="4F52282B">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bCs/>
          <w:color w:val="auto"/>
        </w:rPr>
        <w:t>（3）具体、明确的质疑事项和与质疑事项相关的请求；</w:t>
      </w:r>
    </w:p>
    <w:p w14:paraId="698CF1DD">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bCs/>
          <w:color w:val="auto"/>
        </w:rPr>
        <w:t>（4）事实依据；</w:t>
      </w:r>
    </w:p>
    <w:p w14:paraId="7AE4B985">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bCs/>
          <w:color w:val="auto"/>
        </w:rPr>
        <w:t>（5）必要的法律依据；</w:t>
      </w:r>
    </w:p>
    <w:p w14:paraId="0624C0D7">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bCs/>
          <w:color w:val="auto"/>
        </w:rPr>
        <w:t>（6）提出质疑的日期。</w:t>
      </w:r>
    </w:p>
    <w:p w14:paraId="7AC93477">
      <w:pPr>
        <w:pStyle w:val="20"/>
        <w:snapToGrid w:val="0"/>
        <w:spacing w:line="360" w:lineRule="auto"/>
        <w:ind w:firstLine="420" w:firstLineChars="200"/>
        <w:rPr>
          <w:rFonts w:ascii="宋体" w:hAnsi="宋体" w:eastAsia="宋体" w:cs="宋体"/>
          <w:bCs/>
          <w:color w:val="auto"/>
        </w:rPr>
      </w:pPr>
      <w:r>
        <w:rPr>
          <w:rFonts w:hint="eastAsia" w:ascii="宋体" w:hAnsi="宋体" w:eastAsia="宋体" w:cs="宋体"/>
          <w:bCs/>
          <w:color w:val="auto"/>
        </w:rPr>
        <w:t>供应商为自然人的，应当由本人签字；供应商为法人或者其他组织的，应当由法定代表人、主要负责人，或者其委托代理人签字或者盖章，并加盖公章。</w:t>
      </w:r>
    </w:p>
    <w:p w14:paraId="53D409B1">
      <w:pPr>
        <w:pStyle w:val="6"/>
        <w:keepNext w:val="0"/>
        <w:keepLines w:val="0"/>
        <w:snapToGrid w:val="0"/>
        <w:spacing w:before="0" w:after="0" w:line="360" w:lineRule="auto"/>
        <w:ind w:firstLine="420" w:firstLineChars="200"/>
        <w:rPr>
          <w:rFonts w:ascii="宋体" w:hAnsi="宋体" w:eastAsia="宋体" w:cs="宋体"/>
          <w:b w:val="0"/>
          <w:color w:val="auto"/>
          <w:sz w:val="21"/>
          <w:szCs w:val="21"/>
        </w:rPr>
      </w:pPr>
      <w:r>
        <w:rPr>
          <w:rFonts w:hint="eastAsia" w:ascii="宋体" w:hAnsi="宋体" w:eastAsia="宋体" w:cs="宋体"/>
          <w:b w:val="0"/>
          <w:color w:val="auto"/>
          <w:sz w:val="21"/>
          <w:szCs w:val="21"/>
        </w:rPr>
        <w:t>38.4采购人、采购代理机构认为供应商质疑不成立，或者成立但未对中标结果构成影响的，继续开展采购活动；认为供应商质疑成立且影响或者可能影响中标结果的，按照下列情况处理：</w:t>
      </w:r>
    </w:p>
    <w:p w14:paraId="00AD31BC">
      <w:pPr>
        <w:pStyle w:val="20"/>
        <w:snapToGrid w:val="0"/>
        <w:spacing w:line="360" w:lineRule="auto"/>
        <w:rPr>
          <w:rFonts w:ascii="宋体" w:hAnsi="宋体" w:eastAsia="宋体" w:cs="宋体"/>
          <w:bCs/>
          <w:color w:val="auto"/>
        </w:rPr>
      </w:pPr>
      <w:r>
        <w:rPr>
          <w:rFonts w:hint="eastAsia" w:ascii="宋体" w:hAnsi="宋体" w:eastAsia="宋体" w:cs="宋体"/>
          <w:bCs/>
          <w:color w:val="auto"/>
        </w:rPr>
        <w:t>　　（1）对招标文件提出的质疑，依法通过澄清或者修改可以继续开展采购活动的，澄清或者修改招标文件后继续开展采购活动；否则应当修改招标文件后重新开展采购活动。</w:t>
      </w:r>
    </w:p>
    <w:p w14:paraId="5F47DF54">
      <w:pPr>
        <w:pStyle w:val="20"/>
        <w:snapToGrid w:val="0"/>
        <w:spacing w:line="360" w:lineRule="auto"/>
        <w:rPr>
          <w:rFonts w:ascii="宋体" w:hAnsi="宋体" w:eastAsia="宋体" w:cs="宋体"/>
          <w:bCs/>
          <w:color w:val="auto"/>
        </w:rPr>
      </w:pPr>
      <w:r>
        <w:rPr>
          <w:rFonts w:hint="eastAsia" w:ascii="宋体" w:hAnsi="宋体" w:eastAsia="宋体" w:cs="宋体"/>
          <w:bCs/>
          <w:color w:val="auto"/>
        </w:rPr>
        <w:t>　　（2）对采购过程、中标结果提出的质疑，合格供应商符合法定数量时，可以从合格的中标候选人中另行确定中标供应商的，应当依法另行确定中标供应商；否则应当重新开展采购活动。</w:t>
      </w:r>
    </w:p>
    <w:p w14:paraId="6CC6395E">
      <w:pPr>
        <w:pStyle w:val="20"/>
        <w:snapToGrid w:val="0"/>
        <w:spacing w:line="360" w:lineRule="auto"/>
        <w:ind w:firstLine="420"/>
        <w:rPr>
          <w:rFonts w:ascii="宋体" w:hAnsi="宋体" w:eastAsia="宋体" w:cs="宋体"/>
          <w:bCs/>
          <w:color w:val="auto"/>
        </w:rPr>
      </w:pPr>
      <w:r>
        <w:rPr>
          <w:rFonts w:hint="eastAsia" w:ascii="宋体" w:hAnsi="宋体" w:eastAsia="宋体" w:cs="宋体"/>
          <w:bCs/>
          <w:color w:val="auto"/>
        </w:rPr>
        <w:t>质疑答复导致中标结果改变的，采购人或者采购代理机构应当将有关情况书面报告本级财政部门。</w:t>
      </w:r>
    </w:p>
    <w:p w14:paraId="23103109">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38.5质疑供应商对采购人、采购代理机构的答复不满意，或者采购人、采购代理机构未在规定时间内作出答复的，可以在答复期满后15个工作日内向《政府采购质疑和投诉办法》（财政部令第94号）第六条规定的财政部门（</w:t>
      </w:r>
      <w:r>
        <w:rPr>
          <w:rFonts w:hint="eastAsia" w:ascii="宋体" w:hAnsi="宋体" w:eastAsia="宋体" w:cs="宋体"/>
          <w:color w:val="auto"/>
          <w:szCs w:val="21"/>
        </w:rPr>
        <w:t>广西壮族自治区财政厅政府采购监督管理处</w:t>
      </w:r>
      <w:r>
        <w:rPr>
          <w:rFonts w:hint="eastAsia" w:ascii="宋体" w:hAnsi="宋体" w:eastAsia="宋体" w:cs="宋体"/>
          <w:color w:val="auto"/>
        </w:rPr>
        <w:t>）提起投诉（投诉书格式后附）。</w:t>
      </w:r>
    </w:p>
    <w:p w14:paraId="47D676CF">
      <w:pPr>
        <w:pStyle w:val="4"/>
        <w:keepNext w:val="0"/>
        <w:keepLines w:val="0"/>
        <w:jc w:val="center"/>
        <w:rPr>
          <w:rFonts w:ascii="宋体" w:hAnsi="宋体" w:eastAsia="宋体" w:cs="宋体"/>
          <w:color w:val="auto"/>
        </w:rPr>
      </w:pPr>
      <w:r>
        <w:rPr>
          <w:rFonts w:hint="eastAsia" w:ascii="宋体" w:hAnsi="宋体" w:eastAsia="宋体" w:cs="宋体"/>
          <w:color w:val="auto"/>
        </w:rPr>
        <w:t>八、其他事项</w:t>
      </w:r>
    </w:p>
    <w:p w14:paraId="12EEF4E3">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39.代理服务费</w:t>
      </w:r>
    </w:p>
    <w:p w14:paraId="4293155B">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39.1代理服务收取标准及缴费账户详见“投标人须知前附表”，投标人为联合体的，可以由联合体中的一方或者多方共同缴纳代理服务费。</w:t>
      </w:r>
    </w:p>
    <w:p w14:paraId="19A7CAC8">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39.2代理服务收费标准：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7"/>
        <w:gridCol w:w="1714"/>
        <w:gridCol w:w="1743"/>
        <w:gridCol w:w="1714"/>
      </w:tblGrid>
      <w:tr w14:paraId="12E4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3587" w:type="dxa"/>
            <w:tcBorders>
              <w:tl2br w:val="single" w:color="auto" w:sz="4" w:space="0"/>
            </w:tcBorders>
          </w:tcPr>
          <w:p w14:paraId="46FD187E">
            <w:pPr>
              <w:spacing w:line="360" w:lineRule="auto"/>
              <w:rPr>
                <w:rFonts w:ascii="宋体" w:hAnsi="宋体" w:eastAsia="宋体" w:cs="宋体"/>
                <w:color w:val="auto"/>
                <w:szCs w:val="21"/>
              </w:rPr>
            </w:pPr>
            <w:r>
              <w:rPr>
                <w:rFonts w:hint="eastAsia" w:ascii="宋体" w:hAnsi="宋体" w:eastAsia="宋体" w:cs="宋体"/>
                <w:color w:val="auto"/>
                <w:szCs w:val="21"/>
              </w:rPr>
              <w:t xml:space="preserve">               费率</w:t>
            </w:r>
          </w:p>
          <w:p w14:paraId="3CBAE8D9">
            <w:pPr>
              <w:spacing w:line="360" w:lineRule="auto"/>
              <w:rPr>
                <w:rFonts w:ascii="宋体" w:hAnsi="宋体" w:eastAsia="宋体" w:cs="宋体"/>
                <w:color w:val="auto"/>
                <w:szCs w:val="21"/>
              </w:rPr>
            </w:pPr>
            <w:r>
              <w:rPr>
                <w:rFonts w:hint="eastAsia" w:ascii="宋体" w:hAnsi="宋体" w:eastAsia="宋体" w:cs="宋体"/>
                <w:color w:val="auto"/>
                <w:szCs w:val="21"/>
              </w:rPr>
              <w:t>中标金额</w:t>
            </w:r>
          </w:p>
        </w:tc>
        <w:tc>
          <w:tcPr>
            <w:tcW w:w="1714" w:type="dxa"/>
            <w:vAlign w:val="center"/>
          </w:tcPr>
          <w:p w14:paraId="456D248B">
            <w:pPr>
              <w:spacing w:line="360" w:lineRule="auto"/>
              <w:ind w:firstLine="105" w:firstLineChars="50"/>
              <w:jc w:val="center"/>
              <w:rPr>
                <w:rFonts w:ascii="宋体" w:hAnsi="宋体" w:eastAsia="宋体" w:cs="宋体"/>
                <w:color w:val="auto"/>
                <w:szCs w:val="21"/>
              </w:rPr>
            </w:pPr>
            <w:r>
              <w:rPr>
                <w:rFonts w:hint="eastAsia" w:ascii="宋体" w:hAnsi="宋体" w:eastAsia="宋体" w:cs="宋体"/>
                <w:color w:val="auto"/>
                <w:szCs w:val="21"/>
              </w:rPr>
              <w:t>货物招标</w:t>
            </w:r>
          </w:p>
        </w:tc>
        <w:tc>
          <w:tcPr>
            <w:tcW w:w="1743" w:type="dxa"/>
            <w:vAlign w:val="center"/>
          </w:tcPr>
          <w:p w14:paraId="2B116628">
            <w:pPr>
              <w:spacing w:line="360" w:lineRule="auto"/>
              <w:jc w:val="center"/>
              <w:rPr>
                <w:rFonts w:ascii="宋体" w:hAnsi="宋体" w:eastAsia="宋体" w:cs="宋体"/>
                <w:color w:val="auto"/>
                <w:szCs w:val="21"/>
              </w:rPr>
            </w:pPr>
            <w:r>
              <w:rPr>
                <w:rFonts w:hint="eastAsia" w:ascii="宋体" w:hAnsi="宋体" w:eastAsia="宋体" w:cs="宋体"/>
                <w:color w:val="auto"/>
                <w:szCs w:val="21"/>
              </w:rPr>
              <w:t>服务招标</w:t>
            </w:r>
          </w:p>
        </w:tc>
        <w:tc>
          <w:tcPr>
            <w:tcW w:w="1714" w:type="dxa"/>
            <w:vAlign w:val="center"/>
          </w:tcPr>
          <w:p w14:paraId="5EA88742">
            <w:pPr>
              <w:spacing w:line="360" w:lineRule="auto"/>
              <w:jc w:val="center"/>
              <w:rPr>
                <w:rFonts w:ascii="宋体" w:hAnsi="宋体" w:eastAsia="宋体" w:cs="宋体"/>
                <w:color w:val="auto"/>
                <w:szCs w:val="21"/>
              </w:rPr>
            </w:pPr>
            <w:r>
              <w:rPr>
                <w:rFonts w:hint="eastAsia" w:ascii="宋体" w:hAnsi="宋体" w:eastAsia="宋体" w:cs="宋体"/>
                <w:color w:val="auto"/>
                <w:szCs w:val="21"/>
              </w:rPr>
              <w:t>工程招标</w:t>
            </w:r>
          </w:p>
        </w:tc>
      </w:tr>
      <w:tr w14:paraId="33D3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53305E8A">
            <w:pPr>
              <w:spacing w:line="360" w:lineRule="auto"/>
              <w:jc w:val="center"/>
              <w:rPr>
                <w:rFonts w:ascii="宋体" w:hAnsi="宋体" w:eastAsia="宋体" w:cs="宋体"/>
                <w:color w:val="auto"/>
                <w:szCs w:val="21"/>
              </w:rPr>
            </w:pPr>
            <w:r>
              <w:rPr>
                <w:rFonts w:hint="eastAsia" w:ascii="宋体" w:hAnsi="宋体" w:eastAsia="宋体" w:cs="宋体"/>
                <w:color w:val="auto"/>
                <w:szCs w:val="21"/>
              </w:rPr>
              <w:t>100万元以下</w:t>
            </w:r>
          </w:p>
        </w:tc>
        <w:tc>
          <w:tcPr>
            <w:tcW w:w="1714" w:type="dxa"/>
          </w:tcPr>
          <w:p w14:paraId="6A85093D">
            <w:pPr>
              <w:spacing w:line="360" w:lineRule="auto"/>
              <w:jc w:val="center"/>
              <w:rPr>
                <w:rFonts w:ascii="宋体" w:hAnsi="宋体" w:eastAsia="宋体" w:cs="宋体"/>
                <w:color w:val="auto"/>
                <w:szCs w:val="21"/>
              </w:rPr>
            </w:pPr>
            <w:r>
              <w:rPr>
                <w:rFonts w:hint="eastAsia" w:ascii="宋体" w:hAnsi="宋体" w:eastAsia="宋体" w:cs="宋体"/>
                <w:color w:val="auto"/>
                <w:kern w:val="0"/>
                <w:szCs w:val="21"/>
              </w:rPr>
              <w:t>1.5%</w:t>
            </w:r>
          </w:p>
        </w:tc>
        <w:tc>
          <w:tcPr>
            <w:tcW w:w="1743" w:type="dxa"/>
          </w:tcPr>
          <w:p w14:paraId="38E45767">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1.5%</w:t>
            </w:r>
          </w:p>
        </w:tc>
        <w:tc>
          <w:tcPr>
            <w:tcW w:w="1714" w:type="dxa"/>
          </w:tcPr>
          <w:p w14:paraId="62FCBD5B">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1.0%</w:t>
            </w:r>
          </w:p>
        </w:tc>
      </w:tr>
      <w:tr w14:paraId="646E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2B6736BD">
            <w:pPr>
              <w:spacing w:line="360" w:lineRule="auto"/>
              <w:jc w:val="center"/>
              <w:rPr>
                <w:rFonts w:ascii="宋体" w:hAnsi="宋体" w:eastAsia="宋体" w:cs="宋体"/>
                <w:color w:val="auto"/>
                <w:szCs w:val="21"/>
              </w:rPr>
            </w:pPr>
            <w:r>
              <w:rPr>
                <w:rFonts w:hint="eastAsia" w:ascii="宋体" w:hAnsi="宋体" w:eastAsia="宋体" w:cs="宋体"/>
                <w:color w:val="auto"/>
                <w:szCs w:val="21"/>
              </w:rPr>
              <w:t>100～500万元</w:t>
            </w:r>
          </w:p>
        </w:tc>
        <w:tc>
          <w:tcPr>
            <w:tcW w:w="1714" w:type="dxa"/>
          </w:tcPr>
          <w:p w14:paraId="2E07A7D8">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1.1%</w:t>
            </w:r>
          </w:p>
        </w:tc>
        <w:tc>
          <w:tcPr>
            <w:tcW w:w="1743" w:type="dxa"/>
          </w:tcPr>
          <w:p w14:paraId="385D152F">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0.8%</w:t>
            </w:r>
          </w:p>
        </w:tc>
        <w:tc>
          <w:tcPr>
            <w:tcW w:w="1714" w:type="dxa"/>
          </w:tcPr>
          <w:p w14:paraId="02BE50B6">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0.7%</w:t>
            </w:r>
          </w:p>
        </w:tc>
      </w:tr>
      <w:tr w14:paraId="53CA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2599EE44">
            <w:pPr>
              <w:spacing w:line="360" w:lineRule="auto"/>
              <w:jc w:val="center"/>
              <w:rPr>
                <w:rFonts w:ascii="宋体" w:hAnsi="宋体" w:eastAsia="宋体" w:cs="宋体"/>
                <w:color w:val="auto"/>
                <w:szCs w:val="21"/>
              </w:rPr>
            </w:pPr>
            <w:r>
              <w:rPr>
                <w:rFonts w:hint="eastAsia" w:ascii="宋体" w:hAnsi="宋体" w:eastAsia="宋体" w:cs="宋体"/>
                <w:color w:val="auto"/>
                <w:szCs w:val="21"/>
              </w:rPr>
              <w:t>500～1000万元</w:t>
            </w:r>
          </w:p>
        </w:tc>
        <w:tc>
          <w:tcPr>
            <w:tcW w:w="1714" w:type="dxa"/>
          </w:tcPr>
          <w:p w14:paraId="5C6C3055">
            <w:pPr>
              <w:spacing w:line="360" w:lineRule="auto"/>
              <w:jc w:val="center"/>
              <w:rPr>
                <w:rFonts w:ascii="宋体" w:hAnsi="宋体" w:eastAsia="宋体" w:cs="宋体"/>
                <w:color w:val="auto"/>
                <w:szCs w:val="21"/>
              </w:rPr>
            </w:pPr>
            <w:r>
              <w:rPr>
                <w:rFonts w:hint="eastAsia" w:ascii="宋体" w:hAnsi="宋体" w:eastAsia="宋体" w:cs="宋体"/>
                <w:color w:val="auto"/>
                <w:kern w:val="0"/>
                <w:szCs w:val="21"/>
              </w:rPr>
              <w:t>0.8%</w:t>
            </w:r>
          </w:p>
        </w:tc>
        <w:tc>
          <w:tcPr>
            <w:tcW w:w="1743" w:type="dxa"/>
          </w:tcPr>
          <w:p w14:paraId="78F2B1E1">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0.45%</w:t>
            </w:r>
          </w:p>
        </w:tc>
        <w:tc>
          <w:tcPr>
            <w:tcW w:w="1714" w:type="dxa"/>
          </w:tcPr>
          <w:p w14:paraId="292FF4B4">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0.55%</w:t>
            </w:r>
          </w:p>
        </w:tc>
      </w:tr>
      <w:tr w14:paraId="1975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6B02F5D1">
            <w:pPr>
              <w:spacing w:line="360" w:lineRule="auto"/>
              <w:jc w:val="center"/>
              <w:rPr>
                <w:rFonts w:ascii="宋体" w:hAnsi="宋体" w:eastAsia="宋体" w:cs="宋体"/>
                <w:color w:val="auto"/>
                <w:szCs w:val="21"/>
              </w:rPr>
            </w:pPr>
            <w:r>
              <w:rPr>
                <w:rFonts w:hint="eastAsia" w:ascii="宋体" w:hAnsi="宋体" w:eastAsia="宋体" w:cs="宋体"/>
                <w:color w:val="auto"/>
                <w:szCs w:val="21"/>
              </w:rPr>
              <w:t>1000～5000万元</w:t>
            </w:r>
          </w:p>
        </w:tc>
        <w:tc>
          <w:tcPr>
            <w:tcW w:w="1714" w:type="dxa"/>
          </w:tcPr>
          <w:p w14:paraId="723496DE">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0.5%</w:t>
            </w:r>
          </w:p>
        </w:tc>
        <w:tc>
          <w:tcPr>
            <w:tcW w:w="1743" w:type="dxa"/>
          </w:tcPr>
          <w:p w14:paraId="19CD1A63">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0.25%</w:t>
            </w:r>
          </w:p>
        </w:tc>
        <w:tc>
          <w:tcPr>
            <w:tcW w:w="1714" w:type="dxa"/>
          </w:tcPr>
          <w:p w14:paraId="05C0130D">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0.35%</w:t>
            </w:r>
          </w:p>
        </w:tc>
      </w:tr>
      <w:tr w14:paraId="269C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7401D2CD">
            <w:pPr>
              <w:spacing w:line="360" w:lineRule="auto"/>
              <w:jc w:val="center"/>
              <w:rPr>
                <w:rFonts w:ascii="宋体" w:hAnsi="宋体" w:eastAsia="宋体" w:cs="宋体"/>
                <w:color w:val="auto"/>
                <w:szCs w:val="21"/>
              </w:rPr>
            </w:pPr>
            <w:r>
              <w:rPr>
                <w:rFonts w:hint="eastAsia" w:ascii="宋体" w:hAnsi="宋体" w:eastAsia="宋体" w:cs="宋体"/>
                <w:color w:val="auto"/>
                <w:szCs w:val="21"/>
              </w:rPr>
              <w:t>5000万元～1亿元</w:t>
            </w:r>
          </w:p>
        </w:tc>
        <w:tc>
          <w:tcPr>
            <w:tcW w:w="1714" w:type="dxa"/>
          </w:tcPr>
          <w:p w14:paraId="1C9D1CE6">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0.25%</w:t>
            </w:r>
          </w:p>
        </w:tc>
        <w:tc>
          <w:tcPr>
            <w:tcW w:w="1743" w:type="dxa"/>
          </w:tcPr>
          <w:p w14:paraId="5887446F">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0.1%</w:t>
            </w:r>
          </w:p>
        </w:tc>
        <w:tc>
          <w:tcPr>
            <w:tcW w:w="1714" w:type="dxa"/>
          </w:tcPr>
          <w:p w14:paraId="41A1A0A9">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kern w:val="0"/>
                <w:szCs w:val="21"/>
              </w:rPr>
              <w:t>0.2%</w:t>
            </w:r>
          </w:p>
        </w:tc>
      </w:tr>
      <w:tr w14:paraId="6C12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502D77F1">
            <w:pPr>
              <w:spacing w:line="360" w:lineRule="auto"/>
              <w:jc w:val="center"/>
              <w:rPr>
                <w:rFonts w:ascii="宋体" w:hAnsi="宋体" w:eastAsia="宋体" w:cs="宋体"/>
                <w:color w:val="auto"/>
                <w:szCs w:val="21"/>
              </w:rPr>
            </w:pPr>
            <w:r>
              <w:rPr>
                <w:rFonts w:hint="eastAsia" w:ascii="宋体" w:hAnsi="宋体" w:eastAsia="宋体" w:cs="宋体"/>
                <w:color w:val="auto"/>
                <w:szCs w:val="21"/>
              </w:rPr>
              <w:t>1～5亿元</w:t>
            </w:r>
          </w:p>
        </w:tc>
        <w:tc>
          <w:tcPr>
            <w:tcW w:w="1714" w:type="dxa"/>
          </w:tcPr>
          <w:p w14:paraId="4326CED5">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szCs w:val="21"/>
              </w:rPr>
              <w:t>0.05%</w:t>
            </w:r>
          </w:p>
        </w:tc>
        <w:tc>
          <w:tcPr>
            <w:tcW w:w="1743" w:type="dxa"/>
          </w:tcPr>
          <w:p w14:paraId="17FA9792">
            <w:pPr>
              <w:spacing w:line="360" w:lineRule="auto"/>
              <w:jc w:val="center"/>
              <w:rPr>
                <w:rFonts w:ascii="宋体" w:hAnsi="宋体" w:eastAsia="宋体" w:cs="宋体"/>
                <w:color w:val="auto"/>
                <w:szCs w:val="21"/>
              </w:rPr>
            </w:pPr>
            <w:r>
              <w:rPr>
                <w:rFonts w:hint="eastAsia" w:ascii="宋体" w:hAnsi="宋体" w:eastAsia="宋体" w:cs="宋体"/>
                <w:color w:val="auto"/>
                <w:szCs w:val="21"/>
              </w:rPr>
              <w:t>0.05%</w:t>
            </w:r>
          </w:p>
        </w:tc>
        <w:tc>
          <w:tcPr>
            <w:tcW w:w="1714" w:type="dxa"/>
          </w:tcPr>
          <w:p w14:paraId="4234C7CF">
            <w:pPr>
              <w:spacing w:line="360" w:lineRule="auto"/>
              <w:jc w:val="center"/>
              <w:rPr>
                <w:rFonts w:ascii="宋体" w:hAnsi="宋体" w:eastAsia="宋体" w:cs="宋体"/>
                <w:color w:val="auto"/>
                <w:szCs w:val="21"/>
              </w:rPr>
            </w:pPr>
            <w:r>
              <w:rPr>
                <w:rFonts w:hint="eastAsia" w:ascii="宋体" w:hAnsi="宋体" w:eastAsia="宋体" w:cs="宋体"/>
                <w:color w:val="auto"/>
                <w:szCs w:val="21"/>
              </w:rPr>
              <w:t>0.05%</w:t>
            </w:r>
          </w:p>
        </w:tc>
      </w:tr>
      <w:tr w14:paraId="55FC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57D181BB">
            <w:pPr>
              <w:spacing w:line="360" w:lineRule="auto"/>
              <w:jc w:val="center"/>
              <w:rPr>
                <w:rFonts w:ascii="宋体" w:hAnsi="宋体" w:eastAsia="宋体" w:cs="宋体"/>
                <w:color w:val="auto"/>
                <w:szCs w:val="21"/>
              </w:rPr>
            </w:pPr>
            <w:r>
              <w:rPr>
                <w:rFonts w:hint="eastAsia" w:ascii="宋体" w:hAnsi="宋体" w:eastAsia="宋体" w:cs="宋体"/>
                <w:color w:val="auto"/>
                <w:szCs w:val="21"/>
              </w:rPr>
              <w:t>5～10亿元</w:t>
            </w:r>
          </w:p>
        </w:tc>
        <w:tc>
          <w:tcPr>
            <w:tcW w:w="1714" w:type="dxa"/>
          </w:tcPr>
          <w:p w14:paraId="3BD45A0A">
            <w:pPr>
              <w:spacing w:line="360" w:lineRule="auto"/>
              <w:ind w:firstLine="105" w:firstLineChars="50"/>
              <w:jc w:val="center"/>
              <w:rPr>
                <w:rFonts w:ascii="宋体" w:hAnsi="宋体" w:eastAsia="宋体" w:cs="宋体"/>
                <w:color w:val="auto"/>
                <w:szCs w:val="21"/>
              </w:rPr>
            </w:pPr>
            <w:r>
              <w:rPr>
                <w:rFonts w:hint="eastAsia" w:ascii="宋体" w:hAnsi="宋体" w:eastAsia="宋体" w:cs="宋体"/>
                <w:color w:val="auto"/>
                <w:szCs w:val="21"/>
              </w:rPr>
              <w:t>0.035%</w:t>
            </w:r>
          </w:p>
        </w:tc>
        <w:tc>
          <w:tcPr>
            <w:tcW w:w="1743" w:type="dxa"/>
          </w:tcPr>
          <w:p w14:paraId="7076B6CF">
            <w:pPr>
              <w:spacing w:line="360" w:lineRule="auto"/>
              <w:jc w:val="center"/>
              <w:rPr>
                <w:rFonts w:ascii="宋体" w:hAnsi="宋体" w:eastAsia="宋体" w:cs="宋体"/>
                <w:color w:val="auto"/>
                <w:szCs w:val="21"/>
              </w:rPr>
            </w:pPr>
            <w:r>
              <w:rPr>
                <w:rFonts w:hint="eastAsia" w:ascii="宋体" w:hAnsi="宋体" w:eastAsia="宋体" w:cs="宋体"/>
                <w:color w:val="auto"/>
                <w:szCs w:val="21"/>
              </w:rPr>
              <w:t>0.035%</w:t>
            </w:r>
          </w:p>
        </w:tc>
        <w:tc>
          <w:tcPr>
            <w:tcW w:w="1714" w:type="dxa"/>
          </w:tcPr>
          <w:p w14:paraId="41F83FA9">
            <w:pPr>
              <w:spacing w:line="360" w:lineRule="auto"/>
              <w:ind w:firstLine="105" w:firstLineChars="50"/>
              <w:jc w:val="center"/>
              <w:rPr>
                <w:rFonts w:ascii="宋体" w:hAnsi="宋体" w:eastAsia="宋体" w:cs="宋体"/>
                <w:color w:val="auto"/>
                <w:szCs w:val="21"/>
              </w:rPr>
            </w:pPr>
            <w:r>
              <w:rPr>
                <w:rFonts w:hint="eastAsia" w:ascii="宋体" w:hAnsi="宋体" w:eastAsia="宋体" w:cs="宋体"/>
                <w:color w:val="auto"/>
                <w:szCs w:val="21"/>
              </w:rPr>
              <w:t>0.035%</w:t>
            </w:r>
          </w:p>
        </w:tc>
      </w:tr>
      <w:tr w14:paraId="32B7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39156CAD">
            <w:pPr>
              <w:spacing w:line="360" w:lineRule="auto"/>
              <w:jc w:val="center"/>
              <w:rPr>
                <w:rFonts w:ascii="宋体" w:hAnsi="宋体" w:eastAsia="宋体" w:cs="宋体"/>
                <w:color w:val="auto"/>
                <w:szCs w:val="21"/>
              </w:rPr>
            </w:pPr>
            <w:r>
              <w:rPr>
                <w:rFonts w:hint="eastAsia" w:ascii="宋体" w:hAnsi="宋体" w:eastAsia="宋体" w:cs="宋体"/>
                <w:color w:val="auto"/>
                <w:szCs w:val="21"/>
              </w:rPr>
              <w:t>10～50亿元</w:t>
            </w:r>
          </w:p>
        </w:tc>
        <w:tc>
          <w:tcPr>
            <w:tcW w:w="1714" w:type="dxa"/>
          </w:tcPr>
          <w:p w14:paraId="4F8F13B4">
            <w:pPr>
              <w:spacing w:line="360" w:lineRule="auto"/>
              <w:ind w:firstLine="105" w:firstLineChars="50"/>
              <w:jc w:val="center"/>
              <w:rPr>
                <w:rFonts w:ascii="宋体" w:hAnsi="宋体" w:eastAsia="宋体" w:cs="宋体"/>
                <w:color w:val="auto"/>
                <w:szCs w:val="21"/>
              </w:rPr>
            </w:pPr>
            <w:r>
              <w:rPr>
                <w:rFonts w:hint="eastAsia" w:ascii="宋体" w:hAnsi="宋体" w:eastAsia="宋体" w:cs="宋体"/>
                <w:color w:val="auto"/>
                <w:szCs w:val="21"/>
              </w:rPr>
              <w:t>0.008%</w:t>
            </w:r>
          </w:p>
        </w:tc>
        <w:tc>
          <w:tcPr>
            <w:tcW w:w="1743" w:type="dxa"/>
          </w:tcPr>
          <w:p w14:paraId="3DC55B6F">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szCs w:val="21"/>
              </w:rPr>
              <w:t>0.008%</w:t>
            </w:r>
          </w:p>
        </w:tc>
        <w:tc>
          <w:tcPr>
            <w:tcW w:w="1714" w:type="dxa"/>
          </w:tcPr>
          <w:p w14:paraId="768E43A2">
            <w:pPr>
              <w:spacing w:line="360" w:lineRule="auto"/>
              <w:ind w:firstLine="105" w:firstLineChars="50"/>
              <w:jc w:val="center"/>
              <w:rPr>
                <w:rFonts w:ascii="宋体" w:hAnsi="宋体" w:eastAsia="宋体" w:cs="宋体"/>
                <w:color w:val="auto"/>
                <w:szCs w:val="21"/>
              </w:rPr>
            </w:pPr>
            <w:r>
              <w:rPr>
                <w:rFonts w:hint="eastAsia" w:ascii="宋体" w:hAnsi="宋体" w:eastAsia="宋体" w:cs="宋体"/>
                <w:color w:val="auto"/>
                <w:szCs w:val="21"/>
              </w:rPr>
              <w:t>0.008%</w:t>
            </w:r>
          </w:p>
        </w:tc>
      </w:tr>
      <w:tr w14:paraId="3604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87" w:type="dxa"/>
          </w:tcPr>
          <w:p w14:paraId="0BD17704">
            <w:pPr>
              <w:spacing w:line="360" w:lineRule="auto"/>
              <w:jc w:val="center"/>
              <w:rPr>
                <w:rFonts w:ascii="宋体" w:hAnsi="宋体" w:eastAsia="宋体" w:cs="宋体"/>
                <w:color w:val="auto"/>
                <w:szCs w:val="21"/>
              </w:rPr>
            </w:pPr>
            <w:r>
              <w:rPr>
                <w:rFonts w:hint="eastAsia" w:ascii="宋体" w:hAnsi="宋体" w:eastAsia="宋体" w:cs="宋体"/>
                <w:color w:val="auto"/>
                <w:szCs w:val="21"/>
              </w:rPr>
              <w:t>50～100亿元</w:t>
            </w:r>
          </w:p>
        </w:tc>
        <w:tc>
          <w:tcPr>
            <w:tcW w:w="1714" w:type="dxa"/>
          </w:tcPr>
          <w:p w14:paraId="646F9BF5">
            <w:pPr>
              <w:spacing w:line="360" w:lineRule="auto"/>
              <w:jc w:val="center"/>
              <w:rPr>
                <w:rFonts w:ascii="宋体" w:hAnsi="宋体" w:eastAsia="宋体" w:cs="宋体"/>
                <w:color w:val="auto"/>
                <w:szCs w:val="21"/>
              </w:rPr>
            </w:pPr>
            <w:r>
              <w:rPr>
                <w:rFonts w:hint="eastAsia" w:ascii="宋体" w:hAnsi="宋体" w:eastAsia="宋体" w:cs="宋体"/>
                <w:color w:val="auto"/>
                <w:szCs w:val="21"/>
              </w:rPr>
              <w:t>0.006%</w:t>
            </w:r>
          </w:p>
        </w:tc>
        <w:tc>
          <w:tcPr>
            <w:tcW w:w="1743" w:type="dxa"/>
          </w:tcPr>
          <w:p w14:paraId="2304979A">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szCs w:val="21"/>
              </w:rPr>
              <w:t>0.006%</w:t>
            </w:r>
          </w:p>
        </w:tc>
        <w:tc>
          <w:tcPr>
            <w:tcW w:w="1714" w:type="dxa"/>
          </w:tcPr>
          <w:p w14:paraId="46F3E307">
            <w:pPr>
              <w:spacing w:line="360" w:lineRule="auto"/>
              <w:ind w:firstLine="105" w:firstLineChars="50"/>
              <w:jc w:val="center"/>
              <w:rPr>
                <w:rFonts w:ascii="宋体" w:hAnsi="宋体" w:eastAsia="宋体" w:cs="宋体"/>
                <w:color w:val="auto"/>
                <w:szCs w:val="21"/>
              </w:rPr>
            </w:pPr>
            <w:r>
              <w:rPr>
                <w:rFonts w:hint="eastAsia" w:ascii="宋体" w:hAnsi="宋体" w:eastAsia="宋体" w:cs="宋体"/>
                <w:color w:val="auto"/>
                <w:szCs w:val="21"/>
              </w:rPr>
              <w:t>0.006%</w:t>
            </w:r>
          </w:p>
        </w:tc>
      </w:tr>
      <w:tr w14:paraId="2611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87" w:type="dxa"/>
          </w:tcPr>
          <w:p w14:paraId="43697E24">
            <w:pPr>
              <w:spacing w:line="360" w:lineRule="auto"/>
              <w:jc w:val="center"/>
              <w:rPr>
                <w:rFonts w:ascii="宋体" w:hAnsi="宋体" w:eastAsia="宋体" w:cs="宋体"/>
                <w:color w:val="auto"/>
                <w:szCs w:val="21"/>
              </w:rPr>
            </w:pPr>
            <w:r>
              <w:rPr>
                <w:rFonts w:hint="eastAsia" w:ascii="宋体" w:hAnsi="宋体" w:eastAsia="宋体" w:cs="宋体"/>
                <w:color w:val="auto"/>
                <w:szCs w:val="21"/>
              </w:rPr>
              <w:t>100亿以上</w:t>
            </w:r>
          </w:p>
        </w:tc>
        <w:tc>
          <w:tcPr>
            <w:tcW w:w="1714" w:type="dxa"/>
          </w:tcPr>
          <w:p w14:paraId="42427233">
            <w:pPr>
              <w:spacing w:line="360" w:lineRule="auto"/>
              <w:jc w:val="center"/>
              <w:rPr>
                <w:rFonts w:ascii="宋体" w:hAnsi="宋体" w:eastAsia="宋体" w:cs="宋体"/>
                <w:color w:val="auto"/>
                <w:szCs w:val="21"/>
              </w:rPr>
            </w:pPr>
            <w:r>
              <w:rPr>
                <w:rFonts w:hint="eastAsia" w:ascii="宋体" w:hAnsi="宋体" w:eastAsia="宋体" w:cs="宋体"/>
                <w:color w:val="auto"/>
                <w:szCs w:val="21"/>
              </w:rPr>
              <w:t>0.004%</w:t>
            </w:r>
          </w:p>
        </w:tc>
        <w:tc>
          <w:tcPr>
            <w:tcW w:w="1743" w:type="dxa"/>
          </w:tcPr>
          <w:p w14:paraId="2E17DA14">
            <w:pPr>
              <w:spacing w:line="360" w:lineRule="auto"/>
              <w:ind w:firstLine="210" w:firstLineChars="100"/>
              <w:jc w:val="center"/>
              <w:rPr>
                <w:rFonts w:ascii="宋体" w:hAnsi="宋体" w:eastAsia="宋体" w:cs="宋体"/>
                <w:color w:val="auto"/>
                <w:szCs w:val="21"/>
              </w:rPr>
            </w:pPr>
            <w:r>
              <w:rPr>
                <w:rFonts w:hint="eastAsia" w:ascii="宋体" w:hAnsi="宋体" w:eastAsia="宋体" w:cs="宋体"/>
                <w:color w:val="auto"/>
                <w:szCs w:val="21"/>
              </w:rPr>
              <w:t>0.004%</w:t>
            </w:r>
          </w:p>
        </w:tc>
        <w:tc>
          <w:tcPr>
            <w:tcW w:w="1714" w:type="dxa"/>
          </w:tcPr>
          <w:p w14:paraId="213C9573">
            <w:pPr>
              <w:spacing w:line="360" w:lineRule="auto"/>
              <w:ind w:firstLine="105" w:firstLineChars="50"/>
              <w:jc w:val="center"/>
              <w:rPr>
                <w:rFonts w:ascii="宋体" w:hAnsi="宋体" w:eastAsia="宋体" w:cs="宋体"/>
                <w:color w:val="auto"/>
                <w:szCs w:val="21"/>
              </w:rPr>
            </w:pPr>
            <w:r>
              <w:rPr>
                <w:rFonts w:hint="eastAsia" w:ascii="宋体" w:hAnsi="宋体" w:eastAsia="宋体" w:cs="宋体"/>
                <w:color w:val="auto"/>
                <w:szCs w:val="21"/>
              </w:rPr>
              <w:t>0.004%</w:t>
            </w:r>
          </w:p>
        </w:tc>
      </w:tr>
    </w:tbl>
    <w:p w14:paraId="3F36C662">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 xml:space="preserve">注: </w:t>
      </w:r>
    </w:p>
    <w:p w14:paraId="0A9BAC5B">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（1）按本表费率计算的收费为采购代理的收费基准价格；</w:t>
      </w:r>
    </w:p>
    <w:p w14:paraId="4F318CFA">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（2）采购代理收费按差额定率累进法计算。</w:t>
      </w:r>
    </w:p>
    <w:p w14:paraId="2D724564">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例如：某服务采购代理业务中标金额或者暂定价为200万元，计算采购代理收费额如下：</w:t>
      </w:r>
    </w:p>
    <w:p w14:paraId="044AC7A4">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100 万元×l.5 %＝ 1.5 万元</w:t>
      </w:r>
    </w:p>
    <w:p w14:paraId="235B922E">
      <w:pPr>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（200 － 100 ）万元 ×0.8%＝0.8万元</w:t>
      </w:r>
    </w:p>
    <w:p w14:paraId="67E8E6B5">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合计收费＝1.5+0.8＝ 2.3（万元）</w:t>
      </w:r>
    </w:p>
    <w:p w14:paraId="41653BFA">
      <w:pPr>
        <w:pStyle w:val="6"/>
        <w:keepNext w:val="0"/>
        <w:keepLines w:val="0"/>
        <w:spacing w:before="0" w:after="0" w:line="360" w:lineRule="auto"/>
        <w:ind w:left="420" w:leftChars="200"/>
        <w:rPr>
          <w:rFonts w:ascii="宋体" w:hAnsi="宋体" w:eastAsia="宋体" w:cs="宋体"/>
          <w:color w:val="auto"/>
          <w:sz w:val="24"/>
        </w:rPr>
      </w:pPr>
      <w:r>
        <w:rPr>
          <w:rFonts w:hint="eastAsia" w:ascii="宋体" w:hAnsi="宋体" w:eastAsia="宋体" w:cs="宋体"/>
          <w:color w:val="auto"/>
          <w:sz w:val="24"/>
        </w:rPr>
        <w:t>40. 需要补充的其他内容</w:t>
      </w:r>
    </w:p>
    <w:p w14:paraId="49ECDB57">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40.1本招标文件解释规则详见“投标人须知前附表”。</w:t>
      </w:r>
    </w:p>
    <w:p w14:paraId="0A335FDC">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40.2 其他事项详见“投标人须知前附表”。</w:t>
      </w:r>
    </w:p>
    <w:p w14:paraId="79B107B4">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052EA03B">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（1）在货物采购项目中，货物由中小企业制造，即货物由中小企业生产且使用该中小企业商号或者注册商标，不对其中涉及的工程承建商和服务的承接商作出要求；</w:t>
      </w:r>
    </w:p>
    <w:p w14:paraId="7EE91D03">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（2）在工程采购项目中，工程由中小企业承建，即工程施工单位为中小企业，不对其中涉及的货物的制造商和服务的承接商作出要求；</w:t>
      </w:r>
    </w:p>
    <w:p w14:paraId="3628EE10">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（3）在服务采购项目中，服务由中小企业承接，即提供服务的人员为中小企业依照《中华人民共和国劳动合同法》 订立劳动合同的从业人员，不对其中涉及的货物的制造商和工程承建商作出要求。</w:t>
      </w:r>
    </w:p>
    <w:p w14:paraId="06081F51">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B54408E">
      <w:pPr>
        <w:pStyle w:val="20"/>
        <w:spacing w:before="120" w:after="120" w:line="360" w:lineRule="auto"/>
        <w:ind w:firstLine="420" w:firstLineChars="200"/>
        <w:contextualSpacing/>
        <w:rPr>
          <w:rFonts w:ascii="宋体" w:hAnsi="宋体" w:eastAsia="宋体" w:cs="宋体"/>
          <w:color w:val="auto"/>
        </w:rPr>
      </w:pPr>
      <w:r>
        <w:rPr>
          <w:rFonts w:hint="eastAsia" w:ascii="宋体" w:hAnsi="宋体" w:eastAsia="宋体" w:cs="宋体"/>
          <w:color w:val="auto"/>
        </w:rPr>
        <w:t>依据本招标文件规定享受扶持政策获得政府采购合同的，小微企业不得将合同分包给大中型企业，中型企业不得将合同分包给大型企业。</w:t>
      </w:r>
    </w:p>
    <w:p w14:paraId="7116262C">
      <w:pPr>
        <w:spacing w:line="360" w:lineRule="auto"/>
        <w:ind w:firstLine="420" w:firstLineChars="200"/>
        <w:jc w:val="center"/>
        <w:outlineLvl w:val="0"/>
        <w:rPr>
          <w:rFonts w:ascii="宋体" w:hAnsi="宋体" w:eastAsia="宋体" w:cs="宋体"/>
          <w:b/>
          <w:color w:val="auto"/>
          <w:sz w:val="36"/>
        </w:rPr>
      </w:pPr>
      <w:r>
        <w:rPr>
          <w:rFonts w:hint="eastAsia" w:ascii="宋体" w:hAnsi="宋体" w:eastAsia="宋体" w:cs="宋体"/>
          <w:color w:val="auto"/>
        </w:rPr>
        <w:br w:type="page"/>
      </w:r>
      <w:bookmarkStart w:id="62" w:name="_Toc532545043"/>
      <w:bookmarkStart w:id="63" w:name="_Toc10949"/>
      <w:bookmarkStart w:id="64" w:name="_Toc80093003"/>
      <w:r>
        <w:rPr>
          <w:rFonts w:hint="eastAsia" w:ascii="宋体" w:hAnsi="宋体" w:eastAsia="宋体" w:cs="宋体"/>
          <w:b/>
          <w:color w:val="auto"/>
          <w:sz w:val="36"/>
        </w:rPr>
        <w:t>第四章  评标方法</w:t>
      </w:r>
      <w:bookmarkEnd w:id="62"/>
      <w:r>
        <w:rPr>
          <w:rFonts w:hint="eastAsia" w:ascii="宋体" w:hAnsi="宋体" w:eastAsia="宋体" w:cs="宋体"/>
          <w:b/>
          <w:color w:val="auto"/>
          <w:sz w:val="36"/>
        </w:rPr>
        <w:t>及评分标准</w:t>
      </w:r>
      <w:bookmarkEnd w:id="63"/>
      <w:bookmarkEnd w:id="64"/>
    </w:p>
    <w:p w14:paraId="68520F86">
      <w:pPr>
        <w:pStyle w:val="4"/>
        <w:keepNext w:val="0"/>
        <w:keepLines w:val="0"/>
        <w:ind w:firstLine="602"/>
        <w:jc w:val="center"/>
        <w:rPr>
          <w:rFonts w:ascii="宋体" w:hAnsi="宋体" w:eastAsia="宋体" w:cs="宋体"/>
          <w:color w:val="auto"/>
          <w:sz w:val="30"/>
          <w:szCs w:val="30"/>
        </w:rPr>
      </w:pPr>
      <w:bookmarkStart w:id="65" w:name="_Toc80093006"/>
      <w:r>
        <w:rPr>
          <w:rFonts w:hint="eastAsia" w:ascii="宋体" w:hAnsi="宋体" w:eastAsia="宋体" w:cs="宋体"/>
          <w:color w:val="auto"/>
          <w:sz w:val="30"/>
          <w:szCs w:val="30"/>
        </w:rPr>
        <w:t>一、评标方法</w:t>
      </w:r>
    </w:p>
    <w:p w14:paraId="768305CB">
      <w:pPr>
        <w:pStyle w:val="20"/>
        <w:spacing w:line="360" w:lineRule="auto"/>
        <w:ind w:firstLine="420"/>
        <w:rPr>
          <w:rFonts w:ascii="宋体" w:hAnsi="宋体" w:eastAsia="宋体" w:cs="宋体"/>
          <w:color w:val="auto"/>
        </w:rPr>
      </w:pPr>
      <w:r>
        <w:rPr>
          <w:rFonts w:hint="eastAsia" w:ascii="宋体" w:hAnsi="宋体" w:eastAsia="宋体" w:cs="宋体"/>
          <w:color w:val="auto"/>
          <w:szCs w:val="21"/>
        </w:rPr>
        <w:t>☑</w:t>
      </w:r>
      <w:r>
        <w:rPr>
          <w:rFonts w:hint="eastAsia" w:ascii="宋体" w:hAnsi="宋体" w:eastAsia="宋体" w:cs="宋体"/>
          <w:color w:val="auto"/>
        </w:rPr>
        <w:t>综合评分法，是指投标文件满足招标文件全部实质性要求，且按照评审因素的量化指标评审得分最高的投标人为中标候选人的评标方法。</w:t>
      </w:r>
    </w:p>
    <w:p w14:paraId="226018BB">
      <w:pPr>
        <w:pStyle w:val="20"/>
        <w:spacing w:line="360" w:lineRule="auto"/>
        <w:ind w:firstLine="420"/>
        <w:rPr>
          <w:rFonts w:ascii="宋体" w:hAnsi="宋体" w:eastAsia="宋体" w:cs="宋体"/>
          <w:color w:val="auto"/>
        </w:rPr>
      </w:pPr>
      <w:r>
        <w:rPr>
          <w:rFonts w:hint="eastAsia" w:ascii="宋体" w:hAnsi="宋体" w:eastAsia="宋体" w:cs="宋体"/>
          <w:color w:val="auto"/>
          <w:szCs w:val="21"/>
        </w:rPr>
        <w:t>□</w:t>
      </w:r>
      <w:r>
        <w:rPr>
          <w:rFonts w:hint="eastAsia" w:ascii="宋体" w:hAnsi="宋体" w:eastAsia="宋体" w:cs="宋体"/>
          <w:color w:val="auto"/>
        </w:rPr>
        <w:t>最低评标价法，是指投标文件满足招标文件全部实质性要求，且投标报价最低的投标人为中标候选人的评标方法。</w:t>
      </w:r>
    </w:p>
    <w:p w14:paraId="5816CD20">
      <w:pPr>
        <w:pStyle w:val="4"/>
        <w:keepNext w:val="0"/>
        <w:keepLines w:val="0"/>
        <w:ind w:firstLine="602"/>
        <w:jc w:val="center"/>
        <w:rPr>
          <w:rFonts w:ascii="宋体" w:hAnsi="宋体" w:eastAsia="宋体" w:cs="宋体"/>
          <w:color w:val="auto"/>
          <w:sz w:val="30"/>
          <w:szCs w:val="30"/>
        </w:rPr>
      </w:pPr>
      <w:r>
        <w:rPr>
          <w:rFonts w:hint="eastAsia" w:ascii="宋体" w:hAnsi="宋体" w:eastAsia="宋体" w:cs="宋体"/>
          <w:color w:val="auto"/>
          <w:sz w:val="30"/>
          <w:szCs w:val="30"/>
        </w:rPr>
        <w:t>二、评标程序</w:t>
      </w:r>
    </w:p>
    <w:p w14:paraId="7D3952F0">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1.符合性审查</w:t>
      </w:r>
    </w:p>
    <w:p w14:paraId="226245A7">
      <w:pPr>
        <w:pStyle w:val="20"/>
        <w:snapToGrid w:val="0"/>
        <w:spacing w:line="360" w:lineRule="auto"/>
        <w:ind w:left="1" w:firstLine="420"/>
        <w:rPr>
          <w:rFonts w:ascii="宋体" w:hAnsi="宋体" w:eastAsia="宋体" w:cs="宋体"/>
          <w:b/>
          <w:color w:val="auto"/>
        </w:rPr>
      </w:pPr>
      <w:r>
        <w:rPr>
          <w:rFonts w:hint="eastAsia" w:ascii="宋体" w:hAnsi="宋体" w:eastAsia="宋体" w:cs="宋体"/>
          <w:b/>
          <w:color w:val="auto"/>
        </w:rPr>
        <w:t>评标委员会应当对符合资格的投标人的投标文件进行投标报价、商务、技术等实质性内容符合性审查，以确定其是否满足招标文件的实质性要求。</w:t>
      </w:r>
    </w:p>
    <w:p w14:paraId="29239A98">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2.符合性审查不通过而导致投标无效的情形</w:t>
      </w:r>
    </w:p>
    <w:p w14:paraId="3211E95C">
      <w:p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投标人的投标文件中存在对招标文件的任何实质性要求和条件的负偏离，将被视为投标无效。</w:t>
      </w:r>
    </w:p>
    <w:p w14:paraId="7B981388">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2.1在报价评审时，如发现下列情形之一的，将被视为投标无效：</w:t>
      </w:r>
    </w:p>
    <w:p w14:paraId="1F9F376E">
      <w:pPr>
        <w:pStyle w:val="7"/>
        <w:numPr>
          <w:ilvl w:val="0"/>
          <w:numId w:val="2"/>
        </w:numPr>
        <w:spacing w:line="360" w:lineRule="auto"/>
        <w:ind w:firstLine="422"/>
        <w:rPr>
          <w:rFonts w:ascii="宋体" w:hAnsi="宋体" w:eastAsia="宋体" w:cs="宋体"/>
          <w:b/>
          <w:color w:val="auto"/>
          <w:szCs w:val="21"/>
        </w:rPr>
      </w:pPr>
      <w:r>
        <w:rPr>
          <w:rFonts w:hint="eastAsia" w:ascii="宋体" w:hAnsi="宋体" w:eastAsia="宋体" w:cs="宋体"/>
          <w:b/>
          <w:color w:val="auto"/>
          <w:spacing w:val="-6"/>
          <w:szCs w:val="21"/>
        </w:rPr>
        <w:t>报价文件</w:t>
      </w:r>
      <w:r>
        <w:rPr>
          <w:rFonts w:hint="eastAsia" w:ascii="宋体" w:hAnsi="宋体" w:eastAsia="宋体" w:cs="宋体"/>
          <w:b/>
          <w:color w:val="auto"/>
          <w:szCs w:val="21"/>
        </w:rPr>
        <w:t>未提供“投标人须知前附表”第13.1条规定中“必须提供”的文件资料的；</w:t>
      </w:r>
    </w:p>
    <w:p w14:paraId="169092BB">
      <w:pPr>
        <w:pStyle w:val="7"/>
        <w:numPr>
          <w:ilvl w:val="0"/>
          <w:numId w:val="2"/>
        </w:numPr>
        <w:spacing w:line="360" w:lineRule="auto"/>
        <w:ind w:firstLine="422"/>
        <w:rPr>
          <w:rFonts w:ascii="宋体" w:hAnsi="宋体" w:eastAsia="宋体" w:cs="宋体"/>
          <w:b/>
          <w:color w:val="auto"/>
          <w:szCs w:val="21"/>
        </w:rPr>
      </w:pPr>
      <w:r>
        <w:rPr>
          <w:rFonts w:hint="eastAsia" w:ascii="宋体" w:hAnsi="宋体" w:eastAsia="宋体" w:cs="宋体"/>
          <w:b/>
          <w:color w:val="auto"/>
          <w:szCs w:val="21"/>
        </w:rPr>
        <w:t>未采用人民币报价或者未按照招标文件标明的币种报价的；</w:t>
      </w:r>
    </w:p>
    <w:p w14:paraId="0CC4B045">
      <w:pPr>
        <w:pStyle w:val="7"/>
        <w:numPr>
          <w:ilvl w:val="0"/>
          <w:numId w:val="2"/>
        </w:numPr>
        <w:spacing w:line="360" w:lineRule="auto"/>
        <w:ind w:firstLine="422"/>
        <w:rPr>
          <w:rFonts w:ascii="宋体" w:hAnsi="宋体" w:eastAsia="宋体" w:cs="宋体"/>
          <w:b/>
          <w:color w:val="auto"/>
          <w:szCs w:val="21"/>
        </w:rPr>
      </w:pPr>
      <w:r>
        <w:rPr>
          <w:rFonts w:hint="eastAsia" w:ascii="宋体" w:hAnsi="宋体" w:eastAsia="宋体" w:cs="宋体"/>
          <w:b/>
          <w:color w:val="auto"/>
          <w:szCs w:val="21"/>
        </w:rPr>
        <w:t>各分标报价超出招标文件相应分标规定最高限价，或者超出相应分标采购预算金额的；</w:t>
      </w:r>
    </w:p>
    <w:p w14:paraId="06A553C1">
      <w:pPr>
        <w:pStyle w:val="7"/>
        <w:numPr>
          <w:ilvl w:val="0"/>
          <w:numId w:val="2"/>
        </w:numPr>
        <w:spacing w:line="360" w:lineRule="auto"/>
        <w:ind w:firstLine="422"/>
        <w:rPr>
          <w:rFonts w:ascii="宋体" w:hAnsi="宋体" w:eastAsia="宋体" w:cs="宋体"/>
          <w:b/>
          <w:color w:val="auto"/>
          <w:szCs w:val="21"/>
        </w:rPr>
      </w:pPr>
      <w:r>
        <w:rPr>
          <w:rFonts w:hint="eastAsia" w:ascii="宋体" w:hAnsi="宋体" w:eastAsia="宋体" w:cs="宋体"/>
          <w:b/>
          <w:color w:val="auto"/>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17DA9FE1">
      <w:pPr>
        <w:pStyle w:val="7"/>
        <w:numPr>
          <w:ilvl w:val="0"/>
          <w:numId w:val="2"/>
        </w:numPr>
        <w:spacing w:line="360" w:lineRule="auto"/>
        <w:ind w:firstLine="422"/>
        <w:rPr>
          <w:rFonts w:ascii="宋体" w:hAnsi="宋体" w:eastAsia="宋体" w:cs="宋体"/>
          <w:b/>
          <w:color w:val="auto"/>
          <w:szCs w:val="21"/>
        </w:rPr>
      </w:pPr>
      <w:r>
        <w:rPr>
          <w:rFonts w:hint="eastAsia" w:ascii="宋体" w:hAnsi="宋体" w:eastAsia="宋体" w:cs="宋体"/>
          <w:b/>
          <w:color w:val="auto"/>
          <w:szCs w:val="21"/>
        </w:rPr>
        <w:t>修正后的报价，投标人不确认的；</w:t>
      </w:r>
    </w:p>
    <w:p w14:paraId="7F340218">
      <w:pPr>
        <w:pStyle w:val="7"/>
        <w:numPr>
          <w:ilvl w:val="0"/>
          <w:numId w:val="2"/>
        </w:numPr>
        <w:spacing w:line="360" w:lineRule="auto"/>
        <w:ind w:firstLine="422"/>
        <w:rPr>
          <w:rFonts w:ascii="宋体" w:hAnsi="宋体" w:eastAsia="宋体" w:cs="宋体"/>
          <w:b/>
          <w:color w:val="auto"/>
          <w:szCs w:val="21"/>
        </w:rPr>
      </w:pPr>
      <w:r>
        <w:rPr>
          <w:rFonts w:hint="eastAsia" w:ascii="宋体" w:hAnsi="宋体" w:eastAsia="宋体" w:cs="宋体"/>
          <w:b/>
          <w:color w:val="auto"/>
          <w:szCs w:val="21"/>
        </w:rPr>
        <w:t>投标人属于本章第5.1条（2）或者第5.2条（2）项情形的；</w:t>
      </w:r>
    </w:p>
    <w:p w14:paraId="591A720C">
      <w:pPr>
        <w:pStyle w:val="7"/>
        <w:numPr>
          <w:ilvl w:val="0"/>
          <w:numId w:val="2"/>
        </w:numPr>
        <w:spacing w:line="360" w:lineRule="auto"/>
        <w:ind w:firstLine="422"/>
        <w:rPr>
          <w:rFonts w:ascii="宋体" w:hAnsi="宋体" w:eastAsia="宋体" w:cs="宋体"/>
          <w:b/>
          <w:color w:val="auto"/>
          <w:szCs w:val="21"/>
        </w:rPr>
      </w:pPr>
      <w:r>
        <w:rPr>
          <w:rFonts w:hint="eastAsia" w:ascii="宋体" w:hAnsi="宋体" w:eastAsia="宋体" w:cs="宋体"/>
          <w:b/>
          <w:color w:val="auto"/>
          <w:spacing w:val="-6"/>
          <w:szCs w:val="21"/>
        </w:rPr>
        <w:t>报价文件</w:t>
      </w:r>
      <w:r>
        <w:rPr>
          <w:rFonts w:hint="eastAsia" w:ascii="宋体" w:hAnsi="宋体" w:eastAsia="宋体" w:cs="宋体"/>
          <w:b/>
          <w:color w:val="auto"/>
          <w:szCs w:val="21"/>
        </w:rPr>
        <w:t>响应的标的数量及单位与招标文件要求实质性不一致的。</w:t>
      </w:r>
    </w:p>
    <w:p w14:paraId="40204499">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2.2在商务评审时，如发现下列情形之一的，将被视为投标无效：</w:t>
      </w:r>
    </w:p>
    <w:p w14:paraId="48F77C6B">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投标文件未按招标文件要求签署、盖章的；</w:t>
      </w:r>
    </w:p>
    <w:p w14:paraId="6CFB309B">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委托代理人未能出具有效身份证或者出具的身份证与授权委托书中的信息不符的；</w:t>
      </w:r>
    </w:p>
    <w:p w14:paraId="7282D969">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为无效投标保证金的或者未按照招标文件的规定提交投标保证金的；</w:t>
      </w:r>
    </w:p>
    <w:p w14:paraId="2337FAC8">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投标文件未提供“投标人须知前附表”第13.1条规定中“必须提供”或者“委托时必须提供”的文件资料的；</w:t>
      </w:r>
    </w:p>
    <w:p w14:paraId="6220701D">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商务要求评审允许负偏离的条款数超过“投标人须知前附表”规定项数的；</w:t>
      </w:r>
    </w:p>
    <w:p w14:paraId="04E2DEC5">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投标文件的实质性内容未使用中文表述、使用计量单位不符合招标文件要求的；</w:t>
      </w:r>
    </w:p>
    <w:p w14:paraId="4757B4D9">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投标文件中的文件资料因填写不齐全或者内容虚假或者出现其他情形而导致被评标委员会认定无效的；</w:t>
      </w:r>
    </w:p>
    <w:p w14:paraId="5211517D">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投标文件含有采购人不能接受的附加条件的；</w:t>
      </w:r>
    </w:p>
    <w:p w14:paraId="6C486ED3">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属于投标人须知正文第9.2条情形的；</w:t>
      </w:r>
    </w:p>
    <w:p w14:paraId="5E17E07C">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投标文件标注的项目名称或者项目编号与招标文件标注的项目名称或者项目编号不一致的；</w:t>
      </w:r>
    </w:p>
    <w:p w14:paraId="5B7F6EAF">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招标文件明确不允许分包，投标文件拟分包的；</w:t>
      </w:r>
    </w:p>
    <w:p w14:paraId="48599693">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未响应招标文件实质性要求的；</w:t>
      </w:r>
    </w:p>
    <w:p w14:paraId="438FFD66">
      <w:pPr>
        <w:numPr>
          <w:ilvl w:val="0"/>
          <w:numId w:val="3"/>
        </w:numPr>
        <w:snapToGrid w:val="0"/>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法律、法规和招标文件规定的其他无效情形。</w:t>
      </w:r>
    </w:p>
    <w:p w14:paraId="350FB33E">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2.3在技术评审时，如发现下列情形之一的，将被视为投标无效：</w:t>
      </w:r>
    </w:p>
    <w:p w14:paraId="0F422EB9">
      <w:pPr>
        <w:pStyle w:val="17"/>
        <w:snapToGrid w:val="0"/>
        <w:spacing w:line="360" w:lineRule="auto"/>
        <w:ind w:firstLine="398" w:firstLineChars="196"/>
        <w:rPr>
          <w:rFonts w:ascii="宋体" w:hAnsi="宋体" w:eastAsia="宋体" w:cs="宋体"/>
          <w:b/>
          <w:color w:val="auto"/>
          <w:sz w:val="21"/>
          <w:szCs w:val="21"/>
        </w:rPr>
      </w:pPr>
      <w:r>
        <w:rPr>
          <w:rFonts w:hint="eastAsia" w:ascii="宋体" w:hAnsi="宋体" w:eastAsia="宋体" w:cs="宋体"/>
          <w:b/>
          <w:color w:val="auto"/>
          <w:sz w:val="21"/>
          <w:szCs w:val="21"/>
        </w:rPr>
        <w:t>（1）技术要求评审允许负偏离的条款数超过“投标人须知前附表”规定项数的；</w:t>
      </w:r>
    </w:p>
    <w:p w14:paraId="333211A6">
      <w:pPr>
        <w:pStyle w:val="17"/>
        <w:snapToGrid w:val="0"/>
        <w:spacing w:line="360" w:lineRule="auto"/>
        <w:ind w:firstLine="398" w:firstLineChars="196"/>
        <w:rPr>
          <w:rFonts w:ascii="宋体" w:hAnsi="宋体" w:eastAsia="宋体" w:cs="宋体"/>
          <w:b/>
          <w:color w:val="auto"/>
          <w:sz w:val="21"/>
          <w:szCs w:val="21"/>
        </w:rPr>
      </w:pPr>
      <w:r>
        <w:rPr>
          <w:rFonts w:hint="eastAsia" w:ascii="宋体" w:hAnsi="宋体" w:eastAsia="宋体" w:cs="宋体"/>
          <w:b/>
          <w:color w:val="auto"/>
          <w:sz w:val="21"/>
          <w:szCs w:val="21"/>
        </w:rPr>
        <w:t>（2）投标文件未提供“投标人须知前附表”第13.1条规定中“必须提供”的文件资料的；</w:t>
      </w:r>
    </w:p>
    <w:p w14:paraId="411B2B4A">
      <w:pPr>
        <w:pStyle w:val="17"/>
        <w:snapToGrid w:val="0"/>
        <w:spacing w:line="360" w:lineRule="auto"/>
        <w:ind w:firstLine="398" w:firstLineChars="196"/>
        <w:rPr>
          <w:rFonts w:ascii="宋体" w:hAnsi="宋体" w:eastAsia="宋体" w:cs="宋体"/>
          <w:b/>
          <w:color w:val="auto"/>
          <w:sz w:val="21"/>
          <w:szCs w:val="21"/>
        </w:rPr>
      </w:pPr>
      <w:r>
        <w:rPr>
          <w:rFonts w:hint="eastAsia" w:ascii="宋体" w:hAnsi="宋体" w:eastAsia="宋体" w:cs="宋体"/>
          <w:b/>
          <w:color w:val="auto"/>
          <w:sz w:val="21"/>
          <w:szCs w:val="21"/>
        </w:rPr>
        <w:t>（3）虚假投标，或者出现其他情形而导致被评标委员会认定无效的；</w:t>
      </w:r>
    </w:p>
    <w:p w14:paraId="24C78906">
      <w:pPr>
        <w:pStyle w:val="17"/>
        <w:snapToGrid w:val="0"/>
        <w:spacing w:line="360" w:lineRule="auto"/>
        <w:ind w:firstLine="398" w:firstLineChars="196"/>
        <w:rPr>
          <w:rFonts w:ascii="宋体" w:hAnsi="宋体" w:eastAsia="宋体" w:cs="宋体"/>
          <w:b/>
          <w:color w:val="auto"/>
          <w:sz w:val="21"/>
          <w:szCs w:val="21"/>
        </w:rPr>
      </w:pPr>
      <w:r>
        <w:rPr>
          <w:rFonts w:hint="eastAsia" w:ascii="宋体" w:hAnsi="宋体" w:eastAsia="宋体" w:cs="宋体"/>
          <w:b/>
          <w:color w:val="auto"/>
          <w:sz w:val="21"/>
          <w:szCs w:val="21"/>
        </w:rPr>
        <w:t>（4）</w:t>
      </w:r>
      <w:bookmarkStart w:id="66" w:name="_Hlk71706244"/>
      <w:r>
        <w:rPr>
          <w:rFonts w:hint="eastAsia" w:ascii="宋体" w:hAnsi="宋体" w:eastAsia="宋体" w:cs="宋体"/>
          <w:b/>
          <w:color w:val="auto"/>
          <w:sz w:val="21"/>
          <w:szCs w:val="21"/>
        </w:rPr>
        <w:t>招标文件未载明允许提供备选（替代）投标方案或明确不允许提供备选（替代）投标方案时，投标人提供了备选（替代）投标方案的；</w:t>
      </w:r>
      <w:bookmarkEnd w:id="66"/>
    </w:p>
    <w:p w14:paraId="48A7A7E3">
      <w:pPr>
        <w:pStyle w:val="17"/>
        <w:snapToGrid w:val="0"/>
        <w:spacing w:line="360" w:lineRule="auto"/>
        <w:ind w:firstLine="398" w:firstLineChars="196"/>
        <w:rPr>
          <w:rFonts w:ascii="宋体" w:hAnsi="宋体" w:eastAsia="宋体" w:cs="宋体"/>
          <w:b/>
          <w:color w:val="auto"/>
          <w:sz w:val="21"/>
          <w:szCs w:val="21"/>
        </w:rPr>
      </w:pPr>
      <w:r>
        <w:rPr>
          <w:rFonts w:hint="eastAsia" w:ascii="宋体" w:hAnsi="宋体" w:eastAsia="宋体" w:cs="宋体"/>
          <w:b/>
          <w:color w:val="auto"/>
          <w:sz w:val="21"/>
          <w:szCs w:val="21"/>
        </w:rPr>
        <w:t>（5）未响应招标文件实质性要求的。</w:t>
      </w:r>
    </w:p>
    <w:p w14:paraId="6A531C5C">
      <w:pPr>
        <w:pStyle w:val="17"/>
        <w:snapToGrid w:val="0"/>
        <w:spacing w:line="360" w:lineRule="auto"/>
        <w:ind w:firstLine="398" w:firstLineChars="196"/>
        <w:rPr>
          <w:rFonts w:ascii="宋体" w:hAnsi="宋体" w:eastAsia="宋体" w:cs="宋体"/>
          <w:b/>
          <w:color w:val="auto"/>
          <w:sz w:val="21"/>
          <w:szCs w:val="21"/>
        </w:rPr>
      </w:pPr>
      <w:r>
        <w:rPr>
          <w:rFonts w:hint="eastAsia" w:ascii="宋体" w:hAnsi="宋体" w:eastAsia="宋体" w:cs="宋体"/>
          <w:b/>
          <w:color w:val="auto"/>
          <w:sz w:val="21"/>
          <w:szCs w:val="21"/>
        </w:rPr>
        <w:t>2.4通过符合性审查的投标人不足3家，评标委员会不得继续评标，并出具评标报告。</w:t>
      </w:r>
    </w:p>
    <w:p w14:paraId="16FABADF">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3.澄清补正</w:t>
      </w:r>
    </w:p>
    <w:p w14:paraId="0E22822D">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对投标文件中含义不明确、同类问题表述不一致或者有明显文字和计算错误的内容，评标委员会以电子澄清函形式要求投标人在规定时间内作出必要的澄清、说明或者纠正。投标人的澄清、说明或者补正必须采用电子回函形式，并加盖投标人公章，或者由法定代表人或者其授权的代表签字。投标人的澄清、说明或者补正不得超出投标文件的范围或者改变投标文件的实质性内容。</w:t>
      </w:r>
    </w:p>
    <w:p w14:paraId="7AFE99B0">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4.投标文件修正</w:t>
      </w:r>
    </w:p>
    <w:p w14:paraId="5565C0FC">
      <w:pPr>
        <w:pStyle w:val="6"/>
        <w:keepNext w:val="0"/>
        <w:keepLines w:val="0"/>
        <w:spacing w:before="0" w:after="0" w:line="360" w:lineRule="auto"/>
        <w:ind w:left="420" w:leftChars="200"/>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4.1投标文件报价出现前后不一致的，按照下列规定修正： </w:t>
      </w:r>
    </w:p>
    <w:p w14:paraId="45FB0D65">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（1）投标文件中开标一览表（报价表）内容与投标文件中相应内容不一致的，以开标一览表（报价表）为准；</w:t>
      </w:r>
    </w:p>
    <w:p w14:paraId="3291136B">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（2）大写金额和小写金额不一致的，以大写金额为准；</w:t>
      </w:r>
    </w:p>
    <w:p w14:paraId="5D860A83">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（3）单价金额小数点或者百分比有明显错位的，以开标一览表的总价为准，并修改单价；</w:t>
      </w:r>
    </w:p>
    <w:p w14:paraId="28FEB6CF">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（4）总价金额与按单价汇总金额不一致的，以单价金额计算结果为准。</w:t>
      </w:r>
    </w:p>
    <w:p w14:paraId="6D8D0995">
      <w:pPr>
        <w:pStyle w:val="20"/>
        <w:snapToGrid w:val="0"/>
        <w:spacing w:line="360" w:lineRule="auto"/>
        <w:ind w:firstLine="420" w:firstLineChars="200"/>
        <w:rPr>
          <w:rFonts w:ascii="宋体" w:hAnsi="宋体" w:eastAsia="宋体" w:cs="宋体"/>
          <w:color w:val="auto"/>
        </w:rPr>
      </w:pPr>
      <w:r>
        <w:rPr>
          <w:rFonts w:hint="eastAsia" w:ascii="宋体" w:hAnsi="宋体" w:eastAsia="宋体" w:cs="宋体"/>
          <w:color w:val="auto"/>
        </w:rPr>
        <w:t>同时出现两种以上不一致的，按照以上（1）-（4）规定的顺序修正。修正后的报价经投标人确认后产生约束力，投标人不确认的，</w:t>
      </w:r>
      <w:r>
        <w:rPr>
          <w:rFonts w:hint="eastAsia" w:ascii="宋体" w:hAnsi="宋体" w:eastAsia="宋体" w:cs="宋体"/>
          <w:b/>
          <w:color w:val="auto"/>
        </w:rPr>
        <w:t>其投标无效</w:t>
      </w:r>
      <w:r>
        <w:rPr>
          <w:rFonts w:hint="eastAsia" w:ascii="宋体" w:hAnsi="宋体" w:eastAsia="宋体" w:cs="宋体"/>
          <w:color w:val="auto"/>
        </w:rPr>
        <w:t>。</w:t>
      </w:r>
    </w:p>
    <w:p w14:paraId="77789F22">
      <w:pPr>
        <w:pStyle w:val="6"/>
        <w:keepNext w:val="0"/>
        <w:keepLines w:val="0"/>
        <w:spacing w:before="0" w:after="0" w:line="360" w:lineRule="auto"/>
        <w:rPr>
          <w:rFonts w:ascii="宋体" w:hAnsi="宋体" w:eastAsia="宋体" w:cs="宋体"/>
          <w:b w:val="0"/>
          <w:color w:val="auto"/>
          <w:sz w:val="21"/>
          <w:szCs w:val="21"/>
        </w:rPr>
      </w:pPr>
      <w:r>
        <w:rPr>
          <w:rFonts w:hint="eastAsia" w:ascii="宋体" w:hAnsi="宋体" w:eastAsia="宋体" w:cs="宋体"/>
          <w:b w:val="0"/>
          <w:color w:val="auto"/>
          <w:sz w:val="21"/>
          <w:szCs w:val="21"/>
        </w:rPr>
        <w:t xml:space="preserve">    4.2经投标人确认修正后的报价若超过采购预算金额或者最高限价，</w:t>
      </w:r>
      <w:r>
        <w:rPr>
          <w:rFonts w:hint="eastAsia" w:ascii="宋体" w:hAnsi="宋体" w:eastAsia="宋体" w:cs="宋体"/>
          <w:color w:val="auto"/>
          <w:sz w:val="21"/>
          <w:szCs w:val="21"/>
        </w:rPr>
        <w:t>投标人的投标文件作无效投标处理</w:t>
      </w:r>
      <w:r>
        <w:rPr>
          <w:rFonts w:hint="eastAsia" w:ascii="宋体" w:hAnsi="宋体" w:eastAsia="宋体" w:cs="宋体"/>
          <w:b w:val="0"/>
          <w:color w:val="auto"/>
          <w:sz w:val="21"/>
          <w:szCs w:val="21"/>
        </w:rPr>
        <w:t>。</w:t>
      </w:r>
    </w:p>
    <w:p w14:paraId="344339E6">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4.3经投标人确认修正后的报价作为签订合同的依据，并以此报价计算价格分。</w:t>
      </w:r>
    </w:p>
    <w:p w14:paraId="617E1CF4">
      <w:pPr>
        <w:pStyle w:val="6"/>
        <w:keepNext w:val="0"/>
        <w:keepLines w:val="0"/>
        <w:spacing w:before="0" w:after="0" w:line="360" w:lineRule="auto"/>
        <w:ind w:left="420" w:leftChars="200"/>
        <w:rPr>
          <w:rFonts w:ascii="宋体" w:hAnsi="宋体" w:eastAsia="宋体" w:cs="宋体"/>
          <w:color w:val="auto"/>
          <w:sz w:val="21"/>
          <w:szCs w:val="21"/>
        </w:rPr>
      </w:pPr>
      <w:r>
        <w:rPr>
          <w:rFonts w:hint="eastAsia" w:ascii="宋体" w:hAnsi="宋体" w:eastAsia="宋体" w:cs="宋体"/>
          <w:color w:val="auto"/>
          <w:sz w:val="21"/>
          <w:szCs w:val="21"/>
        </w:rPr>
        <w:t>5.比较与评价</w:t>
      </w:r>
    </w:p>
    <w:p w14:paraId="443C7610">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5.1采用综合评分法的</w:t>
      </w:r>
    </w:p>
    <w:p w14:paraId="02E2A1FB">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（1）评标委员会按照招标文件中规定的评标方法及评标标准，对符合性审查合格的投标文件进行商务和技术评估，综合比较与评价。</w:t>
      </w:r>
    </w:p>
    <w:p w14:paraId="1DFBBB9E">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（2）评标委员会独立对每个投标人的投标文件进行评价，并汇总每个投标人的得分。</w:t>
      </w:r>
    </w:p>
    <w:p w14:paraId="0C97DC02">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宋体"/>
          <w:b/>
          <w:color w:val="auto"/>
          <w:szCs w:val="21"/>
        </w:rPr>
        <w:t>投标人不能证明其报价合理性的，评标委员会将其作为无效投标处理</w:t>
      </w:r>
      <w:r>
        <w:rPr>
          <w:rFonts w:hint="eastAsia" w:ascii="宋体" w:hAnsi="宋体" w:eastAsia="宋体" w:cs="宋体"/>
          <w:color w:val="auto"/>
          <w:szCs w:val="21"/>
        </w:rPr>
        <w:t>。</w:t>
      </w:r>
    </w:p>
    <w:p w14:paraId="25A9F817">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（3）评标委员会按照招标文件中规定的评标方法和标准计算各投标人的报价得分。在计算过程中，不得去掉最高报价或者最低报价。</w:t>
      </w:r>
    </w:p>
    <w:p w14:paraId="41BE1B7A">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（4）各投标人的得分为所有评委的有效评分的算术平均数。</w:t>
      </w:r>
    </w:p>
    <w:p w14:paraId="5EDF5AE9">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（5）评标委员会按照招标文件中的规定推荐中标候选人。</w:t>
      </w:r>
    </w:p>
    <w:p w14:paraId="5F89D1C9">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作出结论。持不同意见的评标委员会成员应当在评标报告上签署不同意见及理由，否则视为同意评标报告。</w:t>
      </w:r>
    </w:p>
    <w:p w14:paraId="761482AB">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5.2采用</w:t>
      </w:r>
      <w:r>
        <w:rPr>
          <w:rFonts w:hint="eastAsia" w:ascii="宋体" w:hAnsi="宋体" w:eastAsia="宋体" w:cs="宋体"/>
          <w:color w:val="auto"/>
        </w:rPr>
        <w:t>最低评标价法</w:t>
      </w:r>
      <w:r>
        <w:rPr>
          <w:rFonts w:hint="eastAsia" w:ascii="宋体" w:hAnsi="宋体" w:eastAsia="宋体" w:cs="宋体"/>
          <w:color w:val="auto"/>
          <w:szCs w:val="21"/>
        </w:rPr>
        <w:t>的</w:t>
      </w:r>
    </w:p>
    <w:p w14:paraId="0622F8A9">
      <w:pPr>
        <w:snapToGrid w:val="0"/>
        <w:spacing w:line="360" w:lineRule="auto"/>
        <w:ind w:firstLine="424" w:firstLineChars="202"/>
        <w:jc w:val="left"/>
        <w:rPr>
          <w:rFonts w:ascii="宋体" w:hAnsi="宋体" w:eastAsia="宋体" w:cs="宋体"/>
          <w:color w:val="auto"/>
          <w:szCs w:val="21"/>
        </w:rPr>
      </w:pPr>
      <w:r>
        <w:rPr>
          <w:rFonts w:hint="eastAsia" w:ascii="宋体" w:hAnsi="宋体" w:eastAsia="宋体" w:cs="宋体"/>
          <w:color w:val="auto"/>
          <w:szCs w:val="21"/>
        </w:rPr>
        <w:t>（1）评标委员会按照招标文件中规定的评标方法及评标标准，对符合性审查合格的投标文件报价进行比较。</w:t>
      </w:r>
    </w:p>
    <w:p w14:paraId="318F3447">
      <w:pPr>
        <w:snapToGrid w:val="0"/>
        <w:spacing w:line="360" w:lineRule="auto"/>
        <w:ind w:firstLine="399" w:firstLineChars="202"/>
        <w:jc w:val="left"/>
        <w:rPr>
          <w:rFonts w:ascii="宋体" w:hAnsi="宋体" w:eastAsia="宋体" w:cs="宋体"/>
          <w:color w:val="auto"/>
          <w:spacing w:val="-6"/>
          <w:szCs w:val="21"/>
        </w:rPr>
      </w:pPr>
      <w:r>
        <w:rPr>
          <w:rFonts w:hint="eastAsia" w:ascii="宋体" w:hAnsi="宋体" w:eastAsia="宋体" w:cs="宋体"/>
          <w:color w:val="auto"/>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宋体"/>
          <w:b/>
          <w:color w:val="auto"/>
          <w:spacing w:val="-6"/>
          <w:szCs w:val="21"/>
        </w:rPr>
        <w:t>投标人不能证明其报价合理性的，评标委员会将其作为无效投标处理</w:t>
      </w:r>
      <w:r>
        <w:rPr>
          <w:rFonts w:hint="eastAsia" w:ascii="宋体" w:hAnsi="宋体" w:eastAsia="宋体" w:cs="宋体"/>
          <w:color w:val="auto"/>
          <w:spacing w:val="-6"/>
          <w:szCs w:val="21"/>
        </w:rPr>
        <w:t>。</w:t>
      </w:r>
    </w:p>
    <w:p w14:paraId="406B9871">
      <w:pPr>
        <w:snapToGrid w:val="0"/>
        <w:spacing w:line="360" w:lineRule="auto"/>
        <w:ind w:firstLine="424" w:firstLineChars="202"/>
        <w:jc w:val="left"/>
        <w:rPr>
          <w:rFonts w:ascii="宋体" w:hAnsi="宋体" w:eastAsia="宋体" w:cs="宋体"/>
          <w:color w:val="auto"/>
          <w:szCs w:val="21"/>
        </w:rPr>
      </w:pPr>
      <w:r>
        <w:rPr>
          <w:rFonts w:hint="eastAsia" w:ascii="宋体" w:hAnsi="宋体" w:eastAsia="宋体" w:cs="宋体"/>
          <w:color w:val="auto"/>
          <w:szCs w:val="21"/>
        </w:rPr>
        <w:t>（3）评标委员会按照招标文件中的规定推荐中标候选人。</w:t>
      </w:r>
    </w:p>
    <w:p w14:paraId="7E7DCFAE">
      <w:pPr>
        <w:snapToGrid w:val="0"/>
        <w:spacing w:line="360" w:lineRule="auto"/>
        <w:ind w:firstLine="424" w:firstLineChars="202"/>
        <w:jc w:val="left"/>
        <w:rPr>
          <w:rFonts w:ascii="宋体" w:hAnsi="宋体" w:eastAsia="宋体" w:cs="宋体"/>
          <w:color w:val="auto"/>
          <w:szCs w:val="21"/>
        </w:rPr>
      </w:pPr>
      <w:r>
        <w:rPr>
          <w:rFonts w:hint="eastAsia" w:ascii="宋体" w:hAnsi="宋体" w:eastAsia="宋体" w:cs="宋体"/>
          <w:color w:val="auto"/>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作出结论。持不同意见的评标委员会成员应当在评标报告上签署不同意见及理由，否则视为同意评标报告。</w:t>
      </w:r>
    </w:p>
    <w:p w14:paraId="112BA67D">
      <w:pPr>
        <w:pStyle w:val="3"/>
        <w:rPr>
          <w:rFonts w:ascii="宋体" w:hAnsi="宋体" w:eastAsia="宋体" w:cs="宋体"/>
          <w:color w:val="auto"/>
        </w:rPr>
      </w:pPr>
    </w:p>
    <w:p w14:paraId="40D09F27">
      <w:pPr>
        <w:pStyle w:val="3"/>
        <w:rPr>
          <w:rFonts w:ascii="宋体" w:hAnsi="宋体" w:eastAsia="宋体" w:cs="宋体"/>
          <w:color w:val="auto"/>
        </w:rPr>
      </w:pPr>
    </w:p>
    <w:bookmarkEnd w:id="65"/>
    <w:p w14:paraId="39B2BDF9">
      <w:pPr>
        <w:pStyle w:val="20"/>
        <w:keepLines/>
        <w:ind w:firstLine="602" w:firstLineChars="200"/>
        <w:jc w:val="center"/>
        <w:rPr>
          <w:rFonts w:ascii="宋体" w:hAnsi="宋体" w:eastAsia="宋体" w:cs="宋体"/>
          <w:b/>
          <w:color w:val="auto"/>
          <w:sz w:val="30"/>
          <w:szCs w:val="30"/>
        </w:rPr>
      </w:pPr>
      <w:r>
        <w:rPr>
          <w:rFonts w:hint="eastAsia" w:ascii="宋体" w:hAnsi="宋体" w:eastAsia="宋体" w:cs="宋体"/>
          <w:b/>
          <w:color w:val="auto"/>
          <w:sz w:val="30"/>
          <w:szCs w:val="30"/>
        </w:rPr>
        <w:br w:type="page"/>
      </w:r>
      <w:r>
        <w:rPr>
          <w:rFonts w:hint="eastAsia" w:ascii="宋体" w:hAnsi="宋体" w:eastAsia="宋体" w:cs="宋体"/>
          <w:b/>
          <w:color w:val="auto"/>
          <w:sz w:val="30"/>
          <w:szCs w:val="30"/>
          <w:highlight w:val="none"/>
        </w:rPr>
        <w:t>三、评分标准</w:t>
      </w:r>
    </w:p>
    <w:p w14:paraId="254AC59D">
      <w:pPr>
        <w:pStyle w:val="20"/>
        <w:keepLines/>
        <w:ind w:firstLine="602" w:firstLineChars="200"/>
        <w:jc w:val="center"/>
        <w:rPr>
          <w:rFonts w:ascii="宋体" w:hAnsi="宋体" w:eastAsia="宋体" w:cs="宋体"/>
          <w:b/>
          <w:color w:val="auto"/>
          <w:sz w:val="30"/>
          <w:szCs w:val="30"/>
        </w:rPr>
      </w:pPr>
      <w:r>
        <w:rPr>
          <w:rFonts w:hint="eastAsia" w:ascii="宋体" w:hAnsi="宋体" w:eastAsia="宋体" w:cs="宋体"/>
          <w:b/>
          <w:color w:val="auto"/>
          <w:sz w:val="30"/>
          <w:szCs w:val="30"/>
        </w:rPr>
        <w:t>综合评分法</w:t>
      </w:r>
    </w:p>
    <w:tbl>
      <w:tblPr>
        <w:tblStyle w:val="37"/>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500"/>
        <w:gridCol w:w="7081"/>
      </w:tblGrid>
      <w:tr w14:paraId="69DB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14:paraId="26D8C534">
            <w:pPr>
              <w:adjustRightInd w:val="0"/>
              <w:spacing w:line="360" w:lineRule="auto"/>
              <w:jc w:val="center"/>
              <w:textAlignment w:val="baseline"/>
              <w:rPr>
                <w:rFonts w:ascii="宋体" w:hAnsi="宋体" w:eastAsia="宋体" w:cs="宋体"/>
                <w:color w:val="auto"/>
                <w:szCs w:val="21"/>
                <w:highlight w:val="none"/>
              </w:rPr>
            </w:pPr>
            <w:r>
              <w:rPr>
                <w:rFonts w:hint="eastAsia" w:ascii="宋体" w:hAnsi="宋体" w:eastAsia="宋体" w:cs="宋体"/>
                <w:b/>
                <w:color w:val="auto"/>
                <w:szCs w:val="21"/>
                <w:highlight w:val="none"/>
              </w:rPr>
              <w:t>序号</w:t>
            </w:r>
          </w:p>
        </w:tc>
        <w:tc>
          <w:tcPr>
            <w:tcW w:w="1500" w:type="dxa"/>
            <w:vAlign w:val="center"/>
          </w:tcPr>
          <w:p w14:paraId="7CD1D4CE">
            <w:pPr>
              <w:adjustRightInd w:val="0"/>
              <w:spacing w:line="360" w:lineRule="auto"/>
              <w:jc w:val="center"/>
              <w:textAlignment w:val="baseline"/>
              <w:rPr>
                <w:rFonts w:ascii="宋体" w:hAnsi="宋体" w:eastAsia="宋体" w:cs="宋体"/>
                <w:color w:val="auto"/>
                <w:szCs w:val="21"/>
                <w:highlight w:val="none"/>
              </w:rPr>
            </w:pPr>
            <w:r>
              <w:rPr>
                <w:rFonts w:hint="eastAsia" w:ascii="宋体" w:hAnsi="宋体" w:eastAsia="宋体" w:cs="宋体"/>
                <w:b/>
                <w:color w:val="auto"/>
                <w:szCs w:val="21"/>
                <w:highlight w:val="none"/>
              </w:rPr>
              <w:t>评审因素</w:t>
            </w:r>
          </w:p>
        </w:tc>
        <w:tc>
          <w:tcPr>
            <w:tcW w:w="7081" w:type="dxa"/>
            <w:vAlign w:val="center"/>
          </w:tcPr>
          <w:p w14:paraId="1CEFD52A">
            <w:pPr>
              <w:adjustRightInd w:val="0"/>
              <w:spacing w:line="360" w:lineRule="auto"/>
              <w:jc w:val="center"/>
              <w:textAlignment w:val="baseline"/>
              <w:rPr>
                <w:rFonts w:ascii="宋体" w:hAnsi="宋体" w:eastAsia="宋体" w:cs="宋体"/>
                <w:color w:val="auto"/>
                <w:szCs w:val="21"/>
                <w:highlight w:val="none"/>
              </w:rPr>
            </w:pPr>
            <w:r>
              <w:rPr>
                <w:rFonts w:hint="eastAsia" w:ascii="宋体" w:hAnsi="宋体" w:eastAsia="宋体" w:cs="宋体"/>
                <w:b/>
                <w:color w:val="auto"/>
                <w:szCs w:val="21"/>
                <w:highlight w:val="none"/>
              </w:rPr>
              <w:t>评标标准</w:t>
            </w:r>
          </w:p>
        </w:tc>
      </w:tr>
      <w:tr w14:paraId="45B3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14:paraId="29DFD3E8">
            <w:pPr>
              <w:adjustRightInd w:val="0"/>
              <w:spacing w:line="360" w:lineRule="auto"/>
              <w:jc w:val="center"/>
              <w:textAlignment w:val="baseline"/>
              <w:rPr>
                <w:rFonts w:ascii="宋体" w:hAnsi="宋体" w:eastAsia="宋体" w:cs="宋体"/>
                <w:strike/>
                <w:color w:val="auto"/>
                <w:szCs w:val="21"/>
                <w:highlight w:val="none"/>
              </w:rPr>
            </w:pPr>
            <w:r>
              <w:rPr>
                <w:rFonts w:hint="eastAsia" w:ascii="宋体" w:hAnsi="宋体" w:eastAsia="宋体" w:cs="宋体"/>
                <w:b/>
                <w:color w:val="auto"/>
                <w:szCs w:val="21"/>
                <w:highlight w:val="none"/>
              </w:rPr>
              <w:t>1</w:t>
            </w:r>
          </w:p>
        </w:tc>
        <w:tc>
          <w:tcPr>
            <w:tcW w:w="1500" w:type="dxa"/>
            <w:vAlign w:val="center"/>
          </w:tcPr>
          <w:p w14:paraId="6BC17238">
            <w:pPr>
              <w:spacing w:line="312"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投标报价</w:t>
            </w:r>
          </w:p>
          <w:p w14:paraId="59777A78">
            <w:pPr>
              <w:spacing w:line="312"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（满分30分）</w:t>
            </w:r>
          </w:p>
          <w:p w14:paraId="6274E256">
            <w:pPr>
              <w:spacing w:line="312" w:lineRule="auto"/>
              <w:jc w:val="center"/>
              <w:rPr>
                <w:rFonts w:ascii="宋体" w:hAnsi="宋体" w:eastAsia="宋体" w:cs="宋体"/>
                <w:b/>
                <w:color w:val="auto"/>
                <w:szCs w:val="21"/>
                <w:highlight w:val="none"/>
              </w:rPr>
            </w:pPr>
          </w:p>
        </w:tc>
        <w:tc>
          <w:tcPr>
            <w:tcW w:w="7081" w:type="dxa"/>
            <w:vAlign w:val="center"/>
          </w:tcPr>
          <w:p w14:paraId="19AEA3A3">
            <w:pPr>
              <w:spacing w:line="312" w:lineRule="auto"/>
              <w:ind w:firstLine="420" w:firstLineChars="200"/>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（1）以满足招标文件要求且投标价格最低的投标报价为评标基准价，其价格分为满分。</w:t>
            </w:r>
          </w:p>
          <w:p w14:paraId="13CB76A0">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（2）因落实政府采购政策进行价格调整的，以调整后的价格计算评标基准价和投标报价：</w:t>
            </w:r>
          </w:p>
          <w:p w14:paraId="700267A3">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①按《政府采购促进中小企业发展管理办法》财库〔2020〕46号及《财政部关于进一步加大政府采购支持中小企业力度的通知》财库〔2022〕19号规定,投标人在其投标文件中提供《中小企业声明函》，设备生产厂家为小型和微型企业的，对其最后报价给予</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lang w:eastAsia="zh-CN"/>
              </w:rPr>
              <w:t>0%</w:t>
            </w:r>
            <w:r>
              <w:rPr>
                <w:rFonts w:hint="eastAsia" w:ascii="宋体" w:hAnsi="宋体" w:eastAsia="宋体" w:cs="宋体"/>
                <w:bCs/>
                <w:color w:val="auto"/>
                <w:szCs w:val="21"/>
                <w:highlight w:val="none"/>
              </w:rPr>
              <w:t>的扣除。</w:t>
            </w:r>
          </w:p>
          <w:p w14:paraId="789B967B">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②按照《财政部、司法部关于政府采购支持监狱企业发展有关问题的通知》（财库〔2014〕68号）的规定，监狱企业视同小型、微型企业，享受小型、微型企业评审时投标价格给予</w:t>
            </w:r>
            <w:r>
              <w:rPr>
                <w:rFonts w:hint="eastAsia" w:ascii="宋体" w:hAnsi="宋体" w:eastAsia="宋体" w:cs="宋体"/>
                <w:bCs/>
                <w:color w:val="auto"/>
                <w:szCs w:val="21"/>
                <w:highlight w:val="none"/>
                <w:lang w:eastAsia="zh-CN"/>
              </w:rPr>
              <w:t>20%</w:t>
            </w:r>
            <w:r>
              <w:rPr>
                <w:rFonts w:hint="eastAsia" w:ascii="宋体" w:hAnsi="宋体" w:eastAsia="宋体" w:cs="宋体"/>
                <w:bCs/>
                <w:color w:val="auto"/>
                <w:szCs w:val="21"/>
                <w:highlight w:val="none"/>
              </w:rPr>
              <w:t>扣除的政府采购政策。</w:t>
            </w:r>
          </w:p>
          <w:p w14:paraId="1E8B766E">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③按照《关于促进残疾人就业政府采购政策的通知》（财库〔2017〕141号）的规定，残疾人福利性单位视同小型、微型企业，享受小型、微型企业评审时投标价格给予</w:t>
            </w:r>
            <w:r>
              <w:rPr>
                <w:rFonts w:hint="eastAsia" w:ascii="宋体" w:hAnsi="宋体" w:eastAsia="宋体" w:cs="宋体"/>
                <w:bCs/>
                <w:color w:val="auto"/>
                <w:szCs w:val="21"/>
                <w:highlight w:val="none"/>
                <w:lang w:eastAsia="zh-CN"/>
              </w:rPr>
              <w:t>20%</w:t>
            </w:r>
            <w:r>
              <w:rPr>
                <w:rFonts w:hint="eastAsia" w:ascii="宋体" w:hAnsi="宋体" w:eastAsia="宋体" w:cs="宋体"/>
                <w:bCs/>
                <w:color w:val="auto"/>
                <w:szCs w:val="21"/>
                <w:highlight w:val="none"/>
              </w:rPr>
              <w:t>扣除的政府采购政策。</w:t>
            </w:r>
          </w:p>
          <w:p w14:paraId="68EAAEBC">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（3）政策性扣除计算方法。</w:t>
            </w:r>
          </w:p>
          <w:p w14:paraId="0B70CF3F">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在设备采购项目中，设备由监狱企业或残疾人福利性单位或小型或微型的企业承接的，该投标报价给予</w:t>
            </w:r>
            <w:r>
              <w:rPr>
                <w:rFonts w:hint="eastAsia" w:ascii="宋体" w:hAnsi="宋体" w:eastAsia="宋体" w:cs="宋体"/>
                <w:bCs/>
                <w:color w:val="auto"/>
                <w:szCs w:val="21"/>
                <w:highlight w:val="none"/>
                <w:lang w:eastAsia="zh-CN"/>
              </w:rPr>
              <w:t>20%</w:t>
            </w:r>
            <w:r>
              <w:rPr>
                <w:rFonts w:hint="eastAsia" w:ascii="宋体" w:hAnsi="宋体" w:eastAsia="宋体" w:cs="宋体"/>
                <w:bCs/>
                <w:color w:val="auto"/>
                <w:szCs w:val="21"/>
                <w:highlight w:val="none"/>
              </w:rPr>
              <w:t>的扣除，用扣除后的价格参与评审（计算价格分）；大中型企业和其他自然人、法人或者其他组织与小型、微型企业组成联合体投标，且联合体协议中约定小型、微型企业的协议合同金额占到联合体协议合同总金额30%以上的，联合体投标价给予6%的扣除，用扣除后的价格参与评审（计算价格分）。</w:t>
            </w:r>
          </w:p>
          <w:p w14:paraId="0817F1FB">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投标人既属于残疾人福利性单位又属于小型、微型企业的，其报价只能享受一次的扣除，不重复享受政策。</w:t>
            </w:r>
          </w:p>
          <w:p w14:paraId="53D8F136">
            <w:pPr>
              <w:widowControl/>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（4）价格分计算公式：</w:t>
            </w:r>
            <w:r>
              <w:rPr>
                <w:rFonts w:hint="eastAsia" w:ascii="宋体" w:hAnsi="宋体" w:eastAsia="宋体" w:cs="宋体"/>
                <w:bCs/>
                <w:color w:val="auto"/>
                <w:kern w:val="0"/>
                <w:szCs w:val="21"/>
                <w:highlight w:val="none"/>
              </w:rPr>
              <w:t>投标报价得分=（评标基准价/投标报价）×30分</w:t>
            </w:r>
          </w:p>
          <w:p w14:paraId="627A1E11">
            <w:pPr>
              <w:pStyle w:val="20"/>
              <w:spacing w:line="312" w:lineRule="auto"/>
              <w:ind w:firstLine="420" w:firstLineChars="200"/>
              <w:rPr>
                <w:rFonts w:ascii="宋体" w:hAnsi="宋体" w:eastAsia="宋体" w:cs="宋体"/>
                <w:bCs/>
                <w:color w:val="auto"/>
                <w:highlight w:val="none"/>
              </w:rPr>
            </w:pPr>
            <w:r>
              <w:rPr>
                <w:rFonts w:hint="eastAsia" w:ascii="宋体" w:hAnsi="宋体" w:eastAsia="宋体" w:cs="宋体"/>
                <w:bCs/>
                <w:color w:val="auto"/>
                <w:szCs w:val="21"/>
                <w:highlight w:val="none"/>
              </w:rPr>
              <w:t>注：投标报价计算时均为投标人的实际投标报价进行政策性扣除后的价格，最终中标金额＝投标报价。</w:t>
            </w:r>
          </w:p>
        </w:tc>
      </w:tr>
      <w:tr w14:paraId="4929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2" w:hRule="atLeast"/>
          <w:jc w:val="center"/>
        </w:trPr>
        <w:tc>
          <w:tcPr>
            <w:tcW w:w="869" w:type="dxa"/>
            <w:vAlign w:val="center"/>
          </w:tcPr>
          <w:p w14:paraId="314CB6A6">
            <w:pPr>
              <w:adjustRightInd w:val="0"/>
              <w:spacing w:line="360" w:lineRule="auto"/>
              <w:ind w:right="-105" w:rightChars="-50" w:firstLine="422" w:firstLineChars="200"/>
              <w:textAlignment w:val="baseline"/>
              <w:rPr>
                <w:rFonts w:ascii="宋体" w:hAnsi="宋体" w:eastAsia="宋体" w:cs="宋体"/>
                <w:b/>
                <w:color w:val="auto"/>
                <w:szCs w:val="21"/>
                <w:highlight w:val="none"/>
              </w:rPr>
            </w:pPr>
            <w:r>
              <w:rPr>
                <w:rFonts w:hint="eastAsia" w:ascii="宋体" w:hAnsi="宋体" w:eastAsia="宋体" w:cs="宋体"/>
                <w:b/>
                <w:color w:val="auto"/>
                <w:szCs w:val="21"/>
                <w:highlight w:val="none"/>
              </w:rPr>
              <w:t>2</w:t>
            </w:r>
          </w:p>
        </w:tc>
        <w:tc>
          <w:tcPr>
            <w:tcW w:w="1500" w:type="dxa"/>
            <w:vAlign w:val="center"/>
          </w:tcPr>
          <w:p w14:paraId="5BE4C1AF">
            <w:pPr>
              <w:snapToGrid w:val="0"/>
              <w:spacing w:line="360" w:lineRule="atLeas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产品综合性能分（</w:t>
            </w:r>
            <w:r>
              <w:rPr>
                <w:rFonts w:hint="eastAsia" w:ascii="宋体" w:hAnsi="宋体" w:eastAsia="宋体" w:cs="宋体"/>
                <w:b/>
                <w:color w:val="auto"/>
                <w:szCs w:val="21"/>
                <w:highlight w:val="none"/>
                <w:lang w:val="en-US" w:eastAsia="zh-CN"/>
              </w:rPr>
              <w:t>12</w:t>
            </w:r>
            <w:r>
              <w:rPr>
                <w:rFonts w:hint="eastAsia" w:ascii="宋体" w:hAnsi="宋体" w:eastAsia="宋体" w:cs="宋体"/>
                <w:b/>
                <w:color w:val="auto"/>
                <w:szCs w:val="21"/>
                <w:highlight w:val="none"/>
              </w:rPr>
              <w:t>分）</w:t>
            </w:r>
          </w:p>
        </w:tc>
        <w:tc>
          <w:tcPr>
            <w:tcW w:w="7081" w:type="dxa"/>
            <w:vAlign w:val="center"/>
          </w:tcPr>
          <w:p w14:paraId="3CB9B8E6">
            <w:pPr>
              <w:widowControl/>
              <w:rPr>
                <w:b/>
                <w:color w:val="auto"/>
                <w:highlight w:val="none"/>
              </w:rPr>
            </w:pPr>
            <w:r>
              <w:rPr>
                <w:rFonts w:hint="eastAsia" w:ascii="宋体" w:hAnsi="宋体" w:eastAsia="宋体" w:cs="宋体"/>
                <w:b/>
                <w:color w:val="auto"/>
                <w:kern w:val="0"/>
                <w:sz w:val="20"/>
                <w:szCs w:val="20"/>
                <w:highlight w:val="none"/>
                <w:lang w:bidi="ar"/>
              </w:rPr>
              <w:t>1、基本分(满分</w:t>
            </w:r>
            <w:r>
              <w:rPr>
                <w:rFonts w:hint="eastAsia" w:ascii="宋体" w:hAnsi="宋体" w:eastAsia="宋体" w:cs="宋体"/>
                <w:b/>
                <w:color w:val="auto"/>
                <w:kern w:val="0"/>
                <w:sz w:val="20"/>
                <w:szCs w:val="20"/>
                <w:highlight w:val="none"/>
                <w:lang w:val="en-US" w:eastAsia="zh-CN" w:bidi="ar"/>
              </w:rPr>
              <w:t>3</w:t>
            </w:r>
            <w:r>
              <w:rPr>
                <w:rFonts w:hint="eastAsia" w:ascii="宋体" w:hAnsi="宋体" w:eastAsia="宋体" w:cs="宋体"/>
                <w:b/>
                <w:color w:val="auto"/>
                <w:kern w:val="0"/>
                <w:sz w:val="20"/>
                <w:szCs w:val="20"/>
                <w:highlight w:val="none"/>
                <w:lang w:bidi="ar"/>
              </w:rPr>
              <w:t>分)</w:t>
            </w:r>
          </w:p>
          <w:p w14:paraId="5CD0C9A0">
            <w:pPr>
              <w:pStyle w:val="20"/>
              <w:spacing w:line="312"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满足招标文件全部技术参数要求，不存在负偏离的得基本分</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分。未标注“▲”号的技术参数要求发生负偏离或漏项，每有一项扣</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分，最多扣</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分。(在招标文件允许偏离的项数内)。</w:t>
            </w:r>
          </w:p>
          <w:p w14:paraId="3FFF3E02">
            <w:pPr>
              <w:pStyle w:val="15"/>
              <w:rPr>
                <w:rFonts w:ascii="宋体" w:hAnsi="宋体" w:eastAsia="宋体" w:cs="宋体"/>
                <w:color w:val="auto"/>
                <w:highlight w:val="none"/>
              </w:rPr>
            </w:pPr>
            <w:r>
              <w:rPr>
                <w:rFonts w:hint="eastAsia" w:ascii="宋体" w:hAnsi="宋体" w:eastAsia="宋体" w:cs="宋体"/>
                <w:b/>
                <w:color w:val="auto"/>
                <w:szCs w:val="21"/>
                <w:highlight w:val="none"/>
              </w:rPr>
              <w:t>2、综合性能分</w:t>
            </w:r>
            <w:r>
              <w:rPr>
                <w:rFonts w:hint="eastAsia" w:ascii="宋体" w:hAnsi="宋体" w:eastAsia="宋体" w:cs="宋体"/>
                <w:b/>
                <w:color w:val="auto"/>
                <w:highlight w:val="none"/>
              </w:rPr>
              <w:t>(满分9分)</w:t>
            </w:r>
          </w:p>
          <w:p w14:paraId="733197A3">
            <w:pPr>
              <w:pStyle w:val="15"/>
              <w:rPr>
                <w:rFonts w:ascii="宋体" w:hAnsi="宋体" w:eastAsia="宋体" w:cs="宋体"/>
                <w:color w:val="auto"/>
                <w:highlight w:val="none"/>
              </w:rPr>
            </w:pPr>
            <w:r>
              <w:rPr>
                <w:rFonts w:hint="eastAsia" w:ascii="宋体" w:hAnsi="宋体" w:eastAsia="宋体" w:cs="宋体"/>
                <w:color w:val="auto"/>
                <w:highlight w:val="none"/>
              </w:rPr>
              <w:t>（1）本项目核心产品技术参数完全满足招标文件的前提下，标注</w:t>
            </w:r>
            <w:r>
              <w:rPr>
                <w:rFonts w:hint="eastAsia" w:ascii="宋体" w:hAnsi="宋体" w:eastAsia="宋体" w:cs="宋体"/>
                <w:bCs/>
                <w:color w:val="auto"/>
                <w:szCs w:val="21"/>
                <w:highlight w:val="none"/>
              </w:rPr>
              <w:t>“▲”</w:t>
            </w:r>
            <w:r>
              <w:rPr>
                <w:rFonts w:hint="eastAsia" w:ascii="宋体" w:hAnsi="宋体" w:eastAsia="宋体" w:cs="宋体"/>
                <w:color w:val="auto"/>
                <w:highlight w:val="none"/>
              </w:rPr>
              <w:t>号参数每有一项优于招标文件要求且评标时被评标委员会接受的，得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分，满分</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w:t>
            </w:r>
          </w:p>
          <w:p w14:paraId="114DBE70">
            <w:pPr>
              <w:pStyle w:val="15"/>
              <w:rPr>
                <w:rFonts w:ascii="宋体" w:hAnsi="宋体" w:eastAsia="宋体" w:cs="宋体"/>
                <w:color w:val="auto"/>
                <w:highlight w:val="none"/>
              </w:rPr>
            </w:pPr>
            <w:r>
              <w:rPr>
                <w:rFonts w:hint="eastAsia" w:ascii="宋体" w:hAnsi="宋体" w:eastAsia="宋体" w:cs="宋体"/>
                <w:color w:val="auto"/>
                <w:highlight w:val="none"/>
              </w:rPr>
              <w:t>注:</w:t>
            </w:r>
            <w:r>
              <w:rPr>
                <w:rFonts w:hint="eastAsia" w:ascii="宋体" w:hAnsi="宋体" w:eastAsia="宋体" w:cs="宋体"/>
                <w:bCs/>
                <w:color w:val="auto"/>
                <w:szCs w:val="21"/>
                <w:highlight w:val="none"/>
              </w:rPr>
              <w:t>投标人所承诺标注“▲”号项偏离情况为“正偏离”时，“▲”</w:t>
            </w:r>
            <w:r>
              <w:rPr>
                <w:rFonts w:hint="eastAsia" w:ascii="宋体" w:hAnsi="宋体" w:eastAsia="宋体" w:cs="宋体"/>
                <w:color w:val="auto"/>
                <w:highlight w:val="none"/>
              </w:rPr>
              <w:t>技术性能及功能有明显优于的招标文件技术参数的，投标人须在投标文件中提供第三方检测报告复印件或产品生产厂家出具的技术参数说明(技术白皮书)等证明材料作为佐证，以上材料均需加盖生产厂家公章，否则评标委员会有权不接受其优于。)</w:t>
            </w:r>
          </w:p>
          <w:p w14:paraId="14E34832">
            <w:pPr>
              <w:pStyle w:val="15"/>
              <w:rPr>
                <w:rFonts w:ascii="宋体" w:hAnsi="宋体" w:eastAsia="宋体" w:cs="宋体"/>
                <w:color w:val="auto"/>
                <w:highlight w:val="none"/>
              </w:rPr>
            </w:pPr>
            <w:r>
              <w:rPr>
                <w:rFonts w:hint="eastAsia" w:ascii="宋体" w:hAnsi="宋体" w:eastAsia="宋体" w:cs="宋体"/>
                <w:color w:val="auto"/>
                <w:highlight w:val="none"/>
              </w:rPr>
              <w:t>（2）本项目核心产品技术参数完全满足招标文件的前提下，非</w:t>
            </w:r>
            <w:r>
              <w:rPr>
                <w:rFonts w:hint="eastAsia" w:ascii="宋体" w:hAnsi="宋体" w:eastAsia="宋体" w:cs="宋体"/>
                <w:bCs/>
                <w:color w:val="auto"/>
                <w:szCs w:val="21"/>
                <w:highlight w:val="none"/>
              </w:rPr>
              <w:t>“▲”</w:t>
            </w:r>
            <w:r>
              <w:rPr>
                <w:rFonts w:hint="eastAsia" w:ascii="宋体" w:hAnsi="宋体" w:eastAsia="宋体" w:cs="宋体"/>
                <w:color w:val="auto"/>
                <w:highlight w:val="none"/>
              </w:rPr>
              <w:t>号参数每有项优于招标文件要求且评标时被评标委员会接受的，得</w:t>
            </w:r>
            <w:r>
              <w:rPr>
                <w:rFonts w:hint="eastAsia" w:ascii="宋体" w:hAnsi="宋体" w:eastAsia="宋体" w:cs="宋体"/>
                <w:color w:val="auto"/>
                <w:highlight w:val="none"/>
                <w:lang w:val="en-US" w:eastAsia="zh-CN"/>
              </w:rPr>
              <w:t>0.5</w:t>
            </w:r>
            <w:r>
              <w:rPr>
                <w:rFonts w:hint="eastAsia" w:ascii="宋体" w:hAnsi="宋体" w:eastAsia="宋体" w:cs="宋体"/>
                <w:color w:val="auto"/>
                <w:highlight w:val="none"/>
              </w:rPr>
              <w:t>分，满分</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p w14:paraId="6A772371">
            <w:pPr>
              <w:pStyle w:val="15"/>
              <w:rPr>
                <w:rFonts w:ascii="宋体" w:hAnsi="宋体" w:eastAsia="宋体" w:cs="宋体"/>
                <w:color w:val="auto"/>
                <w:highlight w:val="none"/>
              </w:rPr>
            </w:pPr>
            <w:r>
              <w:rPr>
                <w:rFonts w:hint="eastAsia" w:ascii="宋体" w:hAnsi="宋体" w:eastAsia="宋体" w:cs="宋体"/>
                <w:color w:val="auto"/>
                <w:highlight w:val="none"/>
              </w:rPr>
              <w:t>(注:未标注</w:t>
            </w:r>
            <w:r>
              <w:rPr>
                <w:rFonts w:hint="eastAsia" w:ascii="宋体" w:hAnsi="宋体" w:eastAsia="宋体" w:cs="宋体"/>
                <w:bCs/>
                <w:color w:val="auto"/>
                <w:szCs w:val="21"/>
                <w:highlight w:val="none"/>
              </w:rPr>
              <w:t>“▲”</w:t>
            </w:r>
            <w:r>
              <w:rPr>
                <w:rFonts w:hint="eastAsia" w:ascii="宋体" w:hAnsi="宋体" w:eastAsia="宋体" w:cs="宋体"/>
                <w:color w:val="auto"/>
                <w:highlight w:val="none"/>
              </w:rPr>
              <w:t>技术性能及功能有明显优于的，投标人须在投标文件中提供第三方检测报告复印件或产品生产厂家出具的技术参数说明(技术白皮书)等证明材料作为佐证，以上材料均需加盖生产厂家公章</w:t>
            </w:r>
            <w:r>
              <w:rPr>
                <w:rFonts w:hint="eastAsia" w:ascii="宋体" w:hAnsi="宋体" w:eastAsia="宋体" w:cs="宋体"/>
                <w:bCs/>
                <w:color w:val="auto"/>
                <w:szCs w:val="21"/>
                <w:highlight w:val="none"/>
              </w:rPr>
              <w:t>，否则，评标委员会将不予认可。</w:t>
            </w:r>
            <w:r>
              <w:rPr>
                <w:rFonts w:hint="eastAsia" w:ascii="宋体" w:hAnsi="宋体" w:eastAsia="宋体" w:cs="宋体"/>
                <w:color w:val="auto"/>
                <w:highlight w:val="none"/>
              </w:rPr>
              <w:t>)</w:t>
            </w:r>
          </w:p>
        </w:tc>
      </w:tr>
      <w:tr w14:paraId="5546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9" w:type="dxa"/>
            <w:vAlign w:val="center"/>
          </w:tcPr>
          <w:p w14:paraId="49ED9034">
            <w:pPr>
              <w:adjustRightInd w:val="0"/>
              <w:spacing w:line="360" w:lineRule="auto"/>
              <w:ind w:left="-105" w:leftChars="-50" w:right="-105" w:rightChars="-50"/>
              <w:jc w:val="center"/>
              <w:textAlignment w:val="baseline"/>
              <w:rPr>
                <w:rFonts w:ascii="宋体" w:hAnsi="宋体" w:eastAsia="宋体" w:cs="宋体"/>
                <w:b/>
                <w:color w:val="auto"/>
                <w:szCs w:val="21"/>
                <w:highlight w:val="none"/>
              </w:rPr>
            </w:pPr>
            <w:r>
              <w:rPr>
                <w:rFonts w:hint="eastAsia" w:ascii="宋体" w:hAnsi="宋体" w:eastAsia="宋体" w:cs="宋体"/>
                <w:b/>
                <w:color w:val="auto"/>
                <w:szCs w:val="21"/>
                <w:highlight w:val="none"/>
              </w:rPr>
              <w:t>3</w:t>
            </w:r>
          </w:p>
        </w:tc>
        <w:tc>
          <w:tcPr>
            <w:tcW w:w="1500" w:type="dxa"/>
            <w:vAlign w:val="center"/>
          </w:tcPr>
          <w:p w14:paraId="05AA861D">
            <w:pPr>
              <w:snapToGrid w:val="0"/>
              <w:spacing w:line="360" w:lineRule="atLeas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货物技术性能及方案（</w:t>
            </w:r>
            <w:r>
              <w:rPr>
                <w:rFonts w:hint="eastAsia" w:ascii="宋体" w:hAnsi="宋体" w:eastAsia="宋体" w:cs="宋体"/>
                <w:b/>
                <w:color w:val="auto"/>
                <w:szCs w:val="21"/>
                <w:highlight w:val="none"/>
                <w:lang w:val="en-US" w:eastAsia="zh-CN"/>
              </w:rPr>
              <w:t>13</w:t>
            </w:r>
            <w:r>
              <w:rPr>
                <w:rFonts w:hint="eastAsia" w:ascii="宋体" w:hAnsi="宋体" w:eastAsia="宋体" w:cs="宋体"/>
                <w:b/>
                <w:color w:val="auto"/>
                <w:szCs w:val="21"/>
                <w:highlight w:val="none"/>
              </w:rPr>
              <w:t>分）</w:t>
            </w:r>
          </w:p>
        </w:tc>
        <w:tc>
          <w:tcPr>
            <w:tcW w:w="7081" w:type="dxa"/>
            <w:vAlign w:val="center"/>
          </w:tcPr>
          <w:p w14:paraId="4D2EF60A">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一档（1分）:针对货物技术性能、技术参数等方面描述，内容简单及方案粗糙，设备配置基本满足采购需求。</w:t>
            </w:r>
          </w:p>
          <w:p w14:paraId="307C1BD0">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分):针对货物技术性能、技术参数等方面描述，有较详细的货物技术性能及方案，附有简单的设备宣传图册、功能说明等技术资料，设备配置基本满足采购需求。</w:t>
            </w:r>
          </w:p>
          <w:p w14:paraId="76A12B3A">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分):针对货物技术性能、技术参数等方面描述，有详细的货物技术性能及方案，设备配置较为清晰、设备性能描述较为详细，附有较为详细的设备宣传图册、功能说明等技术资料，技术方案满足采购需求。</w:t>
            </w:r>
          </w:p>
          <w:p w14:paraId="7BE946AF">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四档（</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分):针对货物技术性能、技术参数等方面描述，有详细完整的货物技术性能及方案，设备配置描述思路清晰、内容详细、针对性强，附有详细的设备宣传图册、功能说明等技术资料，充分满足采购人实际使用需求。</w:t>
            </w:r>
          </w:p>
          <w:p w14:paraId="64030FD0">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备注：未提供货物技术性能及方案的得0分。</w:t>
            </w:r>
          </w:p>
        </w:tc>
      </w:tr>
      <w:tr w14:paraId="1041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9" w:type="dxa"/>
            <w:vAlign w:val="center"/>
          </w:tcPr>
          <w:p w14:paraId="03823595">
            <w:pPr>
              <w:adjustRightInd w:val="0"/>
              <w:spacing w:line="360" w:lineRule="auto"/>
              <w:ind w:left="-105" w:leftChars="-50" w:right="-105" w:rightChars="-50"/>
              <w:jc w:val="center"/>
              <w:textAlignment w:val="baseline"/>
              <w:rPr>
                <w:rFonts w:ascii="宋体" w:hAnsi="宋体" w:eastAsia="宋体" w:cs="宋体"/>
                <w:b/>
                <w:color w:val="auto"/>
                <w:szCs w:val="21"/>
                <w:highlight w:val="none"/>
              </w:rPr>
            </w:pPr>
            <w:r>
              <w:rPr>
                <w:rFonts w:hint="eastAsia" w:ascii="宋体" w:hAnsi="宋体" w:eastAsia="宋体" w:cs="宋体"/>
                <w:b/>
                <w:color w:val="auto"/>
                <w:szCs w:val="21"/>
                <w:highlight w:val="none"/>
              </w:rPr>
              <w:t>4</w:t>
            </w:r>
          </w:p>
        </w:tc>
        <w:tc>
          <w:tcPr>
            <w:tcW w:w="1500" w:type="dxa"/>
            <w:vAlign w:val="center"/>
          </w:tcPr>
          <w:p w14:paraId="163FB0D9">
            <w:pPr>
              <w:snapToGrid w:val="0"/>
              <w:spacing w:line="360" w:lineRule="atLeas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安装调试方案 （满分</w:t>
            </w:r>
            <w:r>
              <w:rPr>
                <w:rFonts w:hint="eastAsia" w:ascii="宋体" w:hAnsi="宋体" w:eastAsia="宋体" w:cs="宋体"/>
                <w:b/>
                <w:color w:val="auto"/>
                <w:szCs w:val="21"/>
                <w:highlight w:val="none"/>
                <w:lang w:val="en-US" w:eastAsia="zh-CN"/>
              </w:rPr>
              <w:t>15</w:t>
            </w:r>
            <w:r>
              <w:rPr>
                <w:rFonts w:hint="eastAsia" w:ascii="宋体" w:hAnsi="宋体" w:eastAsia="宋体" w:cs="宋体"/>
                <w:b/>
                <w:color w:val="auto"/>
                <w:szCs w:val="21"/>
                <w:highlight w:val="none"/>
              </w:rPr>
              <w:t>分）</w:t>
            </w:r>
          </w:p>
        </w:tc>
        <w:tc>
          <w:tcPr>
            <w:tcW w:w="7081" w:type="dxa"/>
            <w:vAlign w:val="center"/>
          </w:tcPr>
          <w:p w14:paraId="34D066D0">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一档(1分):安装调试方案粗糙，对产品的配送、安装、调试等方面描述不清或缺少内容。</w:t>
            </w:r>
          </w:p>
          <w:p w14:paraId="05F655E3">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投标人有产品配送、安装方案，能按时完成配送、安装任务，保证项目正常实施；有相关供货保障措施能力、对设备安装工艺的各项关键工作安排简单、对本项目的风险预见、风险应对措施、项目管理方案、组织机构安排及分工与职责安排、试运行方案、验收方案等描述单一。</w:t>
            </w:r>
          </w:p>
          <w:p w14:paraId="6F093697">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分):投标人在满足二档的基础上，方案有项目执行组织措施、 保障措施，有实施组织方案；有相关供货质量保障措施；对设备安装工艺的各项关键工作安排较合理，对本项目的风险预见、风险应对措施较好；项目管理方案比较完整，组织机构比较合理，人员有保障，分工与职责比较明确，试运行方案、验收方案可行。</w:t>
            </w:r>
          </w:p>
          <w:p w14:paraId="353765F6">
            <w:pPr>
              <w:pStyle w:val="20"/>
              <w:spacing w:line="312" w:lineRule="auto"/>
              <w:ind w:firstLine="420" w:firstLineChars="200"/>
              <w:rPr>
                <w:rFonts w:ascii="宋体" w:hAnsi="宋体" w:eastAsia="宋体" w:cs="宋体"/>
                <w:b/>
                <w:bCs/>
                <w:color w:val="auto"/>
                <w:highlight w:val="yellow"/>
              </w:rPr>
            </w:pPr>
            <w:r>
              <w:rPr>
                <w:rFonts w:hint="eastAsia" w:ascii="宋体" w:hAnsi="宋体" w:eastAsia="宋体" w:cs="宋体"/>
                <w:color w:val="auto"/>
                <w:highlight w:val="none"/>
              </w:rPr>
              <w:t>四档（</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分):投标人在满足三档的基础上，配送和安装有完整的流程及 规范标准，方案包括安装技术、配送安装组织机构、质量保证 措施、保证安全及文明施工的措施；有相关供货时间、质量的 保障措施；设备安装工艺流程的各项关键工作的时间安排合理、阐述清晰，有劳动力和材料投入、机械设备投入计划及其 安全保证措施；对本项目的风险预见、风险应对措施完备，有完善的风险解决方案；管理方案完整，组织机构合理，人员有 保障，分工与职责明确，试运行方案、验收方案详细具体；提出具有建设性的方案优化建议，项目方案贴近本项目实际执行 内容与要求，最为详细、贴切且完整。具备教育数据托付管理能力、存储能力及信息安全能力，投标人或所投核心产品生产厂家通过GB/T36073-2018《数据管理能力成熟度评估模型》认定且能提供相关证明复印件并加盖投标单位公章。</w:t>
            </w:r>
          </w:p>
          <w:p w14:paraId="0665E089">
            <w:pPr>
              <w:pStyle w:val="20"/>
              <w:spacing w:line="312"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备注：未提供</w:t>
            </w:r>
            <w:r>
              <w:rPr>
                <w:rFonts w:hint="eastAsia" w:ascii="宋体" w:hAnsi="宋体" w:eastAsia="宋体" w:cs="宋体"/>
                <w:color w:val="auto"/>
                <w:szCs w:val="21"/>
                <w:highlight w:val="none"/>
              </w:rPr>
              <w:t>安装调试方案</w:t>
            </w:r>
            <w:r>
              <w:rPr>
                <w:rFonts w:hint="eastAsia" w:ascii="宋体" w:hAnsi="宋体" w:eastAsia="宋体" w:cs="宋体"/>
                <w:color w:val="auto"/>
                <w:highlight w:val="none"/>
              </w:rPr>
              <w:t>的得0分。</w:t>
            </w:r>
          </w:p>
        </w:tc>
      </w:tr>
      <w:tr w14:paraId="5202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869" w:type="dxa"/>
            <w:vAlign w:val="center"/>
          </w:tcPr>
          <w:p w14:paraId="6A714433">
            <w:pPr>
              <w:adjustRightInd w:val="0"/>
              <w:spacing w:line="360" w:lineRule="auto"/>
              <w:ind w:left="-105" w:leftChars="-50" w:right="-105" w:rightChars="-50"/>
              <w:jc w:val="center"/>
              <w:textAlignment w:val="baseline"/>
              <w:rPr>
                <w:rFonts w:ascii="宋体" w:hAnsi="宋体" w:eastAsia="宋体" w:cs="宋体"/>
                <w:b/>
                <w:color w:val="auto"/>
                <w:szCs w:val="21"/>
                <w:highlight w:val="none"/>
              </w:rPr>
            </w:pPr>
            <w:r>
              <w:rPr>
                <w:rFonts w:hint="eastAsia" w:ascii="宋体" w:hAnsi="宋体" w:eastAsia="宋体" w:cs="宋体"/>
                <w:b/>
                <w:color w:val="auto"/>
                <w:szCs w:val="21"/>
                <w:highlight w:val="none"/>
              </w:rPr>
              <w:t>5</w:t>
            </w:r>
          </w:p>
        </w:tc>
        <w:tc>
          <w:tcPr>
            <w:tcW w:w="1500" w:type="dxa"/>
            <w:vAlign w:val="center"/>
          </w:tcPr>
          <w:p w14:paraId="1661FEC8">
            <w:pPr>
              <w:spacing w:line="312"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售后服务方案（</w:t>
            </w:r>
            <w:r>
              <w:rPr>
                <w:rFonts w:hint="eastAsia" w:ascii="宋体" w:hAnsi="宋体" w:eastAsia="宋体" w:cs="宋体"/>
                <w:b/>
                <w:color w:val="auto"/>
                <w:szCs w:val="21"/>
                <w:highlight w:val="none"/>
                <w:lang w:val="en-US" w:eastAsia="zh-CN"/>
              </w:rPr>
              <w:t>15</w:t>
            </w:r>
            <w:r>
              <w:rPr>
                <w:rFonts w:hint="eastAsia" w:ascii="宋体" w:hAnsi="宋体" w:eastAsia="宋体" w:cs="宋体"/>
                <w:b/>
                <w:color w:val="auto"/>
                <w:szCs w:val="21"/>
                <w:highlight w:val="none"/>
              </w:rPr>
              <w:t>分）</w:t>
            </w:r>
          </w:p>
        </w:tc>
        <w:tc>
          <w:tcPr>
            <w:tcW w:w="7081" w:type="dxa"/>
            <w:vAlign w:val="center"/>
          </w:tcPr>
          <w:p w14:paraId="13391912">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评委对各投标人提供的售后服务内容的完整性、针对性两个方面进行独立评审并独立打分。</w:t>
            </w:r>
          </w:p>
          <w:p w14:paraId="39135323">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一档（1分）：售后服务方案仅满足招标文件的要求，缺乏保障响应措施，服务经验一般，有简单的售后服务方案。</w:t>
            </w:r>
          </w:p>
          <w:p w14:paraId="17E736B3">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分）：售后服务方案基本可行，具备简单的故障出现解决方案，有其他优惠措施说明，具有一定的同类型项目服务经验，有基本可行的售后服务方案。</w:t>
            </w:r>
          </w:p>
          <w:p w14:paraId="4CD39BE6">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分）：售后服务方案可行，具备详细的故障出现解决方案、有详细的其他优惠措施，具有详细的发生故障响应措施，具有一定的类型项目服务经验，有详细可行的售后服务方案。</w:t>
            </w:r>
          </w:p>
          <w:p w14:paraId="4067D345">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四档（</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分）：售后服务方案细致、针对性强、可行性强，保障响应措施有力，服务同类型项目经验丰富，具有详细的发生故障响应措施，反应时间短、快捷、迅速；有该项目详细可行的售后服务流程，售后服务方案科学合理、切合项目实际。</w:t>
            </w:r>
          </w:p>
          <w:p w14:paraId="32A17284">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备注：未提供售后服务方案的得0分。</w:t>
            </w:r>
          </w:p>
        </w:tc>
      </w:tr>
      <w:tr w14:paraId="678A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869" w:type="dxa"/>
            <w:vAlign w:val="center"/>
          </w:tcPr>
          <w:p w14:paraId="4083BB7E">
            <w:pPr>
              <w:adjustRightInd w:val="0"/>
              <w:spacing w:line="360" w:lineRule="auto"/>
              <w:jc w:val="center"/>
              <w:textAlignment w:val="baseline"/>
              <w:rPr>
                <w:rFonts w:ascii="宋体" w:hAnsi="宋体" w:eastAsia="宋体" w:cs="宋体"/>
                <w:b/>
                <w:color w:val="auto"/>
                <w:szCs w:val="21"/>
                <w:highlight w:val="none"/>
              </w:rPr>
            </w:pPr>
            <w:r>
              <w:rPr>
                <w:rFonts w:hint="eastAsia" w:ascii="宋体" w:hAnsi="宋体" w:eastAsia="宋体" w:cs="宋体"/>
                <w:b/>
                <w:color w:val="auto"/>
                <w:szCs w:val="21"/>
                <w:highlight w:val="none"/>
              </w:rPr>
              <w:t>6</w:t>
            </w:r>
          </w:p>
        </w:tc>
        <w:tc>
          <w:tcPr>
            <w:tcW w:w="1500" w:type="dxa"/>
            <w:vAlign w:val="center"/>
          </w:tcPr>
          <w:p w14:paraId="08BA8D48">
            <w:pPr>
              <w:spacing w:line="312" w:lineRule="auto"/>
              <w:jc w:val="center"/>
              <w:rPr>
                <w:rFonts w:ascii="宋体" w:hAnsi="宋体" w:eastAsia="宋体" w:cs="宋体"/>
                <w:b/>
                <w:bCs/>
                <w:color w:val="auto"/>
                <w:szCs w:val="21"/>
                <w:highlight w:val="none"/>
              </w:rPr>
            </w:pPr>
            <w:r>
              <w:rPr>
                <w:rFonts w:hint="eastAsia" w:ascii="宋体" w:hAnsi="宋体" w:eastAsia="宋体" w:cs="宋体"/>
                <w:b/>
                <w:bCs/>
                <w:color w:val="auto"/>
                <w:highlight w:val="none"/>
              </w:rPr>
              <w:t>培训方案分（</w:t>
            </w:r>
            <w:r>
              <w:rPr>
                <w:rFonts w:hint="eastAsia" w:ascii="宋体" w:hAnsi="宋体" w:eastAsia="宋体" w:cs="宋体"/>
                <w:b/>
                <w:bCs/>
                <w:color w:val="auto"/>
                <w:highlight w:val="none"/>
                <w:lang w:val="en-US" w:eastAsia="zh-CN"/>
              </w:rPr>
              <w:t>13分</w:t>
            </w:r>
            <w:r>
              <w:rPr>
                <w:rFonts w:hint="eastAsia" w:ascii="宋体" w:hAnsi="宋体" w:eastAsia="宋体" w:cs="宋体"/>
                <w:b/>
                <w:bCs/>
                <w:color w:val="auto"/>
                <w:highlight w:val="none"/>
              </w:rPr>
              <w:t>）</w:t>
            </w:r>
          </w:p>
        </w:tc>
        <w:tc>
          <w:tcPr>
            <w:tcW w:w="7081" w:type="dxa"/>
            <w:vAlign w:val="center"/>
          </w:tcPr>
          <w:p w14:paraId="6D75E703">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评委根据供应商提供的本项目“培训方案”中的培训事项内容进行独立评审并打分。</w:t>
            </w:r>
          </w:p>
          <w:p w14:paraId="0C475AE1">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分）：投标文件没有培训方案，得</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分。</w:t>
            </w:r>
          </w:p>
          <w:p w14:paraId="2FB88FC5">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分）：投标文件培训方案简单、满足采购文件基本培训要求；</w:t>
            </w:r>
          </w:p>
          <w:p w14:paraId="0B4F8845">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分）：投标文件培训方案全面、有培训内容及时间安排的，针对不同学段/学科有专门的课程课表，针对不同层次教师有不同的培训方案；</w:t>
            </w:r>
          </w:p>
          <w:p w14:paraId="3FADAC48">
            <w:pPr>
              <w:pStyle w:val="20"/>
              <w:spacing w:line="312"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四档（</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分）：在满足三档的基础上，投标人培训方案详细、具体，有针对性的培训内容及合理的时间安排、科学详细，培训理论兼顾实际操作，有详细的培训目标学校和场次安排清单，对培训内容有充分的理解，确保参与培训人员，能够熟练掌握系统操作流程、各个功能使用方法和应用技巧等，能掌握硬件设备运维等。</w:t>
            </w:r>
          </w:p>
        </w:tc>
      </w:tr>
      <w:tr w14:paraId="0424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69" w:type="dxa"/>
            <w:vAlign w:val="center"/>
          </w:tcPr>
          <w:p w14:paraId="639616C6">
            <w:pPr>
              <w:adjustRightInd w:val="0"/>
              <w:spacing w:line="360" w:lineRule="auto"/>
              <w:jc w:val="center"/>
              <w:textAlignment w:val="baseline"/>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lang w:val="en-US" w:eastAsia="zh-CN"/>
              </w:rPr>
              <w:t>7</w:t>
            </w:r>
          </w:p>
        </w:tc>
        <w:tc>
          <w:tcPr>
            <w:tcW w:w="1500" w:type="dxa"/>
            <w:vAlign w:val="center"/>
          </w:tcPr>
          <w:p w14:paraId="0FD81BA6">
            <w:pPr>
              <w:spacing w:line="312"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政策性加分（满分2分）</w:t>
            </w:r>
          </w:p>
        </w:tc>
        <w:tc>
          <w:tcPr>
            <w:tcW w:w="7081" w:type="dxa"/>
            <w:vAlign w:val="center"/>
          </w:tcPr>
          <w:p w14:paraId="15A19A28">
            <w:pPr>
              <w:pStyle w:val="20"/>
              <w:spacing w:line="380" w:lineRule="exact"/>
              <w:rPr>
                <w:rFonts w:ascii="宋体" w:hAnsi="宋体" w:eastAsia="宋体" w:cs="宋体"/>
                <w:bCs/>
                <w:color w:val="auto"/>
                <w:szCs w:val="21"/>
                <w:highlight w:val="none"/>
              </w:rPr>
            </w:pPr>
            <w:r>
              <w:rPr>
                <w:rFonts w:hint="eastAsia" w:ascii="宋体" w:hAnsi="宋体" w:eastAsia="宋体" w:cs="宋体"/>
                <w:bCs/>
                <w:color w:val="auto"/>
                <w:highlight w:val="none"/>
              </w:rPr>
              <w:t>（1）属于财政部《节能产品政府采购品目清单》内优先采购（清单内未标注“★”的品目）的产品[投标文件中提供有效的认证证书复印件及品目清单（标注出投标产品在品目清单中所属的品目），并加盖投标人公章]，</w:t>
            </w:r>
            <w:r>
              <w:rPr>
                <w:rFonts w:hint="eastAsia" w:ascii="宋体" w:hAnsi="宋体" w:eastAsia="宋体" w:cs="宋体"/>
                <w:bCs/>
                <w:color w:val="auto"/>
                <w:szCs w:val="21"/>
                <w:highlight w:val="none"/>
              </w:rPr>
              <w:t>每有一项得0.5分，最多得1分。</w:t>
            </w:r>
          </w:p>
          <w:p w14:paraId="773AE784">
            <w:pPr>
              <w:pStyle w:val="20"/>
              <w:spacing w:line="312" w:lineRule="auto"/>
              <w:rPr>
                <w:rFonts w:ascii="宋体" w:hAnsi="宋体" w:eastAsia="宋体" w:cs="宋体"/>
                <w:color w:val="auto"/>
                <w:highlight w:val="none"/>
              </w:rPr>
            </w:pPr>
            <w:r>
              <w:rPr>
                <w:rFonts w:hint="eastAsia" w:ascii="宋体" w:hAnsi="宋体" w:eastAsia="宋体" w:cs="宋体"/>
                <w:bCs/>
                <w:color w:val="auto"/>
                <w:highlight w:val="none"/>
              </w:rPr>
              <w:t>（2）属于财政部《环境标志产品政府采购品目清单》内的产品[投标文件中提供有效的认证证书复印件及品目清单（标注出投标产品在品目清单中所属的品目），</w:t>
            </w:r>
            <w:r>
              <w:rPr>
                <w:rFonts w:hint="eastAsia" w:ascii="宋体" w:hAnsi="宋体" w:eastAsia="宋体" w:cs="宋体"/>
                <w:bCs/>
                <w:color w:val="auto"/>
                <w:szCs w:val="21"/>
                <w:highlight w:val="none"/>
              </w:rPr>
              <w:t>每有一项得0.5分，最多得1分。</w:t>
            </w:r>
          </w:p>
        </w:tc>
      </w:tr>
      <w:tr w14:paraId="3189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3"/>
            <w:vAlign w:val="center"/>
          </w:tcPr>
          <w:p w14:paraId="07C5568F">
            <w:pPr>
              <w:pStyle w:val="20"/>
              <w:spacing w:line="360" w:lineRule="auto"/>
              <w:ind w:firstLine="420"/>
              <w:rPr>
                <w:rFonts w:ascii="宋体" w:hAnsi="宋体" w:eastAsia="宋体" w:cs="宋体"/>
                <w:bCs/>
                <w:color w:val="auto"/>
                <w:highlight w:val="none"/>
              </w:rPr>
            </w:pPr>
            <w:r>
              <w:rPr>
                <w:rFonts w:hint="eastAsia" w:ascii="宋体" w:hAnsi="宋体" w:eastAsia="宋体" w:cs="宋体"/>
                <w:b/>
                <w:bCs/>
                <w:color w:val="auto"/>
                <w:highlight w:val="none"/>
              </w:rPr>
              <w:t>总得分=1+2+3+4+5+6+7。</w:t>
            </w:r>
          </w:p>
        </w:tc>
      </w:tr>
    </w:tbl>
    <w:p w14:paraId="61AEDEBE">
      <w:pPr>
        <w:pStyle w:val="20"/>
        <w:keepLines/>
        <w:spacing w:line="360" w:lineRule="auto"/>
        <w:ind w:firstLine="420"/>
        <w:rPr>
          <w:rFonts w:ascii="宋体" w:hAnsi="宋体" w:eastAsia="宋体" w:cs="宋体"/>
          <w:bCs/>
          <w:color w:val="auto"/>
        </w:rPr>
      </w:pPr>
      <w:r>
        <w:rPr>
          <w:rFonts w:hint="eastAsia" w:ascii="宋体" w:hAnsi="宋体" w:eastAsia="宋体" w:cs="宋体"/>
          <w:bCs/>
          <w:color w:val="auto"/>
        </w:rPr>
        <w:t>注：1.计分方法按四舍五入取至百分位；</w:t>
      </w:r>
    </w:p>
    <w:p w14:paraId="4109757D">
      <w:pPr>
        <w:pStyle w:val="20"/>
        <w:keepLines/>
        <w:numPr>
          <w:ilvl w:val="0"/>
          <w:numId w:val="4"/>
        </w:numPr>
        <w:spacing w:line="360" w:lineRule="auto"/>
        <w:rPr>
          <w:rFonts w:ascii="宋体" w:hAnsi="宋体" w:eastAsia="宋体" w:cs="宋体"/>
          <w:color w:val="auto"/>
        </w:rPr>
      </w:pPr>
      <w:r>
        <w:rPr>
          <w:rFonts w:hint="eastAsia" w:ascii="宋体" w:hAnsi="宋体" w:eastAsia="宋体" w:cs="宋体"/>
          <w:bCs/>
          <w:color w:val="auto"/>
        </w:rPr>
        <w:t>因落实政府采购政策进行价格调整的，以调整后的价格计算评标基准价和投标报价。</w:t>
      </w:r>
    </w:p>
    <w:p w14:paraId="7F85B01B">
      <w:pPr>
        <w:pStyle w:val="20"/>
        <w:keepLines/>
        <w:tabs>
          <w:tab w:val="left" w:pos="312"/>
        </w:tabs>
        <w:spacing w:line="360" w:lineRule="auto"/>
        <w:rPr>
          <w:rFonts w:ascii="宋体" w:hAnsi="宋体" w:eastAsia="宋体" w:cs="宋体"/>
          <w:color w:val="auto"/>
          <w:sz w:val="30"/>
          <w:szCs w:val="30"/>
        </w:rPr>
      </w:pPr>
    </w:p>
    <w:p w14:paraId="5302A2E5">
      <w:pPr>
        <w:pStyle w:val="20"/>
        <w:keepLines/>
        <w:tabs>
          <w:tab w:val="left" w:pos="312"/>
        </w:tabs>
        <w:ind w:firstLine="602" w:firstLineChars="200"/>
        <w:jc w:val="center"/>
        <w:rPr>
          <w:rFonts w:ascii="宋体" w:hAnsi="宋体" w:eastAsia="宋体" w:cs="宋体"/>
          <w:b/>
          <w:color w:val="auto"/>
          <w:sz w:val="30"/>
          <w:szCs w:val="30"/>
        </w:rPr>
      </w:pPr>
      <w:r>
        <w:rPr>
          <w:rFonts w:hint="eastAsia" w:ascii="宋体" w:hAnsi="宋体" w:eastAsia="宋体" w:cs="宋体"/>
          <w:b/>
          <w:color w:val="auto"/>
          <w:sz w:val="30"/>
          <w:szCs w:val="30"/>
        </w:rPr>
        <w:t>四、中标候选人推荐原则</w:t>
      </w:r>
    </w:p>
    <w:p w14:paraId="67014FDC">
      <w:pPr>
        <w:pStyle w:val="20"/>
        <w:spacing w:line="360" w:lineRule="auto"/>
        <w:contextualSpacing/>
        <w:rPr>
          <w:rFonts w:ascii="宋体" w:hAnsi="宋体" w:eastAsia="宋体" w:cs="宋体"/>
          <w:b/>
          <w:bCs/>
          <w:color w:val="auto"/>
          <w:sz w:val="24"/>
          <w:szCs w:val="24"/>
        </w:rPr>
      </w:pPr>
      <w:r>
        <w:rPr>
          <w:rFonts w:hint="eastAsia" w:ascii="宋体" w:hAnsi="宋体" w:eastAsia="宋体" w:cs="宋体"/>
          <w:b/>
          <w:bCs/>
          <w:color w:val="auto"/>
          <w:sz w:val="24"/>
          <w:szCs w:val="24"/>
        </w:rPr>
        <w:t>（一）综合评分法</w:t>
      </w:r>
    </w:p>
    <w:p w14:paraId="554867CC">
      <w:pPr>
        <w:pStyle w:val="20"/>
        <w:spacing w:line="360" w:lineRule="auto"/>
        <w:ind w:firstLine="420" w:firstLineChars="200"/>
        <w:contextualSpacing/>
        <w:rPr>
          <w:rFonts w:ascii="宋体" w:hAnsi="宋体" w:eastAsia="宋体" w:cs="宋体"/>
          <w:color w:val="auto"/>
        </w:rPr>
      </w:pPr>
      <w:r>
        <w:rPr>
          <w:rFonts w:hint="eastAsia" w:ascii="宋体" w:hAnsi="宋体" w:eastAsia="宋体" w:cs="宋体"/>
          <w:color w:val="auto"/>
        </w:rPr>
        <w:t>评标委员会将根据总得分由高到低排列次序并推荐中标候选人。得分相同的，按投标报价由低到高顺序排列。得分且投标报价相同的并列。投标文件满足招标文件全部实质性要求，且按照评审因素的量化指标评审得分最高的投标人为排名第一的中标候选人。</w:t>
      </w:r>
    </w:p>
    <w:p w14:paraId="71AC16B4">
      <w:pPr>
        <w:pStyle w:val="20"/>
        <w:tabs>
          <w:tab w:val="left" w:pos="2472"/>
        </w:tabs>
        <w:spacing w:line="460" w:lineRule="exact"/>
        <w:jc w:val="center"/>
        <w:rPr>
          <w:rFonts w:ascii="宋体" w:hAnsi="宋体" w:eastAsia="宋体" w:cs="宋体"/>
          <w:b/>
          <w:color w:val="auto"/>
          <w:sz w:val="36"/>
        </w:rPr>
      </w:pPr>
      <w:bookmarkStart w:id="67" w:name="_Toc80093009"/>
    </w:p>
    <w:p w14:paraId="3555C0BA">
      <w:pPr>
        <w:pStyle w:val="20"/>
        <w:tabs>
          <w:tab w:val="left" w:pos="2472"/>
        </w:tabs>
        <w:spacing w:line="460" w:lineRule="exact"/>
        <w:jc w:val="center"/>
        <w:rPr>
          <w:rFonts w:ascii="宋体" w:hAnsi="宋体" w:eastAsia="宋体" w:cs="宋体"/>
          <w:b/>
          <w:color w:val="auto"/>
          <w:sz w:val="36"/>
        </w:rPr>
      </w:pPr>
    </w:p>
    <w:p w14:paraId="37151B99">
      <w:pPr>
        <w:pStyle w:val="5"/>
        <w:rPr>
          <w:rFonts w:ascii="宋体" w:hAnsi="宋体" w:eastAsia="宋体" w:cs="宋体"/>
          <w:b/>
          <w:color w:val="auto"/>
          <w:sz w:val="36"/>
        </w:rPr>
      </w:pPr>
    </w:p>
    <w:p w14:paraId="7107E5E0">
      <w:pPr>
        <w:rPr>
          <w:rFonts w:ascii="宋体" w:hAnsi="宋体" w:eastAsia="宋体" w:cs="宋体"/>
          <w:b/>
          <w:color w:val="auto"/>
          <w:sz w:val="36"/>
        </w:rPr>
      </w:pPr>
    </w:p>
    <w:p w14:paraId="5699AE19">
      <w:pPr>
        <w:rPr>
          <w:color w:val="auto"/>
        </w:rPr>
      </w:pPr>
    </w:p>
    <w:p w14:paraId="7F2CB67D">
      <w:pPr>
        <w:rPr>
          <w:color w:val="auto"/>
        </w:rPr>
      </w:pPr>
    </w:p>
    <w:p w14:paraId="61103B4C">
      <w:pPr>
        <w:pStyle w:val="20"/>
        <w:tabs>
          <w:tab w:val="left" w:pos="2472"/>
        </w:tabs>
        <w:spacing w:line="460" w:lineRule="exact"/>
        <w:jc w:val="center"/>
        <w:rPr>
          <w:rFonts w:ascii="宋体" w:hAnsi="宋体" w:eastAsia="宋体" w:cs="宋体"/>
          <w:b/>
          <w:color w:val="auto"/>
          <w:sz w:val="36"/>
        </w:rPr>
      </w:pPr>
    </w:p>
    <w:p w14:paraId="0FCC20A4">
      <w:pPr>
        <w:pStyle w:val="20"/>
        <w:tabs>
          <w:tab w:val="left" w:pos="2472"/>
        </w:tabs>
        <w:spacing w:line="460" w:lineRule="exact"/>
        <w:jc w:val="center"/>
        <w:rPr>
          <w:rFonts w:ascii="宋体" w:hAnsi="宋体" w:eastAsia="宋体" w:cs="宋体"/>
          <w:b/>
          <w:color w:val="auto"/>
          <w:sz w:val="36"/>
        </w:rPr>
      </w:pPr>
    </w:p>
    <w:p w14:paraId="2CC823AD">
      <w:pPr>
        <w:pStyle w:val="20"/>
        <w:tabs>
          <w:tab w:val="left" w:pos="2472"/>
        </w:tabs>
        <w:spacing w:line="460" w:lineRule="exact"/>
        <w:jc w:val="center"/>
        <w:rPr>
          <w:rFonts w:ascii="宋体" w:hAnsi="宋体" w:eastAsia="宋体" w:cs="宋体"/>
          <w:b/>
          <w:color w:val="auto"/>
          <w:sz w:val="36"/>
        </w:rPr>
      </w:pPr>
    </w:p>
    <w:p w14:paraId="3570BCEB">
      <w:pPr>
        <w:pStyle w:val="20"/>
        <w:tabs>
          <w:tab w:val="left" w:pos="2472"/>
        </w:tabs>
        <w:spacing w:line="460" w:lineRule="exact"/>
        <w:jc w:val="center"/>
        <w:rPr>
          <w:rFonts w:ascii="宋体" w:hAnsi="宋体" w:eastAsia="宋体" w:cs="宋体"/>
          <w:b/>
          <w:color w:val="auto"/>
          <w:sz w:val="36"/>
        </w:rPr>
      </w:pPr>
    </w:p>
    <w:p w14:paraId="59CE0A1B">
      <w:pPr>
        <w:pStyle w:val="20"/>
        <w:tabs>
          <w:tab w:val="left" w:pos="2472"/>
        </w:tabs>
        <w:spacing w:line="460" w:lineRule="exact"/>
        <w:ind w:firstLine="2168" w:firstLineChars="600"/>
        <w:outlineLvl w:val="0"/>
        <w:rPr>
          <w:rFonts w:ascii="宋体" w:hAnsi="宋体" w:eastAsia="宋体" w:cs="宋体"/>
          <w:b/>
          <w:color w:val="auto"/>
          <w:sz w:val="36"/>
        </w:rPr>
        <w:sectPr>
          <w:footerReference r:id="rId7" w:type="default"/>
          <w:pgSz w:w="16838" w:h="11906" w:orient="landscape"/>
          <w:pgMar w:top="1361" w:right="1361" w:bottom="1361" w:left="1361" w:header="720" w:footer="720" w:gutter="0"/>
          <w:cols w:space="720" w:num="1"/>
          <w:docGrid w:type="lines" w:linePitch="331" w:charSpace="0"/>
        </w:sectPr>
      </w:pPr>
      <w:bookmarkStart w:id="68" w:name="_Toc16811"/>
      <w:r>
        <w:rPr>
          <w:rFonts w:hint="eastAsia" w:ascii="宋体" w:hAnsi="宋体" w:eastAsia="宋体" w:cs="宋体"/>
          <w:b/>
          <w:color w:val="auto"/>
          <w:sz w:val="36"/>
        </w:rPr>
        <w:t>第五章  拟签订的合同文</w:t>
      </w:r>
      <w:bookmarkEnd w:id="67"/>
      <w:bookmarkEnd w:id="68"/>
    </w:p>
    <w:p w14:paraId="372BD5D0">
      <w:pPr>
        <w:spacing w:line="500" w:lineRule="exact"/>
        <w:ind w:firstLine="1928" w:firstLineChars="600"/>
        <w:rPr>
          <w:rFonts w:ascii="宋体" w:hAnsi="宋体" w:eastAsia="宋体" w:cs="宋体"/>
          <w:b/>
          <w:color w:val="auto"/>
          <w:sz w:val="32"/>
          <w:szCs w:val="32"/>
        </w:rPr>
      </w:pPr>
      <w:r>
        <w:rPr>
          <w:rFonts w:hint="eastAsia" w:ascii="宋体" w:hAnsi="宋体" w:eastAsia="宋体" w:cs="宋体"/>
          <w:b/>
          <w:color w:val="auto"/>
          <w:sz w:val="32"/>
          <w:szCs w:val="32"/>
        </w:rPr>
        <w:t>采购合同（合同主要条款及格式）</w:t>
      </w:r>
    </w:p>
    <w:p w14:paraId="31A84055">
      <w:pPr>
        <w:pStyle w:val="15"/>
        <w:spacing w:line="440" w:lineRule="exact"/>
        <w:rPr>
          <w:color w:val="auto"/>
        </w:rPr>
      </w:pPr>
      <w:bookmarkStart w:id="69" w:name="_Toc80093010"/>
    </w:p>
    <w:p w14:paraId="06A229D5">
      <w:pPr>
        <w:spacing w:before="78" w:line="440" w:lineRule="exact"/>
        <w:ind w:left="600"/>
        <w:rPr>
          <w:rFonts w:ascii="宋体" w:hAnsi="宋体" w:eastAsia="宋体" w:cs="宋体"/>
          <w:color w:val="auto"/>
          <w:sz w:val="24"/>
        </w:rPr>
      </w:pPr>
      <w:r>
        <w:rPr>
          <w:rFonts w:ascii="宋体" w:hAnsi="宋体" w:eastAsia="宋体" w:cs="宋体"/>
          <w:color w:val="auto"/>
          <w:spacing w:val="-1"/>
          <w:sz w:val="24"/>
        </w:rPr>
        <w:t>采购单位（甲方</w:t>
      </w:r>
      <w:r>
        <w:rPr>
          <w:rFonts w:ascii="宋体" w:hAnsi="宋体" w:eastAsia="宋体" w:cs="宋体"/>
          <w:color w:val="auto"/>
          <w:spacing w:val="11"/>
          <w:sz w:val="24"/>
        </w:rPr>
        <w:t>）：</w:t>
      </w:r>
      <w:r>
        <w:rPr>
          <w:rFonts w:hint="eastAsia" w:ascii="宋体" w:hAnsi="宋体" w:eastAsia="宋体" w:cs="宋体"/>
          <w:color w:val="auto"/>
          <w:spacing w:val="-1"/>
          <w:sz w:val="24"/>
          <w:u w:val="single"/>
        </w:rPr>
        <w:t>巴马瑶族自治县教育局</w:t>
      </w:r>
      <w:r>
        <w:rPr>
          <w:rFonts w:ascii="宋体" w:hAnsi="宋体" w:eastAsia="宋体" w:cs="宋体"/>
          <w:color w:val="auto"/>
          <w:spacing w:val="-1"/>
          <w:sz w:val="24"/>
          <w:u w:val="single"/>
        </w:rPr>
        <w:t xml:space="preserve">  </w:t>
      </w:r>
      <w:r>
        <w:rPr>
          <w:rFonts w:ascii="宋体" w:hAnsi="宋体" w:eastAsia="宋体" w:cs="宋体"/>
          <w:color w:val="auto"/>
          <w:spacing w:val="-1"/>
          <w:sz w:val="24"/>
        </w:rPr>
        <w:t xml:space="preserve">          合同编号：</w:t>
      </w:r>
      <w:r>
        <w:rPr>
          <w:rFonts w:ascii="宋体" w:hAnsi="宋体" w:eastAsia="宋体" w:cs="宋体"/>
          <w:color w:val="auto"/>
          <w:sz w:val="24"/>
          <w:u w:val="single"/>
        </w:rPr>
        <w:t xml:space="preserve">               </w:t>
      </w:r>
    </w:p>
    <w:p w14:paraId="3D0A6CEC">
      <w:pPr>
        <w:spacing w:before="154" w:line="440" w:lineRule="exact"/>
        <w:ind w:left="600"/>
        <w:rPr>
          <w:rFonts w:ascii="宋体" w:hAnsi="宋体" w:eastAsia="宋体" w:cs="宋体"/>
          <w:color w:val="auto"/>
          <w:sz w:val="24"/>
        </w:rPr>
      </w:pPr>
      <w:r>
        <w:rPr>
          <w:rFonts w:ascii="宋体" w:hAnsi="宋体" w:eastAsia="宋体" w:cs="宋体"/>
          <w:color w:val="auto"/>
          <w:spacing w:val="-3"/>
          <w:sz w:val="24"/>
        </w:rPr>
        <w:t>供应商（乙方</w:t>
      </w:r>
      <w:r>
        <w:rPr>
          <w:rFonts w:ascii="宋体" w:hAnsi="宋体" w:eastAsia="宋体" w:cs="宋体"/>
          <w:color w:val="auto"/>
          <w:spacing w:val="3"/>
          <w:sz w:val="24"/>
        </w:rPr>
        <w:t>）</w:t>
      </w:r>
      <w:r>
        <w:rPr>
          <w:rFonts w:hint="eastAsia" w:ascii="宋体" w:hAnsi="宋体" w:eastAsia="宋体" w:cs="宋体"/>
          <w:color w:val="auto"/>
          <w:spacing w:val="3"/>
          <w:sz w:val="24"/>
        </w:rPr>
        <w:t>：</w:t>
      </w:r>
      <w:r>
        <w:rPr>
          <w:rFonts w:hint="eastAsia" w:ascii="宋体" w:hAnsi="宋体" w:eastAsia="宋体" w:cs="宋体"/>
          <w:color w:val="auto"/>
          <w:spacing w:val="3"/>
          <w:sz w:val="24"/>
          <w:u w:val="single"/>
        </w:rPr>
        <w:t xml:space="preserve">                            </w:t>
      </w:r>
      <w:r>
        <w:rPr>
          <w:rFonts w:ascii="宋体" w:hAnsi="宋体" w:eastAsia="宋体" w:cs="宋体"/>
          <w:color w:val="auto"/>
          <w:spacing w:val="1"/>
          <w:sz w:val="24"/>
        </w:rPr>
        <w:t xml:space="preserve">   </w:t>
      </w:r>
      <w:r>
        <w:rPr>
          <w:rFonts w:ascii="宋体" w:hAnsi="宋体" w:eastAsia="宋体" w:cs="宋体"/>
          <w:color w:val="auto"/>
          <w:spacing w:val="-3"/>
          <w:sz w:val="24"/>
        </w:rPr>
        <w:t>项目编号：</w:t>
      </w:r>
      <w:r>
        <w:rPr>
          <w:rFonts w:ascii="宋体" w:hAnsi="宋体" w:eastAsia="宋体" w:cs="宋体"/>
          <w:color w:val="auto"/>
          <w:sz w:val="24"/>
          <w:u w:val="single"/>
        </w:rPr>
        <w:t xml:space="preserve">                 </w:t>
      </w:r>
    </w:p>
    <w:p w14:paraId="1592FC93">
      <w:pPr>
        <w:spacing w:before="155" w:line="440" w:lineRule="exact"/>
        <w:ind w:left="600"/>
        <w:rPr>
          <w:color w:val="auto"/>
        </w:rPr>
      </w:pPr>
      <w:r>
        <w:rPr>
          <w:rFonts w:ascii="宋体" w:hAnsi="宋体" w:eastAsia="宋体" w:cs="宋体"/>
          <w:color w:val="auto"/>
          <w:spacing w:val="-2"/>
          <w:sz w:val="24"/>
        </w:rPr>
        <w:t>签  订  地  点</w:t>
      </w:r>
      <w:r>
        <w:rPr>
          <w:rFonts w:ascii="宋体" w:hAnsi="宋体" w:eastAsia="宋体" w:cs="宋体"/>
          <w:color w:val="auto"/>
          <w:spacing w:val="30"/>
          <w:sz w:val="24"/>
        </w:rPr>
        <w:t xml:space="preserve"> </w:t>
      </w:r>
      <w:r>
        <w:rPr>
          <w:rFonts w:ascii="宋体" w:hAnsi="宋体" w:eastAsia="宋体" w:cs="宋体"/>
          <w:color w:val="auto"/>
          <w:spacing w:val="-2"/>
          <w:sz w:val="24"/>
        </w:rPr>
        <w:t>：</w:t>
      </w:r>
      <w:r>
        <w:rPr>
          <w:rFonts w:hint="eastAsia" w:ascii="宋体" w:hAnsi="宋体" w:eastAsia="宋体" w:cs="宋体"/>
          <w:color w:val="auto"/>
          <w:spacing w:val="-2"/>
          <w:sz w:val="24"/>
          <w:u w:val="single"/>
        </w:rPr>
        <w:t>巴马瑶族自治县教育局</w:t>
      </w:r>
      <w:r>
        <w:rPr>
          <w:rFonts w:ascii="宋体" w:hAnsi="宋体" w:eastAsia="宋体" w:cs="宋体"/>
          <w:color w:val="auto"/>
          <w:spacing w:val="40"/>
          <w:sz w:val="24"/>
          <w:u w:val="single"/>
        </w:rPr>
        <w:t xml:space="preserve">   </w:t>
      </w:r>
      <w:r>
        <w:rPr>
          <w:rFonts w:ascii="宋体" w:hAnsi="宋体" w:eastAsia="宋体" w:cs="宋体"/>
          <w:color w:val="auto"/>
          <w:spacing w:val="1"/>
          <w:sz w:val="24"/>
        </w:rPr>
        <w:t xml:space="preserve">        </w:t>
      </w:r>
      <w:r>
        <w:rPr>
          <w:rFonts w:ascii="宋体" w:hAnsi="宋体" w:eastAsia="宋体" w:cs="宋体"/>
          <w:color w:val="auto"/>
          <w:spacing w:val="-3"/>
          <w:sz w:val="24"/>
        </w:rPr>
        <w:t>签订时间：</w:t>
      </w:r>
      <w:r>
        <w:rPr>
          <w:rFonts w:ascii="宋体" w:hAnsi="宋体" w:eastAsia="宋体" w:cs="宋体"/>
          <w:color w:val="auto"/>
          <w:spacing w:val="-3"/>
          <w:sz w:val="24"/>
          <w:u w:val="single"/>
        </w:rPr>
        <w:t>202</w:t>
      </w:r>
      <w:r>
        <w:rPr>
          <w:rFonts w:hint="eastAsia" w:ascii="宋体" w:hAnsi="宋体" w:eastAsia="宋体" w:cs="宋体"/>
          <w:color w:val="auto"/>
          <w:spacing w:val="-3"/>
          <w:sz w:val="24"/>
          <w:u w:val="single"/>
          <w:lang w:val="en-US" w:eastAsia="zh-CN"/>
        </w:rPr>
        <w:t>5</w:t>
      </w:r>
      <w:r>
        <w:rPr>
          <w:rFonts w:ascii="宋体" w:hAnsi="宋体" w:eastAsia="宋体" w:cs="宋体"/>
          <w:color w:val="auto"/>
          <w:spacing w:val="-48"/>
          <w:sz w:val="24"/>
          <w:u w:val="single"/>
        </w:rPr>
        <w:t xml:space="preserve"> </w:t>
      </w:r>
      <w:r>
        <w:rPr>
          <w:rFonts w:ascii="宋体" w:hAnsi="宋体" w:eastAsia="宋体" w:cs="宋体"/>
          <w:color w:val="auto"/>
          <w:spacing w:val="-3"/>
          <w:sz w:val="24"/>
          <w:u w:val="single"/>
        </w:rPr>
        <w:t>年</w:t>
      </w:r>
      <w:r>
        <w:rPr>
          <w:rFonts w:ascii="宋体" w:hAnsi="宋体" w:eastAsia="宋体" w:cs="宋体"/>
          <w:color w:val="auto"/>
          <w:spacing w:val="5"/>
          <w:sz w:val="24"/>
          <w:u w:val="single"/>
        </w:rPr>
        <w:t xml:space="preserve">   </w:t>
      </w:r>
      <w:r>
        <w:rPr>
          <w:rFonts w:ascii="宋体" w:hAnsi="宋体" w:eastAsia="宋体" w:cs="宋体"/>
          <w:color w:val="auto"/>
          <w:spacing w:val="-3"/>
          <w:sz w:val="24"/>
          <w:u w:val="single"/>
        </w:rPr>
        <w:t>月</w:t>
      </w:r>
      <w:r>
        <w:rPr>
          <w:rFonts w:ascii="宋体" w:hAnsi="宋体" w:eastAsia="宋体" w:cs="宋体"/>
          <w:color w:val="auto"/>
          <w:spacing w:val="17"/>
          <w:sz w:val="24"/>
          <w:u w:val="single"/>
        </w:rPr>
        <w:t xml:space="preserve">   </w:t>
      </w:r>
      <w:r>
        <w:rPr>
          <w:rFonts w:ascii="宋体" w:hAnsi="宋体" w:eastAsia="宋体" w:cs="宋体"/>
          <w:color w:val="auto"/>
          <w:spacing w:val="-3"/>
          <w:sz w:val="24"/>
          <w:u w:val="single"/>
        </w:rPr>
        <w:t>日</w:t>
      </w:r>
    </w:p>
    <w:p w14:paraId="1C60028A">
      <w:pPr>
        <w:spacing w:before="79" w:line="440" w:lineRule="exact"/>
        <w:ind w:left="121" w:right="52" w:firstLine="479"/>
        <w:rPr>
          <w:rFonts w:ascii="宋体" w:hAnsi="宋体" w:eastAsia="宋体" w:cs="宋体"/>
          <w:color w:val="auto"/>
          <w:sz w:val="24"/>
        </w:rPr>
      </w:pPr>
      <w:r>
        <w:rPr>
          <w:rFonts w:ascii="宋体" w:hAnsi="宋体" w:eastAsia="宋体" w:cs="宋体"/>
          <w:color w:val="auto"/>
          <w:spacing w:val="-5"/>
          <w:sz w:val="24"/>
        </w:rPr>
        <w:t>根据《中华人民共和国政府采购法》、《中华人民</w:t>
      </w:r>
      <w:r>
        <w:rPr>
          <w:rFonts w:ascii="宋体" w:hAnsi="宋体" w:eastAsia="宋体" w:cs="宋体"/>
          <w:color w:val="auto"/>
          <w:spacing w:val="-6"/>
          <w:sz w:val="24"/>
        </w:rPr>
        <w:t>共和国政府采购法实施条例》，及《中</w:t>
      </w:r>
      <w:r>
        <w:rPr>
          <w:rFonts w:ascii="宋体" w:hAnsi="宋体" w:eastAsia="宋体" w:cs="宋体"/>
          <w:color w:val="auto"/>
          <w:spacing w:val="-4"/>
          <w:sz w:val="24"/>
        </w:rPr>
        <w:t>华人民共和国民法典》等法律、法规规定，按照采购文件规定条款和乙方投标文件及其承诺，</w:t>
      </w:r>
    </w:p>
    <w:p w14:paraId="4CF54835">
      <w:pPr>
        <w:spacing w:line="440" w:lineRule="exact"/>
        <w:ind w:left="151"/>
        <w:rPr>
          <w:rFonts w:ascii="宋体" w:hAnsi="宋体" w:eastAsia="宋体" w:cs="宋体"/>
          <w:color w:val="auto"/>
          <w:sz w:val="24"/>
        </w:rPr>
      </w:pPr>
      <w:r>
        <w:rPr>
          <w:rFonts w:ascii="宋体" w:hAnsi="宋体" w:eastAsia="宋体" w:cs="宋体"/>
          <w:color w:val="auto"/>
          <w:spacing w:val="-5"/>
          <w:sz w:val="24"/>
        </w:rPr>
        <w:t>甲乙双方签订本合同。</w:t>
      </w:r>
    </w:p>
    <w:p w14:paraId="72211564">
      <w:pPr>
        <w:spacing w:before="182" w:line="440" w:lineRule="exact"/>
        <w:ind w:left="600"/>
        <w:outlineLvl w:val="0"/>
        <w:rPr>
          <w:rFonts w:ascii="宋体" w:hAnsi="宋体" w:eastAsia="宋体" w:cs="宋体"/>
          <w:color w:val="auto"/>
          <w:sz w:val="24"/>
        </w:rPr>
      </w:pPr>
      <w:bookmarkStart w:id="70" w:name="_Toc3592"/>
      <w:r>
        <w:rPr>
          <w:rFonts w:ascii="宋体" w:hAnsi="宋体" w:eastAsia="宋体" w:cs="宋体"/>
          <w:color w:val="auto"/>
          <w:spacing w:val="-1"/>
          <w:sz w:val="24"/>
          <w14:textOutline w14:w="4356" w14:cap="sq" w14:cmpd="sng" w14:algn="ctr">
            <w14:solidFill>
              <w14:srgbClr w14:val="000000"/>
            </w14:solidFill>
            <w14:prstDash w14:val="solid"/>
            <w14:bevel/>
          </w14:textOutline>
        </w:rPr>
        <w:t>第一条</w:t>
      </w:r>
      <w:r>
        <w:rPr>
          <w:rFonts w:ascii="宋体" w:hAnsi="宋体" w:eastAsia="宋体" w:cs="宋体"/>
          <w:color w:val="auto"/>
          <w:spacing w:val="-1"/>
          <w:sz w:val="24"/>
        </w:rPr>
        <w:t xml:space="preserve">  </w:t>
      </w:r>
      <w:r>
        <w:rPr>
          <w:rFonts w:ascii="宋体" w:hAnsi="宋体" w:eastAsia="宋体" w:cs="宋体"/>
          <w:color w:val="auto"/>
          <w:spacing w:val="-1"/>
          <w:sz w:val="24"/>
          <w14:textOutline w14:w="4356" w14:cap="sq" w14:cmpd="sng" w14:algn="ctr">
            <w14:solidFill>
              <w14:srgbClr w14:val="000000"/>
            </w14:solidFill>
            <w14:prstDash w14:val="solid"/>
            <w14:bevel/>
          </w14:textOutline>
        </w:rPr>
        <w:t>合同标的</w:t>
      </w:r>
      <w:bookmarkEnd w:id="70"/>
    </w:p>
    <w:p w14:paraId="7E531730">
      <w:pPr>
        <w:spacing w:before="183" w:line="440" w:lineRule="exact"/>
        <w:ind w:left="618"/>
        <w:rPr>
          <w:rFonts w:ascii="宋体" w:hAnsi="宋体" w:eastAsia="宋体" w:cs="宋体"/>
          <w:color w:val="auto"/>
          <w:sz w:val="24"/>
        </w:rPr>
      </w:pPr>
      <w:r>
        <w:rPr>
          <w:rFonts w:ascii="宋体" w:hAnsi="宋体" w:eastAsia="宋体" w:cs="宋体"/>
          <w:color w:val="auto"/>
          <w:spacing w:val="-4"/>
          <w:sz w:val="24"/>
        </w:rPr>
        <w:t>1.供货一览表</w:t>
      </w:r>
    </w:p>
    <w:p w14:paraId="74F32656">
      <w:pPr>
        <w:spacing w:line="440" w:lineRule="exact"/>
        <w:rPr>
          <w:color w:val="auto"/>
        </w:rPr>
      </w:pPr>
    </w:p>
    <w:tbl>
      <w:tblPr>
        <w:tblStyle w:val="12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601"/>
        <w:gridCol w:w="1427"/>
        <w:gridCol w:w="1789"/>
        <w:gridCol w:w="759"/>
        <w:gridCol w:w="1732"/>
        <w:gridCol w:w="1864"/>
      </w:tblGrid>
      <w:tr w14:paraId="6C0B8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686" w:type="dxa"/>
            <w:textDirection w:val="tbRlV"/>
          </w:tcPr>
          <w:p w14:paraId="76392FCA">
            <w:pPr>
              <w:pStyle w:val="130"/>
              <w:spacing w:before="219" w:line="440" w:lineRule="exact"/>
              <w:ind w:left="41"/>
              <w:rPr>
                <w:color w:val="auto"/>
                <w:sz w:val="24"/>
                <w:szCs w:val="24"/>
              </w:rPr>
            </w:pPr>
            <w:r>
              <w:rPr>
                <w:color w:val="auto"/>
                <w:spacing w:val="-1"/>
                <w:sz w:val="24"/>
                <w:szCs w:val="24"/>
              </w:rPr>
              <w:t>序</w:t>
            </w:r>
            <w:r>
              <w:rPr>
                <w:color w:val="auto"/>
                <w:spacing w:val="106"/>
                <w:sz w:val="24"/>
                <w:szCs w:val="24"/>
              </w:rPr>
              <w:t xml:space="preserve"> </w:t>
            </w:r>
            <w:r>
              <w:rPr>
                <w:color w:val="auto"/>
                <w:spacing w:val="-1"/>
                <w:sz w:val="24"/>
                <w:szCs w:val="24"/>
              </w:rPr>
              <w:t>号</w:t>
            </w:r>
          </w:p>
        </w:tc>
        <w:tc>
          <w:tcPr>
            <w:tcW w:w="1601" w:type="dxa"/>
          </w:tcPr>
          <w:p w14:paraId="328FA8B1">
            <w:pPr>
              <w:pStyle w:val="130"/>
              <w:spacing w:before="274" w:line="440" w:lineRule="exact"/>
              <w:ind w:left="326"/>
              <w:rPr>
                <w:color w:val="auto"/>
                <w:sz w:val="24"/>
                <w:szCs w:val="24"/>
              </w:rPr>
            </w:pPr>
            <w:r>
              <w:rPr>
                <w:color w:val="auto"/>
                <w:spacing w:val="-3"/>
                <w:sz w:val="24"/>
                <w:szCs w:val="24"/>
              </w:rPr>
              <w:t>标的名称</w:t>
            </w:r>
          </w:p>
        </w:tc>
        <w:tc>
          <w:tcPr>
            <w:tcW w:w="1427" w:type="dxa"/>
          </w:tcPr>
          <w:p w14:paraId="5CD8A5E4">
            <w:pPr>
              <w:pStyle w:val="130"/>
              <w:spacing w:before="42" w:line="440" w:lineRule="exact"/>
              <w:ind w:left="380"/>
              <w:rPr>
                <w:color w:val="auto"/>
                <w:sz w:val="24"/>
                <w:szCs w:val="24"/>
              </w:rPr>
            </w:pPr>
            <w:r>
              <w:rPr>
                <w:color w:val="auto"/>
                <w:spacing w:val="-10"/>
                <w:sz w:val="24"/>
                <w:szCs w:val="24"/>
              </w:rPr>
              <w:t>品牌、</w:t>
            </w:r>
          </w:p>
          <w:p w14:paraId="55890EC0">
            <w:pPr>
              <w:pStyle w:val="130"/>
              <w:spacing w:before="180" w:line="440" w:lineRule="exact"/>
              <w:ind w:left="241"/>
              <w:rPr>
                <w:color w:val="auto"/>
                <w:sz w:val="24"/>
                <w:szCs w:val="24"/>
              </w:rPr>
            </w:pPr>
            <w:r>
              <w:rPr>
                <w:color w:val="auto"/>
                <w:spacing w:val="-3"/>
                <w:sz w:val="24"/>
                <w:szCs w:val="24"/>
              </w:rPr>
              <w:t>规格型号</w:t>
            </w:r>
          </w:p>
        </w:tc>
        <w:tc>
          <w:tcPr>
            <w:tcW w:w="1789" w:type="dxa"/>
          </w:tcPr>
          <w:p w14:paraId="2BAC4226">
            <w:pPr>
              <w:pStyle w:val="130"/>
              <w:spacing w:before="275" w:line="440" w:lineRule="exact"/>
              <w:ind w:left="423"/>
              <w:rPr>
                <w:color w:val="auto"/>
                <w:sz w:val="24"/>
                <w:szCs w:val="24"/>
              </w:rPr>
            </w:pPr>
            <w:r>
              <w:rPr>
                <w:color w:val="auto"/>
                <w:spacing w:val="-3"/>
                <w:sz w:val="24"/>
                <w:szCs w:val="24"/>
              </w:rPr>
              <w:t>生产厂家</w:t>
            </w:r>
          </w:p>
        </w:tc>
        <w:tc>
          <w:tcPr>
            <w:tcW w:w="759" w:type="dxa"/>
          </w:tcPr>
          <w:p w14:paraId="2EF6B7E9">
            <w:pPr>
              <w:pStyle w:val="130"/>
              <w:spacing w:before="275" w:line="440" w:lineRule="exact"/>
              <w:ind w:left="149"/>
              <w:rPr>
                <w:color w:val="auto"/>
                <w:sz w:val="24"/>
                <w:szCs w:val="24"/>
              </w:rPr>
            </w:pPr>
            <w:r>
              <w:rPr>
                <w:color w:val="auto"/>
                <w:spacing w:val="-6"/>
                <w:sz w:val="24"/>
                <w:szCs w:val="24"/>
              </w:rPr>
              <w:t>数量</w:t>
            </w:r>
          </w:p>
        </w:tc>
        <w:tc>
          <w:tcPr>
            <w:tcW w:w="1732" w:type="dxa"/>
          </w:tcPr>
          <w:p w14:paraId="77EE2930">
            <w:pPr>
              <w:pStyle w:val="130"/>
              <w:spacing w:before="274" w:line="440" w:lineRule="exact"/>
              <w:ind w:left="275"/>
              <w:rPr>
                <w:color w:val="auto"/>
                <w:sz w:val="24"/>
                <w:szCs w:val="24"/>
              </w:rPr>
            </w:pPr>
            <w:r>
              <w:rPr>
                <w:color w:val="auto"/>
                <w:spacing w:val="-3"/>
                <w:sz w:val="24"/>
                <w:szCs w:val="24"/>
              </w:rPr>
              <w:t>单价（元）</w:t>
            </w:r>
          </w:p>
        </w:tc>
        <w:tc>
          <w:tcPr>
            <w:tcW w:w="1864" w:type="dxa"/>
          </w:tcPr>
          <w:p w14:paraId="2988D3C9">
            <w:pPr>
              <w:pStyle w:val="130"/>
              <w:spacing w:before="274" w:line="440" w:lineRule="exact"/>
              <w:ind w:left="226"/>
              <w:rPr>
                <w:color w:val="auto"/>
                <w:sz w:val="24"/>
                <w:szCs w:val="24"/>
              </w:rPr>
            </w:pPr>
            <w:r>
              <w:rPr>
                <w:color w:val="auto"/>
                <w:spacing w:val="-3"/>
                <w:sz w:val="24"/>
                <w:szCs w:val="24"/>
              </w:rPr>
              <w:t>总金额（元）</w:t>
            </w:r>
          </w:p>
        </w:tc>
      </w:tr>
      <w:tr w14:paraId="2E883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86" w:type="dxa"/>
          </w:tcPr>
          <w:p w14:paraId="3B546F44">
            <w:pPr>
              <w:pStyle w:val="130"/>
              <w:spacing w:before="172" w:line="440" w:lineRule="exact"/>
              <w:ind w:left="308"/>
              <w:rPr>
                <w:color w:val="auto"/>
                <w:sz w:val="24"/>
                <w:szCs w:val="24"/>
              </w:rPr>
            </w:pPr>
            <w:r>
              <w:rPr>
                <w:color w:val="auto"/>
                <w:sz w:val="24"/>
                <w:szCs w:val="24"/>
              </w:rPr>
              <w:t>1</w:t>
            </w:r>
          </w:p>
        </w:tc>
        <w:tc>
          <w:tcPr>
            <w:tcW w:w="1601" w:type="dxa"/>
          </w:tcPr>
          <w:p w14:paraId="4B8A9184">
            <w:pPr>
              <w:spacing w:line="440" w:lineRule="exact"/>
              <w:rPr>
                <w:rFonts w:ascii="Arial" w:eastAsia="宋体"/>
                <w:color w:val="auto"/>
              </w:rPr>
            </w:pPr>
          </w:p>
        </w:tc>
        <w:tc>
          <w:tcPr>
            <w:tcW w:w="1427" w:type="dxa"/>
          </w:tcPr>
          <w:p w14:paraId="3574484E">
            <w:pPr>
              <w:spacing w:line="440" w:lineRule="exact"/>
              <w:rPr>
                <w:rFonts w:ascii="Arial"/>
                <w:color w:val="auto"/>
              </w:rPr>
            </w:pPr>
          </w:p>
        </w:tc>
        <w:tc>
          <w:tcPr>
            <w:tcW w:w="1789" w:type="dxa"/>
          </w:tcPr>
          <w:p w14:paraId="0A4D2F67">
            <w:pPr>
              <w:spacing w:line="440" w:lineRule="exact"/>
              <w:rPr>
                <w:rFonts w:ascii="Arial" w:eastAsia="宋体"/>
                <w:color w:val="auto"/>
              </w:rPr>
            </w:pPr>
          </w:p>
        </w:tc>
        <w:tc>
          <w:tcPr>
            <w:tcW w:w="759" w:type="dxa"/>
          </w:tcPr>
          <w:p w14:paraId="0064B9A5">
            <w:pPr>
              <w:spacing w:line="440" w:lineRule="exact"/>
              <w:rPr>
                <w:rFonts w:ascii="Arial" w:eastAsia="宋体"/>
                <w:color w:val="auto"/>
              </w:rPr>
            </w:pPr>
          </w:p>
        </w:tc>
        <w:tc>
          <w:tcPr>
            <w:tcW w:w="1732" w:type="dxa"/>
          </w:tcPr>
          <w:p w14:paraId="7B0F6BE4">
            <w:pPr>
              <w:spacing w:line="440" w:lineRule="exact"/>
              <w:rPr>
                <w:rFonts w:ascii="Arial" w:eastAsia="宋体"/>
                <w:color w:val="auto"/>
              </w:rPr>
            </w:pPr>
          </w:p>
        </w:tc>
        <w:tc>
          <w:tcPr>
            <w:tcW w:w="1864" w:type="dxa"/>
          </w:tcPr>
          <w:p w14:paraId="377AF01D">
            <w:pPr>
              <w:spacing w:line="440" w:lineRule="exact"/>
              <w:rPr>
                <w:rFonts w:ascii="Arial" w:eastAsia="宋体"/>
                <w:color w:val="auto"/>
              </w:rPr>
            </w:pPr>
          </w:p>
        </w:tc>
      </w:tr>
      <w:tr w14:paraId="54684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9858" w:type="dxa"/>
            <w:gridSpan w:val="7"/>
          </w:tcPr>
          <w:p w14:paraId="60534581">
            <w:pPr>
              <w:pStyle w:val="130"/>
              <w:spacing w:before="144" w:line="440" w:lineRule="exact"/>
              <w:ind w:left="117"/>
              <w:rPr>
                <w:color w:val="auto"/>
                <w:sz w:val="24"/>
                <w:szCs w:val="24"/>
                <w:lang w:eastAsia="zh-CN"/>
              </w:rPr>
            </w:pPr>
            <w:r>
              <w:rPr>
                <w:color w:val="auto"/>
                <w:spacing w:val="-3"/>
                <w:sz w:val="24"/>
                <w:szCs w:val="24"/>
                <w:lang w:eastAsia="zh-CN"/>
              </w:rPr>
              <w:t>人民币合计金额（大写）</w:t>
            </w:r>
            <w:r>
              <w:rPr>
                <w:rFonts w:hint="eastAsia"/>
                <w:color w:val="auto"/>
                <w:spacing w:val="-3"/>
                <w:sz w:val="24"/>
                <w:szCs w:val="24"/>
                <w:lang w:eastAsia="zh-CN"/>
              </w:rPr>
              <w:t xml:space="preserve">            </w:t>
            </w:r>
            <w:r>
              <w:rPr>
                <w:color w:val="auto"/>
                <w:spacing w:val="53"/>
                <w:sz w:val="24"/>
                <w:szCs w:val="24"/>
                <w:lang w:eastAsia="zh-CN"/>
              </w:rPr>
              <w:t xml:space="preserve"> </w:t>
            </w:r>
            <w:r>
              <w:rPr>
                <w:color w:val="auto"/>
                <w:spacing w:val="-3"/>
                <w:sz w:val="24"/>
                <w:szCs w:val="24"/>
                <w:lang w:eastAsia="zh-CN"/>
              </w:rPr>
              <w:t xml:space="preserve">( ¥ </w:t>
            </w:r>
            <w:r>
              <w:rPr>
                <w:rFonts w:hint="eastAsia"/>
                <w:color w:val="auto"/>
                <w:spacing w:val="-3"/>
                <w:sz w:val="24"/>
                <w:szCs w:val="24"/>
                <w:lang w:eastAsia="zh-CN"/>
              </w:rPr>
              <w:t xml:space="preserve"> 0.00元</w:t>
            </w:r>
            <w:r>
              <w:rPr>
                <w:color w:val="auto"/>
                <w:spacing w:val="-3"/>
                <w:sz w:val="24"/>
                <w:szCs w:val="24"/>
                <w:lang w:eastAsia="zh-CN"/>
              </w:rPr>
              <w:t>)</w:t>
            </w:r>
          </w:p>
        </w:tc>
      </w:tr>
    </w:tbl>
    <w:p w14:paraId="556CAB12">
      <w:pPr>
        <w:spacing w:before="37" w:line="440" w:lineRule="exact"/>
        <w:ind w:left="121" w:right="33" w:firstLine="481"/>
        <w:rPr>
          <w:rFonts w:ascii="宋体" w:hAnsi="宋体" w:eastAsia="宋体" w:cs="宋体"/>
          <w:color w:val="auto"/>
          <w:sz w:val="24"/>
        </w:rPr>
      </w:pPr>
      <w:r>
        <w:rPr>
          <w:rFonts w:ascii="宋体" w:hAnsi="宋体" w:eastAsia="宋体" w:cs="宋体"/>
          <w:color w:val="auto"/>
          <w:spacing w:val="-3"/>
          <w:sz w:val="24"/>
        </w:rPr>
        <w:t>2.合同合计金额包含设备、随配附件、备品备件、辅助</w:t>
      </w:r>
      <w:r>
        <w:rPr>
          <w:rFonts w:ascii="宋体" w:hAnsi="宋体" w:eastAsia="宋体" w:cs="宋体"/>
          <w:color w:val="auto"/>
          <w:spacing w:val="-4"/>
          <w:sz w:val="24"/>
        </w:rPr>
        <w:t>材料、工具、运抵指定交货地点、</w:t>
      </w:r>
      <w:r>
        <w:rPr>
          <w:rFonts w:ascii="宋体" w:hAnsi="宋体" w:eastAsia="宋体" w:cs="宋体"/>
          <w:color w:val="auto"/>
          <w:sz w:val="24"/>
        </w:rPr>
        <w:t xml:space="preserve"> 保险、现场安装、调试及验收、售后服务、培训费、人工费、税</w:t>
      </w:r>
      <w:r>
        <w:rPr>
          <w:rFonts w:ascii="宋体" w:hAnsi="宋体" w:eastAsia="宋体" w:cs="宋体"/>
          <w:color w:val="auto"/>
          <w:spacing w:val="-1"/>
          <w:sz w:val="24"/>
        </w:rPr>
        <w:t>金、产品检测费、产品质保</w:t>
      </w:r>
    </w:p>
    <w:p w14:paraId="78AF5A91">
      <w:pPr>
        <w:spacing w:line="440" w:lineRule="exact"/>
        <w:ind w:left="123"/>
        <w:rPr>
          <w:rFonts w:ascii="宋体" w:hAnsi="宋体" w:eastAsia="宋体" w:cs="宋体"/>
          <w:color w:val="auto"/>
          <w:sz w:val="24"/>
        </w:rPr>
      </w:pPr>
      <w:r>
        <w:rPr>
          <w:rFonts w:ascii="宋体" w:hAnsi="宋体" w:eastAsia="宋体" w:cs="宋体"/>
          <w:color w:val="auto"/>
          <w:sz w:val="24"/>
        </w:rPr>
        <w:t>期内维护等及其他所有成本费用的总和。如采购文</w:t>
      </w:r>
      <w:r>
        <w:rPr>
          <w:rFonts w:ascii="宋体" w:hAnsi="宋体" w:eastAsia="宋体" w:cs="宋体"/>
          <w:color w:val="auto"/>
          <w:spacing w:val="-1"/>
          <w:sz w:val="24"/>
        </w:rPr>
        <w:t>件对其另有规定的，从其规定。</w:t>
      </w:r>
    </w:p>
    <w:p w14:paraId="1BF09977">
      <w:pPr>
        <w:spacing w:before="183" w:line="440" w:lineRule="exact"/>
        <w:ind w:left="600"/>
        <w:outlineLvl w:val="0"/>
        <w:rPr>
          <w:rFonts w:ascii="宋体" w:hAnsi="宋体" w:eastAsia="宋体" w:cs="宋体"/>
          <w:color w:val="auto"/>
          <w:sz w:val="24"/>
        </w:rPr>
      </w:pPr>
      <w:bookmarkStart w:id="71" w:name="_Toc9386"/>
      <w:r>
        <w:rPr>
          <w:rFonts w:ascii="宋体" w:hAnsi="宋体" w:eastAsia="宋体" w:cs="宋体"/>
          <w:color w:val="auto"/>
          <w:spacing w:val="-1"/>
          <w:sz w:val="24"/>
          <w14:textOutline w14:w="4356" w14:cap="sq" w14:cmpd="sng" w14:algn="ctr">
            <w14:solidFill>
              <w14:srgbClr w14:val="000000"/>
            </w14:solidFill>
            <w14:prstDash w14:val="solid"/>
            <w14:bevel/>
          </w14:textOutline>
        </w:rPr>
        <w:t>第二条</w:t>
      </w:r>
      <w:r>
        <w:rPr>
          <w:rFonts w:ascii="宋体" w:hAnsi="宋体" w:eastAsia="宋体" w:cs="宋体"/>
          <w:color w:val="auto"/>
          <w:spacing w:val="-1"/>
          <w:sz w:val="24"/>
        </w:rPr>
        <w:t xml:space="preserve">  </w:t>
      </w:r>
      <w:r>
        <w:rPr>
          <w:rFonts w:ascii="宋体" w:hAnsi="宋体" w:eastAsia="宋体" w:cs="宋体"/>
          <w:color w:val="auto"/>
          <w:spacing w:val="-1"/>
          <w:sz w:val="24"/>
          <w14:textOutline w14:w="4356" w14:cap="sq" w14:cmpd="sng" w14:algn="ctr">
            <w14:solidFill>
              <w14:srgbClr w14:val="000000"/>
            </w14:solidFill>
            <w14:prstDash w14:val="solid"/>
            <w14:bevel/>
          </w14:textOutline>
        </w:rPr>
        <w:t>产品质量</w:t>
      </w:r>
      <w:bookmarkEnd w:id="71"/>
    </w:p>
    <w:p w14:paraId="08AAB5C9">
      <w:pPr>
        <w:spacing w:before="183" w:line="440" w:lineRule="exact"/>
        <w:ind w:left="618"/>
        <w:rPr>
          <w:rFonts w:ascii="宋体" w:hAnsi="宋体" w:eastAsia="宋体" w:cs="宋体"/>
          <w:color w:val="auto"/>
          <w:sz w:val="24"/>
        </w:rPr>
      </w:pPr>
      <w:r>
        <w:rPr>
          <w:rFonts w:ascii="宋体" w:hAnsi="宋体" w:eastAsia="宋体" w:cs="宋体"/>
          <w:color w:val="auto"/>
          <w:position w:val="17"/>
          <w:sz w:val="24"/>
        </w:rPr>
        <w:t>1.乙方所提供的货物型号、技术规格、技术参数等质量必须与承诺相一致。乙方提供的</w:t>
      </w:r>
    </w:p>
    <w:p w14:paraId="01B9963E">
      <w:pPr>
        <w:spacing w:before="1" w:line="440" w:lineRule="exact"/>
        <w:ind w:left="120"/>
        <w:rPr>
          <w:rFonts w:ascii="宋体" w:hAnsi="宋体" w:eastAsia="宋体" w:cs="宋体"/>
          <w:color w:val="auto"/>
          <w:sz w:val="24"/>
        </w:rPr>
      </w:pPr>
      <w:r>
        <w:rPr>
          <w:rFonts w:ascii="宋体" w:hAnsi="宋体" w:eastAsia="宋体" w:cs="宋体"/>
          <w:color w:val="auto"/>
          <w:spacing w:val="-1"/>
          <w:sz w:val="24"/>
        </w:rPr>
        <w:t>节能和环保产品必须是列入政府采购清单的产品。</w:t>
      </w:r>
    </w:p>
    <w:p w14:paraId="236D1CE8">
      <w:pPr>
        <w:spacing w:before="184" w:line="440" w:lineRule="exact"/>
        <w:ind w:left="603"/>
        <w:rPr>
          <w:rFonts w:ascii="宋体" w:hAnsi="宋体" w:eastAsia="宋体" w:cs="宋体"/>
          <w:color w:val="auto"/>
          <w:sz w:val="24"/>
        </w:rPr>
      </w:pPr>
      <w:r>
        <w:rPr>
          <w:rFonts w:ascii="宋体" w:hAnsi="宋体" w:eastAsia="宋体" w:cs="宋体"/>
          <w:color w:val="auto"/>
          <w:spacing w:val="1"/>
          <w:position w:val="17"/>
          <w:sz w:val="24"/>
        </w:rPr>
        <w:t>2.乙方所提供的货物必须是全新、未使用的原装产品，</w:t>
      </w:r>
      <w:r>
        <w:rPr>
          <w:rFonts w:ascii="宋体" w:hAnsi="宋体" w:eastAsia="宋体" w:cs="宋体"/>
          <w:color w:val="auto"/>
          <w:position w:val="17"/>
          <w:sz w:val="24"/>
        </w:rPr>
        <w:t>且在正常安装、使用和保养条件</w:t>
      </w:r>
    </w:p>
    <w:p w14:paraId="20743DEA">
      <w:pPr>
        <w:spacing w:line="440" w:lineRule="exact"/>
        <w:ind w:left="128"/>
        <w:rPr>
          <w:rFonts w:ascii="宋体" w:hAnsi="宋体" w:eastAsia="宋体" w:cs="宋体"/>
          <w:color w:val="auto"/>
          <w:sz w:val="24"/>
        </w:rPr>
      </w:pPr>
      <w:r>
        <w:rPr>
          <w:rFonts w:ascii="宋体" w:hAnsi="宋体" w:eastAsia="宋体" w:cs="宋体"/>
          <w:color w:val="auto"/>
          <w:spacing w:val="-1"/>
          <w:sz w:val="24"/>
        </w:rPr>
        <w:t>下，其使用寿命期内各项指标均达到质量要求。</w:t>
      </w:r>
    </w:p>
    <w:p w14:paraId="749FDE0C">
      <w:pPr>
        <w:spacing w:before="186" w:line="440" w:lineRule="exact"/>
        <w:ind w:left="600"/>
        <w:outlineLvl w:val="0"/>
        <w:rPr>
          <w:rFonts w:ascii="宋体" w:hAnsi="宋体" w:eastAsia="宋体" w:cs="宋体"/>
          <w:color w:val="auto"/>
          <w:sz w:val="24"/>
        </w:rPr>
      </w:pPr>
      <w:bookmarkStart w:id="72" w:name="_Toc17553"/>
      <w:r>
        <w:rPr>
          <w:rFonts w:ascii="宋体" w:hAnsi="宋体" w:eastAsia="宋体" w:cs="宋体"/>
          <w:color w:val="auto"/>
          <w:spacing w:val="-1"/>
          <w:sz w:val="24"/>
          <w14:textOutline w14:w="4356" w14:cap="sq" w14:cmpd="sng" w14:algn="ctr">
            <w14:solidFill>
              <w14:srgbClr w14:val="000000"/>
            </w14:solidFill>
            <w14:prstDash w14:val="solid"/>
            <w14:bevel/>
          </w14:textOutline>
        </w:rPr>
        <w:t>第三条</w:t>
      </w:r>
      <w:r>
        <w:rPr>
          <w:rFonts w:ascii="宋体" w:hAnsi="宋体" w:eastAsia="宋体" w:cs="宋体"/>
          <w:color w:val="auto"/>
          <w:spacing w:val="-1"/>
          <w:sz w:val="24"/>
        </w:rPr>
        <w:t xml:space="preserve">  </w:t>
      </w:r>
      <w:r>
        <w:rPr>
          <w:rFonts w:ascii="宋体" w:hAnsi="宋体" w:eastAsia="宋体" w:cs="宋体"/>
          <w:color w:val="auto"/>
          <w:spacing w:val="-1"/>
          <w:sz w:val="24"/>
          <w14:textOutline w14:w="4356" w14:cap="sq" w14:cmpd="sng" w14:algn="ctr">
            <w14:solidFill>
              <w14:srgbClr w14:val="000000"/>
            </w14:solidFill>
            <w14:prstDash w14:val="solid"/>
            <w14:bevel/>
          </w14:textOutline>
        </w:rPr>
        <w:t>权利保证</w:t>
      </w:r>
      <w:bookmarkEnd w:id="72"/>
    </w:p>
    <w:p w14:paraId="0C9ED969">
      <w:pPr>
        <w:spacing w:before="183" w:line="440" w:lineRule="exact"/>
        <w:ind w:left="618"/>
        <w:rPr>
          <w:rFonts w:ascii="宋体" w:hAnsi="宋体" w:eastAsia="宋体" w:cs="宋体"/>
          <w:color w:val="auto"/>
          <w:sz w:val="24"/>
        </w:rPr>
      </w:pPr>
      <w:r>
        <w:rPr>
          <w:rFonts w:ascii="宋体" w:hAnsi="宋体" w:eastAsia="宋体" w:cs="宋体"/>
          <w:color w:val="auto"/>
          <w:position w:val="17"/>
          <w:sz w:val="24"/>
        </w:rPr>
        <w:t>1.乙方应保证所提供货物在使用时不会侵犯任何第三方的专利权、商标权、工业设计权</w:t>
      </w:r>
    </w:p>
    <w:p w14:paraId="6223BE47">
      <w:pPr>
        <w:spacing w:line="440" w:lineRule="exact"/>
        <w:ind w:left="123"/>
        <w:rPr>
          <w:rFonts w:ascii="宋体" w:hAnsi="宋体" w:eastAsia="宋体" w:cs="宋体"/>
          <w:color w:val="auto"/>
          <w:sz w:val="24"/>
        </w:rPr>
      </w:pPr>
      <w:r>
        <w:rPr>
          <w:rFonts w:ascii="宋体" w:hAnsi="宋体" w:eastAsia="宋体" w:cs="宋体"/>
          <w:color w:val="auto"/>
          <w:spacing w:val="-3"/>
          <w:sz w:val="24"/>
        </w:rPr>
        <w:t>或其他权利。</w:t>
      </w:r>
    </w:p>
    <w:p w14:paraId="7BA39F16">
      <w:pPr>
        <w:spacing w:before="184" w:line="440" w:lineRule="exact"/>
        <w:ind w:left="603"/>
        <w:rPr>
          <w:rFonts w:ascii="宋体" w:hAnsi="宋体" w:eastAsia="宋体" w:cs="宋体"/>
          <w:color w:val="auto"/>
          <w:sz w:val="24"/>
        </w:rPr>
      </w:pPr>
      <w:r>
        <w:rPr>
          <w:rFonts w:ascii="宋体" w:hAnsi="宋体" w:eastAsia="宋体" w:cs="宋体"/>
          <w:color w:val="auto"/>
          <w:spacing w:val="-1"/>
          <w:sz w:val="24"/>
        </w:rPr>
        <w:t>2.乙方应按采购文件规定的时间向甲方提供使用货物的有关技术资料。</w:t>
      </w:r>
    </w:p>
    <w:p w14:paraId="5D430C5C">
      <w:pPr>
        <w:spacing w:before="185" w:line="440" w:lineRule="exact"/>
        <w:ind w:left="605"/>
        <w:rPr>
          <w:rFonts w:ascii="宋体" w:hAnsi="宋体" w:eastAsia="宋体" w:cs="宋体"/>
          <w:color w:val="auto"/>
          <w:sz w:val="24"/>
        </w:rPr>
      </w:pPr>
      <w:r>
        <w:rPr>
          <w:rFonts w:ascii="宋体" w:hAnsi="宋体" w:eastAsia="宋体" w:cs="宋体"/>
          <w:color w:val="auto"/>
          <w:spacing w:val="1"/>
          <w:sz w:val="24"/>
        </w:rPr>
        <w:t>3.没有甲方事先书面同意，乙方不得将由甲方提供</w:t>
      </w:r>
      <w:r>
        <w:rPr>
          <w:rFonts w:ascii="宋体" w:hAnsi="宋体" w:eastAsia="宋体" w:cs="宋体"/>
          <w:color w:val="auto"/>
          <w:sz w:val="24"/>
        </w:rPr>
        <w:t>的有关合同或任何合同条文、规格、</w:t>
      </w:r>
    </w:p>
    <w:p w14:paraId="3D197AE5">
      <w:pPr>
        <w:spacing w:line="440" w:lineRule="exact"/>
        <w:rPr>
          <w:rFonts w:ascii="宋体" w:hAnsi="宋体" w:eastAsia="宋体" w:cs="宋体"/>
          <w:color w:val="auto"/>
          <w:sz w:val="24"/>
        </w:rPr>
        <w:sectPr>
          <w:footerReference r:id="rId8" w:type="default"/>
          <w:pgSz w:w="11906" w:h="16839"/>
          <w:pgMar w:top="400" w:right="1021" w:bottom="1156" w:left="1021" w:header="0" w:footer="994" w:gutter="0"/>
          <w:cols w:space="720" w:num="1"/>
        </w:sectPr>
      </w:pPr>
    </w:p>
    <w:p w14:paraId="696B6C36">
      <w:pPr>
        <w:pStyle w:val="15"/>
        <w:spacing w:line="440" w:lineRule="exact"/>
        <w:rPr>
          <w:color w:val="auto"/>
        </w:rPr>
      </w:pPr>
    </w:p>
    <w:p w14:paraId="171D7F14">
      <w:pPr>
        <w:pStyle w:val="15"/>
        <w:spacing w:line="440" w:lineRule="exact"/>
        <w:rPr>
          <w:color w:val="auto"/>
        </w:rPr>
      </w:pPr>
    </w:p>
    <w:p w14:paraId="393DE8BA">
      <w:pPr>
        <w:spacing w:before="79" w:line="440" w:lineRule="exact"/>
        <w:ind w:left="11" w:right="80" w:hanging="1"/>
        <w:rPr>
          <w:rFonts w:ascii="宋体" w:hAnsi="宋体" w:eastAsia="宋体" w:cs="宋体"/>
          <w:color w:val="auto"/>
          <w:sz w:val="24"/>
        </w:rPr>
      </w:pPr>
      <w:r>
        <w:rPr>
          <w:rFonts w:ascii="宋体" w:hAnsi="宋体" w:eastAsia="宋体" w:cs="宋体"/>
          <w:color w:val="auto"/>
          <w:spacing w:val="1"/>
          <w:sz w:val="24"/>
        </w:rPr>
        <w:t>计划、图纸、样品或资料提供给与履行本合同无关的任何其他</w:t>
      </w:r>
      <w:r>
        <w:rPr>
          <w:rFonts w:ascii="宋体" w:hAnsi="宋体" w:eastAsia="宋体" w:cs="宋体"/>
          <w:color w:val="auto"/>
          <w:sz w:val="24"/>
        </w:rPr>
        <w:t xml:space="preserve">人。即使向履行本合同有关的 </w:t>
      </w:r>
      <w:r>
        <w:rPr>
          <w:rFonts w:ascii="宋体" w:hAnsi="宋体" w:eastAsia="宋体" w:cs="宋体"/>
          <w:color w:val="auto"/>
          <w:spacing w:val="1"/>
          <w:sz w:val="24"/>
        </w:rPr>
        <w:t>人员提供，也应注意保密并限于履行合同的必需范围。</w:t>
      </w:r>
      <w:r>
        <w:rPr>
          <w:rFonts w:hint="eastAsia" w:ascii="宋体" w:hAnsi="宋体" w:eastAsia="宋体" w:cs="宋体"/>
          <w:color w:val="auto"/>
          <w:spacing w:val="1"/>
          <w:sz w:val="24"/>
        </w:rPr>
        <w:t>违反</w:t>
      </w:r>
      <w:r>
        <w:rPr>
          <w:rFonts w:ascii="宋体" w:hAnsi="宋体" w:eastAsia="宋体" w:cs="宋体"/>
          <w:color w:val="auto"/>
          <w:sz w:val="24"/>
        </w:rPr>
        <w:t>以上保密义务的，按本合同第十</w:t>
      </w:r>
    </w:p>
    <w:p w14:paraId="3FA4B945">
      <w:pPr>
        <w:spacing w:line="440" w:lineRule="exact"/>
        <w:ind w:left="32"/>
        <w:rPr>
          <w:rFonts w:ascii="宋体" w:hAnsi="宋体" w:eastAsia="宋体" w:cs="宋体"/>
          <w:color w:val="auto"/>
          <w:sz w:val="24"/>
        </w:rPr>
      </w:pPr>
      <w:r>
        <w:rPr>
          <w:rFonts w:ascii="宋体" w:hAnsi="宋体" w:eastAsia="宋体" w:cs="宋体"/>
          <w:color w:val="auto"/>
          <w:spacing w:val="-8"/>
          <w:sz w:val="24"/>
        </w:rPr>
        <w:t>四条第</w:t>
      </w:r>
      <w:r>
        <w:rPr>
          <w:rFonts w:ascii="宋体" w:hAnsi="宋体" w:eastAsia="宋体" w:cs="宋体"/>
          <w:color w:val="auto"/>
          <w:spacing w:val="-40"/>
          <w:sz w:val="24"/>
        </w:rPr>
        <w:t xml:space="preserve"> </w:t>
      </w:r>
      <w:r>
        <w:rPr>
          <w:rFonts w:ascii="宋体" w:hAnsi="宋体" w:eastAsia="宋体" w:cs="宋体"/>
          <w:color w:val="auto"/>
          <w:spacing w:val="-8"/>
          <w:sz w:val="24"/>
        </w:rPr>
        <w:t>7</w:t>
      </w:r>
      <w:r>
        <w:rPr>
          <w:rFonts w:ascii="宋体" w:hAnsi="宋体" w:eastAsia="宋体" w:cs="宋体"/>
          <w:color w:val="auto"/>
          <w:spacing w:val="-49"/>
          <w:sz w:val="24"/>
        </w:rPr>
        <w:t xml:space="preserve"> </w:t>
      </w:r>
      <w:r>
        <w:rPr>
          <w:rFonts w:ascii="宋体" w:hAnsi="宋体" w:eastAsia="宋体" w:cs="宋体"/>
          <w:color w:val="auto"/>
          <w:spacing w:val="-8"/>
          <w:sz w:val="24"/>
        </w:rPr>
        <w:t>款处理。</w:t>
      </w:r>
    </w:p>
    <w:p w14:paraId="4B3EBD03">
      <w:pPr>
        <w:spacing w:before="180" w:line="440" w:lineRule="exact"/>
        <w:jc w:val="right"/>
        <w:rPr>
          <w:rFonts w:ascii="宋体" w:hAnsi="宋体" w:eastAsia="宋体" w:cs="宋体"/>
          <w:color w:val="auto"/>
          <w:sz w:val="24"/>
        </w:rPr>
      </w:pPr>
      <w:r>
        <w:rPr>
          <w:rFonts w:ascii="宋体" w:hAnsi="宋体" w:eastAsia="宋体" w:cs="宋体"/>
          <w:color w:val="auto"/>
          <w:spacing w:val="-3"/>
          <w:position w:val="17"/>
          <w:sz w:val="24"/>
        </w:rPr>
        <w:t>4.乙方保证所交付的货物的所有权完全属于乙方且无任何抵押、</w:t>
      </w:r>
      <w:r>
        <w:rPr>
          <w:rFonts w:ascii="宋体" w:hAnsi="宋体" w:eastAsia="宋体" w:cs="宋体"/>
          <w:color w:val="auto"/>
          <w:spacing w:val="-4"/>
          <w:position w:val="17"/>
          <w:sz w:val="24"/>
        </w:rPr>
        <w:t>质押、查封等产权瑕疵。</w:t>
      </w:r>
    </w:p>
    <w:p w14:paraId="5414F8B5">
      <w:pPr>
        <w:spacing w:line="440" w:lineRule="exact"/>
        <w:ind w:left="14"/>
        <w:rPr>
          <w:rFonts w:ascii="宋体" w:hAnsi="宋体" w:eastAsia="宋体" w:cs="宋体"/>
          <w:color w:val="auto"/>
          <w:sz w:val="24"/>
        </w:rPr>
      </w:pPr>
      <w:r>
        <w:rPr>
          <w:rFonts w:ascii="宋体" w:hAnsi="宋体" w:eastAsia="宋体" w:cs="宋体"/>
          <w:color w:val="auto"/>
          <w:spacing w:val="-1"/>
          <w:sz w:val="24"/>
        </w:rPr>
        <w:t>如乙方所交付的成果有产权瑕疵的，视为乙方违约，按照本合同</w:t>
      </w:r>
      <w:r>
        <w:rPr>
          <w:rFonts w:ascii="宋体" w:hAnsi="宋体" w:eastAsia="宋体" w:cs="宋体"/>
          <w:color w:val="auto"/>
          <w:spacing w:val="-2"/>
          <w:sz w:val="24"/>
        </w:rPr>
        <w:t>第十四条第</w:t>
      </w:r>
      <w:r>
        <w:rPr>
          <w:rFonts w:ascii="宋体" w:hAnsi="宋体" w:eastAsia="宋体" w:cs="宋体"/>
          <w:color w:val="auto"/>
          <w:spacing w:val="-33"/>
          <w:sz w:val="24"/>
        </w:rPr>
        <w:t xml:space="preserve"> </w:t>
      </w:r>
      <w:r>
        <w:rPr>
          <w:rFonts w:ascii="宋体" w:hAnsi="宋体" w:eastAsia="宋体" w:cs="宋体"/>
          <w:color w:val="auto"/>
          <w:spacing w:val="-2"/>
          <w:sz w:val="24"/>
        </w:rPr>
        <w:t>1</w:t>
      </w:r>
      <w:r>
        <w:rPr>
          <w:rFonts w:ascii="宋体" w:hAnsi="宋体" w:eastAsia="宋体" w:cs="宋体"/>
          <w:color w:val="auto"/>
          <w:spacing w:val="-50"/>
          <w:sz w:val="24"/>
        </w:rPr>
        <w:t xml:space="preserve"> </w:t>
      </w:r>
      <w:r>
        <w:rPr>
          <w:rFonts w:ascii="宋体" w:hAnsi="宋体" w:eastAsia="宋体" w:cs="宋体"/>
          <w:color w:val="auto"/>
          <w:spacing w:val="-2"/>
          <w:sz w:val="24"/>
        </w:rPr>
        <w:t>款约定处理。</w:t>
      </w:r>
    </w:p>
    <w:p w14:paraId="52010D39">
      <w:pPr>
        <w:spacing w:before="180" w:line="440" w:lineRule="exact"/>
        <w:ind w:left="490"/>
        <w:outlineLvl w:val="0"/>
        <w:rPr>
          <w:rFonts w:ascii="宋体" w:hAnsi="宋体" w:eastAsia="宋体" w:cs="宋体"/>
          <w:color w:val="auto"/>
          <w:sz w:val="24"/>
        </w:rPr>
      </w:pPr>
      <w:bookmarkStart w:id="73" w:name="_Toc25698"/>
      <w:r>
        <w:rPr>
          <w:rFonts w:ascii="宋体" w:hAnsi="宋体" w:eastAsia="宋体" w:cs="宋体"/>
          <w:color w:val="auto"/>
          <w:sz w:val="24"/>
          <w14:textOutline w14:w="4356" w14:cap="sq" w14:cmpd="sng" w14:algn="ctr">
            <w14:solidFill>
              <w14:srgbClr w14:val="000000"/>
            </w14:solidFill>
            <w14:prstDash w14:val="solid"/>
            <w14:bevel/>
          </w14:textOutline>
        </w:rPr>
        <w:t>第四条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货物包装及运输</w:t>
      </w:r>
      <w:bookmarkEnd w:id="73"/>
    </w:p>
    <w:p w14:paraId="67A4896B">
      <w:pPr>
        <w:spacing w:before="184" w:line="440" w:lineRule="exact"/>
        <w:ind w:left="507"/>
        <w:rPr>
          <w:rFonts w:ascii="宋体" w:hAnsi="宋体" w:eastAsia="宋体" w:cs="宋体"/>
          <w:color w:val="auto"/>
          <w:sz w:val="24"/>
        </w:rPr>
      </w:pPr>
      <w:r>
        <w:rPr>
          <w:rFonts w:ascii="宋体" w:hAnsi="宋体" w:eastAsia="宋体" w:cs="宋体"/>
          <w:color w:val="auto"/>
          <w:position w:val="17"/>
          <w:sz w:val="24"/>
        </w:rPr>
        <w:t>1.乙方提供的货物均应按招标文件（采购文件）要求的包装材料、包装标准、包装方式</w:t>
      </w:r>
    </w:p>
    <w:p w14:paraId="32F90A55">
      <w:pPr>
        <w:spacing w:before="1" w:line="440" w:lineRule="exact"/>
        <w:ind w:left="8"/>
        <w:rPr>
          <w:rFonts w:ascii="宋体" w:hAnsi="宋体" w:eastAsia="宋体" w:cs="宋体"/>
          <w:color w:val="auto"/>
          <w:sz w:val="24"/>
        </w:rPr>
      </w:pPr>
      <w:r>
        <w:rPr>
          <w:rFonts w:ascii="宋体" w:hAnsi="宋体" w:eastAsia="宋体" w:cs="宋体"/>
          <w:color w:val="auto"/>
          <w:spacing w:val="-1"/>
          <w:sz w:val="24"/>
        </w:rPr>
        <w:t>进行包装，每一包装单元内应附详细的装箱单和质量合格证。</w:t>
      </w:r>
    </w:p>
    <w:p w14:paraId="08EEFDB0">
      <w:pPr>
        <w:spacing w:before="181" w:line="440" w:lineRule="exact"/>
        <w:ind w:left="493"/>
        <w:rPr>
          <w:rFonts w:ascii="宋体" w:hAnsi="宋体" w:eastAsia="宋体" w:cs="宋体"/>
          <w:color w:val="auto"/>
          <w:sz w:val="24"/>
        </w:rPr>
      </w:pPr>
      <w:r>
        <w:rPr>
          <w:rFonts w:ascii="宋体" w:hAnsi="宋体" w:eastAsia="宋体" w:cs="宋体"/>
          <w:color w:val="auto"/>
          <w:spacing w:val="-1"/>
          <w:sz w:val="24"/>
        </w:rPr>
        <w:t>2.货物的运输方式：</w:t>
      </w:r>
      <w:r>
        <w:rPr>
          <w:rFonts w:ascii="宋体" w:hAnsi="宋体" w:eastAsia="宋体" w:cs="宋体"/>
          <w:color w:val="auto"/>
          <w:spacing w:val="-1"/>
          <w:sz w:val="24"/>
          <w:u w:val="single"/>
        </w:rPr>
        <w:t>乙方自定</w:t>
      </w:r>
      <w:r>
        <w:rPr>
          <w:rFonts w:ascii="宋体" w:hAnsi="宋体" w:eastAsia="宋体" w:cs="宋体"/>
          <w:color w:val="auto"/>
          <w:spacing w:val="-1"/>
          <w:sz w:val="24"/>
        </w:rPr>
        <w:t>。</w:t>
      </w:r>
    </w:p>
    <w:p w14:paraId="1AE76A92">
      <w:pPr>
        <w:spacing w:before="300" w:line="440" w:lineRule="exact"/>
        <w:ind w:left="434"/>
        <w:rPr>
          <w:rFonts w:ascii="宋体" w:hAnsi="宋体" w:eastAsia="宋体" w:cs="宋体"/>
          <w:color w:val="auto"/>
          <w:sz w:val="24"/>
        </w:rPr>
      </w:pPr>
      <w:r>
        <w:rPr>
          <w:rFonts w:ascii="宋体" w:hAnsi="宋体" w:eastAsia="宋体" w:cs="宋体"/>
          <w:color w:val="auto"/>
          <w:sz w:val="24"/>
        </w:rPr>
        <w:t>3.乙方负责货物运输，货物运输合理损耗及计算</w:t>
      </w:r>
      <w:r>
        <w:rPr>
          <w:rFonts w:ascii="宋体" w:hAnsi="宋体" w:eastAsia="宋体" w:cs="宋体"/>
          <w:color w:val="auto"/>
          <w:spacing w:val="-1"/>
          <w:sz w:val="24"/>
        </w:rPr>
        <w:t>方法：</w:t>
      </w:r>
      <w:r>
        <w:rPr>
          <w:rFonts w:ascii="宋体" w:hAnsi="宋体" w:eastAsia="宋体" w:cs="宋体"/>
          <w:color w:val="auto"/>
          <w:spacing w:val="-1"/>
          <w:sz w:val="24"/>
          <w:u w:val="single"/>
        </w:rPr>
        <w:t xml:space="preserve"> 本项目合同不接受损耗 </w:t>
      </w:r>
      <w:r>
        <w:rPr>
          <w:rFonts w:ascii="宋体" w:hAnsi="宋体" w:eastAsia="宋体" w:cs="宋体"/>
          <w:color w:val="auto"/>
          <w:spacing w:val="-1"/>
          <w:sz w:val="24"/>
        </w:rPr>
        <w:t>。</w:t>
      </w:r>
    </w:p>
    <w:p w14:paraId="48F252F8">
      <w:pPr>
        <w:spacing w:before="305" w:line="440" w:lineRule="exact"/>
        <w:ind w:left="490"/>
        <w:outlineLvl w:val="0"/>
        <w:rPr>
          <w:rFonts w:ascii="宋体" w:hAnsi="宋体" w:eastAsia="宋体" w:cs="宋体"/>
          <w:color w:val="auto"/>
          <w:sz w:val="24"/>
        </w:rPr>
      </w:pPr>
      <w:bookmarkStart w:id="74" w:name="_Toc17806"/>
      <w:r>
        <w:rPr>
          <w:rFonts w:ascii="宋体" w:hAnsi="宋体" w:eastAsia="宋体" w:cs="宋体"/>
          <w:color w:val="auto"/>
          <w:sz w:val="24"/>
          <w14:textOutline w14:w="4356" w14:cap="sq" w14:cmpd="sng" w14:algn="ctr">
            <w14:solidFill>
              <w14:srgbClr w14:val="000000"/>
            </w14:solidFill>
            <w14:prstDash w14:val="solid"/>
            <w14:bevel/>
          </w14:textOutline>
        </w:rPr>
        <w:t>第五条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交付和验收</w:t>
      </w:r>
      <w:bookmarkEnd w:id="74"/>
    </w:p>
    <w:p w14:paraId="261CF954">
      <w:pPr>
        <w:spacing w:before="1" w:line="440" w:lineRule="exact"/>
        <w:ind w:left="13" w:firstLine="468" w:firstLineChars="200"/>
        <w:rPr>
          <w:rFonts w:ascii="宋体" w:hAnsi="宋体" w:eastAsia="宋体" w:cs="宋体"/>
          <w:color w:val="auto"/>
          <w:sz w:val="24"/>
        </w:rPr>
      </w:pPr>
      <w:r>
        <w:rPr>
          <w:rFonts w:ascii="宋体" w:hAnsi="宋体" w:eastAsia="宋体" w:cs="宋体"/>
          <w:color w:val="auto"/>
          <w:spacing w:val="-3"/>
          <w:sz w:val="24"/>
        </w:rPr>
        <w:t>1.交货时间：</w:t>
      </w:r>
      <w:r>
        <w:rPr>
          <w:rFonts w:hint="eastAsia" w:ascii="宋体" w:hAnsi="宋体" w:eastAsia="宋体" w:cs="宋体"/>
          <w:color w:val="auto"/>
          <w:spacing w:val="-3"/>
          <w:sz w:val="24"/>
        </w:rPr>
        <w:t>签订合同之日起20日历天内交货并安装调试完毕</w:t>
      </w:r>
      <w:r>
        <w:rPr>
          <w:rFonts w:ascii="宋体" w:hAnsi="宋体" w:eastAsia="宋体" w:cs="宋体"/>
          <w:color w:val="auto"/>
          <w:spacing w:val="-3"/>
          <w:sz w:val="24"/>
          <w:u w:val="single" w:color="000000"/>
          <w14:textOutline w14:w="4356" w14:cap="sq" w14:cmpd="sng" w14:algn="ctr">
            <w14:solidFill>
              <w14:srgbClr w14:val="000000"/>
            </w14:solidFill>
            <w14:prstDash w14:val="solid"/>
            <w14:bevel/>
          </w14:textOutline>
        </w:rPr>
        <w:t>；</w:t>
      </w:r>
    </w:p>
    <w:p w14:paraId="110EE72B">
      <w:pPr>
        <w:spacing w:before="184" w:line="440" w:lineRule="exact"/>
        <w:ind w:left="494"/>
        <w:rPr>
          <w:rFonts w:ascii="宋体" w:hAnsi="宋体" w:eastAsia="宋体" w:cs="宋体"/>
          <w:color w:val="auto"/>
          <w:sz w:val="24"/>
        </w:rPr>
      </w:pPr>
      <w:r>
        <w:rPr>
          <w:rFonts w:ascii="宋体" w:hAnsi="宋体" w:eastAsia="宋体" w:cs="宋体"/>
          <w:color w:val="auto"/>
          <w:spacing w:val="-1"/>
          <w:sz w:val="24"/>
        </w:rPr>
        <w:t>交付地点：</w:t>
      </w:r>
      <w:r>
        <w:rPr>
          <w:rFonts w:hint="eastAsia" w:ascii="宋体" w:hAnsi="宋体" w:eastAsia="宋体" w:cs="宋体"/>
          <w:color w:val="auto"/>
          <w:spacing w:val="-1"/>
          <w:sz w:val="24"/>
          <w:u w:val="single" w:color="000000"/>
          <w14:textOutline w14:w="4356" w14:cap="sq" w14:cmpd="sng" w14:algn="ctr">
            <w14:solidFill>
              <w14:srgbClr w14:val="000000"/>
            </w14:solidFill>
            <w14:prstDash w14:val="solid"/>
            <w14:bevel/>
          </w14:textOutline>
        </w:rPr>
        <w:t>巴马瑶族自治县教育局</w:t>
      </w:r>
      <w:r>
        <w:rPr>
          <w:rFonts w:ascii="宋体" w:hAnsi="宋体" w:eastAsia="宋体" w:cs="宋体"/>
          <w:color w:val="auto"/>
          <w:spacing w:val="-1"/>
          <w:sz w:val="24"/>
          <w:u w:val="single" w:color="000000"/>
          <w14:textOutline w14:w="4356" w14:cap="sq" w14:cmpd="sng" w14:algn="ctr">
            <w14:solidFill>
              <w14:srgbClr w14:val="000000"/>
            </w14:solidFill>
            <w14:prstDash w14:val="solid"/>
            <w14:bevel/>
          </w14:textOutline>
        </w:rPr>
        <w:t>指定地点</w:t>
      </w:r>
      <w:r>
        <w:rPr>
          <w:rFonts w:ascii="宋体" w:hAnsi="宋体" w:eastAsia="宋体" w:cs="宋体"/>
          <w:color w:val="auto"/>
          <w:spacing w:val="-1"/>
          <w:sz w:val="24"/>
        </w:rPr>
        <w:t>。</w:t>
      </w:r>
    </w:p>
    <w:p w14:paraId="38D881C1">
      <w:pPr>
        <w:spacing w:before="180" w:line="440" w:lineRule="exact"/>
        <w:ind w:left="493"/>
        <w:rPr>
          <w:rFonts w:ascii="宋体" w:hAnsi="宋体" w:eastAsia="宋体" w:cs="宋体"/>
          <w:color w:val="auto"/>
          <w:sz w:val="24"/>
        </w:rPr>
      </w:pPr>
      <w:r>
        <w:rPr>
          <w:rFonts w:ascii="宋体" w:hAnsi="宋体" w:eastAsia="宋体" w:cs="宋体"/>
          <w:color w:val="auto"/>
          <w:sz w:val="24"/>
        </w:rPr>
        <w:t>2.乙方提供不符合招标文件（采购文件）和本合同规定的货物，甲方有权拒绝接受。</w:t>
      </w:r>
      <w:r>
        <w:rPr>
          <w:rFonts w:hint="eastAsia" w:ascii="宋体" w:hAnsi="宋体" w:eastAsia="宋体" w:cs="宋体"/>
          <w:color w:val="auto"/>
          <w:sz w:val="24"/>
        </w:rPr>
        <w:t>验收时应按照</w:t>
      </w:r>
      <w:r>
        <w:rPr>
          <w:rFonts w:ascii="宋体" w:hAnsi="宋体" w:eastAsia="宋体" w:cs="宋体"/>
          <w:color w:val="auto"/>
          <w:sz w:val="24"/>
        </w:rPr>
        <w:t>招标文件（采购文件）</w:t>
      </w:r>
      <w:r>
        <w:rPr>
          <w:rFonts w:hint="eastAsia" w:ascii="宋体" w:hAnsi="宋体" w:eastAsia="宋体" w:cs="宋体"/>
          <w:color w:val="auto"/>
          <w:sz w:val="24"/>
        </w:rPr>
        <w:t>、乙方投标文件、承诺书等内容及本合同规定要求进行，且需甲乙双方现场确认。</w:t>
      </w:r>
    </w:p>
    <w:p w14:paraId="4EA5D694">
      <w:pPr>
        <w:spacing w:before="184" w:line="440" w:lineRule="exact"/>
        <w:ind w:left="11" w:right="80" w:firstLine="483"/>
        <w:rPr>
          <w:rFonts w:ascii="宋体" w:hAnsi="宋体" w:eastAsia="宋体" w:cs="宋体"/>
          <w:color w:val="auto"/>
          <w:sz w:val="24"/>
        </w:rPr>
      </w:pPr>
      <w:r>
        <w:rPr>
          <w:rFonts w:ascii="宋体" w:hAnsi="宋体" w:eastAsia="宋体" w:cs="宋体"/>
          <w:color w:val="auto"/>
          <w:spacing w:val="1"/>
          <w:sz w:val="24"/>
        </w:rPr>
        <w:t>3.乙方应将所提供货物的装箱清单、用户手册、合</w:t>
      </w:r>
      <w:r>
        <w:rPr>
          <w:rFonts w:ascii="宋体" w:hAnsi="宋体" w:eastAsia="宋体" w:cs="宋体"/>
          <w:color w:val="auto"/>
          <w:sz w:val="24"/>
        </w:rPr>
        <w:t xml:space="preserve">格证、原厂保修卡、随机资料、工具 </w:t>
      </w:r>
      <w:r>
        <w:rPr>
          <w:rFonts w:ascii="宋体" w:hAnsi="宋体" w:eastAsia="宋体" w:cs="宋体"/>
          <w:color w:val="auto"/>
          <w:spacing w:val="1"/>
          <w:sz w:val="24"/>
        </w:rPr>
        <w:t>和备品、备件、使用说明书、质量检验证明书及验收清单等</w:t>
      </w:r>
      <w:r>
        <w:rPr>
          <w:rFonts w:ascii="宋体" w:hAnsi="宋体" w:eastAsia="宋体" w:cs="宋体"/>
          <w:color w:val="auto"/>
          <w:sz w:val="24"/>
        </w:rPr>
        <w:t>交付给甲方，如有缺失应及时补</w:t>
      </w:r>
    </w:p>
    <w:p w14:paraId="27BEA463">
      <w:pPr>
        <w:spacing w:before="1" w:line="440" w:lineRule="exact"/>
        <w:ind w:left="10"/>
        <w:rPr>
          <w:rFonts w:ascii="宋体" w:hAnsi="宋体" w:eastAsia="宋体" w:cs="宋体"/>
          <w:color w:val="auto"/>
          <w:sz w:val="24"/>
        </w:rPr>
      </w:pPr>
      <w:r>
        <w:rPr>
          <w:rFonts w:ascii="宋体" w:hAnsi="宋体" w:eastAsia="宋体" w:cs="宋体"/>
          <w:color w:val="auto"/>
          <w:spacing w:val="-1"/>
          <w:sz w:val="24"/>
        </w:rPr>
        <w:t>齐，否则视为逾期交货。</w:t>
      </w:r>
    </w:p>
    <w:p w14:paraId="7FA719BC">
      <w:pPr>
        <w:spacing w:before="181" w:line="440" w:lineRule="exact"/>
        <w:ind w:left="489"/>
        <w:rPr>
          <w:rFonts w:ascii="宋体" w:hAnsi="宋体" w:eastAsia="宋体" w:cs="宋体"/>
          <w:color w:val="auto"/>
          <w:sz w:val="24"/>
        </w:rPr>
      </w:pPr>
      <w:r>
        <w:rPr>
          <w:rFonts w:ascii="宋体" w:hAnsi="宋体" w:eastAsia="宋体" w:cs="宋体"/>
          <w:color w:val="auto"/>
          <w:spacing w:val="1"/>
          <w:position w:val="17"/>
          <w:sz w:val="24"/>
        </w:rPr>
        <w:t>4.甲方应当在到货（安装、调试完）后七个工作日内进行货物</w:t>
      </w:r>
      <w:r>
        <w:rPr>
          <w:rFonts w:ascii="宋体" w:hAnsi="宋体" w:eastAsia="宋体" w:cs="宋体"/>
          <w:color w:val="auto"/>
          <w:position w:val="17"/>
          <w:sz w:val="24"/>
        </w:rPr>
        <w:t>验收，无理由逾期不验收</w:t>
      </w:r>
    </w:p>
    <w:p w14:paraId="6197D834">
      <w:pPr>
        <w:spacing w:before="1" w:line="440" w:lineRule="exact"/>
        <w:ind w:left="29"/>
        <w:rPr>
          <w:rFonts w:ascii="宋体" w:hAnsi="宋体" w:eastAsia="宋体" w:cs="宋体"/>
          <w:color w:val="auto"/>
          <w:sz w:val="24"/>
        </w:rPr>
      </w:pPr>
      <w:r>
        <w:rPr>
          <w:rFonts w:ascii="宋体" w:hAnsi="宋体" w:eastAsia="宋体" w:cs="宋体"/>
          <w:color w:val="auto"/>
          <w:spacing w:val="-3"/>
          <w:sz w:val="24"/>
        </w:rPr>
        <w:t>的，乙方可视同验收合格。</w:t>
      </w:r>
    </w:p>
    <w:p w14:paraId="6125C35D">
      <w:pPr>
        <w:spacing w:before="180" w:line="440" w:lineRule="exact"/>
        <w:ind w:left="494"/>
        <w:rPr>
          <w:rFonts w:ascii="宋体" w:hAnsi="宋体" w:eastAsia="宋体" w:cs="宋体"/>
          <w:color w:val="auto"/>
          <w:sz w:val="24"/>
        </w:rPr>
      </w:pPr>
      <w:r>
        <w:rPr>
          <w:rFonts w:ascii="宋体" w:hAnsi="宋体" w:eastAsia="宋体" w:cs="宋体"/>
          <w:color w:val="auto"/>
          <w:spacing w:val="1"/>
          <w:position w:val="17"/>
          <w:sz w:val="24"/>
        </w:rPr>
        <w:t>5.甲方对验收有异议的，在验收后十个工作日内以</w:t>
      </w:r>
      <w:r>
        <w:rPr>
          <w:rFonts w:ascii="宋体" w:hAnsi="宋体" w:eastAsia="宋体" w:cs="宋体"/>
          <w:color w:val="auto"/>
          <w:position w:val="17"/>
          <w:sz w:val="24"/>
        </w:rPr>
        <w:t>书面形式向乙方提出，乙方应自收到</w:t>
      </w:r>
    </w:p>
    <w:p w14:paraId="634E8075">
      <w:pPr>
        <w:spacing w:before="1" w:line="440" w:lineRule="exact"/>
        <w:ind w:left="41"/>
        <w:rPr>
          <w:rFonts w:ascii="宋体" w:hAnsi="宋体" w:eastAsia="宋体" w:cs="宋体"/>
          <w:color w:val="auto"/>
          <w:sz w:val="24"/>
        </w:rPr>
      </w:pPr>
      <w:r>
        <w:rPr>
          <w:rFonts w:ascii="宋体" w:hAnsi="宋体" w:eastAsia="宋体" w:cs="宋体"/>
          <w:color w:val="auto"/>
          <w:spacing w:val="-6"/>
          <w:sz w:val="24"/>
        </w:rPr>
        <w:t>甲方书面异议后</w:t>
      </w:r>
      <w:r>
        <w:rPr>
          <w:rFonts w:ascii="宋体" w:hAnsi="宋体" w:eastAsia="宋体" w:cs="宋体"/>
          <w:color w:val="auto"/>
          <w:spacing w:val="29"/>
          <w:sz w:val="24"/>
          <w:u w:val="single"/>
        </w:rPr>
        <w:t xml:space="preserve"> </w:t>
      </w:r>
      <w:r>
        <w:rPr>
          <w:rFonts w:ascii="宋体" w:hAnsi="宋体" w:eastAsia="宋体" w:cs="宋体"/>
          <w:color w:val="auto"/>
          <w:spacing w:val="-6"/>
          <w:sz w:val="24"/>
          <w:u w:val="single"/>
        </w:rPr>
        <w:t>10</w:t>
      </w:r>
      <w:r>
        <w:rPr>
          <w:rFonts w:ascii="宋体" w:hAnsi="宋体" w:eastAsia="宋体" w:cs="宋体"/>
          <w:color w:val="auto"/>
          <w:spacing w:val="-50"/>
          <w:sz w:val="24"/>
          <w:u w:val="single"/>
        </w:rPr>
        <w:t xml:space="preserve"> </w:t>
      </w:r>
      <w:r>
        <w:rPr>
          <w:rFonts w:ascii="宋体" w:hAnsi="宋体" w:eastAsia="宋体" w:cs="宋体"/>
          <w:color w:val="auto"/>
          <w:spacing w:val="-6"/>
          <w:sz w:val="24"/>
          <w:u w:val="single"/>
        </w:rPr>
        <w:t xml:space="preserve">个工作 </w:t>
      </w:r>
      <w:r>
        <w:rPr>
          <w:rFonts w:ascii="宋体" w:hAnsi="宋体" w:eastAsia="宋体" w:cs="宋体"/>
          <w:color w:val="auto"/>
          <w:spacing w:val="-69"/>
          <w:sz w:val="24"/>
        </w:rPr>
        <w:t xml:space="preserve"> </w:t>
      </w:r>
      <w:r>
        <w:rPr>
          <w:rFonts w:ascii="宋体" w:hAnsi="宋体" w:eastAsia="宋体" w:cs="宋体"/>
          <w:color w:val="auto"/>
          <w:spacing w:val="-6"/>
          <w:sz w:val="24"/>
        </w:rPr>
        <w:t>日内及时予以解决。</w:t>
      </w:r>
    </w:p>
    <w:p w14:paraId="5E096922">
      <w:pPr>
        <w:spacing w:before="182" w:line="440" w:lineRule="exact"/>
        <w:ind w:left="490"/>
        <w:outlineLvl w:val="0"/>
        <w:rPr>
          <w:rFonts w:ascii="宋体" w:hAnsi="宋体" w:eastAsia="宋体" w:cs="宋体"/>
          <w:color w:val="auto"/>
          <w:sz w:val="24"/>
        </w:rPr>
      </w:pPr>
      <w:bookmarkStart w:id="75" w:name="_Toc25247"/>
      <w:r>
        <w:rPr>
          <w:rFonts w:ascii="宋体" w:hAnsi="宋体" w:eastAsia="宋体" w:cs="宋体"/>
          <w:color w:val="auto"/>
          <w:sz w:val="24"/>
          <w14:textOutline w14:w="4356" w14:cap="sq" w14:cmpd="sng" w14:algn="ctr">
            <w14:solidFill>
              <w14:srgbClr w14:val="000000"/>
            </w14:solidFill>
            <w14:prstDash w14:val="solid"/>
            <w14:bevel/>
          </w14:textOutline>
        </w:rPr>
        <w:t>第六条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安装和培训</w:t>
      </w:r>
      <w:bookmarkEnd w:id="75"/>
    </w:p>
    <w:p w14:paraId="6CD2E1CB">
      <w:pPr>
        <w:spacing w:before="182" w:line="440" w:lineRule="exact"/>
        <w:ind w:left="507"/>
        <w:rPr>
          <w:rFonts w:ascii="宋体" w:hAnsi="宋体" w:eastAsia="宋体" w:cs="宋体"/>
          <w:color w:val="auto"/>
          <w:sz w:val="24"/>
        </w:rPr>
      </w:pPr>
      <w:r>
        <w:rPr>
          <w:rFonts w:ascii="宋体" w:hAnsi="宋体" w:eastAsia="宋体" w:cs="宋体"/>
          <w:color w:val="auto"/>
          <w:spacing w:val="-1"/>
          <w:sz w:val="24"/>
        </w:rPr>
        <w:t>1.甲方应提供必要安装条件（如场地、电源、水源</w:t>
      </w:r>
      <w:r>
        <w:rPr>
          <w:rFonts w:ascii="宋体" w:hAnsi="宋体" w:eastAsia="宋体" w:cs="宋体"/>
          <w:color w:val="auto"/>
          <w:spacing w:val="-2"/>
          <w:sz w:val="24"/>
        </w:rPr>
        <w:t>等）。</w:t>
      </w:r>
    </w:p>
    <w:p w14:paraId="525D5EED">
      <w:pPr>
        <w:spacing w:before="185" w:line="440" w:lineRule="exact"/>
        <w:ind w:left="493"/>
        <w:rPr>
          <w:rFonts w:ascii="宋体" w:hAnsi="宋体" w:eastAsia="宋体" w:cs="宋体"/>
          <w:color w:val="auto"/>
          <w:sz w:val="24"/>
        </w:rPr>
      </w:pPr>
      <w:r>
        <w:rPr>
          <w:rFonts w:ascii="宋体" w:hAnsi="宋体" w:eastAsia="宋体" w:cs="宋体"/>
          <w:color w:val="auto"/>
          <w:spacing w:val="1"/>
          <w:sz w:val="24"/>
        </w:rPr>
        <w:t>2.乙方负责甲方有关人员的培训。培训时</w:t>
      </w:r>
      <w:r>
        <w:rPr>
          <w:rFonts w:ascii="宋体" w:hAnsi="宋体" w:eastAsia="宋体" w:cs="宋体"/>
          <w:color w:val="auto"/>
          <w:sz w:val="24"/>
        </w:rPr>
        <w:t>间、地点：</w:t>
      </w:r>
      <w:r>
        <w:rPr>
          <w:rFonts w:ascii="宋体" w:hAnsi="宋体" w:eastAsia="宋体" w:cs="宋体"/>
          <w:color w:val="auto"/>
          <w:sz w:val="24"/>
          <w:u w:val="single"/>
        </w:rPr>
        <w:t>由甲方决定。</w:t>
      </w:r>
    </w:p>
    <w:p w14:paraId="619A529F">
      <w:pPr>
        <w:spacing w:before="180" w:line="440" w:lineRule="exact"/>
        <w:ind w:left="490"/>
        <w:outlineLvl w:val="0"/>
        <w:rPr>
          <w:rFonts w:ascii="宋体" w:hAnsi="宋体" w:eastAsia="宋体" w:cs="宋体"/>
          <w:color w:val="auto"/>
          <w:sz w:val="24"/>
        </w:rPr>
      </w:pPr>
      <w:bookmarkStart w:id="76" w:name="_Toc601"/>
      <w:r>
        <w:rPr>
          <w:rFonts w:ascii="宋体" w:hAnsi="宋体" w:eastAsia="宋体" w:cs="宋体"/>
          <w:color w:val="auto"/>
          <w:sz w:val="24"/>
          <w14:textOutline w14:w="4356" w14:cap="sq" w14:cmpd="sng" w14:algn="ctr">
            <w14:solidFill>
              <w14:srgbClr w14:val="000000"/>
            </w14:solidFill>
            <w14:prstDash w14:val="solid"/>
            <w14:bevel/>
          </w14:textOutline>
        </w:rPr>
        <w:t>第七条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售后服务、质保期</w:t>
      </w:r>
      <w:bookmarkEnd w:id="76"/>
    </w:p>
    <w:p w14:paraId="4A3442B5">
      <w:pPr>
        <w:spacing w:before="181" w:line="440" w:lineRule="exact"/>
        <w:ind w:left="507"/>
        <w:rPr>
          <w:rFonts w:ascii="宋体" w:hAnsi="宋体" w:eastAsia="宋体" w:cs="宋体"/>
          <w:color w:val="auto"/>
          <w:sz w:val="24"/>
        </w:rPr>
      </w:pPr>
      <w:r>
        <w:rPr>
          <w:rFonts w:ascii="宋体" w:hAnsi="宋体" w:eastAsia="宋体" w:cs="宋体"/>
          <w:color w:val="auto"/>
          <w:spacing w:val="-1"/>
          <w:position w:val="17"/>
          <w:sz w:val="24"/>
        </w:rPr>
        <w:t>1.乙方应按照国家有关法律法规和“三包</w:t>
      </w:r>
      <w:r>
        <w:rPr>
          <w:rFonts w:ascii="宋体" w:hAnsi="宋体" w:eastAsia="宋体" w:cs="宋体"/>
          <w:color w:val="auto"/>
          <w:spacing w:val="-71"/>
          <w:position w:val="17"/>
          <w:sz w:val="24"/>
        </w:rPr>
        <w:t xml:space="preserve"> </w:t>
      </w:r>
      <w:r>
        <w:rPr>
          <w:rFonts w:ascii="宋体" w:hAnsi="宋体" w:eastAsia="宋体" w:cs="宋体"/>
          <w:color w:val="auto"/>
          <w:spacing w:val="-1"/>
          <w:position w:val="17"/>
          <w:sz w:val="24"/>
        </w:rPr>
        <w:t>”规定以及招标文件（采购文件）和本合同所</w:t>
      </w:r>
    </w:p>
    <w:p w14:paraId="6D4A5781">
      <w:pPr>
        <w:spacing w:before="1" w:line="440" w:lineRule="exact"/>
        <w:ind w:left="28"/>
        <w:rPr>
          <w:rFonts w:ascii="宋体" w:hAnsi="宋体" w:eastAsia="宋体" w:cs="宋体"/>
          <w:color w:val="auto"/>
          <w:sz w:val="24"/>
        </w:rPr>
      </w:pPr>
      <w:r>
        <w:rPr>
          <w:rFonts w:ascii="宋体" w:hAnsi="宋体" w:eastAsia="宋体" w:cs="宋体"/>
          <w:color w:val="auto"/>
          <w:spacing w:val="-2"/>
          <w:sz w:val="24"/>
        </w:rPr>
        <w:t>附的《售后服务承诺书》为甲方提供售后服务。</w:t>
      </w:r>
    </w:p>
    <w:p w14:paraId="19172EAB">
      <w:pPr>
        <w:spacing w:before="183" w:line="440" w:lineRule="exact"/>
        <w:ind w:left="493"/>
        <w:rPr>
          <w:rFonts w:ascii="宋体" w:hAnsi="宋体" w:eastAsia="宋体" w:cs="宋体"/>
          <w:color w:val="auto"/>
          <w:sz w:val="24"/>
        </w:rPr>
      </w:pPr>
      <w:r>
        <w:rPr>
          <w:rFonts w:ascii="宋体" w:hAnsi="宋体" w:eastAsia="宋体" w:cs="宋体"/>
          <w:color w:val="auto"/>
          <w:sz w:val="24"/>
        </w:rPr>
        <w:t>2.货物质保期</w:t>
      </w:r>
      <w:r>
        <w:rPr>
          <w:rFonts w:ascii="宋体" w:hAnsi="宋体" w:eastAsia="宋体" w:cs="宋体"/>
          <w:color w:val="auto"/>
          <w:spacing w:val="-45"/>
          <w:sz w:val="24"/>
        </w:rPr>
        <w:t>：</w:t>
      </w:r>
      <w:r>
        <w:rPr>
          <w:rFonts w:hint="eastAsia" w:ascii="宋体" w:hAnsi="宋体" w:eastAsia="宋体" w:cs="宋体"/>
          <w:color w:val="auto"/>
          <w:spacing w:val="-1"/>
          <w:sz w:val="24"/>
          <w:u w:val="single" w:color="000000"/>
          <w14:textOutline w14:w="4356" w14:cap="sq" w14:cmpd="sng" w14:algn="ctr">
            <w14:solidFill>
              <w14:srgbClr w14:val="000000"/>
            </w14:solidFill>
            <w14:prstDash w14:val="solid"/>
            <w14:bevel/>
          </w14:textOutline>
        </w:rPr>
        <w:t>（1）</w:t>
      </w:r>
      <w:r>
        <w:rPr>
          <w:rFonts w:ascii="宋体" w:hAnsi="宋体" w:eastAsia="宋体" w:cs="宋体"/>
          <w:color w:val="auto"/>
          <w:spacing w:val="-1"/>
          <w:sz w:val="24"/>
          <w:u w:val="single" w:color="000000"/>
          <w14:textOutline w14:w="4356" w14:cap="sq" w14:cmpd="sng" w14:algn="ctr">
            <w14:solidFill>
              <w14:srgbClr w14:val="000000"/>
            </w14:solidFill>
            <w14:prstDash w14:val="solid"/>
            <w14:bevel/>
          </w14:textOutline>
        </w:rPr>
        <w:t>自货物验收合格之日</w:t>
      </w:r>
      <w:r>
        <w:rPr>
          <w:rFonts w:ascii="宋体" w:hAnsi="宋体" w:eastAsia="宋体" w:cs="宋体"/>
          <w:color w:val="auto"/>
          <w:sz w:val="24"/>
          <w:u w:val="single" w:color="000000"/>
          <w14:textOutline w14:w="4356" w14:cap="sq" w14:cmpd="sng" w14:algn="ctr">
            <w14:solidFill>
              <w14:srgbClr w14:val="000000"/>
            </w14:solidFill>
            <w14:prstDash w14:val="solid"/>
            <w14:bevel/>
          </w14:textOutline>
        </w:rPr>
        <w:t>起质保期</w:t>
      </w:r>
      <w:r>
        <w:rPr>
          <w:rFonts w:hint="eastAsia" w:ascii="宋体" w:hAnsi="宋体" w:eastAsia="宋体" w:cs="宋体"/>
          <w:color w:val="auto"/>
          <w:sz w:val="24"/>
          <w:u w:val="single" w:color="000000"/>
          <w14:textOutline w14:w="4356" w14:cap="sq" w14:cmpd="sng" w14:algn="ctr">
            <w14:solidFill>
              <w14:srgbClr w14:val="000000"/>
            </w14:solidFill>
            <w14:prstDash w14:val="solid"/>
            <w14:bevel/>
          </w14:textOutline>
        </w:rPr>
        <w:t xml:space="preserve">  </w:t>
      </w:r>
      <w:r>
        <w:rPr>
          <w:rFonts w:ascii="宋体" w:hAnsi="宋体" w:eastAsia="宋体" w:cs="宋体"/>
          <w:color w:val="auto"/>
          <w:sz w:val="24"/>
          <w:u w:val="single"/>
        </w:rPr>
        <w:t xml:space="preserve"> </w:t>
      </w:r>
      <w:r>
        <w:rPr>
          <w:rFonts w:ascii="宋体" w:hAnsi="宋体" w:eastAsia="宋体" w:cs="宋体"/>
          <w:color w:val="auto"/>
          <w:sz w:val="24"/>
          <w:u w:val="single" w:color="000000"/>
          <w14:textOutline w14:w="4356" w14:cap="sq" w14:cmpd="sng" w14:algn="ctr">
            <w14:solidFill>
              <w14:srgbClr w14:val="000000"/>
            </w14:solidFill>
            <w14:prstDash w14:val="solid"/>
            <w14:bevel/>
          </w14:textOutline>
        </w:rPr>
        <w:t>年，合同履行</w:t>
      </w:r>
      <w:r>
        <w:rPr>
          <w:rFonts w:ascii="宋体" w:hAnsi="宋体" w:eastAsia="宋体" w:cs="宋体"/>
          <w:color w:val="auto"/>
          <w:spacing w:val="-1"/>
          <w:sz w:val="24"/>
          <w:u w:val="single" w:color="000000"/>
          <w14:textOutline w14:w="4356" w14:cap="sq" w14:cmpd="sng" w14:algn="ctr">
            <w14:solidFill>
              <w14:srgbClr w14:val="000000"/>
            </w14:solidFill>
            <w14:prstDash w14:val="solid"/>
            <w14:bevel/>
          </w14:textOutline>
        </w:rPr>
        <w:t>过程中按厂家规定</w:t>
      </w:r>
    </w:p>
    <w:p w14:paraId="194701BB">
      <w:pPr>
        <w:spacing w:before="79" w:line="440" w:lineRule="exact"/>
        <w:rPr>
          <w:rFonts w:ascii="宋体" w:hAnsi="宋体" w:eastAsia="宋体" w:cs="宋体"/>
          <w:color w:val="auto"/>
          <w:spacing w:val="1"/>
          <w:sz w:val="24"/>
          <w:u w:val="single" w:color="000000"/>
          <w14:textOutline w14:w="4356" w14:cap="sq" w14:cmpd="sng" w14:algn="ctr">
            <w14:solidFill>
              <w14:srgbClr w14:val="000000"/>
            </w14:solidFill>
            <w14:prstDash w14:val="solid"/>
            <w14:bevel/>
          </w14:textOutline>
        </w:rPr>
      </w:pPr>
      <w:r>
        <w:rPr>
          <w:rFonts w:ascii="宋体" w:hAnsi="宋体" w:eastAsia="宋体" w:cs="宋体"/>
          <w:color w:val="auto"/>
          <w:spacing w:val="-3"/>
          <w:sz w:val="24"/>
          <w14:textOutline w14:w="4356" w14:cap="sq" w14:cmpd="sng" w14:algn="ctr">
            <w14:solidFill>
              <w14:srgbClr w14:val="000000"/>
            </w14:solidFill>
            <w14:prstDash w14:val="solid"/>
            <w14:bevel/>
          </w14:textOutline>
        </w:rPr>
        <w:t>执行。质保期满后，终身维护。（2）若在使用的前</w:t>
      </w:r>
      <w:r>
        <w:rPr>
          <w:rFonts w:ascii="宋体" w:hAnsi="宋体" w:eastAsia="宋体" w:cs="宋体"/>
          <w:color w:val="auto"/>
          <w:spacing w:val="-39"/>
          <w:sz w:val="24"/>
        </w:rPr>
        <w:t xml:space="preserve"> </w:t>
      </w:r>
      <w:r>
        <w:rPr>
          <w:rFonts w:ascii="宋体" w:hAnsi="宋体" w:eastAsia="宋体" w:cs="宋体"/>
          <w:color w:val="auto"/>
          <w:spacing w:val="-3"/>
          <w:sz w:val="24"/>
          <w14:textOutline w14:w="4356" w14:cap="sq" w14:cmpd="sng" w14:algn="ctr">
            <w14:solidFill>
              <w14:srgbClr w14:val="000000"/>
            </w14:solidFill>
            <w14:prstDash w14:val="solid"/>
            <w14:bevel/>
          </w14:textOutline>
        </w:rPr>
        <w:t>3</w:t>
      </w:r>
      <w:r>
        <w:rPr>
          <w:rFonts w:ascii="宋体" w:hAnsi="宋体" w:eastAsia="宋体" w:cs="宋体"/>
          <w:color w:val="auto"/>
          <w:spacing w:val="-51"/>
          <w:sz w:val="24"/>
        </w:rPr>
        <w:t xml:space="preserve"> </w:t>
      </w:r>
      <w:r>
        <w:rPr>
          <w:rFonts w:ascii="宋体" w:hAnsi="宋体" w:eastAsia="宋体" w:cs="宋体"/>
          <w:color w:val="auto"/>
          <w:spacing w:val="-3"/>
          <w:sz w:val="24"/>
          <w14:textOutline w14:w="4356" w14:cap="sq" w14:cmpd="sng" w14:algn="ctr">
            <w14:solidFill>
              <w14:srgbClr w14:val="000000"/>
            </w14:solidFill>
            <w14:prstDash w14:val="solid"/>
            <w14:bevel/>
          </w14:textOutline>
        </w:rPr>
        <w:t>个月内，出现非人为操作失误的重大故</w:t>
      </w:r>
      <w:r>
        <w:rPr>
          <w:rFonts w:ascii="宋体" w:hAnsi="宋体" w:eastAsia="宋体" w:cs="宋体"/>
          <w:color w:val="auto"/>
          <w:spacing w:val="-6"/>
          <w:sz w:val="24"/>
          <w:u w:val="single" w:color="000000"/>
          <w14:textOutline w14:w="4356" w14:cap="sq" w14:cmpd="sng" w14:algn="ctr">
            <w14:solidFill>
              <w14:srgbClr w14:val="000000"/>
            </w14:solidFill>
            <w14:prstDash w14:val="solid"/>
            <w14:bevel/>
          </w14:textOutline>
        </w:rPr>
        <w:t>障，应予以免费换货。（3）质保期内每年提供</w:t>
      </w:r>
      <w:r>
        <w:rPr>
          <w:rFonts w:ascii="宋体" w:hAnsi="宋体" w:eastAsia="宋体" w:cs="宋体"/>
          <w:color w:val="auto"/>
          <w:spacing w:val="-6"/>
          <w:sz w:val="24"/>
          <w:u w:val="single"/>
        </w:rPr>
        <w:t xml:space="preserve"> </w:t>
      </w:r>
      <w:r>
        <w:rPr>
          <w:rFonts w:hint="eastAsia" w:ascii="宋体" w:hAnsi="宋体" w:eastAsia="宋体" w:cs="宋体"/>
          <w:color w:val="auto"/>
          <w:spacing w:val="-6"/>
          <w:sz w:val="24"/>
          <w:u w:val="single" w:color="000000"/>
          <w14:textOutline w14:w="4356" w14:cap="sq" w14:cmpd="sng" w14:algn="ctr">
            <w14:solidFill>
              <w14:srgbClr w14:val="000000"/>
            </w14:solidFill>
            <w14:prstDash w14:val="solid"/>
            <w14:bevel/>
          </w14:textOutline>
        </w:rPr>
        <w:t xml:space="preserve">2 </w:t>
      </w:r>
      <w:r>
        <w:rPr>
          <w:rFonts w:ascii="宋体" w:hAnsi="宋体" w:eastAsia="宋体" w:cs="宋体"/>
          <w:color w:val="auto"/>
          <w:spacing w:val="-6"/>
          <w:sz w:val="24"/>
          <w:u w:val="single" w:color="000000"/>
          <w14:textOutline w14:w="4356" w14:cap="sq" w14:cmpd="sng" w14:algn="ctr">
            <w14:solidFill>
              <w14:srgbClr w14:val="000000"/>
            </w14:solidFill>
            <w14:prstDash w14:val="solid"/>
            <w14:bevel/>
          </w14:textOutline>
        </w:rPr>
        <w:t>次设备检查保养</w:t>
      </w:r>
      <w:r>
        <w:rPr>
          <w:rFonts w:ascii="宋体" w:hAnsi="宋体" w:eastAsia="宋体" w:cs="宋体"/>
          <w:color w:val="auto"/>
          <w:spacing w:val="-7"/>
          <w:sz w:val="24"/>
          <w:u w:val="single" w:color="000000"/>
          <w14:textOutline w14:w="4356" w14:cap="sq" w14:cmpd="sng" w14:algn="ctr">
            <w14:solidFill>
              <w14:srgbClr w14:val="000000"/>
            </w14:solidFill>
            <w14:prstDash w14:val="solid"/>
            <w14:bevel/>
          </w14:textOutline>
        </w:rPr>
        <w:t>服务(使用专业检测设备)，</w:t>
      </w:r>
      <w:r>
        <w:rPr>
          <w:rFonts w:ascii="宋体" w:hAnsi="宋体" w:eastAsia="宋体" w:cs="宋体"/>
          <w:color w:val="auto"/>
          <w:spacing w:val="2"/>
          <w:sz w:val="24"/>
          <w:u w:val="single" w:color="000000"/>
          <w14:textOutline w14:w="4356" w14:cap="sq" w14:cmpd="sng" w14:algn="ctr">
            <w14:solidFill>
              <w14:srgbClr w14:val="000000"/>
            </w14:solidFill>
            <w14:prstDash w14:val="solid"/>
            <w14:bevel/>
          </w14:textOutline>
        </w:rPr>
        <w:t>保养及维修均需提供双方签字确认的保养服</w:t>
      </w:r>
      <w:r>
        <w:rPr>
          <w:rFonts w:ascii="宋体" w:hAnsi="宋体" w:eastAsia="宋体" w:cs="宋体"/>
          <w:color w:val="auto"/>
          <w:spacing w:val="1"/>
          <w:sz w:val="24"/>
          <w:u w:val="single" w:color="000000"/>
          <w14:textOutline w14:w="4356" w14:cap="sq" w14:cmpd="sng" w14:algn="ctr">
            <w14:solidFill>
              <w14:srgbClr w14:val="000000"/>
            </w14:solidFill>
            <w14:prstDash w14:val="solid"/>
            <w14:bevel/>
          </w14:textOutline>
        </w:rPr>
        <w:t>务工单或维修工单。</w:t>
      </w:r>
    </w:p>
    <w:p w14:paraId="4C696DD8">
      <w:pPr>
        <w:spacing w:before="184" w:line="440" w:lineRule="exact"/>
        <w:ind w:left="11" w:right="80" w:firstLine="483"/>
        <w:rPr>
          <w:rFonts w:ascii="宋体" w:hAnsi="宋体" w:eastAsia="宋体" w:cs="宋体"/>
          <w:color w:val="auto"/>
          <w:spacing w:val="1"/>
          <w:sz w:val="24"/>
        </w:rPr>
      </w:pPr>
      <w:r>
        <w:rPr>
          <w:rFonts w:ascii="宋体" w:hAnsi="宋体" w:eastAsia="宋体" w:cs="宋体"/>
          <w:color w:val="auto"/>
          <w:spacing w:val="1"/>
          <w:sz w:val="24"/>
        </w:rPr>
        <w:t>3.乙方提供的服务承诺和售后服务及保修期责任等其它具体约定事项。（见合同附件）</w:t>
      </w:r>
    </w:p>
    <w:p w14:paraId="5075392B">
      <w:pPr>
        <w:spacing w:before="184" w:line="440" w:lineRule="exact"/>
        <w:ind w:left="11" w:right="80" w:firstLine="483"/>
        <w:rPr>
          <w:rFonts w:ascii="宋体" w:hAnsi="宋体" w:eastAsia="宋体" w:cs="宋体"/>
          <w:color w:val="auto"/>
          <w:spacing w:val="1"/>
          <w:sz w:val="24"/>
        </w:rPr>
      </w:pPr>
      <w:r>
        <w:rPr>
          <w:rFonts w:ascii="宋体" w:hAnsi="宋体" w:eastAsia="宋体" w:cs="宋体"/>
          <w:color w:val="auto"/>
          <w:spacing w:val="1"/>
          <w:sz w:val="24"/>
        </w:rPr>
        <w:t>4.在合同约定的质保期内，如果乙方所提供的设备出现故障，乙方必须派设备原厂工程 师到现场维护，甲方有权审查乙方派遣人员的资质。非人为因素下，维修费用由乙方承担。 若乙方不按售后服务承诺履行，甲方有权扣除质保金。若质保金已付清，甲方有权向法院起</w:t>
      </w:r>
    </w:p>
    <w:p w14:paraId="556809E5">
      <w:pPr>
        <w:spacing w:before="184" w:line="440" w:lineRule="exact"/>
        <w:ind w:right="80"/>
        <w:rPr>
          <w:rFonts w:ascii="宋体" w:hAnsi="宋体" w:eastAsia="宋体" w:cs="宋体"/>
          <w:color w:val="auto"/>
          <w:spacing w:val="1"/>
          <w:sz w:val="24"/>
        </w:rPr>
      </w:pPr>
      <w:r>
        <w:rPr>
          <w:rFonts w:ascii="宋体" w:hAnsi="宋体" w:eastAsia="宋体" w:cs="宋体"/>
          <w:color w:val="auto"/>
          <w:spacing w:val="1"/>
          <w:sz w:val="24"/>
        </w:rPr>
        <w:t>诉要求乙方赔偿相应损失。</w:t>
      </w:r>
    </w:p>
    <w:p w14:paraId="3CD67C65">
      <w:pPr>
        <w:spacing w:before="183" w:line="440" w:lineRule="exact"/>
        <w:ind w:left="488"/>
        <w:outlineLvl w:val="0"/>
        <w:rPr>
          <w:rFonts w:ascii="宋体" w:hAnsi="宋体" w:eastAsia="宋体" w:cs="宋体"/>
          <w:color w:val="auto"/>
          <w:sz w:val="24"/>
        </w:rPr>
      </w:pPr>
      <w:bookmarkStart w:id="77" w:name="_Toc21590"/>
      <w:r>
        <w:rPr>
          <w:rFonts w:ascii="宋体" w:hAnsi="宋体" w:eastAsia="宋体" w:cs="宋体"/>
          <w:color w:val="auto"/>
          <w:spacing w:val="-1"/>
          <w:sz w:val="24"/>
          <w14:textOutline w14:w="4356" w14:cap="sq" w14:cmpd="sng" w14:algn="ctr">
            <w14:solidFill>
              <w14:srgbClr w14:val="000000"/>
            </w14:solidFill>
            <w14:prstDash w14:val="solid"/>
            <w14:bevel/>
          </w14:textOutline>
        </w:rPr>
        <w:t>第八条</w:t>
      </w:r>
      <w:r>
        <w:rPr>
          <w:rFonts w:ascii="宋体" w:hAnsi="宋体" w:eastAsia="宋体" w:cs="宋体"/>
          <w:color w:val="auto"/>
          <w:spacing w:val="-1"/>
          <w:sz w:val="24"/>
        </w:rPr>
        <w:t xml:space="preserve">  </w:t>
      </w:r>
      <w:r>
        <w:rPr>
          <w:rFonts w:ascii="宋体" w:hAnsi="宋体" w:eastAsia="宋体" w:cs="宋体"/>
          <w:color w:val="auto"/>
          <w:spacing w:val="-1"/>
          <w:sz w:val="24"/>
          <w14:textOutline w14:w="4356" w14:cap="sq" w14:cmpd="sng" w14:algn="ctr">
            <w14:solidFill>
              <w14:srgbClr w14:val="000000"/>
            </w14:solidFill>
            <w14:prstDash w14:val="solid"/>
            <w14:bevel/>
          </w14:textOutline>
        </w:rPr>
        <w:t>付款方式</w:t>
      </w:r>
      <w:bookmarkEnd w:id="77"/>
    </w:p>
    <w:p w14:paraId="0EE539CB">
      <w:pPr>
        <w:spacing w:before="184" w:line="440" w:lineRule="exact"/>
        <w:ind w:left="11" w:right="80" w:firstLine="483"/>
        <w:rPr>
          <w:rFonts w:ascii="宋体" w:hAnsi="宋体" w:eastAsia="宋体" w:cs="宋体"/>
          <w:b/>
          <w:bCs/>
          <w:color w:val="auto"/>
          <w:spacing w:val="1"/>
          <w:sz w:val="24"/>
        </w:rPr>
      </w:pPr>
      <w:bookmarkStart w:id="78" w:name="_Toc18707"/>
      <w:r>
        <w:rPr>
          <w:rFonts w:hint="eastAsia" w:ascii="宋体" w:hAnsi="宋体" w:eastAsia="宋体" w:cs="宋体"/>
          <w:b/>
          <w:bCs/>
          <w:color w:val="auto"/>
          <w:spacing w:val="1"/>
          <w:sz w:val="24"/>
        </w:rPr>
        <w:t>1.合同签订货物安装并验收合格后</w:t>
      </w:r>
      <w:r>
        <w:rPr>
          <w:rFonts w:hint="eastAsia" w:ascii="宋体" w:hAnsi="宋体" w:eastAsia="宋体" w:cs="宋体"/>
          <w:b/>
          <w:bCs/>
          <w:color w:val="auto"/>
          <w:spacing w:val="1"/>
          <w:sz w:val="24"/>
          <w:lang w:eastAsia="zh-CN"/>
        </w:rPr>
        <w:t>在</w:t>
      </w:r>
      <w:r>
        <w:rPr>
          <w:rFonts w:hint="eastAsia" w:ascii="宋体" w:hAnsi="宋体" w:eastAsia="宋体" w:cs="宋体"/>
          <w:b/>
          <w:bCs/>
          <w:color w:val="auto"/>
          <w:spacing w:val="1"/>
          <w:sz w:val="24"/>
          <w:lang w:val="en-US" w:eastAsia="zh-CN"/>
        </w:rPr>
        <w:t>10个工作日</w:t>
      </w:r>
      <w:r>
        <w:rPr>
          <w:rFonts w:hint="eastAsia" w:ascii="宋体" w:hAnsi="宋体" w:eastAsia="宋体" w:cs="宋体"/>
          <w:b/>
          <w:bCs/>
          <w:color w:val="auto"/>
          <w:spacing w:val="1"/>
          <w:sz w:val="24"/>
          <w:lang w:eastAsia="zh-CN"/>
        </w:rPr>
        <w:t>内，采购人向财政国库申请</w:t>
      </w:r>
      <w:r>
        <w:rPr>
          <w:rFonts w:hint="eastAsia" w:ascii="宋体" w:hAnsi="宋体" w:eastAsia="宋体" w:cs="宋体"/>
          <w:b/>
          <w:bCs/>
          <w:color w:val="auto"/>
          <w:spacing w:val="1"/>
          <w:sz w:val="24"/>
        </w:rPr>
        <w:t>支付合同总金额</w:t>
      </w:r>
      <w:r>
        <w:rPr>
          <w:rFonts w:hint="eastAsia" w:ascii="宋体" w:hAnsi="宋体" w:eastAsia="宋体" w:cs="宋体"/>
          <w:b/>
          <w:bCs/>
          <w:color w:val="auto"/>
          <w:spacing w:val="1"/>
          <w:sz w:val="24"/>
          <w:lang w:val="en-US" w:eastAsia="zh-CN"/>
        </w:rPr>
        <w:t>10</w:t>
      </w:r>
      <w:r>
        <w:rPr>
          <w:rFonts w:hint="eastAsia" w:ascii="宋体" w:hAnsi="宋体" w:eastAsia="宋体" w:cs="宋体"/>
          <w:b/>
          <w:bCs/>
          <w:color w:val="auto"/>
          <w:spacing w:val="1"/>
          <w:sz w:val="24"/>
        </w:rPr>
        <w:t>0%的货款</w:t>
      </w:r>
      <w:r>
        <w:rPr>
          <w:rFonts w:hint="eastAsia" w:ascii="宋体" w:hAnsi="宋体" w:eastAsia="宋体" w:cs="宋体"/>
          <w:b/>
          <w:bCs/>
          <w:color w:val="auto"/>
          <w:spacing w:val="1"/>
          <w:sz w:val="24"/>
          <w:lang w:eastAsia="zh-CN"/>
        </w:rPr>
        <w:t>手续。</w:t>
      </w:r>
    </w:p>
    <w:p w14:paraId="5BE09A22">
      <w:pPr>
        <w:spacing w:before="184" w:line="440" w:lineRule="exact"/>
        <w:ind w:left="11" w:right="80" w:firstLine="483"/>
        <w:rPr>
          <w:rFonts w:hint="eastAsia" w:ascii="宋体" w:hAnsi="宋体" w:eastAsia="宋体" w:cs="宋体"/>
          <w:b/>
          <w:bCs/>
          <w:color w:val="auto"/>
          <w:spacing w:val="1"/>
          <w:sz w:val="24"/>
        </w:rPr>
      </w:pPr>
      <w:r>
        <w:rPr>
          <w:rFonts w:hint="eastAsia" w:ascii="宋体" w:hAnsi="宋体" w:eastAsia="宋体" w:cs="宋体"/>
          <w:b/>
          <w:bCs/>
          <w:color w:val="auto"/>
          <w:spacing w:val="1"/>
          <w:sz w:val="24"/>
        </w:rPr>
        <w:t>2.付款时，成交供应商须提供符合要求的发票给甲方，否则甲方的付款期限顺延且不构成违约。成交供应商应当确保发票真实无误且合法有效，如发现存在虚假发票或违规发票的，成交供应商须赔偿采购人发票票面金额一倍的违约金，且采购人有权终止合同，因终止合同而产生的一切损失均由成交供应商承担。</w:t>
      </w:r>
    </w:p>
    <w:p w14:paraId="6941FB39">
      <w:pPr>
        <w:spacing w:before="181" w:line="440" w:lineRule="exact"/>
        <w:ind w:left="488"/>
        <w:outlineLvl w:val="0"/>
        <w:rPr>
          <w:rFonts w:ascii="宋体" w:hAnsi="宋体" w:eastAsia="宋体" w:cs="宋体"/>
          <w:color w:val="auto"/>
          <w:sz w:val="24"/>
        </w:rPr>
      </w:pPr>
      <w:r>
        <w:rPr>
          <w:rFonts w:ascii="宋体" w:hAnsi="宋体" w:eastAsia="宋体" w:cs="宋体"/>
          <w:color w:val="auto"/>
          <w:sz w:val="24"/>
          <w14:textOutline w14:w="4356" w14:cap="sq" w14:cmpd="sng" w14:algn="ctr">
            <w14:solidFill>
              <w14:srgbClr w14:val="000000"/>
            </w14:solidFill>
            <w14:prstDash w14:val="solid"/>
            <w14:bevel/>
          </w14:textOutline>
        </w:rPr>
        <w:t>第九条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履约保证金</w:t>
      </w:r>
      <w:bookmarkEnd w:id="78"/>
    </w:p>
    <w:p w14:paraId="3398984D">
      <w:pPr>
        <w:spacing w:before="182" w:line="440" w:lineRule="exact"/>
        <w:ind w:left="489"/>
        <w:rPr>
          <w:rFonts w:ascii="宋体" w:hAnsi="宋体" w:eastAsia="宋体" w:cs="宋体"/>
          <w:color w:val="auto"/>
          <w:sz w:val="24"/>
        </w:rPr>
      </w:pPr>
      <w:r>
        <w:rPr>
          <w:rFonts w:ascii="宋体" w:hAnsi="宋体" w:eastAsia="宋体" w:cs="宋体"/>
          <w:color w:val="auto"/>
          <w:spacing w:val="-1"/>
          <w:sz w:val="24"/>
        </w:rPr>
        <w:t>本项目不收取履约保证金。</w:t>
      </w:r>
    </w:p>
    <w:p w14:paraId="160F316D">
      <w:pPr>
        <w:spacing w:before="182" w:line="440" w:lineRule="exact"/>
        <w:ind w:left="461"/>
        <w:outlineLvl w:val="0"/>
        <w:rPr>
          <w:rFonts w:ascii="宋体" w:hAnsi="宋体" w:eastAsia="宋体" w:cs="宋体"/>
          <w:color w:val="auto"/>
          <w:sz w:val="24"/>
        </w:rPr>
      </w:pPr>
      <w:bookmarkStart w:id="79" w:name="_Toc28723"/>
      <w:r>
        <w:rPr>
          <w:rFonts w:ascii="宋体" w:hAnsi="宋体" w:eastAsia="宋体" w:cs="宋体"/>
          <w:color w:val="auto"/>
          <w:spacing w:val="-1"/>
          <w:sz w:val="24"/>
          <w14:textOutline w14:w="4356" w14:cap="sq" w14:cmpd="sng" w14:algn="ctr">
            <w14:solidFill>
              <w14:srgbClr w14:val="000000"/>
            </w14:solidFill>
            <w14:prstDash w14:val="solid"/>
            <w14:bevel/>
          </w14:textOutline>
        </w:rPr>
        <w:t>第十条</w:t>
      </w:r>
      <w:r>
        <w:rPr>
          <w:rFonts w:ascii="宋体" w:hAnsi="宋体" w:eastAsia="宋体" w:cs="宋体"/>
          <w:color w:val="auto"/>
          <w:spacing w:val="-1"/>
          <w:sz w:val="24"/>
        </w:rPr>
        <w:t xml:space="preserve">  </w:t>
      </w:r>
      <w:r>
        <w:rPr>
          <w:rFonts w:ascii="宋体" w:hAnsi="宋体" w:eastAsia="宋体" w:cs="宋体"/>
          <w:color w:val="auto"/>
          <w:spacing w:val="-1"/>
          <w:sz w:val="24"/>
          <w14:textOutline w14:w="4356" w14:cap="sq" w14:cmpd="sng" w14:algn="ctr">
            <w14:solidFill>
              <w14:srgbClr w14:val="000000"/>
            </w14:solidFill>
            <w14:prstDash w14:val="solid"/>
            <w14:bevel/>
          </w14:textOutline>
        </w:rPr>
        <w:t>税费</w:t>
      </w:r>
      <w:bookmarkEnd w:id="79"/>
    </w:p>
    <w:p w14:paraId="4CB66937">
      <w:pPr>
        <w:spacing w:before="183" w:line="440" w:lineRule="exact"/>
        <w:ind w:left="462"/>
        <w:rPr>
          <w:rFonts w:ascii="宋体" w:hAnsi="宋体" w:eastAsia="宋体" w:cs="宋体"/>
          <w:color w:val="auto"/>
          <w:sz w:val="24"/>
        </w:rPr>
      </w:pPr>
      <w:r>
        <w:rPr>
          <w:rFonts w:ascii="宋体" w:hAnsi="宋体" w:eastAsia="宋体" w:cs="宋体"/>
          <w:color w:val="auto"/>
          <w:spacing w:val="-1"/>
          <w:sz w:val="24"/>
        </w:rPr>
        <w:t>本合同执行中相关的一切税费均由乙方负担。</w:t>
      </w:r>
    </w:p>
    <w:p w14:paraId="77FB31CF">
      <w:pPr>
        <w:spacing w:before="181" w:line="440" w:lineRule="exact"/>
        <w:ind w:left="461"/>
        <w:outlineLvl w:val="0"/>
        <w:rPr>
          <w:rFonts w:ascii="宋体" w:hAnsi="宋体" w:eastAsia="宋体" w:cs="宋体"/>
          <w:color w:val="auto"/>
          <w:sz w:val="24"/>
        </w:rPr>
      </w:pPr>
      <w:bookmarkStart w:id="80" w:name="_Toc23162"/>
      <w:r>
        <w:rPr>
          <w:rFonts w:ascii="宋体" w:hAnsi="宋体" w:eastAsia="宋体" w:cs="宋体"/>
          <w:color w:val="auto"/>
          <w:sz w:val="24"/>
          <w14:textOutline w14:w="4356" w14:cap="sq" w14:cmpd="sng" w14:algn="ctr">
            <w14:solidFill>
              <w14:srgbClr w14:val="000000"/>
            </w14:solidFill>
            <w14:prstDash w14:val="solid"/>
            <w14:bevel/>
          </w14:textOutline>
        </w:rPr>
        <w:t>第十一条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质量保证及售后服务</w:t>
      </w:r>
      <w:bookmarkEnd w:id="80"/>
    </w:p>
    <w:p w14:paraId="6A3B6025">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1.乙方应按采购文件规定的货物性能、技术要求、质量标准向甲方提供未经使用的全新</w:t>
      </w:r>
      <w:r>
        <w:rPr>
          <w:rFonts w:ascii="宋体" w:hAnsi="宋体" w:eastAsia="宋体" w:cs="宋体"/>
          <w:color w:val="auto"/>
          <w:spacing w:val="10"/>
          <w:sz w:val="24"/>
        </w:rPr>
        <w:t xml:space="preserve"> </w:t>
      </w:r>
      <w:r>
        <w:rPr>
          <w:rFonts w:ascii="宋体" w:hAnsi="宋体" w:eastAsia="宋体" w:cs="宋体"/>
          <w:color w:val="auto"/>
          <w:spacing w:val="-2"/>
          <w:sz w:val="24"/>
        </w:rPr>
        <w:t>产品。乙方提供货物的质保期按交货最终验收合格之日起计</w:t>
      </w:r>
      <w:r>
        <w:rPr>
          <w:rFonts w:hint="eastAsia" w:ascii="宋体" w:hAnsi="宋体" w:eastAsia="宋体" w:cs="宋体"/>
          <w:color w:val="auto"/>
          <w:spacing w:val="-2"/>
          <w:sz w:val="24"/>
          <w:u w:val="single" w:color="000000"/>
          <w14:textOutline w14:w="4356" w14:cap="sq" w14:cmpd="sng" w14:algn="ctr">
            <w14:solidFill>
              <w14:srgbClr w14:val="000000"/>
            </w14:solidFill>
            <w14:prstDash w14:val="solid"/>
            <w14:bevel/>
          </w14:textOutline>
        </w:rPr>
        <w:t xml:space="preserve">  </w:t>
      </w:r>
      <w:r>
        <w:rPr>
          <w:rFonts w:ascii="宋体" w:hAnsi="宋体" w:eastAsia="宋体" w:cs="宋体"/>
          <w:color w:val="auto"/>
          <w:spacing w:val="-2"/>
          <w:sz w:val="24"/>
          <w:u w:val="single" w:color="000000"/>
          <w14:textOutline w14:w="4356" w14:cap="sq" w14:cmpd="sng" w14:algn="ctr">
            <w14:solidFill>
              <w14:srgbClr w14:val="000000"/>
            </w14:solidFill>
            <w14:prstDash w14:val="solid"/>
            <w14:bevel/>
          </w14:textOutline>
        </w:rPr>
        <w:t>年</w:t>
      </w:r>
      <w:r>
        <w:rPr>
          <w:rFonts w:ascii="宋体" w:hAnsi="宋体" w:eastAsia="宋体" w:cs="宋体"/>
          <w:color w:val="auto"/>
          <w:spacing w:val="-2"/>
          <w:sz w:val="24"/>
        </w:rPr>
        <w:t>。如因甲</w:t>
      </w:r>
      <w:r>
        <w:rPr>
          <w:rFonts w:ascii="宋体" w:hAnsi="宋体" w:eastAsia="宋体" w:cs="宋体"/>
          <w:color w:val="auto"/>
          <w:spacing w:val="-3"/>
          <w:sz w:val="24"/>
        </w:rPr>
        <w:t>方原因暂时不能安</w:t>
      </w:r>
      <w:r>
        <w:rPr>
          <w:rFonts w:ascii="宋体" w:hAnsi="宋体" w:eastAsia="宋体" w:cs="宋体"/>
          <w:color w:val="auto"/>
          <w:sz w:val="24"/>
        </w:rPr>
        <w:t xml:space="preserve"> </w:t>
      </w:r>
      <w:r>
        <w:rPr>
          <w:rFonts w:ascii="宋体" w:hAnsi="宋体" w:eastAsia="宋体" w:cs="宋体"/>
          <w:color w:val="auto"/>
          <w:spacing w:val="1"/>
          <w:sz w:val="24"/>
        </w:rPr>
        <w:t>装、调试视同验收合格的</w:t>
      </w:r>
      <w:r>
        <w:rPr>
          <w:rFonts w:ascii="宋体" w:hAnsi="宋体" w:eastAsia="宋体" w:cs="宋体"/>
          <w:color w:val="auto"/>
          <w:sz w:val="24"/>
        </w:rPr>
        <w:t>货物，质保期从安装、调试完成之日起计算，或者从项目整体最终 验收之日起质保期满后再延长 1 年，以先到时间为准。在质保期内因货物本身的质量问题发 生故障，乙方应负责免费修理和更换零部件。对达不到技术要求者，根据实际情况，经双方协商，可按以下办法处理：</w:t>
      </w:r>
    </w:p>
    <w:p w14:paraId="3C1D50A4">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（1）更换：视为逾期交货，乙方须按本合同第十四条规定承担违约责任并在 10 个工作</w:t>
      </w:r>
    </w:p>
    <w:p w14:paraId="6AB5FE4C">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日内更换完毕。所发生的全部费用由乙方承担。</w:t>
      </w:r>
    </w:p>
    <w:p w14:paraId="37E81648">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（2）贬值处理：由甲乙双方合议定价。</w:t>
      </w:r>
    </w:p>
    <w:p w14:paraId="33983125">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（3）退货处理：乙方须按本合同第十四条规定承担违约责任。乙方应退还甲方支付的合</w:t>
      </w:r>
    </w:p>
    <w:p w14:paraId="735CF53E">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同款，同时应承担该货物的直接费用（运输、保险、检验、</w:t>
      </w:r>
      <w:r>
        <w:rPr>
          <w:rFonts w:hint="eastAsia" w:ascii="宋体" w:hAnsi="宋体" w:eastAsia="宋体" w:cs="宋体"/>
          <w:color w:val="auto"/>
          <w:sz w:val="24"/>
        </w:rPr>
        <w:t>贷款利息</w:t>
      </w:r>
      <w:r>
        <w:rPr>
          <w:rFonts w:ascii="宋体" w:hAnsi="宋体" w:eastAsia="宋体" w:cs="宋体"/>
          <w:color w:val="auto"/>
          <w:sz w:val="24"/>
        </w:rPr>
        <w:t>及银行手续费等）。</w:t>
      </w:r>
    </w:p>
    <w:p w14:paraId="41340F9E">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 xml:space="preserve">2.如在使用过程中发生质量问题，乙方在接到甲方通知后在 乙方售后服务承诺 </w:t>
      </w:r>
      <w:r>
        <w:rPr>
          <w:rFonts w:hint="eastAsia" w:ascii="宋体" w:hAnsi="宋体" w:eastAsia="宋体" w:cs="宋体"/>
          <w:color w:val="auto"/>
          <w:sz w:val="24"/>
        </w:rPr>
        <w:t>48</w:t>
      </w:r>
      <w:r>
        <w:rPr>
          <w:rFonts w:ascii="宋体" w:hAnsi="宋体" w:eastAsia="宋体" w:cs="宋体"/>
          <w:color w:val="auto"/>
          <w:sz w:val="24"/>
        </w:rPr>
        <w:t>小时内到达甲方现场处理。</w:t>
      </w:r>
    </w:p>
    <w:p w14:paraId="1C8DEE58">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3.在质保期内，乙方应对货物出现的质量及安全问题负责处理解决并承担一切费用。</w:t>
      </w:r>
    </w:p>
    <w:p w14:paraId="294E0F97">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4.货物因人为因素出现的故障不在免费保修范围内。超过保修期的机器设备，</w:t>
      </w:r>
      <w:r>
        <w:rPr>
          <w:rFonts w:hint="eastAsia" w:ascii="宋体" w:hAnsi="宋体" w:eastAsia="宋体" w:cs="宋体"/>
          <w:color w:val="auto"/>
          <w:sz w:val="24"/>
        </w:rPr>
        <w:t>终身维修</w:t>
      </w:r>
      <w:r>
        <w:rPr>
          <w:rFonts w:ascii="宋体" w:hAnsi="宋体" w:eastAsia="宋体" w:cs="宋体"/>
          <w:color w:val="auto"/>
          <w:sz w:val="24"/>
        </w:rPr>
        <w:t>，</w:t>
      </w:r>
    </w:p>
    <w:p w14:paraId="0223C332">
      <w:pPr>
        <w:spacing w:before="185" w:line="440" w:lineRule="exact"/>
        <w:ind w:left="7" w:right="61" w:firstLine="498"/>
        <w:rPr>
          <w:rFonts w:ascii="宋体" w:hAnsi="宋体" w:eastAsia="宋体" w:cs="宋体"/>
          <w:color w:val="auto"/>
          <w:sz w:val="24"/>
        </w:rPr>
      </w:pPr>
      <w:r>
        <w:rPr>
          <w:rFonts w:ascii="宋体" w:hAnsi="宋体" w:eastAsia="宋体" w:cs="宋体"/>
          <w:color w:val="auto"/>
          <w:sz w:val="24"/>
        </w:rPr>
        <w:t>维修时只收部件成本费。</w:t>
      </w:r>
    </w:p>
    <w:p w14:paraId="606079BB">
      <w:pPr>
        <w:spacing w:before="184" w:line="440" w:lineRule="exact"/>
        <w:ind w:left="493"/>
        <w:outlineLvl w:val="0"/>
        <w:rPr>
          <w:rFonts w:ascii="宋体" w:hAnsi="宋体" w:eastAsia="宋体" w:cs="宋体"/>
          <w:color w:val="auto"/>
          <w:sz w:val="24"/>
        </w:rPr>
      </w:pPr>
      <w:bookmarkStart w:id="81" w:name="_Toc28064"/>
      <w:r>
        <w:rPr>
          <w:rFonts w:ascii="宋体" w:hAnsi="宋体" w:eastAsia="宋体" w:cs="宋体"/>
          <w:color w:val="auto"/>
          <w:sz w:val="24"/>
          <w14:textOutline w14:w="4356" w14:cap="sq" w14:cmpd="sng" w14:algn="ctr">
            <w14:solidFill>
              <w14:srgbClr w14:val="000000"/>
            </w14:solidFill>
            <w14:prstDash w14:val="solid"/>
            <w14:bevel/>
          </w14:textOutline>
        </w:rPr>
        <w:t>第十二条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调试和验收</w:t>
      </w:r>
      <w:bookmarkEnd w:id="81"/>
    </w:p>
    <w:p w14:paraId="2A9348D2">
      <w:pPr>
        <w:spacing w:before="183" w:line="440" w:lineRule="exact"/>
        <w:ind w:left="498"/>
        <w:rPr>
          <w:rFonts w:ascii="宋体" w:hAnsi="宋体" w:eastAsia="宋体" w:cs="宋体"/>
          <w:color w:val="auto"/>
          <w:sz w:val="24"/>
        </w:rPr>
      </w:pPr>
      <w:r>
        <w:rPr>
          <w:rFonts w:ascii="宋体" w:hAnsi="宋体" w:eastAsia="宋体" w:cs="宋体"/>
          <w:color w:val="auto"/>
          <w:sz w:val="24"/>
        </w:rPr>
        <w:t>1.甲方对乙方提交的货物依据招标文件上的技术规格要求和国家有关质量标准进行现场  初步验收，外观、说明书符合招标文件技术要求的，给予签收，初步验收不合格的不予签收。 货到后，甲方应当在到货并安装、调试完后七个工作日内进行最终验收，甲方无故不进行最终验收工作并已使用货物的，视同已安装调试完成并最终验收合格。</w:t>
      </w:r>
    </w:p>
    <w:p w14:paraId="7178C255">
      <w:pPr>
        <w:spacing w:before="183" w:line="440" w:lineRule="exact"/>
        <w:ind w:left="498"/>
        <w:rPr>
          <w:rFonts w:ascii="宋体" w:hAnsi="宋体" w:eastAsia="宋体" w:cs="宋体"/>
          <w:color w:val="auto"/>
          <w:sz w:val="24"/>
        </w:rPr>
      </w:pPr>
      <w:r>
        <w:rPr>
          <w:rFonts w:ascii="宋体" w:hAnsi="宋体" w:eastAsia="宋体" w:cs="宋体"/>
          <w:color w:val="auto"/>
          <w:sz w:val="24"/>
        </w:rPr>
        <w:t>2.乙方交货前应对产品作出全面检查和对验收文件进行整理，并列出清单，作为甲方收 货验收和使用的技术条件依据，检验的结果应随货物交甲方。乙方不能完整交付货物及本款规定的单证和工具的，必须负责补齐，否则视为未按合同约定交货。</w:t>
      </w:r>
    </w:p>
    <w:p w14:paraId="74FA06B1">
      <w:pPr>
        <w:spacing w:before="183" w:line="440" w:lineRule="exact"/>
        <w:ind w:left="498"/>
        <w:rPr>
          <w:rFonts w:ascii="宋体" w:hAnsi="宋体" w:eastAsia="宋体" w:cs="宋体"/>
          <w:color w:val="auto"/>
          <w:sz w:val="24"/>
        </w:rPr>
      </w:pPr>
      <w:r>
        <w:rPr>
          <w:rFonts w:ascii="宋体" w:hAnsi="宋体" w:eastAsia="宋体" w:cs="宋体"/>
          <w:color w:val="auto"/>
          <w:sz w:val="24"/>
        </w:rPr>
        <w:t>3.甲方对乙方提供的货物在使用前进行调试时，乙方需负责安装并培训甲方的使用操作</w:t>
      </w:r>
    </w:p>
    <w:p w14:paraId="22162DF1">
      <w:pPr>
        <w:spacing w:before="183" w:line="440" w:lineRule="exact"/>
        <w:ind w:left="498"/>
        <w:rPr>
          <w:rFonts w:ascii="宋体" w:hAnsi="宋体" w:eastAsia="宋体" w:cs="宋体"/>
          <w:color w:val="auto"/>
          <w:sz w:val="24"/>
        </w:rPr>
      </w:pPr>
      <w:r>
        <w:rPr>
          <w:rFonts w:ascii="宋体" w:hAnsi="宋体" w:eastAsia="宋体" w:cs="宋体"/>
          <w:color w:val="auto"/>
          <w:sz w:val="24"/>
        </w:rPr>
        <w:t>人员，并协助甲方一起调试，直到符合技术要求，甲方才做最终验收。</w:t>
      </w:r>
    </w:p>
    <w:p w14:paraId="65B17C29">
      <w:pPr>
        <w:spacing w:before="183" w:line="440" w:lineRule="exact"/>
        <w:ind w:left="498"/>
        <w:rPr>
          <w:rFonts w:ascii="宋体" w:hAnsi="宋体" w:eastAsia="宋体" w:cs="宋体"/>
          <w:color w:val="auto"/>
          <w:sz w:val="24"/>
        </w:rPr>
      </w:pPr>
      <w:r>
        <w:rPr>
          <w:rFonts w:ascii="宋体" w:hAnsi="宋体" w:eastAsia="宋体" w:cs="宋体"/>
          <w:color w:val="auto"/>
          <w:sz w:val="24"/>
        </w:rPr>
        <w:t>4.对技术复杂的货物，甲方应请国家认可的专业检测机构参与初步验收及最终验收，并</w:t>
      </w:r>
    </w:p>
    <w:p w14:paraId="6C2895A0">
      <w:pPr>
        <w:spacing w:before="183" w:line="440" w:lineRule="exact"/>
        <w:ind w:left="498"/>
        <w:rPr>
          <w:rFonts w:ascii="宋体" w:hAnsi="宋体" w:eastAsia="宋体" w:cs="宋体"/>
          <w:color w:val="auto"/>
          <w:sz w:val="24"/>
        </w:rPr>
      </w:pPr>
      <w:r>
        <w:rPr>
          <w:rFonts w:ascii="宋体" w:hAnsi="宋体" w:eastAsia="宋体" w:cs="宋体"/>
          <w:color w:val="auto"/>
          <w:sz w:val="24"/>
        </w:rPr>
        <w:t>由其出具质量检测报告。</w:t>
      </w:r>
    </w:p>
    <w:p w14:paraId="2A1A7212">
      <w:pPr>
        <w:spacing w:before="183" w:line="440" w:lineRule="exact"/>
        <w:ind w:left="498"/>
        <w:rPr>
          <w:rFonts w:ascii="宋体" w:hAnsi="宋体" w:eastAsia="宋体" w:cs="宋体"/>
          <w:color w:val="auto"/>
          <w:sz w:val="24"/>
        </w:rPr>
      </w:pPr>
      <w:r>
        <w:rPr>
          <w:rFonts w:ascii="宋体" w:hAnsi="宋体" w:eastAsia="宋体" w:cs="宋体"/>
          <w:color w:val="auto"/>
          <w:sz w:val="24"/>
        </w:rPr>
        <w:t>5.验收时乙方必须在现场，验收完毕后作出验收结果报告；验收费用由乙方负责。</w:t>
      </w:r>
    </w:p>
    <w:p w14:paraId="4C97BA0C">
      <w:pPr>
        <w:spacing w:before="183" w:line="440" w:lineRule="exact"/>
        <w:ind w:left="498"/>
        <w:rPr>
          <w:rFonts w:ascii="宋体" w:hAnsi="宋体" w:eastAsia="宋体" w:cs="宋体"/>
          <w:color w:val="auto"/>
          <w:sz w:val="24"/>
        </w:rPr>
      </w:pPr>
      <w:r>
        <w:rPr>
          <w:rFonts w:ascii="宋体" w:hAnsi="宋体" w:eastAsia="宋体" w:cs="宋体"/>
          <w:color w:val="auto"/>
          <w:sz w:val="24"/>
        </w:rPr>
        <w:t>6.其他未尽事宜应严格按照《关于印发广西壮族自治区政府采购项目履约验收管理办法 的通知》 [桂财采〔2015〕22 号]以及《财政部关于进一步加强政府采购需求和履约验收管理的指导意见》[财库〔2016〕205 号]规定执行。</w:t>
      </w:r>
    </w:p>
    <w:p w14:paraId="27FC3913">
      <w:pPr>
        <w:spacing w:before="180" w:line="440" w:lineRule="exact"/>
        <w:ind w:left="510"/>
        <w:outlineLvl w:val="0"/>
        <w:rPr>
          <w:rFonts w:ascii="宋体" w:hAnsi="宋体" w:eastAsia="宋体" w:cs="宋体"/>
          <w:color w:val="auto"/>
          <w:sz w:val="24"/>
        </w:rPr>
      </w:pPr>
      <w:bookmarkStart w:id="82" w:name="_Toc11119"/>
      <w:r>
        <w:rPr>
          <w:rFonts w:ascii="宋体" w:hAnsi="宋体" w:eastAsia="宋体" w:cs="宋体"/>
          <w:color w:val="auto"/>
          <w:sz w:val="24"/>
          <w14:textOutline w14:w="4356" w14:cap="sq" w14:cmpd="sng" w14:algn="ctr">
            <w14:solidFill>
              <w14:srgbClr w14:val="000000"/>
            </w14:solidFill>
            <w14:prstDash w14:val="solid"/>
            <w14:bevel/>
          </w14:textOutline>
        </w:rPr>
        <w:t>第十三条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货物包装、发运及运输</w:t>
      </w:r>
      <w:bookmarkEnd w:id="82"/>
    </w:p>
    <w:p w14:paraId="2A161466">
      <w:pPr>
        <w:spacing w:before="183" w:line="440" w:lineRule="exact"/>
        <w:ind w:left="498"/>
        <w:rPr>
          <w:rFonts w:ascii="宋体" w:hAnsi="宋体" w:eastAsia="宋体" w:cs="宋体"/>
          <w:color w:val="auto"/>
          <w:sz w:val="24"/>
        </w:rPr>
      </w:pPr>
      <w:r>
        <w:rPr>
          <w:rFonts w:ascii="宋体" w:hAnsi="宋体" w:eastAsia="宋体" w:cs="宋体"/>
          <w:color w:val="auto"/>
          <w:sz w:val="24"/>
        </w:rPr>
        <w:t>1.乙方应在货物发运前对其进行满足运输距离、防潮、防震、防锈和防破损装卸等要求</w:t>
      </w:r>
    </w:p>
    <w:p w14:paraId="26AB6B85">
      <w:pPr>
        <w:spacing w:before="183" w:line="440" w:lineRule="exact"/>
        <w:ind w:left="498"/>
        <w:rPr>
          <w:rFonts w:ascii="宋体" w:hAnsi="宋体" w:eastAsia="宋体" w:cs="宋体"/>
          <w:color w:val="auto"/>
          <w:sz w:val="24"/>
        </w:rPr>
      </w:pPr>
      <w:r>
        <w:rPr>
          <w:rFonts w:ascii="宋体" w:hAnsi="宋体" w:eastAsia="宋体" w:cs="宋体"/>
          <w:color w:val="auto"/>
          <w:sz w:val="24"/>
        </w:rPr>
        <w:t>包装，以保证货物安全运达甲方指定地点。</w:t>
      </w:r>
    </w:p>
    <w:p w14:paraId="70A6C08B">
      <w:pPr>
        <w:spacing w:before="183" w:line="440" w:lineRule="exact"/>
        <w:ind w:left="498"/>
        <w:rPr>
          <w:rFonts w:ascii="宋体" w:hAnsi="宋体" w:eastAsia="宋体" w:cs="宋体"/>
          <w:color w:val="auto"/>
          <w:sz w:val="24"/>
        </w:rPr>
      </w:pPr>
      <w:r>
        <w:rPr>
          <w:rFonts w:ascii="宋体" w:hAnsi="宋体" w:eastAsia="宋体" w:cs="宋体"/>
          <w:color w:val="auto"/>
          <w:sz w:val="24"/>
        </w:rPr>
        <w:t>2.使用说明书（货物属于进口产品的，供货时应同时附上中文使用说明书）、质量检验</w:t>
      </w:r>
    </w:p>
    <w:p w14:paraId="500A97E2">
      <w:pPr>
        <w:spacing w:before="183" w:line="440" w:lineRule="exact"/>
        <w:ind w:left="498"/>
        <w:rPr>
          <w:rFonts w:ascii="宋体" w:hAnsi="宋体" w:eastAsia="宋体" w:cs="宋体"/>
          <w:color w:val="auto"/>
          <w:sz w:val="24"/>
        </w:rPr>
      </w:pPr>
      <w:r>
        <w:rPr>
          <w:rFonts w:ascii="宋体" w:hAnsi="宋体" w:eastAsia="宋体" w:cs="宋体"/>
          <w:color w:val="auto"/>
          <w:sz w:val="24"/>
        </w:rPr>
        <w:t>证明书、随配附件和工具以及清单一并附于货物内。</w:t>
      </w:r>
    </w:p>
    <w:p w14:paraId="00AD2075">
      <w:pPr>
        <w:spacing w:before="183" w:line="440" w:lineRule="exact"/>
        <w:ind w:left="498"/>
        <w:rPr>
          <w:rFonts w:ascii="宋体" w:hAnsi="宋体" w:eastAsia="宋体" w:cs="宋体"/>
          <w:color w:val="auto"/>
          <w:sz w:val="24"/>
        </w:rPr>
      </w:pPr>
      <w:r>
        <w:rPr>
          <w:rFonts w:ascii="宋体" w:hAnsi="宋体" w:eastAsia="宋体" w:cs="宋体"/>
          <w:color w:val="auto"/>
          <w:sz w:val="24"/>
        </w:rPr>
        <w:t>3.乙方在货物发运手续办理完毕后二十四小时内或货到甲方四十八小时前通知甲方，以</w:t>
      </w:r>
    </w:p>
    <w:p w14:paraId="55B77C22">
      <w:pPr>
        <w:spacing w:before="183" w:line="440" w:lineRule="exact"/>
        <w:ind w:left="498"/>
        <w:rPr>
          <w:rFonts w:ascii="宋体" w:hAnsi="宋体" w:eastAsia="宋体" w:cs="宋体"/>
          <w:color w:val="auto"/>
          <w:sz w:val="24"/>
        </w:rPr>
      </w:pPr>
      <w:r>
        <w:rPr>
          <w:rFonts w:ascii="宋体" w:hAnsi="宋体" w:eastAsia="宋体" w:cs="宋体"/>
          <w:color w:val="auto"/>
          <w:sz w:val="24"/>
        </w:rPr>
        <w:t>准备接货。</w:t>
      </w:r>
    </w:p>
    <w:p w14:paraId="7903FD59">
      <w:pPr>
        <w:spacing w:before="183" w:line="440" w:lineRule="exact"/>
        <w:ind w:left="498"/>
        <w:rPr>
          <w:rFonts w:ascii="宋体" w:hAnsi="宋体" w:eastAsia="宋体" w:cs="宋体"/>
          <w:color w:val="auto"/>
          <w:sz w:val="24"/>
        </w:rPr>
      </w:pPr>
      <w:r>
        <w:rPr>
          <w:rFonts w:ascii="宋体" w:hAnsi="宋体" w:eastAsia="宋体" w:cs="宋体"/>
          <w:color w:val="auto"/>
          <w:sz w:val="24"/>
        </w:rPr>
        <w:t>4.货物在交付甲方前发生的风险均由乙方负责。</w:t>
      </w:r>
    </w:p>
    <w:p w14:paraId="3A0C681A">
      <w:pPr>
        <w:spacing w:before="183" w:line="440" w:lineRule="exact"/>
        <w:ind w:left="498"/>
        <w:rPr>
          <w:rFonts w:ascii="宋体" w:hAnsi="宋体" w:eastAsia="宋体" w:cs="宋体"/>
          <w:color w:val="auto"/>
          <w:sz w:val="24"/>
        </w:rPr>
      </w:pPr>
      <w:r>
        <w:rPr>
          <w:rFonts w:ascii="宋体" w:hAnsi="宋体" w:eastAsia="宋体" w:cs="宋体"/>
          <w:color w:val="auto"/>
          <w:sz w:val="24"/>
        </w:rPr>
        <w:t>5.货物在规定的交付期限内由乙方送达甲方指定的地点视为交付，乙方同时需通知甲方</w:t>
      </w:r>
    </w:p>
    <w:p w14:paraId="44136EA9">
      <w:pPr>
        <w:spacing w:before="183" w:line="440" w:lineRule="exact"/>
        <w:ind w:left="498"/>
        <w:rPr>
          <w:rFonts w:ascii="宋体" w:hAnsi="宋体" w:eastAsia="宋体" w:cs="宋体"/>
          <w:color w:val="auto"/>
          <w:sz w:val="24"/>
        </w:rPr>
      </w:pPr>
      <w:r>
        <w:rPr>
          <w:rFonts w:ascii="宋体" w:hAnsi="宋体" w:eastAsia="宋体" w:cs="宋体"/>
          <w:color w:val="auto"/>
          <w:sz w:val="24"/>
        </w:rPr>
        <w:t>货物已送达。</w:t>
      </w:r>
    </w:p>
    <w:p w14:paraId="6C3465FD">
      <w:pPr>
        <w:spacing w:before="184" w:line="440" w:lineRule="exact"/>
        <w:ind w:left="520"/>
        <w:outlineLvl w:val="0"/>
        <w:rPr>
          <w:rFonts w:ascii="宋体" w:hAnsi="宋体" w:eastAsia="宋体" w:cs="宋体"/>
          <w:color w:val="auto"/>
          <w:sz w:val="24"/>
        </w:rPr>
      </w:pPr>
      <w:bookmarkStart w:id="83" w:name="_Toc1193"/>
      <w:r>
        <w:rPr>
          <w:rFonts w:ascii="宋体" w:hAnsi="宋体" w:eastAsia="宋体" w:cs="宋体"/>
          <w:color w:val="auto"/>
          <w:spacing w:val="-1"/>
          <w:sz w:val="24"/>
          <w14:textOutline w14:w="4356" w14:cap="sq" w14:cmpd="sng" w14:algn="ctr">
            <w14:solidFill>
              <w14:srgbClr w14:val="000000"/>
            </w14:solidFill>
            <w14:prstDash w14:val="solid"/>
            <w14:bevel/>
          </w14:textOutline>
        </w:rPr>
        <w:t>第十四条</w:t>
      </w:r>
      <w:r>
        <w:rPr>
          <w:rFonts w:ascii="宋体" w:hAnsi="宋体" w:eastAsia="宋体" w:cs="宋体"/>
          <w:color w:val="auto"/>
          <w:spacing w:val="-1"/>
          <w:sz w:val="24"/>
        </w:rPr>
        <w:t xml:space="preserve">  </w:t>
      </w:r>
      <w:r>
        <w:rPr>
          <w:rFonts w:ascii="宋体" w:hAnsi="宋体" w:eastAsia="宋体" w:cs="宋体"/>
          <w:color w:val="auto"/>
          <w:spacing w:val="-1"/>
          <w:sz w:val="24"/>
          <w14:textOutline w14:w="4356" w14:cap="sq" w14:cmpd="sng" w14:algn="ctr">
            <w14:solidFill>
              <w14:srgbClr w14:val="000000"/>
            </w14:solidFill>
            <w14:prstDash w14:val="solid"/>
            <w14:bevel/>
          </w14:textOutline>
        </w:rPr>
        <w:t>违约责任</w:t>
      </w:r>
      <w:bookmarkEnd w:id="83"/>
    </w:p>
    <w:p w14:paraId="27F41929">
      <w:pPr>
        <w:spacing w:before="183" w:line="440" w:lineRule="exact"/>
        <w:ind w:left="498"/>
        <w:rPr>
          <w:rFonts w:ascii="宋体" w:hAnsi="宋体" w:eastAsia="宋体" w:cs="宋体"/>
          <w:color w:val="auto"/>
          <w:sz w:val="24"/>
        </w:rPr>
      </w:pPr>
      <w:r>
        <w:rPr>
          <w:rFonts w:ascii="宋体" w:hAnsi="宋体" w:eastAsia="宋体" w:cs="宋体"/>
          <w:color w:val="auto"/>
          <w:sz w:val="24"/>
        </w:rPr>
        <w:t>1.乙方所提供的货物规格、技术标准、材料等质量不符合采购文件、国家有关质量标准 或本合同约定，若甲方选择退货处理的，甲方有权解除合同，并有权不予支付任何款项给乙 方，此外乙方还应支付违约货款额 10%的违约金给甲方并赔偿甲方经济损失。若甲方选择换货 处理，乙方需在 10 个工作日内更换符合国家有关质量标准及本合同约定的货物完毕，并承担本条第 4 款约定的逾期违约责任。</w:t>
      </w:r>
    </w:p>
    <w:p w14:paraId="661F7ABD">
      <w:pPr>
        <w:spacing w:before="183" w:line="440" w:lineRule="exact"/>
        <w:ind w:left="498"/>
        <w:rPr>
          <w:rFonts w:ascii="宋体" w:hAnsi="宋体" w:eastAsia="宋体" w:cs="宋体"/>
          <w:color w:val="auto"/>
          <w:sz w:val="24"/>
        </w:rPr>
      </w:pPr>
      <w:r>
        <w:rPr>
          <w:rFonts w:ascii="宋体" w:hAnsi="宋体" w:eastAsia="宋体" w:cs="宋体"/>
          <w:color w:val="auto"/>
          <w:sz w:val="24"/>
        </w:rPr>
        <w:t>2.乙方提供的货物如侵犯了第三方合法权益而引发的任何纠纷或诉讼，均由乙方负责交</w:t>
      </w:r>
    </w:p>
    <w:p w14:paraId="3B7C8AD6">
      <w:pPr>
        <w:spacing w:before="183" w:line="440" w:lineRule="exact"/>
        <w:ind w:left="498"/>
        <w:rPr>
          <w:rFonts w:ascii="宋体" w:hAnsi="宋体" w:eastAsia="宋体" w:cs="宋体"/>
          <w:color w:val="auto"/>
          <w:sz w:val="24"/>
        </w:rPr>
      </w:pPr>
      <w:r>
        <w:rPr>
          <w:rFonts w:ascii="宋体" w:hAnsi="宋体" w:eastAsia="宋体" w:cs="宋体"/>
          <w:color w:val="auto"/>
          <w:sz w:val="24"/>
        </w:rPr>
        <w:t>涉并承担全部责任。</w:t>
      </w:r>
    </w:p>
    <w:p w14:paraId="2B85BE7B">
      <w:pPr>
        <w:spacing w:before="183" w:line="440" w:lineRule="exact"/>
        <w:ind w:left="498"/>
        <w:rPr>
          <w:rFonts w:ascii="宋体" w:hAnsi="宋体" w:eastAsia="宋体" w:cs="宋体"/>
          <w:color w:val="auto"/>
          <w:sz w:val="24"/>
        </w:rPr>
      </w:pPr>
      <w:r>
        <w:rPr>
          <w:rFonts w:ascii="宋体" w:hAnsi="宋体" w:eastAsia="宋体" w:cs="宋体"/>
          <w:color w:val="auto"/>
          <w:sz w:val="24"/>
        </w:rPr>
        <w:t>3.因包装、运输引起的货物损坏，按质量不合格追究违约责任。</w:t>
      </w:r>
    </w:p>
    <w:p w14:paraId="3C3D7389">
      <w:pPr>
        <w:spacing w:before="183" w:line="440" w:lineRule="exact"/>
        <w:ind w:left="498"/>
        <w:rPr>
          <w:rFonts w:ascii="宋体" w:hAnsi="宋体" w:eastAsia="宋体" w:cs="宋体"/>
          <w:color w:val="auto"/>
          <w:sz w:val="24"/>
        </w:rPr>
      </w:pPr>
      <w:r>
        <w:rPr>
          <w:rFonts w:ascii="宋体" w:hAnsi="宋体" w:eastAsia="宋体" w:cs="宋体"/>
          <w:color w:val="auto"/>
          <w:sz w:val="24"/>
        </w:rPr>
        <w:t>4.甲方无故延期接收货物或延期支付货款、乙方逾期交货的，每天向对方支付违约部分 货款额 3‰的逾期违约金，超过 10 天的，对方有权解除合同，且违约方应向守约方支付货款 总额 30%的违约金（不含已产生的逾期违约金）。承担因此给对方造成经济损失。若为甲方解 除合同的，乙方应在合同解除之日起五日内全额无息退还甲方已付款项；若为乙方解除合同 的，乙方有权收回已交付的货物，运费由甲方承担，应在合同解除之日起五日内全额无息退还甲方已付款项。</w:t>
      </w:r>
    </w:p>
    <w:p w14:paraId="797273F1">
      <w:pPr>
        <w:spacing w:before="183" w:line="440" w:lineRule="exact"/>
        <w:ind w:left="498"/>
        <w:rPr>
          <w:rFonts w:ascii="宋体" w:hAnsi="宋体" w:eastAsia="宋体" w:cs="宋体"/>
          <w:color w:val="auto"/>
          <w:sz w:val="24"/>
        </w:rPr>
      </w:pPr>
      <w:r>
        <w:rPr>
          <w:rFonts w:ascii="宋体" w:hAnsi="宋体" w:eastAsia="宋体" w:cs="宋体"/>
          <w:color w:val="auto"/>
          <w:sz w:val="24"/>
        </w:rPr>
        <w:t>5.乙方未按本合同和响应文件中规定的服务承诺提供售后服务的，乙方应按本合同合计</w:t>
      </w:r>
    </w:p>
    <w:p w14:paraId="5E5340FD">
      <w:pPr>
        <w:spacing w:before="183" w:line="440" w:lineRule="exact"/>
        <w:ind w:left="498"/>
        <w:rPr>
          <w:rFonts w:ascii="宋体" w:hAnsi="宋体" w:eastAsia="宋体" w:cs="宋体"/>
          <w:color w:val="auto"/>
          <w:sz w:val="24"/>
        </w:rPr>
      </w:pPr>
      <w:r>
        <w:rPr>
          <w:rFonts w:ascii="宋体" w:hAnsi="宋体" w:eastAsia="宋体" w:cs="宋体"/>
          <w:color w:val="auto"/>
          <w:sz w:val="24"/>
        </w:rPr>
        <w:t>金额 30%向甲方支付违约金。</w:t>
      </w:r>
    </w:p>
    <w:p w14:paraId="15047A94">
      <w:pPr>
        <w:spacing w:before="183" w:line="440" w:lineRule="exact"/>
        <w:ind w:left="498"/>
        <w:rPr>
          <w:rFonts w:ascii="宋体" w:hAnsi="宋体" w:eastAsia="宋体" w:cs="宋体"/>
          <w:color w:val="auto"/>
          <w:sz w:val="24"/>
        </w:rPr>
      </w:pPr>
      <w:r>
        <w:rPr>
          <w:rFonts w:ascii="宋体" w:hAnsi="宋体" w:eastAsia="宋体" w:cs="宋体"/>
          <w:color w:val="auto"/>
          <w:sz w:val="24"/>
        </w:rPr>
        <w:t>6.乙方提供的货物在质量保证期内，因设计、工艺或材料的缺陷和其它质量原因造成的 问题，由乙方负责，需退换货处理的，费用由乙方负责。如因相关质量问题造成甲方经济损失或引发任何纠纷诉讼的，由乙方承担赔偿经济损失并承担全部责任。</w:t>
      </w:r>
    </w:p>
    <w:p w14:paraId="4915A872">
      <w:pPr>
        <w:spacing w:before="183" w:line="440" w:lineRule="exact"/>
        <w:ind w:left="498"/>
        <w:rPr>
          <w:rFonts w:ascii="宋体" w:hAnsi="宋体" w:eastAsia="宋体" w:cs="宋体"/>
          <w:color w:val="auto"/>
          <w:sz w:val="24"/>
        </w:rPr>
      </w:pPr>
      <w:r>
        <w:rPr>
          <w:rFonts w:ascii="宋体" w:hAnsi="宋体" w:eastAsia="宋体" w:cs="宋体"/>
          <w:color w:val="auto"/>
          <w:sz w:val="24"/>
        </w:rPr>
        <w:t>7.其它违约行为按违约货款额 10%收取违约金并赔偿经济损失。</w:t>
      </w:r>
    </w:p>
    <w:p w14:paraId="4B1EC86D">
      <w:pPr>
        <w:spacing w:before="183" w:line="440" w:lineRule="exact"/>
        <w:ind w:left="498"/>
        <w:rPr>
          <w:rFonts w:ascii="宋体" w:hAnsi="宋体" w:eastAsia="宋体" w:cs="宋体"/>
          <w:color w:val="auto"/>
          <w:sz w:val="24"/>
        </w:rPr>
      </w:pPr>
      <w:r>
        <w:rPr>
          <w:rFonts w:ascii="宋体" w:hAnsi="宋体" w:eastAsia="宋体" w:cs="宋体"/>
          <w:color w:val="auto"/>
          <w:sz w:val="24"/>
        </w:rPr>
        <w:t>8.当以上违约金不足以弥补甲方损失时，乙方还应对甲方超过违约金部分的损失依法承 担赔偿责任，甲方有权继续向乙方追偿。乙方应当赔偿因此给甲方造成的所有损失，包括但 不限于甲方直接损失、预期利益损失、向第三人承担的违约金、赔偿金、另行委托第三人的成本、为索赔支出的费用、律师费、诉讼费、公证费、鉴定费等。</w:t>
      </w:r>
    </w:p>
    <w:p w14:paraId="483B753B">
      <w:pPr>
        <w:spacing w:before="184" w:line="440" w:lineRule="exact"/>
        <w:ind w:left="531"/>
        <w:outlineLvl w:val="0"/>
        <w:rPr>
          <w:rFonts w:ascii="宋体" w:hAnsi="宋体" w:eastAsia="宋体" w:cs="宋体"/>
          <w:color w:val="auto"/>
          <w:sz w:val="24"/>
        </w:rPr>
      </w:pPr>
      <w:bookmarkStart w:id="84" w:name="_Toc6074"/>
      <w:r>
        <w:rPr>
          <w:rFonts w:ascii="宋体" w:hAnsi="宋体" w:eastAsia="宋体" w:cs="宋体"/>
          <w:color w:val="auto"/>
          <w:sz w:val="24"/>
          <w14:textOutline w14:w="4356" w14:cap="sq" w14:cmpd="sng" w14:algn="ctr">
            <w14:solidFill>
              <w14:srgbClr w14:val="000000"/>
            </w14:solidFill>
            <w14:prstDash w14:val="solid"/>
            <w14:bevel/>
          </w14:textOutline>
        </w:rPr>
        <w:t>第十五条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不可抗力事件处理</w:t>
      </w:r>
      <w:bookmarkEnd w:id="84"/>
    </w:p>
    <w:p w14:paraId="0064DAB7">
      <w:pPr>
        <w:spacing w:before="183" w:line="440" w:lineRule="exact"/>
        <w:ind w:left="498"/>
        <w:rPr>
          <w:rFonts w:ascii="宋体" w:hAnsi="宋体" w:eastAsia="宋体" w:cs="宋体"/>
          <w:color w:val="auto"/>
          <w:sz w:val="24"/>
        </w:rPr>
      </w:pPr>
      <w:r>
        <w:rPr>
          <w:rFonts w:ascii="宋体" w:hAnsi="宋体" w:eastAsia="宋体" w:cs="宋体"/>
          <w:color w:val="auto"/>
          <w:sz w:val="24"/>
        </w:rPr>
        <w:t>1.在合同有效期内，任何一方因不可抗力事件导致不能履行合同，则合同履行期可延长，</w:t>
      </w:r>
    </w:p>
    <w:p w14:paraId="2198CD56">
      <w:pPr>
        <w:spacing w:before="183" w:line="440" w:lineRule="exact"/>
        <w:ind w:left="498"/>
        <w:rPr>
          <w:rFonts w:ascii="宋体" w:hAnsi="宋体" w:eastAsia="宋体" w:cs="宋体"/>
          <w:color w:val="auto"/>
          <w:sz w:val="24"/>
        </w:rPr>
      </w:pPr>
      <w:r>
        <w:rPr>
          <w:rFonts w:ascii="宋体" w:hAnsi="宋体" w:eastAsia="宋体" w:cs="宋体"/>
          <w:color w:val="auto"/>
          <w:sz w:val="24"/>
        </w:rPr>
        <w:t>其延长期与不可抗力影响期相同。</w:t>
      </w:r>
    </w:p>
    <w:p w14:paraId="55F533E4">
      <w:pPr>
        <w:spacing w:before="183" w:line="440" w:lineRule="exact"/>
        <w:ind w:left="498"/>
        <w:rPr>
          <w:rFonts w:ascii="宋体" w:hAnsi="宋体" w:eastAsia="宋体" w:cs="宋体"/>
          <w:color w:val="auto"/>
          <w:sz w:val="24"/>
        </w:rPr>
      </w:pPr>
      <w:r>
        <w:rPr>
          <w:rFonts w:ascii="宋体" w:hAnsi="宋体" w:eastAsia="宋体" w:cs="宋体"/>
          <w:color w:val="auto"/>
          <w:sz w:val="24"/>
        </w:rPr>
        <w:t>2.由于不可抗力事件不能全部或部分履行合同义务时，任一方可中止履行其在本合同项</w:t>
      </w:r>
    </w:p>
    <w:p w14:paraId="6806C528">
      <w:pPr>
        <w:spacing w:before="183" w:line="440" w:lineRule="exact"/>
        <w:ind w:left="498"/>
        <w:rPr>
          <w:rFonts w:ascii="宋体" w:hAnsi="宋体" w:eastAsia="宋体" w:cs="宋体"/>
          <w:color w:val="auto"/>
          <w:sz w:val="24"/>
        </w:rPr>
      </w:pPr>
      <w:r>
        <w:rPr>
          <w:rFonts w:ascii="宋体" w:hAnsi="宋体" w:eastAsia="宋体" w:cs="宋体"/>
          <w:color w:val="auto"/>
          <w:sz w:val="24"/>
        </w:rPr>
        <w:t>下的义务（在不可抗力事件发生前已发生的应履行但未履行的义务除外）。</w:t>
      </w:r>
    </w:p>
    <w:p w14:paraId="2A4A5DDE">
      <w:pPr>
        <w:spacing w:before="183" w:line="440" w:lineRule="exact"/>
        <w:ind w:left="498"/>
        <w:rPr>
          <w:rFonts w:ascii="宋体" w:hAnsi="宋体" w:eastAsia="宋体" w:cs="宋体"/>
          <w:color w:val="auto"/>
          <w:sz w:val="24"/>
        </w:rPr>
      </w:pPr>
      <w:r>
        <w:rPr>
          <w:rFonts w:ascii="宋体" w:hAnsi="宋体" w:eastAsia="宋体" w:cs="宋体"/>
          <w:color w:val="auto"/>
          <w:sz w:val="24"/>
        </w:rPr>
        <w:t>3.不可抗力事件发生后，应立即通知对方，并寄送有关权威机构出具的证明。声称受到</w:t>
      </w:r>
    </w:p>
    <w:p w14:paraId="2990E68B">
      <w:pPr>
        <w:spacing w:before="78" w:line="440" w:lineRule="exact"/>
        <w:ind w:left="60"/>
        <w:rPr>
          <w:rFonts w:ascii="宋体" w:hAnsi="宋体" w:eastAsia="宋体" w:cs="宋体"/>
          <w:color w:val="auto"/>
          <w:sz w:val="24"/>
        </w:rPr>
      </w:pPr>
      <w:r>
        <w:rPr>
          <w:rFonts w:ascii="宋体" w:hAnsi="宋体" w:eastAsia="宋体" w:cs="宋体"/>
          <w:color w:val="auto"/>
          <w:sz w:val="24"/>
        </w:rPr>
        <w:t>不可抗力的一方应在任何时候采取合理的行动，以避免或尽量减少不可抗力事件的影响。因主观原因延误，未及时采取必要措施而导致</w:t>
      </w:r>
      <w:r>
        <w:rPr>
          <w:rFonts w:ascii="宋体" w:hAnsi="宋体" w:eastAsia="宋体" w:cs="宋体"/>
          <w:color w:val="auto"/>
          <w:spacing w:val="-1"/>
          <w:sz w:val="24"/>
        </w:rPr>
        <w:t>损失扩大的，不能免除责任。</w:t>
      </w:r>
    </w:p>
    <w:p w14:paraId="2C529C79">
      <w:pPr>
        <w:spacing w:before="181" w:line="440" w:lineRule="exact"/>
        <w:ind w:right="39"/>
        <w:jc w:val="right"/>
        <w:rPr>
          <w:rFonts w:ascii="宋体" w:hAnsi="宋体" w:eastAsia="宋体" w:cs="宋体"/>
          <w:color w:val="auto"/>
          <w:sz w:val="24"/>
        </w:rPr>
      </w:pPr>
      <w:r>
        <w:rPr>
          <w:rFonts w:ascii="宋体" w:hAnsi="宋体" w:eastAsia="宋体" w:cs="宋体"/>
          <w:color w:val="auto"/>
          <w:sz w:val="24"/>
        </w:rPr>
        <w:t>4.不可抗力事件延续一百二十天以上，双方应通过友好协商，确</w:t>
      </w:r>
      <w:r>
        <w:rPr>
          <w:rFonts w:ascii="宋体" w:hAnsi="宋体" w:eastAsia="宋体" w:cs="宋体"/>
          <w:color w:val="auto"/>
          <w:spacing w:val="-1"/>
          <w:sz w:val="24"/>
        </w:rPr>
        <w:t>定是否继续履行合同。</w:t>
      </w:r>
    </w:p>
    <w:p w14:paraId="04F23273">
      <w:pPr>
        <w:spacing w:before="183" w:line="440" w:lineRule="exact"/>
        <w:ind w:left="539"/>
        <w:outlineLvl w:val="0"/>
        <w:rPr>
          <w:rFonts w:ascii="宋体" w:hAnsi="宋体" w:eastAsia="宋体" w:cs="宋体"/>
          <w:color w:val="auto"/>
          <w:sz w:val="24"/>
        </w:rPr>
      </w:pPr>
      <w:bookmarkStart w:id="85" w:name="_Toc15932"/>
      <w:r>
        <w:rPr>
          <w:rFonts w:ascii="宋体" w:hAnsi="宋体" w:eastAsia="宋体" w:cs="宋体"/>
          <w:color w:val="auto"/>
          <w:sz w:val="24"/>
          <w14:textOutline w14:w="4356" w14:cap="sq" w14:cmpd="sng" w14:algn="ctr">
            <w14:solidFill>
              <w14:srgbClr w14:val="000000"/>
            </w14:solidFill>
            <w14:prstDash w14:val="solid"/>
            <w14:bevel/>
          </w14:textOutline>
        </w:rPr>
        <w:t>第十六条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合同争议解决</w:t>
      </w:r>
      <w:bookmarkEnd w:id="85"/>
    </w:p>
    <w:p w14:paraId="22E1A84B">
      <w:pPr>
        <w:spacing w:before="180" w:line="440" w:lineRule="exact"/>
        <w:jc w:val="right"/>
        <w:rPr>
          <w:rFonts w:ascii="宋体" w:hAnsi="宋体" w:eastAsia="宋体" w:cs="宋体"/>
          <w:color w:val="auto"/>
          <w:sz w:val="24"/>
        </w:rPr>
      </w:pPr>
      <w:r>
        <w:rPr>
          <w:rFonts w:ascii="宋体" w:hAnsi="宋体" w:eastAsia="宋体" w:cs="宋体"/>
          <w:color w:val="auto"/>
          <w:position w:val="17"/>
          <w:sz w:val="24"/>
        </w:rPr>
        <w:t>1.因货物质量问题发生争议的，应邀请国家认可的质量检测机构对货物质量进行鉴定。</w:t>
      </w:r>
    </w:p>
    <w:p w14:paraId="2B6CA0F0">
      <w:pPr>
        <w:spacing w:line="440" w:lineRule="exact"/>
        <w:ind w:left="64"/>
        <w:rPr>
          <w:rFonts w:ascii="宋体" w:hAnsi="宋体" w:eastAsia="宋体" w:cs="宋体"/>
          <w:color w:val="auto"/>
          <w:spacing w:val="-1"/>
          <w:sz w:val="24"/>
        </w:rPr>
      </w:pPr>
      <w:r>
        <w:rPr>
          <w:rFonts w:ascii="宋体" w:hAnsi="宋体" w:eastAsia="宋体" w:cs="宋体"/>
          <w:color w:val="auto"/>
          <w:spacing w:val="-1"/>
          <w:sz w:val="24"/>
        </w:rPr>
        <w:t>货物符合标准的，鉴定费由甲方承担；货物不符合标准的，鉴定费由乙方承担。</w:t>
      </w:r>
    </w:p>
    <w:p w14:paraId="11FE7071">
      <w:pPr>
        <w:spacing w:line="440" w:lineRule="exact"/>
        <w:ind w:left="64"/>
        <w:rPr>
          <w:rFonts w:ascii="宋体" w:hAnsi="宋体" w:eastAsia="宋体" w:cs="宋体"/>
          <w:color w:val="auto"/>
          <w:spacing w:val="-1"/>
          <w:sz w:val="24"/>
        </w:rPr>
      </w:pPr>
    </w:p>
    <w:p w14:paraId="534F5BD1">
      <w:pPr>
        <w:spacing w:before="181" w:line="440" w:lineRule="exact"/>
        <w:jc w:val="right"/>
        <w:rPr>
          <w:rFonts w:ascii="宋体" w:hAnsi="宋体" w:eastAsia="宋体" w:cs="宋体"/>
          <w:color w:val="auto"/>
          <w:sz w:val="24"/>
        </w:rPr>
      </w:pPr>
      <w:r>
        <w:rPr>
          <w:rFonts w:ascii="宋体" w:hAnsi="宋体" w:eastAsia="宋体" w:cs="宋体"/>
          <w:color w:val="auto"/>
          <w:spacing w:val="1"/>
          <w:position w:val="17"/>
          <w:sz w:val="24"/>
        </w:rPr>
        <w:t>2.因履行本合同引起的或与本合同有关的争议，甲乙双</w:t>
      </w:r>
      <w:r>
        <w:rPr>
          <w:rFonts w:ascii="宋体" w:hAnsi="宋体" w:eastAsia="宋体" w:cs="宋体"/>
          <w:color w:val="auto"/>
          <w:position w:val="17"/>
          <w:sz w:val="24"/>
        </w:rPr>
        <w:t>方应首先通过友好协商解决，如</w:t>
      </w:r>
    </w:p>
    <w:p w14:paraId="2E4DDB84">
      <w:pPr>
        <w:spacing w:before="1" w:line="440" w:lineRule="exact"/>
        <w:ind w:left="63"/>
        <w:rPr>
          <w:rFonts w:ascii="宋体" w:hAnsi="宋体" w:eastAsia="宋体" w:cs="宋体"/>
          <w:color w:val="auto"/>
          <w:sz w:val="24"/>
        </w:rPr>
      </w:pPr>
      <w:r>
        <w:rPr>
          <w:rFonts w:ascii="宋体" w:hAnsi="宋体" w:eastAsia="宋体" w:cs="宋体"/>
          <w:color w:val="auto"/>
          <w:spacing w:val="-1"/>
          <w:sz w:val="24"/>
        </w:rPr>
        <w:t>果协商不能解决，向甲方所在地有管辖权的人民法院提起诉讼。</w:t>
      </w:r>
    </w:p>
    <w:p w14:paraId="3C024950">
      <w:pPr>
        <w:spacing w:before="184" w:line="440" w:lineRule="exact"/>
        <w:ind w:left="543"/>
        <w:rPr>
          <w:rFonts w:ascii="宋体" w:hAnsi="宋体" w:eastAsia="宋体" w:cs="宋体"/>
          <w:color w:val="auto"/>
          <w:sz w:val="24"/>
        </w:rPr>
      </w:pPr>
      <w:r>
        <w:rPr>
          <w:rFonts w:ascii="宋体" w:hAnsi="宋体" w:eastAsia="宋体" w:cs="宋体"/>
          <w:color w:val="auto"/>
          <w:spacing w:val="-1"/>
          <w:sz w:val="24"/>
        </w:rPr>
        <w:t>3.诉讼期间，本合同继续履行。</w:t>
      </w:r>
    </w:p>
    <w:p w14:paraId="58048712">
      <w:pPr>
        <w:spacing w:before="181" w:line="440" w:lineRule="exact"/>
        <w:ind w:left="539"/>
        <w:outlineLvl w:val="0"/>
        <w:rPr>
          <w:rFonts w:ascii="宋体" w:hAnsi="宋体" w:eastAsia="宋体" w:cs="宋体"/>
          <w:color w:val="auto"/>
          <w:sz w:val="24"/>
        </w:rPr>
      </w:pPr>
      <w:bookmarkStart w:id="86" w:name="_Toc8042"/>
      <w:r>
        <w:rPr>
          <w:rFonts w:ascii="宋体" w:hAnsi="宋体" w:eastAsia="宋体" w:cs="宋体"/>
          <w:color w:val="auto"/>
          <w:sz w:val="24"/>
          <w14:textOutline w14:w="4356" w14:cap="sq" w14:cmpd="sng" w14:algn="ctr">
            <w14:solidFill>
              <w14:srgbClr w14:val="000000"/>
            </w14:solidFill>
            <w14:prstDash w14:val="solid"/>
            <w14:bevel/>
          </w14:textOutline>
        </w:rPr>
        <w:t>第十七条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合同的变更、终止与转让</w:t>
      </w:r>
      <w:bookmarkEnd w:id="86"/>
    </w:p>
    <w:p w14:paraId="4F76188D">
      <w:pPr>
        <w:spacing w:before="181" w:line="440" w:lineRule="exact"/>
        <w:ind w:right="1"/>
        <w:jc w:val="right"/>
        <w:rPr>
          <w:rFonts w:ascii="宋体" w:hAnsi="宋体" w:eastAsia="宋体" w:cs="宋体"/>
          <w:color w:val="auto"/>
          <w:sz w:val="24"/>
        </w:rPr>
      </w:pPr>
      <w:r>
        <w:rPr>
          <w:rFonts w:ascii="宋体" w:hAnsi="宋体" w:eastAsia="宋体" w:cs="宋体"/>
          <w:color w:val="auto"/>
          <w:spacing w:val="1"/>
          <w:position w:val="17"/>
          <w:sz w:val="24"/>
        </w:rPr>
        <w:t>1.除《中华人民共和国政府采购法》第五十条规定的情形外，本合同一经签订，</w:t>
      </w:r>
      <w:r>
        <w:rPr>
          <w:rFonts w:ascii="宋体" w:hAnsi="宋体" w:eastAsia="宋体" w:cs="宋体"/>
          <w:color w:val="auto"/>
          <w:position w:val="17"/>
          <w:sz w:val="24"/>
        </w:rPr>
        <w:t>甲乙双</w:t>
      </w:r>
    </w:p>
    <w:p w14:paraId="03E83493">
      <w:pPr>
        <w:spacing w:line="440" w:lineRule="exact"/>
        <w:rPr>
          <w:rFonts w:ascii="宋体" w:hAnsi="宋体" w:eastAsia="宋体" w:cs="宋体"/>
          <w:color w:val="auto"/>
          <w:sz w:val="24"/>
        </w:rPr>
      </w:pPr>
      <w:r>
        <w:rPr>
          <w:rFonts w:ascii="宋体" w:hAnsi="宋体" w:eastAsia="宋体" w:cs="宋体"/>
          <w:color w:val="auto"/>
          <w:spacing w:val="-1"/>
          <w:sz w:val="24"/>
        </w:rPr>
        <w:t>方不得擅自变更、中止或终止。</w:t>
      </w:r>
    </w:p>
    <w:p w14:paraId="5283BED7">
      <w:pPr>
        <w:spacing w:before="181" w:line="440" w:lineRule="exact"/>
        <w:ind w:left="515"/>
        <w:rPr>
          <w:rFonts w:ascii="宋体" w:hAnsi="宋体" w:eastAsia="宋体" w:cs="宋体"/>
          <w:color w:val="auto"/>
          <w:sz w:val="24"/>
        </w:rPr>
      </w:pPr>
      <w:r>
        <w:rPr>
          <w:rFonts w:ascii="宋体" w:hAnsi="宋体" w:eastAsia="宋体" w:cs="宋体"/>
          <w:color w:val="auto"/>
          <w:spacing w:val="-1"/>
          <w:sz w:val="24"/>
        </w:rPr>
        <w:t>2.乙方不得擅自转让其应履行的合同义务。</w:t>
      </w:r>
    </w:p>
    <w:p w14:paraId="256672BD">
      <w:pPr>
        <w:spacing w:before="183" w:line="440" w:lineRule="exact"/>
        <w:ind w:left="539"/>
        <w:outlineLvl w:val="0"/>
        <w:rPr>
          <w:rFonts w:ascii="宋体" w:hAnsi="宋体" w:eastAsia="宋体" w:cs="宋体"/>
          <w:color w:val="auto"/>
          <w:sz w:val="24"/>
        </w:rPr>
      </w:pPr>
      <w:bookmarkStart w:id="87" w:name="_Toc22892"/>
      <w:r>
        <w:rPr>
          <w:rFonts w:ascii="宋体" w:hAnsi="宋体" w:eastAsia="宋体" w:cs="宋体"/>
          <w:color w:val="auto"/>
          <w:sz w:val="24"/>
          <w14:textOutline w14:w="4356" w14:cap="sq" w14:cmpd="sng" w14:algn="ctr">
            <w14:solidFill>
              <w14:srgbClr w14:val="000000"/>
            </w14:solidFill>
            <w14:prstDash w14:val="solid"/>
            <w14:bevel/>
          </w14:textOutline>
        </w:rPr>
        <w:t>第十八条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合同组成及解释</w:t>
      </w:r>
      <w:bookmarkEnd w:id="87"/>
    </w:p>
    <w:p w14:paraId="00C0F3A9">
      <w:pPr>
        <w:spacing w:before="184" w:line="440" w:lineRule="exact"/>
        <w:ind w:left="60" w:firstLine="496"/>
        <w:rPr>
          <w:rFonts w:ascii="宋体" w:hAnsi="宋体" w:eastAsia="宋体" w:cs="宋体"/>
          <w:color w:val="auto"/>
          <w:sz w:val="24"/>
        </w:rPr>
      </w:pPr>
      <w:r>
        <w:rPr>
          <w:rFonts w:ascii="宋体" w:hAnsi="宋体" w:eastAsia="宋体" w:cs="宋体"/>
          <w:color w:val="auto"/>
          <w:sz w:val="24"/>
        </w:rPr>
        <w:t>1.本项目的采购文件（含采购答疑）、符合采购要求的竞标文件、甲方确认采购要求、</w:t>
      </w:r>
      <w:r>
        <w:rPr>
          <w:rFonts w:ascii="宋体" w:hAnsi="宋体" w:eastAsia="宋体" w:cs="宋体"/>
          <w:color w:val="auto"/>
          <w:spacing w:val="10"/>
          <w:sz w:val="24"/>
        </w:rPr>
        <w:t xml:space="preserve"> </w:t>
      </w:r>
      <w:r>
        <w:rPr>
          <w:rFonts w:ascii="宋体" w:hAnsi="宋体" w:eastAsia="宋体" w:cs="宋体"/>
          <w:color w:val="auto"/>
          <w:spacing w:val="1"/>
          <w:sz w:val="24"/>
        </w:rPr>
        <w:t>本合同履行过程中双方签章确认的协议或其他文件均为本合</w:t>
      </w:r>
      <w:r>
        <w:rPr>
          <w:rFonts w:ascii="宋体" w:hAnsi="宋体" w:eastAsia="宋体" w:cs="宋体"/>
          <w:color w:val="auto"/>
          <w:sz w:val="24"/>
        </w:rPr>
        <w:t>同的组成部分，若合同组成文件</w:t>
      </w:r>
    </w:p>
    <w:p w14:paraId="4A63E6A2">
      <w:pPr>
        <w:spacing w:line="440" w:lineRule="exact"/>
        <w:ind w:left="60"/>
        <w:rPr>
          <w:rFonts w:ascii="宋体" w:hAnsi="宋体" w:eastAsia="宋体" w:cs="宋体"/>
          <w:color w:val="auto"/>
          <w:sz w:val="24"/>
        </w:rPr>
      </w:pPr>
      <w:r>
        <w:rPr>
          <w:rFonts w:ascii="宋体" w:hAnsi="宋体" w:eastAsia="宋体" w:cs="宋体"/>
          <w:color w:val="auto"/>
          <w:spacing w:val="-1"/>
          <w:sz w:val="24"/>
        </w:rPr>
        <w:t>之间发生矛盾的，以下排列顺序为合同组成文件之间的优先解释顺序：</w:t>
      </w:r>
    </w:p>
    <w:p w14:paraId="7E24269B">
      <w:pPr>
        <w:spacing w:before="181" w:line="440" w:lineRule="exact"/>
        <w:ind w:left="550"/>
        <w:rPr>
          <w:rFonts w:ascii="宋体" w:hAnsi="宋体" w:eastAsia="宋体" w:cs="宋体"/>
          <w:color w:val="auto"/>
          <w:sz w:val="24"/>
        </w:rPr>
      </w:pPr>
      <w:r>
        <w:rPr>
          <w:rFonts w:ascii="宋体" w:hAnsi="宋体" w:eastAsia="宋体" w:cs="宋体"/>
          <w:color w:val="auto"/>
          <w:spacing w:val="-1"/>
          <w:sz w:val="24"/>
        </w:rPr>
        <w:t>（1）合同履行过程中双方签章确认的协议或其他文件；</w:t>
      </w:r>
    </w:p>
    <w:p w14:paraId="75694FB8">
      <w:pPr>
        <w:spacing w:before="184" w:line="440" w:lineRule="exact"/>
        <w:ind w:left="550"/>
        <w:rPr>
          <w:rFonts w:ascii="宋体" w:hAnsi="宋体" w:eastAsia="宋体" w:cs="宋体"/>
          <w:color w:val="auto"/>
          <w:sz w:val="24"/>
        </w:rPr>
      </w:pPr>
      <w:r>
        <w:rPr>
          <w:rFonts w:ascii="宋体" w:hAnsi="宋体" w:eastAsia="宋体" w:cs="宋体"/>
          <w:color w:val="auto"/>
          <w:spacing w:val="-2"/>
          <w:position w:val="17"/>
          <w:sz w:val="24"/>
        </w:rPr>
        <w:t>（2）甲方确认的采购要求；</w:t>
      </w:r>
    </w:p>
    <w:p w14:paraId="40618CF9">
      <w:pPr>
        <w:spacing w:line="440" w:lineRule="exact"/>
        <w:ind w:left="550"/>
        <w:rPr>
          <w:rFonts w:ascii="宋体" w:hAnsi="宋体" w:eastAsia="宋体" w:cs="宋体"/>
          <w:color w:val="auto"/>
          <w:sz w:val="24"/>
        </w:rPr>
      </w:pPr>
      <w:r>
        <w:rPr>
          <w:rFonts w:ascii="宋体" w:hAnsi="宋体" w:eastAsia="宋体" w:cs="宋体"/>
          <w:color w:val="auto"/>
          <w:spacing w:val="-3"/>
          <w:sz w:val="24"/>
        </w:rPr>
        <w:t>（3）合同附件；</w:t>
      </w:r>
    </w:p>
    <w:p w14:paraId="49BF802A">
      <w:pPr>
        <w:spacing w:before="184" w:line="440" w:lineRule="exact"/>
        <w:ind w:left="550"/>
        <w:rPr>
          <w:rFonts w:ascii="宋体" w:hAnsi="宋体" w:eastAsia="宋体" w:cs="宋体"/>
          <w:color w:val="auto"/>
          <w:sz w:val="24"/>
        </w:rPr>
      </w:pPr>
      <w:r>
        <w:rPr>
          <w:rFonts w:ascii="宋体" w:hAnsi="宋体" w:eastAsia="宋体" w:cs="宋体"/>
          <w:color w:val="auto"/>
          <w:spacing w:val="-2"/>
          <w:position w:val="17"/>
          <w:sz w:val="24"/>
        </w:rPr>
        <w:t>（4）中标或成交通知书；</w:t>
      </w:r>
    </w:p>
    <w:p w14:paraId="528BE751">
      <w:pPr>
        <w:spacing w:before="1" w:line="440" w:lineRule="exact"/>
        <w:ind w:left="550"/>
        <w:rPr>
          <w:rFonts w:ascii="宋体" w:hAnsi="宋体" w:eastAsia="宋体" w:cs="宋体"/>
          <w:color w:val="auto"/>
          <w:sz w:val="24"/>
        </w:rPr>
      </w:pPr>
      <w:r>
        <w:rPr>
          <w:rFonts w:ascii="宋体" w:hAnsi="宋体" w:eastAsia="宋体" w:cs="宋体"/>
          <w:color w:val="auto"/>
          <w:spacing w:val="-2"/>
          <w:sz w:val="24"/>
        </w:rPr>
        <w:t>（5）采购文件(含答疑)；</w:t>
      </w:r>
    </w:p>
    <w:p w14:paraId="78220FC1">
      <w:pPr>
        <w:spacing w:before="183" w:line="440" w:lineRule="exact"/>
        <w:ind w:left="550"/>
        <w:rPr>
          <w:rFonts w:ascii="宋体" w:hAnsi="宋体" w:eastAsia="宋体" w:cs="宋体"/>
          <w:color w:val="auto"/>
          <w:sz w:val="24"/>
        </w:rPr>
      </w:pPr>
      <w:r>
        <w:rPr>
          <w:rFonts w:ascii="宋体" w:hAnsi="宋体" w:eastAsia="宋体" w:cs="宋体"/>
          <w:color w:val="auto"/>
          <w:spacing w:val="-2"/>
          <w:sz w:val="24"/>
        </w:rPr>
        <w:t>（6）符合采购要求的响应文件；</w:t>
      </w:r>
    </w:p>
    <w:p w14:paraId="0FA4D1CA">
      <w:pPr>
        <w:spacing w:before="181" w:line="440" w:lineRule="exact"/>
        <w:ind w:left="550"/>
        <w:rPr>
          <w:rFonts w:ascii="宋体" w:hAnsi="宋体" w:eastAsia="宋体" w:cs="宋体"/>
          <w:color w:val="auto"/>
          <w:sz w:val="24"/>
        </w:rPr>
      </w:pPr>
      <w:r>
        <w:rPr>
          <w:rFonts w:ascii="宋体" w:hAnsi="宋体" w:eastAsia="宋体" w:cs="宋体"/>
          <w:color w:val="auto"/>
          <w:spacing w:val="-2"/>
          <w:position w:val="17"/>
          <w:sz w:val="24"/>
        </w:rPr>
        <w:t>（7）标准、规范及有关技术文件；</w:t>
      </w:r>
    </w:p>
    <w:p w14:paraId="7B6C5286">
      <w:pPr>
        <w:spacing w:before="1" w:line="440" w:lineRule="exact"/>
        <w:ind w:left="550"/>
        <w:rPr>
          <w:rFonts w:ascii="宋体" w:hAnsi="宋体" w:eastAsia="宋体" w:cs="宋体"/>
          <w:color w:val="auto"/>
          <w:sz w:val="24"/>
        </w:rPr>
      </w:pPr>
      <w:r>
        <w:rPr>
          <w:rFonts w:ascii="宋体" w:hAnsi="宋体" w:eastAsia="宋体" w:cs="宋体"/>
          <w:color w:val="auto"/>
          <w:spacing w:val="-3"/>
          <w:sz w:val="24"/>
        </w:rPr>
        <w:t>（8）其他合同文件。</w:t>
      </w:r>
    </w:p>
    <w:p w14:paraId="69D2F25B">
      <w:pPr>
        <w:spacing w:before="183" w:line="440" w:lineRule="exact"/>
        <w:ind w:left="61" w:firstLine="480"/>
        <w:rPr>
          <w:rFonts w:ascii="宋体" w:hAnsi="宋体" w:eastAsia="宋体" w:cs="宋体"/>
          <w:color w:val="auto"/>
          <w:sz w:val="24"/>
        </w:rPr>
      </w:pPr>
      <w:r>
        <w:rPr>
          <w:rFonts w:ascii="宋体" w:hAnsi="宋体" w:eastAsia="宋体" w:cs="宋体"/>
          <w:color w:val="auto"/>
          <w:spacing w:val="1"/>
          <w:sz w:val="24"/>
        </w:rPr>
        <w:t>2.前述文件应认为是互为补充和解释的，但如有互相矛</w:t>
      </w:r>
      <w:r>
        <w:rPr>
          <w:rFonts w:ascii="宋体" w:hAnsi="宋体" w:eastAsia="宋体" w:cs="宋体"/>
          <w:color w:val="auto"/>
          <w:sz w:val="24"/>
        </w:rPr>
        <w:t xml:space="preserve">盾之处，以前述文件所列顺序作 </w:t>
      </w:r>
      <w:r>
        <w:rPr>
          <w:rFonts w:ascii="宋体" w:hAnsi="宋体" w:eastAsia="宋体" w:cs="宋体"/>
          <w:color w:val="auto"/>
          <w:spacing w:val="1"/>
          <w:sz w:val="24"/>
        </w:rPr>
        <w:t>为其优先解释的顺序，但如果某一文件对甲方权利维护更</w:t>
      </w:r>
      <w:r>
        <w:rPr>
          <w:rFonts w:ascii="宋体" w:hAnsi="宋体" w:eastAsia="宋体" w:cs="宋体"/>
          <w:color w:val="auto"/>
          <w:sz w:val="24"/>
        </w:rPr>
        <w:t>有利或对设计工作有更高、更严格</w:t>
      </w:r>
    </w:p>
    <w:p w14:paraId="18EA15AB">
      <w:pPr>
        <w:spacing w:line="440" w:lineRule="exact"/>
        <w:ind w:left="60"/>
        <w:rPr>
          <w:rFonts w:ascii="宋体" w:hAnsi="宋体" w:eastAsia="宋体" w:cs="宋体"/>
          <w:color w:val="auto"/>
          <w:sz w:val="24"/>
        </w:rPr>
      </w:pPr>
      <w:r>
        <w:rPr>
          <w:rFonts w:ascii="宋体" w:hAnsi="宋体" w:eastAsia="宋体" w:cs="宋体"/>
          <w:color w:val="auto"/>
          <w:spacing w:val="-1"/>
          <w:sz w:val="24"/>
        </w:rPr>
        <w:t>要求的以该文件内容为准。</w:t>
      </w:r>
    </w:p>
    <w:p w14:paraId="5D1C3CEB">
      <w:pPr>
        <w:spacing w:before="183" w:line="440" w:lineRule="exact"/>
        <w:jc w:val="right"/>
        <w:rPr>
          <w:rFonts w:ascii="宋体" w:hAnsi="宋体" w:eastAsia="宋体" w:cs="宋体"/>
          <w:color w:val="auto"/>
          <w:sz w:val="24"/>
        </w:rPr>
      </w:pPr>
      <w:r>
        <w:rPr>
          <w:rFonts w:ascii="宋体" w:hAnsi="宋体" w:eastAsia="宋体" w:cs="宋体"/>
          <w:color w:val="auto"/>
          <w:spacing w:val="1"/>
          <w:position w:val="17"/>
          <w:sz w:val="24"/>
        </w:rPr>
        <w:t>3.前述各项文件包括双方就该合同组成文件所作出</w:t>
      </w:r>
      <w:r>
        <w:rPr>
          <w:rFonts w:ascii="宋体" w:hAnsi="宋体" w:eastAsia="宋体" w:cs="宋体"/>
          <w:color w:val="auto"/>
          <w:position w:val="17"/>
          <w:sz w:val="24"/>
        </w:rPr>
        <w:t>的补充和修改，属于同一项文件的，</w:t>
      </w:r>
    </w:p>
    <w:p w14:paraId="5F345B00">
      <w:pPr>
        <w:spacing w:before="1" w:line="440" w:lineRule="exact"/>
        <w:ind w:left="59"/>
        <w:rPr>
          <w:rFonts w:ascii="宋体" w:hAnsi="宋体" w:eastAsia="宋体" w:cs="宋体"/>
          <w:color w:val="auto"/>
          <w:sz w:val="24"/>
        </w:rPr>
      </w:pPr>
      <w:r>
        <w:rPr>
          <w:rFonts w:ascii="宋体" w:hAnsi="宋体" w:eastAsia="宋体" w:cs="宋体"/>
          <w:color w:val="auto"/>
          <w:spacing w:val="-1"/>
          <w:sz w:val="24"/>
        </w:rPr>
        <w:t>应以最新签署的为准。</w:t>
      </w:r>
    </w:p>
    <w:p w14:paraId="5DF2BCF2">
      <w:pPr>
        <w:spacing w:before="183" w:line="440" w:lineRule="exact"/>
        <w:ind w:left="498"/>
        <w:rPr>
          <w:rFonts w:ascii="宋体" w:hAnsi="宋体" w:eastAsia="宋体" w:cs="宋体"/>
          <w:color w:val="auto"/>
          <w:sz w:val="24"/>
        </w:rPr>
        <w:sectPr>
          <w:headerReference r:id="rId9" w:type="default"/>
          <w:footerReference r:id="rId10" w:type="default"/>
          <w:pgSz w:w="11906" w:h="16839"/>
          <w:pgMar w:top="400" w:right="1054" w:bottom="1660" w:left="1131" w:header="0" w:footer="994" w:gutter="0"/>
          <w:cols w:space="720" w:num="1"/>
        </w:sectPr>
      </w:pPr>
    </w:p>
    <w:p w14:paraId="4FC8DC03">
      <w:pPr>
        <w:spacing w:before="181" w:line="440" w:lineRule="exact"/>
        <w:ind w:left="539"/>
        <w:outlineLvl w:val="0"/>
        <w:rPr>
          <w:rFonts w:ascii="宋体" w:hAnsi="宋体" w:eastAsia="宋体" w:cs="宋体"/>
          <w:color w:val="auto"/>
          <w:sz w:val="24"/>
        </w:rPr>
      </w:pPr>
      <w:bookmarkStart w:id="88" w:name="_Toc20356"/>
      <w:r>
        <w:rPr>
          <w:rFonts w:ascii="宋体" w:hAnsi="宋体" w:eastAsia="宋体" w:cs="宋体"/>
          <w:color w:val="auto"/>
          <w:sz w:val="24"/>
          <w14:textOutline w14:w="4356" w14:cap="sq" w14:cmpd="sng" w14:algn="ctr">
            <w14:solidFill>
              <w14:srgbClr w14:val="000000"/>
            </w14:solidFill>
            <w14:prstDash w14:val="solid"/>
            <w14:bevel/>
          </w14:textOutline>
        </w:rPr>
        <w:t>第十九条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通知与送达</w:t>
      </w:r>
      <w:bookmarkEnd w:id="88"/>
    </w:p>
    <w:p w14:paraId="3DD066E4">
      <w:pPr>
        <w:spacing w:before="182" w:line="440" w:lineRule="exact"/>
        <w:jc w:val="right"/>
        <w:rPr>
          <w:rFonts w:ascii="宋体" w:hAnsi="宋体" w:eastAsia="宋体" w:cs="宋体"/>
          <w:color w:val="auto"/>
          <w:sz w:val="24"/>
        </w:rPr>
      </w:pPr>
      <w:r>
        <w:rPr>
          <w:rFonts w:ascii="宋体" w:hAnsi="宋体" w:eastAsia="宋体" w:cs="宋体"/>
          <w:color w:val="auto"/>
          <w:sz w:val="24"/>
        </w:rPr>
        <w:t>1.本协议项下对合同一方对另外一方的任何通知或请求，应当发送至接收方在合同中约</w:t>
      </w:r>
    </w:p>
    <w:p w14:paraId="2835D390">
      <w:pPr>
        <w:spacing w:before="78" w:line="440" w:lineRule="exact"/>
        <w:ind w:right="80"/>
        <w:rPr>
          <w:rFonts w:ascii="宋体" w:hAnsi="宋体" w:eastAsia="宋体" w:cs="宋体"/>
          <w:color w:val="auto"/>
          <w:sz w:val="24"/>
        </w:rPr>
      </w:pPr>
      <w:r>
        <w:rPr>
          <w:rFonts w:ascii="宋体" w:hAnsi="宋体" w:eastAsia="宋体" w:cs="宋体"/>
          <w:color w:val="auto"/>
          <w:spacing w:val="1"/>
          <w:sz w:val="24"/>
        </w:rPr>
        <w:t>定的地址、联系人和通信终端。一方当事人变更名</w:t>
      </w:r>
      <w:r>
        <w:rPr>
          <w:rFonts w:ascii="宋体" w:hAnsi="宋体" w:eastAsia="宋体" w:cs="宋体"/>
          <w:color w:val="auto"/>
          <w:sz w:val="24"/>
        </w:rPr>
        <w:t xml:space="preserve">称、地址、联系人或通信终端等信息的， </w:t>
      </w:r>
      <w:r>
        <w:rPr>
          <w:rFonts w:ascii="宋体" w:hAnsi="宋体" w:eastAsia="宋体" w:cs="宋体"/>
          <w:color w:val="auto"/>
          <w:spacing w:val="-1"/>
          <w:sz w:val="24"/>
        </w:rPr>
        <w:t>应当在变更后</w:t>
      </w:r>
      <w:r>
        <w:rPr>
          <w:rFonts w:ascii="宋体" w:hAnsi="宋体" w:eastAsia="宋体" w:cs="宋体"/>
          <w:color w:val="auto"/>
          <w:spacing w:val="-44"/>
          <w:sz w:val="24"/>
        </w:rPr>
        <w:t xml:space="preserve"> </w:t>
      </w:r>
      <w:r>
        <w:rPr>
          <w:rFonts w:ascii="宋体" w:hAnsi="宋体" w:eastAsia="宋体" w:cs="宋体"/>
          <w:color w:val="auto"/>
          <w:spacing w:val="-1"/>
          <w:sz w:val="24"/>
        </w:rPr>
        <w:t>3 日内及时书面通知对方当事人，对方当事人实际收到变更</w:t>
      </w:r>
      <w:r>
        <w:rPr>
          <w:rFonts w:ascii="宋体" w:hAnsi="宋体" w:eastAsia="宋体" w:cs="宋体"/>
          <w:color w:val="auto"/>
          <w:spacing w:val="-2"/>
          <w:sz w:val="24"/>
        </w:rPr>
        <w:t>通知前的送达仍为</w:t>
      </w:r>
    </w:p>
    <w:p w14:paraId="1928E89D">
      <w:pPr>
        <w:spacing w:line="440" w:lineRule="exact"/>
        <w:ind w:left="9"/>
        <w:rPr>
          <w:rFonts w:ascii="宋体" w:hAnsi="宋体" w:eastAsia="宋体" w:cs="宋体"/>
          <w:color w:val="auto"/>
          <w:sz w:val="24"/>
        </w:rPr>
      </w:pPr>
      <w:r>
        <w:rPr>
          <w:rFonts w:ascii="宋体" w:hAnsi="宋体" w:eastAsia="宋体" w:cs="宋体"/>
          <w:color w:val="auto"/>
          <w:spacing w:val="-1"/>
          <w:sz w:val="24"/>
        </w:rPr>
        <w:t>有效送达，电子送达与书面送达具有同等法律效力。</w:t>
      </w:r>
    </w:p>
    <w:p w14:paraId="34BBE99A">
      <w:pPr>
        <w:spacing w:before="181" w:line="440" w:lineRule="exact"/>
        <w:ind w:left="491"/>
        <w:rPr>
          <w:rFonts w:ascii="宋体" w:hAnsi="宋体" w:eastAsia="宋体" w:cs="宋体"/>
          <w:color w:val="auto"/>
          <w:sz w:val="24"/>
        </w:rPr>
      </w:pPr>
      <w:r>
        <w:rPr>
          <w:rFonts w:ascii="宋体" w:hAnsi="宋体" w:eastAsia="宋体" w:cs="宋体"/>
          <w:color w:val="auto"/>
          <w:spacing w:val="-1"/>
          <w:position w:val="17"/>
          <w:sz w:val="24"/>
        </w:rPr>
        <w:t>2.任何一方当事人向对/他方所发出的通知或请求送达时间：</w:t>
      </w:r>
    </w:p>
    <w:p w14:paraId="6484D5A9">
      <w:pPr>
        <w:spacing w:line="440" w:lineRule="exact"/>
        <w:ind w:left="499"/>
        <w:rPr>
          <w:rFonts w:ascii="宋体" w:hAnsi="宋体" w:eastAsia="宋体" w:cs="宋体"/>
          <w:color w:val="auto"/>
          <w:sz w:val="24"/>
        </w:rPr>
      </w:pPr>
      <w:r>
        <w:rPr>
          <w:rFonts w:ascii="宋体" w:hAnsi="宋体" w:eastAsia="宋体" w:cs="宋体"/>
          <w:color w:val="auto"/>
          <w:spacing w:val="-2"/>
          <w:sz w:val="24"/>
        </w:rPr>
        <w:t>（1）如果是传真，则在发送当日视为送达；</w:t>
      </w:r>
    </w:p>
    <w:p w14:paraId="6BC23ED1">
      <w:pPr>
        <w:spacing w:before="182" w:line="440" w:lineRule="exact"/>
        <w:ind w:left="499"/>
        <w:rPr>
          <w:rFonts w:ascii="宋体" w:hAnsi="宋体" w:eastAsia="宋体" w:cs="宋体"/>
          <w:color w:val="auto"/>
          <w:sz w:val="24"/>
        </w:rPr>
      </w:pPr>
      <w:r>
        <w:rPr>
          <w:rFonts w:ascii="宋体" w:hAnsi="宋体" w:eastAsia="宋体" w:cs="宋体"/>
          <w:color w:val="auto"/>
          <w:spacing w:val="-3"/>
          <w:position w:val="17"/>
          <w:sz w:val="24"/>
        </w:rPr>
        <w:t>（2）如果是短信/微信/电子邮件，自电子文件内容在发送方正确填写地址且未被系统退</w:t>
      </w:r>
    </w:p>
    <w:p w14:paraId="24A56CBF">
      <w:pPr>
        <w:spacing w:line="440" w:lineRule="exact"/>
        <w:ind w:left="31"/>
        <w:rPr>
          <w:rFonts w:ascii="宋体" w:hAnsi="宋体" w:eastAsia="宋体" w:cs="宋体"/>
          <w:color w:val="auto"/>
          <w:sz w:val="24"/>
        </w:rPr>
      </w:pPr>
      <w:r>
        <w:rPr>
          <w:rFonts w:ascii="宋体" w:hAnsi="宋体" w:eastAsia="宋体" w:cs="宋体"/>
          <w:color w:val="auto"/>
          <w:spacing w:val="-2"/>
          <w:sz w:val="24"/>
        </w:rPr>
        <w:t>回的情况下，进入对方数据电文接收系统当日视为送达。</w:t>
      </w:r>
    </w:p>
    <w:p w14:paraId="0E40D308">
      <w:pPr>
        <w:spacing w:before="183" w:line="440" w:lineRule="exact"/>
        <w:ind w:left="499"/>
        <w:rPr>
          <w:rFonts w:ascii="宋体" w:hAnsi="宋体" w:eastAsia="宋体" w:cs="宋体"/>
          <w:color w:val="auto"/>
          <w:sz w:val="24"/>
        </w:rPr>
      </w:pPr>
      <w:r>
        <w:rPr>
          <w:rFonts w:ascii="宋体" w:hAnsi="宋体" w:eastAsia="宋体" w:cs="宋体"/>
          <w:color w:val="auto"/>
          <w:spacing w:val="-1"/>
          <w:sz w:val="24"/>
        </w:rPr>
        <w:t>（3）如果是信函，在挂号信交邮后第三日视为送达；</w:t>
      </w:r>
    </w:p>
    <w:p w14:paraId="440196A6">
      <w:pPr>
        <w:spacing w:before="181" w:line="440" w:lineRule="exact"/>
        <w:ind w:left="499"/>
        <w:rPr>
          <w:rFonts w:ascii="宋体" w:hAnsi="宋体" w:eastAsia="宋体" w:cs="宋体"/>
          <w:color w:val="auto"/>
          <w:sz w:val="24"/>
        </w:rPr>
      </w:pPr>
      <w:r>
        <w:rPr>
          <w:rFonts w:ascii="宋体" w:hAnsi="宋体" w:eastAsia="宋体" w:cs="宋体"/>
          <w:color w:val="auto"/>
          <w:spacing w:val="-1"/>
          <w:sz w:val="24"/>
        </w:rPr>
        <w:t>（4）如果是派人专程送达，则在收件人签收之日视为收到；</w:t>
      </w:r>
    </w:p>
    <w:p w14:paraId="0DF11063">
      <w:pPr>
        <w:spacing w:before="181" w:line="440" w:lineRule="exact"/>
        <w:ind w:left="499"/>
        <w:rPr>
          <w:rFonts w:ascii="宋体" w:hAnsi="宋体" w:eastAsia="宋体" w:cs="宋体"/>
          <w:color w:val="auto"/>
          <w:sz w:val="24"/>
        </w:rPr>
      </w:pPr>
      <w:r>
        <w:rPr>
          <w:rFonts w:ascii="宋体" w:hAnsi="宋体" w:eastAsia="宋体" w:cs="宋体"/>
          <w:color w:val="auto"/>
          <w:spacing w:val="-1"/>
          <w:position w:val="17"/>
          <w:sz w:val="24"/>
        </w:rPr>
        <w:t>（5）如果同时使用几种通知方式的，以其中较快到达接收方者为准。</w:t>
      </w:r>
    </w:p>
    <w:p w14:paraId="770F74A6">
      <w:pPr>
        <w:spacing w:line="440" w:lineRule="exact"/>
        <w:ind w:left="499"/>
        <w:rPr>
          <w:rFonts w:ascii="宋体" w:hAnsi="宋体" w:eastAsia="宋体" w:cs="宋体"/>
          <w:color w:val="auto"/>
          <w:sz w:val="24"/>
        </w:rPr>
      </w:pPr>
      <w:r>
        <w:rPr>
          <w:rFonts w:ascii="宋体" w:hAnsi="宋体" w:eastAsia="宋体" w:cs="宋体"/>
          <w:color w:val="auto"/>
          <w:spacing w:val="-1"/>
          <w:sz w:val="24"/>
        </w:rPr>
        <w:t>（6）若送达日为非工作日,则视为在下一工作日送达。</w:t>
      </w:r>
    </w:p>
    <w:p w14:paraId="4A421B16">
      <w:pPr>
        <w:spacing w:before="182" w:line="440" w:lineRule="exact"/>
        <w:ind w:left="7" w:right="80" w:firstLine="485"/>
        <w:rPr>
          <w:rFonts w:ascii="宋体" w:hAnsi="宋体" w:eastAsia="宋体" w:cs="宋体"/>
          <w:color w:val="auto"/>
          <w:sz w:val="24"/>
        </w:rPr>
      </w:pPr>
      <w:r>
        <w:rPr>
          <w:rFonts w:ascii="宋体" w:hAnsi="宋体" w:eastAsia="宋体" w:cs="宋体"/>
          <w:color w:val="auto"/>
          <w:spacing w:val="1"/>
          <w:sz w:val="24"/>
        </w:rPr>
        <w:t>3.本合同约定的地址、联系人及电子通信终端等信</w:t>
      </w:r>
      <w:r>
        <w:rPr>
          <w:rFonts w:ascii="宋体" w:hAnsi="宋体" w:eastAsia="宋体" w:cs="宋体"/>
          <w:color w:val="auto"/>
          <w:sz w:val="24"/>
        </w:rPr>
        <w:t xml:space="preserve">息亦为双方工作联系往来、法律文书 </w:t>
      </w:r>
      <w:r>
        <w:rPr>
          <w:rFonts w:ascii="宋体" w:hAnsi="宋体" w:eastAsia="宋体" w:cs="宋体"/>
          <w:color w:val="auto"/>
          <w:spacing w:val="1"/>
          <w:sz w:val="24"/>
        </w:rPr>
        <w:t>及争议解决时人民法院和/或仲裁机构的法律文书送达地址。人</w:t>
      </w:r>
      <w:r>
        <w:rPr>
          <w:rFonts w:ascii="宋体" w:hAnsi="宋体" w:eastAsia="宋体" w:cs="宋体"/>
          <w:color w:val="auto"/>
          <w:sz w:val="24"/>
        </w:rPr>
        <w:t xml:space="preserve">民法院和/或仲裁机构的诉讼 </w:t>
      </w:r>
      <w:r>
        <w:rPr>
          <w:rFonts w:ascii="宋体" w:hAnsi="宋体" w:eastAsia="宋体" w:cs="宋体"/>
          <w:color w:val="auto"/>
          <w:spacing w:val="-2"/>
          <w:sz w:val="24"/>
        </w:rPr>
        <w:t>文书（含裁判文书）向任何合同任何一方当事人的上述地址和/或工商</w:t>
      </w:r>
      <w:r>
        <w:rPr>
          <w:rFonts w:ascii="宋体" w:hAnsi="宋体" w:eastAsia="宋体" w:cs="宋体"/>
          <w:color w:val="auto"/>
          <w:spacing w:val="-3"/>
          <w:sz w:val="24"/>
        </w:rPr>
        <w:t>登记公示地址（居民身</w:t>
      </w:r>
      <w:r>
        <w:rPr>
          <w:rFonts w:ascii="宋体" w:hAnsi="宋体" w:eastAsia="宋体" w:cs="宋体"/>
          <w:color w:val="auto"/>
          <w:spacing w:val="1"/>
          <w:sz w:val="24"/>
        </w:rPr>
        <w:t>份证登记地址）送达的，视为有效送达。当事人对电子通信终端</w:t>
      </w:r>
      <w:r>
        <w:rPr>
          <w:rFonts w:ascii="宋体" w:hAnsi="宋体" w:eastAsia="宋体" w:cs="宋体"/>
          <w:color w:val="auto"/>
          <w:sz w:val="24"/>
        </w:rPr>
        <w:t>的联系送达适用于争议解决</w:t>
      </w:r>
    </w:p>
    <w:p w14:paraId="6739509C">
      <w:pPr>
        <w:spacing w:before="1" w:line="440" w:lineRule="exact"/>
        <w:ind w:left="19"/>
        <w:rPr>
          <w:rFonts w:ascii="宋体" w:hAnsi="宋体" w:eastAsia="宋体" w:cs="宋体"/>
          <w:color w:val="auto"/>
          <w:sz w:val="24"/>
        </w:rPr>
      </w:pPr>
      <w:r>
        <w:rPr>
          <w:rFonts w:ascii="宋体" w:hAnsi="宋体" w:eastAsia="宋体" w:cs="宋体"/>
          <w:color w:val="auto"/>
          <w:spacing w:val="-5"/>
          <w:sz w:val="24"/>
        </w:rPr>
        <w:t>时的送达。</w:t>
      </w:r>
    </w:p>
    <w:p w14:paraId="6CA99633">
      <w:pPr>
        <w:spacing w:before="178" w:line="440" w:lineRule="exact"/>
        <w:jc w:val="right"/>
        <w:rPr>
          <w:rFonts w:ascii="宋体" w:hAnsi="宋体" w:eastAsia="宋体" w:cs="宋体"/>
          <w:color w:val="auto"/>
          <w:sz w:val="24"/>
        </w:rPr>
      </w:pPr>
      <w:r>
        <w:rPr>
          <w:rFonts w:ascii="宋体" w:hAnsi="宋体" w:eastAsia="宋体" w:cs="宋体"/>
          <w:color w:val="auto"/>
          <w:spacing w:val="-3"/>
          <w:sz w:val="24"/>
        </w:rPr>
        <w:t>4.合同送达条款与争议解决条款均为独立条款，不受合同整体或</w:t>
      </w:r>
      <w:r>
        <w:rPr>
          <w:rFonts w:ascii="宋体" w:hAnsi="宋体" w:eastAsia="宋体" w:cs="宋体"/>
          <w:color w:val="auto"/>
          <w:spacing w:val="-4"/>
          <w:sz w:val="24"/>
        </w:rPr>
        <w:t>其他条款的效力的影响。</w:t>
      </w:r>
    </w:p>
    <w:p w14:paraId="2D679972">
      <w:pPr>
        <w:spacing w:before="183" w:line="440" w:lineRule="exact"/>
        <w:ind w:left="478"/>
        <w:outlineLvl w:val="0"/>
        <w:rPr>
          <w:rFonts w:ascii="宋体" w:hAnsi="宋体" w:eastAsia="宋体" w:cs="宋体"/>
          <w:color w:val="auto"/>
          <w:sz w:val="24"/>
        </w:rPr>
      </w:pPr>
      <w:bookmarkStart w:id="89" w:name="_Toc23571"/>
      <w:r>
        <w:rPr>
          <w:rFonts w:ascii="宋体" w:hAnsi="宋体" w:eastAsia="宋体" w:cs="宋体"/>
          <w:color w:val="auto"/>
          <w:sz w:val="24"/>
          <w14:textOutline w14:w="4356" w14:cap="sq" w14:cmpd="sng" w14:algn="ctr">
            <w14:solidFill>
              <w14:srgbClr w14:val="000000"/>
            </w14:solidFill>
            <w14:prstDash w14:val="solid"/>
            <w14:bevel/>
          </w14:textOutline>
        </w:rPr>
        <w:t>第二十条</w:t>
      </w:r>
      <w:r>
        <w:rPr>
          <w:rFonts w:ascii="宋体" w:hAnsi="宋体" w:eastAsia="宋体" w:cs="宋体"/>
          <w:color w:val="auto"/>
          <w:sz w:val="24"/>
        </w:rPr>
        <w:t xml:space="preserve"> </w:t>
      </w:r>
      <w:r>
        <w:rPr>
          <w:rFonts w:ascii="宋体" w:hAnsi="宋体" w:eastAsia="宋体" w:cs="宋体"/>
          <w:color w:val="auto"/>
          <w:sz w:val="24"/>
          <w14:textOutline w14:w="4356" w14:cap="sq" w14:cmpd="sng" w14:algn="ctr">
            <w14:solidFill>
              <w14:srgbClr w14:val="000000"/>
            </w14:solidFill>
            <w14:prstDash w14:val="solid"/>
            <w14:bevel/>
          </w14:textOutline>
        </w:rPr>
        <w:t>合同生效及其它</w:t>
      </w:r>
      <w:bookmarkEnd w:id="89"/>
    </w:p>
    <w:p w14:paraId="5713CD55">
      <w:pPr>
        <w:spacing w:before="180" w:line="440" w:lineRule="exact"/>
        <w:ind w:left="505"/>
        <w:rPr>
          <w:rFonts w:ascii="宋体" w:hAnsi="宋体" w:eastAsia="宋体" w:cs="宋体"/>
          <w:color w:val="auto"/>
          <w:sz w:val="24"/>
        </w:rPr>
      </w:pPr>
      <w:r>
        <w:rPr>
          <w:rFonts w:ascii="宋体" w:hAnsi="宋体" w:eastAsia="宋体" w:cs="宋体"/>
          <w:color w:val="auto"/>
          <w:spacing w:val="-1"/>
          <w:sz w:val="24"/>
        </w:rPr>
        <w:t>1.合同经双方法定代表人或被授权代表签字并加盖单位公章后生效。</w:t>
      </w:r>
    </w:p>
    <w:p w14:paraId="02EE22A4">
      <w:pPr>
        <w:spacing w:before="184" w:line="440" w:lineRule="exact"/>
        <w:ind w:left="491"/>
        <w:rPr>
          <w:rFonts w:ascii="宋体" w:hAnsi="宋体" w:eastAsia="宋体" w:cs="宋体"/>
          <w:color w:val="auto"/>
          <w:sz w:val="24"/>
        </w:rPr>
      </w:pPr>
      <w:r>
        <w:rPr>
          <w:rFonts w:ascii="宋体" w:hAnsi="宋体" w:eastAsia="宋体" w:cs="宋体"/>
          <w:color w:val="auto"/>
          <w:spacing w:val="1"/>
          <w:position w:val="17"/>
          <w:sz w:val="24"/>
        </w:rPr>
        <w:t>2.合同执行中涉及采购资金和采购内容修改或补充的，</w:t>
      </w:r>
      <w:r>
        <w:rPr>
          <w:rFonts w:ascii="宋体" w:hAnsi="宋体" w:eastAsia="宋体" w:cs="宋体"/>
          <w:color w:val="auto"/>
          <w:position w:val="17"/>
          <w:sz w:val="24"/>
        </w:rPr>
        <w:t>须经财政部门审批，并签书面补</w:t>
      </w:r>
    </w:p>
    <w:p w14:paraId="6659A255">
      <w:pPr>
        <w:spacing w:line="440" w:lineRule="exact"/>
        <w:ind w:left="11"/>
        <w:rPr>
          <w:rFonts w:ascii="宋体" w:hAnsi="宋体" w:eastAsia="宋体" w:cs="宋体"/>
          <w:color w:val="auto"/>
          <w:sz w:val="24"/>
        </w:rPr>
      </w:pPr>
      <w:r>
        <w:rPr>
          <w:rFonts w:ascii="宋体" w:hAnsi="宋体" w:eastAsia="宋体" w:cs="宋体"/>
          <w:color w:val="auto"/>
          <w:spacing w:val="-1"/>
          <w:sz w:val="24"/>
        </w:rPr>
        <w:t>充协议报财政部门备案，方可作为主合同不可分割的一部分。</w:t>
      </w:r>
    </w:p>
    <w:p w14:paraId="0AD53CB2">
      <w:pPr>
        <w:spacing w:before="182" w:line="440" w:lineRule="exact"/>
        <w:ind w:left="492"/>
        <w:rPr>
          <w:rFonts w:ascii="宋体" w:hAnsi="宋体" w:eastAsia="宋体" w:cs="宋体"/>
          <w:color w:val="auto"/>
          <w:sz w:val="24"/>
        </w:rPr>
      </w:pPr>
      <w:r>
        <w:rPr>
          <w:rFonts w:ascii="宋体" w:hAnsi="宋体" w:eastAsia="宋体" w:cs="宋体"/>
          <w:color w:val="auto"/>
          <w:spacing w:val="-1"/>
          <w:sz w:val="24"/>
        </w:rPr>
        <w:t>3.本合同未尽事宜，遵照《中华人民共和国民法典》有关条文执行。</w:t>
      </w:r>
    </w:p>
    <w:p w14:paraId="263B9B2E">
      <w:pPr>
        <w:spacing w:before="181" w:line="440" w:lineRule="exact"/>
        <w:ind w:left="487"/>
        <w:rPr>
          <w:rFonts w:ascii="宋体" w:hAnsi="宋体" w:eastAsia="宋体" w:cs="宋体"/>
          <w:color w:val="auto"/>
          <w:sz w:val="24"/>
        </w:rPr>
      </w:pPr>
      <w:r>
        <w:rPr>
          <w:rFonts w:ascii="宋体" w:hAnsi="宋体" w:eastAsia="宋体" w:cs="宋体"/>
          <w:color w:val="auto"/>
          <w:sz w:val="24"/>
        </w:rPr>
        <w:t>4.本合同一式六份，具有同等法律效力，甲方四份，乙方一份</w:t>
      </w:r>
      <w:r>
        <w:rPr>
          <w:rFonts w:ascii="宋体" w:hAnsi="宋体" w:eastAsia="宋体" w:cs="宋体"/>
          <w:color w:val="auto"/>
          <w:spacing w:val="-1"/>
          <w:sz w:val="24"/>
        </w:rPr>
        <w:t>，采购代理机构一份。</w:t>
      </w:r>
    </w:p>
    <w:p w14:paraId="0FAC3A42">
      <w:pPr>
        <w:spacing w:line="440" w:lineRule="exact"/>
        <w:rPr>
          <w:rFonts w:ascii="宋体" w:hAnsi="宋体" w:eastAsia="宋体" w:cs="宋体"/>
          <w:color w:val="auto"/>
          <w:sz w:val="24"/>
        </w:rPr>
        <w:sectPr>
          <w:headerReference r:id="rId11" w:type="default"/>
          <w:footerReference r:id="rId12" w:type="default"/>
          <w:pgSz w:w="11906" w:h="16839"/>
          <w:pgMar w:top="1091" w:right="1054" w:bottom="1156" w:left="1134" w:header="1076" w:footer="994" w:gutter="0"/>
          <w:cols w:space="720" w:num="1"/>
        </w:sectPr>
      </w:pPr>
    </w:p>
    <w:p w14:paraId="30401E63">
      <w:pPr>
        <w:spacing w:before="59"/>
        <w:rPr>
          <w:color w:val="auto"/>
        </w:rPr>
      </w:pPr>
    </w:p>
    <w:p w14:paraId="6E48DC9A">
      <w:pPr>
        <w:spacing w:before="59"/>
        <w:rPr>
          <w:color w:val="auto"/>
        </w:rPr>
      </w:pPr>
    </w:p>
    <w:p w14:paraId="4F718513">
      <w:pPr>
        <w:spacing w:before="59"/>
        <w:rPr>
          <w:color w:val="auto"/>
        </w:rPr>
      </w:pPr>
    </w:p>
    <w:p w14:paraId="5D17602E">
      <w:pPr>
        <w:spacing w:before="58"/>
        <w:rPr>
          <w:color w:val="auto"/>
        </w:rPr>
      </w:pPr>
    </w:p>
    <w:tbl>
      <w:tblPr>
        <w:tblStyle w:val="125"/>
        <w:tblW w:w="9037" w:type="dxa"/>
        <w:tblInd w:w="2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8"/>
        <w:gridCol w:w="4519"/>
      </w:tblGrid>
      <w:tr w14:paraId="3DAE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518" w:type="dxa"/>
          </w:tcPr>
          <w:p w14:paraId="4C9B8FC3">
            <w:pPr>
              <w:spacing w:before="54" w:line="222" w:lineRule="auto"/>
              <w:ind w:left="154"/>
              <w:rPr>
                <w:rFonts w:ascii="仿宋" w:hAnsi="仿宋" w:eastAsia="仿宋" w:cs="仿宋"/>
                <w:color w:val="auto"/>
                <w:sz w:val="24"/>
              </w:rPr>
            </w:pPr>
            <w:r>
              <w:rPr>
                <w:rFonts w:ascii="仿宋" w:hAnsi="仿宋" w:eastAsia="仿宋" w:cs="仿宋"/>
                <w:color w:val="auto"/>
                <w:spacing w:val="-4"/>
                <w:sz w:val="24"/>
              </w:rPr>
              <w:t xml:space="preserve">甲方（章） </w:t>
            </w:r>
            <w:r>
              <w:rPr>
                <w:rFonts w:hint="eastAsia" w:ascii="仿宋" w:hAnsi="仿宋" w:eastAsia="仿宋" w:cs="仿宋"/>
                <w:color w:val="auto"/>
                <w:spacing w:val="-4"/>
                <w:sz w:val="24"/>
              </w:rPr>
              <w:t>巴马瑶族自治县教育局</w:t>
            </w:r>
          </w:p>
          <w:p w14:paraId="2A1FE6EE">
            <w:pPr>
              <w:spacing w:before="179" w:line="222" w:lineRule="auto"/>
              <w:ind w:right="38"/>
              <w:jc w:val="right"/>
              <w:rPr>
                <w:rFonts w:ascii="仿宋" w:hAnsi="仿宋" w:eastAsia="仿宋" w:cs="仿宋"/>
                <w:color w:val="auto"/>
                <w:sz w:val="24"/>
              </w:rPr>
            </w:pPr>
            <w:r>
              <w:rPr>
                <w:rFonts w:ascii="仿宋" w:hAnsi="仿宋" w:eastAsia="仿宋" w:cs="仿宋"/>
                <w:color w:val="auto"/>
                <w:spacing w:val="-16"/>
                <w:sz w:val="24"/>
              </w:rPr>
              <w:t>年</w:t>
            </w:r>
            <w:r>
              <w:rPr>
                <w:rFonts w:ascii="仿宋" w:hAnsi="仿宋" w:eastAsia="仿宋" w:cs="仿宋"/>
                <w:color w:val="auto"/>
                <w:spacing w:val="9"/>
                <w:sz w:val="24"/>
              </w:rPr>
              <w:t xml:space="preserve">   </w:t>
            </w:r>
            <w:r>
              <w:rPr>
                <w:rFonts w:ascii="仿宋" w:hAnsi="仿宋" w:eastAsia="仿宋" w:cs="仿宋"/>
                <w:color w:val="auto"/>
                <w:spacing w:val="-16"/>
                <w:sz w:val="24"/>
              </w:rPr>
              <w:t>月</w:t>
            </w:r>
            <w:r>
              <w:rPr>
                <w:rFonts w:ascii="仿宋" w:hAnsi="仿宋" w:eastAsia="仿宋" w:cs="仿宋"/>
                <w:color w:val="auto"/>
                <w:spacing w:val="22"/>
                <w:sz w:val="24"/>
              </w:rPr>
              <w:t xml:space="preserve">   </w:t>
            </w:r>
            <w:r>
              <w:rPr>
                <w:rFonts w:ascii="仿宋" w:hAnsi="仿宋" w:eastAsia="仿宋" w:cs="仿宋"/>
                <w:color w:val="auto"/>
                <w:spacing w:val="-16"/>
                <w:sz w:val="24"/>
              </w:rPr>
              <w:t>日</w:t>
            </w:r>
          </w:p>
        </w:tc>
        <w:tc>
          <w:tcPr>
            <w:tcW w:w="4519" w:type="dxa"/>
          </w:tcPr>
          <w:p w14:paraId="1B2DD7F5">
            <w:pPr>
              <w:spacing w:before="54" w:line="222" w:lineRule="auto"/>
              <w:ind w:left="138"/>
              <w:rPr>
                <w:rFonts w:ascii="仿宋" w:hAnsi="仿宋" w:eastAsia="仿宋" w:cs="仿宋"/>
                <w:color w:val="auto"/>
                <w:sz w:val="24"/>
              </w:rPr>
            </w:pPr>
            <w:r>
              <w:rPr>
                <w:rFonts w:ascii="仿宋" w:hAnsi="仿宋" w:eastAsia="仿宋" w:cs="仿宋"/>
                <w:color w:val="auto"/>
                <w:spacing w:val="-7"/>
                <w:sz w:val="24"/>
              </w:rPr>
              <w:t>乙方（章）</w:t>
            </w:r>
            <w:r>
              <w:rPr>
                <w:rFonts w:hint="eastAsia" w:ascii="仿宋" w:hAnsi="仿宋" w:eastAsia="仿宋" w:cs="仿宋"/>
                <w:color w:val="auto"/>
                <w:spacing w:val="-7"/>
                <w:sz w:val="24"/>
              </w:rPr>
              <w:t xml:space="preserve">                 </w:t>
            </w:r>
          </w:p>
          <w:p w14:paraId="7C85D2D6">
            <w:pPr>
              <w:spacing w:before="179" w:line="222" w:lineRule="auto"/>
              <w:ind w:right="40"/>
              <w:jc w:val="right"/>
              <w:rPr>
                <w:rFonts w:ascii="仿宋" w:hAnsi="仿宋" w:eastAsia="仿宋" w:cs="仿宋"/>
                <w:color w:val="auto"/>
                <w:sz w:val="24"/>
              </w:rPr>
            </w:pPr>
            <w:r>
              <w:rPr>
                <w:rFonts w:ascii="仿宋" w:hAnsi="仿宋" w:eastAsia="仿宋" w:cs="仿宋"/>
                <w:color w:val="auto"/>
                <w:spacing w:val="-16"/>
                <w:sz w:val="24"/>
              </w:rPr>
              <w:t>年</w:t>
            </w:r>
            <w:r>
              <w:rPr>
                <w:rFonts w:ascii="仿宋" w:hAnsi="仿宋" w:eastAsia="仿宋" w:cs="仿宋"/>
                <w:color w:val="auto"/>
                <w:spacing w:val="9"/>
                <w:sz w:val="24"/>
              </w:rPr>
              <w:t xml:space="preserve">   </w:t>
            </w:r>
            <w:r>
              <w:rPr>
                <w:rFonts w:ascii="仿宋" w:hAnsi="仿宋" w:eastAsia="仿宋" w:cs="仿宋"/>
                <w:color w:val="auto"/>
                <w:spacing w:val="-16"/>
                <w:sz w:val="24"/>
              </w:rPr>
              <w:t>月</w:t>
            </w:r>
            <w:r>
              <w:rPr>
                <w:rFonts w:ascii="仿宋" w:hAnsi="仿宋" w:eastAsia="仿宋" w:cs="仿宋"/>
                <w:color w:val="auto"/>
                <w:spacing w:val="22"/>
                <w:sz w:val="24"/>
              </w:rPr>
              <w:t xml:space="preserve">   </w:t>
            </w:r>
            <w:r>
              <w:rPr>
                <w:rFonts w:ascii="仿宋" w:hAnsi="仿宋" w:eastAsia="仿宋" w:cs="仿宋"/>
                <w:color w:val="auto"/>
                <w:spacing w:val="-16"/>
                <w:sz w:val="24"/>
              </w:rPr>
              <w:t>日</w:t>
            </w:r>
          </w:p>
        </w:tc>
      </w:tr>
      <w:tr w14:paraId="35ADB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4518" w:type="dxa"/>
          </w:tcPr>
          <w:p w14:paraId="4CF3CBE5">
            <w:pPr>
              <w:spacing w:before="35" w:line="221" w:lineRule="auto"/>
              <w:ind w:left="127"/>
              <w:rPr>
                <w:rFonts w:ascii="仿宋" w:hAnsi="仿宋" w:eastAsia="仿宋" w:cs="仿宋"/>
                <w:color w:val="auto"/>
                <w:sz w:val="24"/>
              </w:rPr>
            </w:pPr>
            <w:r>
              <w:rPr>
                <w:rFonts w:ascii="仿宋" w:hAnsi="仿宋" w:eastAsia="仿宋" w:cs="仿宋"/>
                <w:color w:val="auto"/>
                <w:spacing w:val="-4"/>
                <w:sz w:val="24"/>
              </w:rPr>
              <w:t>单位地址：</w:t>
            </w:r>
            <w:r>
              <w:rPr>
                <w:rFonts w:hint="eastAsia" w:ascii="仿宋" w:hAnsi="仿宋" w:eastAsia="仿宋" w:cs="仿宋"/>
                <w:color w:val="auto"/>
                <w:spacing w:val="-4"/>
                <w:sz w:val="24"/>
              </w:rPr>
              <w:t xml:space="preserve"> </w:t>
            </w:r>
          </w:p>
        </w:tc>
        <w:tc>
          <w:tcPr>
            <w:tcW w:w="4519" w:type="dxa"/>
          </w:tcPr>
          <w:p w14:paraId="00BCBD2D">
            <w:pPr>
              <w:spacing w:before="35" w:line="221" w:lineRule="auto"/>
              <w:ind w:left="126"/>
              <w:rPr>
                <w:rFonts w:ascii="仿宋" w:hAnsi="仿宋" w:eastAsia="仿宋" w:cs="仿宋"/>
                <w:color w:val="auto"/>
                <w:sz w:val="24"/>
              </w:rPr>
            </w:pPr>
            <w:r>
              <w:rPr>
                <w:rFonts w:ascii="仿宋" w:hAnsi="仿宋" w:eastAsia="仿宋" w:cs="仿宋"/>
                <w:color w:val="auto"/>
                <w:spacing w:val="-5"/>
                <w:sz w:val="24"/>
              </w:rPr>
              <w:t>单位地址：</w:t>
            </w:r>
          </w:p>
        </w:tc>
      </w:tr>
      <w:tr w14:paraId="109F8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18" w:type="dxa"/>
          </w:tcPr>
          <w:p w14:paraId="35C749F8">
            <w:pPr>
              <w:spacing w:before="37" w:line="223" w:lineRule="auto"/>
              <w:ind w:left="130"/>
              <w:rPr>
                <w:rFonts w:ascii="仿宋" w:hAnsi="仿宋" w:eastAsia="仿宋" w:cs="仿宋"/>
                <w:color w:val="auto"/>
                <w:sz w:val="24"/>
              </w:rPr>
            </w:pPr>
            <w:r>
              <w:rPr>
                <w:rFonts w:ascii="仿宋" w:hAnsi="仿宋" w:eastAsia="仿宋" w:cs="仿宋"/>
                <w:color w:val="auto"/>
                <w:spacing w:val="-4"/>
                <w:sz w:val="24"/>
              </w:rPr>
              <w:t>法定代表人：</w:t>
            </w:r>
          </w:p>
        </w:tc>
        <w:tc>
          <w:tcPr>
            <w:tcW w:w="4519" w:type="dxa"/>
          </w:tcPr>
          <w:p w14:paraId="772B02AF">
            <w:pPr>
              <w:spacing w:before="37" w:line="223" w:lineRule="auto"/>
              <w:ind w:left="129"/>
              <w:rPr>
                <w:rFonts w:ascii="仿宋" w:hAnsi="仿宋" w:eastAsia="仿宋" w:cs="仿宋"/>
                <w:color w:val="auto"/>
                <w:sz w:val="24"/>
              </w:rPr>
            </w:pPr>
            <w:r>
              <w:rPr>
                <w:rFonts w:ascii="仿宋" w:hAnsi="仿宋" w:eastAsia="仿宋" w:cs="仿宋"/>
                <w:color w:val="auto"/>
                <w:spacing w:val="-4"/>
                <w:sz w:val="24"/>
              </w:rPr>
              <w:t>法定代表人：</w:t>
            </w:r>
          </w:p>
        </w:tc>
      </w:tr>
      <w:tr w14:paraId="25F85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18" w:type="dxa"/>
          </w:tcPr>
          <w:p w14:paraId="4A476802">
            <w:pPr>
              <w:spacing w:before="37" w:line="223" w:lineRule="auto"/>
              <w:ind w:left="132"/>
              <w:rPr>
                <w:rFonts w:ascii="仿宋" w:hAnsi="仿宋" w:eastAsia="仿宋" w:cs="仿宋"/>
                <w:color w:val="auto"/>
                <w:sz w:val="24"/>
              </w:rPr>
            </w:pPr>
            <w:r>
              <w:rPr>
                <w:rFonts w:ascii="仿宋" w:hAnsi="仿宋" w:eastAsia="仿宋" w:cs="仿宋"/>
                <w:color w:val="auto"/>
                <w:spacing w:val="-5"/>
                <w:sz w:val="24"/>
              </w:rPr>
              <w:t>委托代理人：</w:t>
            </w:r>
          </w:p>
        </w:tc>
        <w:tc>
          <w:tcPr>
            <w:tcW w:w="4519" w:type="dxa"/>
          </w:tcPr>
          <w:p w14:paraId="4A309C02">
            <w:pPr>
              <w:spacing w:before="37" w:line="223" w:lineRule="auto"/>
              <w:ind w:left="131"/>
              <w:rPr>
                <w:rFonts w:ascii="仿宋" w:hAnsi="仿宋" w:eastAsia="仿宋" w:cs="仿宋"/>
                <w:color w:val="auto"/>
                <w:sz w:val="24"/>
              </w:rPr>
            </w:pPr>
            <w:r>
              <w:rPr>
                <w:rFonts w:ascii="仿宋" w:hAnsi="仿宋" w:eastAsia="仿宋" w:cs="仿宋"/>
                <w:color w:val="auto"/>
                <w:spacing w:val="-5"/>
                <w:sz w:val="24"/>
              </w:rPr>
              <w:t>委托代理人：</w:t>
            </w:r>
          </w:p>
        </w:tc>
      </w:tr>
      <w:tr w14:paraId="2885E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518" w:type="dxa"/>
          </w:tcPr>
          <w:p w14:paraId="05987BB4">
            <w:pPr>
              <w:spacing w:before="36" w:line="223" w:lineRule="auto"/>
              <w:ind w:left="149"/>
              <w:rPr>
                <w:rFonts w:ascii="仿宋" w:hAnsi="仿宋" w:eastAsia="仿宋" w:cs="仿宋"/>
                <w:color w:val="auto"/>
                <w:sz w:val="24"/>
              </w:rPr>
            </w:pPr>
            <w:r>
              <w:rPr>
                <w:rFonts w:ascii="仿宋" w:hAnsi="仿宋" w:eastAsia="仿宋" w:cs="仿宋"/>
                <w:color w:val="auto"/>
                <w:spacing w:val="-3"/>
                <w:sz w:val="24"/>
              </w:rPr>
              <w:t>电话：</w:t>
            </w:r>
            <w:r>
              <w:rPr>
                <w:rFonts w:hint="eastAsia" w:ascii="仿宋" w:hAnsi="仿宋" w:eastAsia="仿宋" w:cs="仿宋"/>
                <w:color w:val="auto"/>
                <w:spacing w:val="-3"/>
                <w:sz w:val="24"/>
              </w:rPr>
              <w:t xml:space="preserve"> </w:t>
            </w:r>
          </w:p>
        </w:tc>
        <w:tc>
          <w:tcPr>
            <w:tcW w:w="4519" w:type="dxa"/>
          </w:tcPr>
          <w:p w14:paraId="25D16903">
            <w:pPr>
              <w:spacing w:before="36" w:line="223" w:lineRule="auto"/>
              <w:ind w:left="148"/>
              <w:rPr>
                <w:rFonts w:ascii="仿宋" w:hAnsi="仿宋" w:eastAsia="仿宋" w:cs="仿宋"/>
                <w:color w:val="auto"/>
                <w:sz w:val="24"/>
              </w:rPr>
            </w:pPr>
            <w:r>
              <w:rPr>
                <w:rFonts w:ascii="仿宋" w:hAnsi="仿宋" w:eastAsia="仿宋" w:cs="仿宋"/>
                <w:color w:val="auto"/>
                <w:spacing w:val="-15"/>
                <w:sz w:val="24"/>
              </w:rPr>
              <w:t>电话：</w:t>
            </w:r>
            <w:r>
              <w:rPr>
                <w:rFonts w:hint="eastAsia" w:ascii="仿宋" w:hAnsi="仿宋" w:eastAsia="仿宋" w:cs="仿宋"/>
                <w:color w:val="auto"/>
                <w:spacing w:val="-15"/>
                <w:sz w:val="24"/>
              </w:rPr>
              <w:t xml:space="preserve"> </w:t>
            </w:r>
          </w:p>
        </w:tc>
      </w:tr>
      <w:tr w14:paraId="4E572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18" w:type="dxa"/>
          </w:tcPr>
          <w:p w14:paraId="0F426B10">
            <w:pPr>
              <w:spacing w:before="38" w:line="221" w:lineRule="auto"/>
              <w:ind w:left="149"/>
              <w:rPr>
                <w:rFonts w:ascii="仿宋" w:hAnsi="仿宋" w:eastAsia="仿宋" w:cs="仿宋"/>
                <w:color w:val="auto"/>
                <w:sz w:val="24"/>
              </w:rPr>
            </w:pPr>
            <w:r>
              <w:rPr>
                <w:rFonts w:ascii="仿宋" w:hAnsi="仿宋" w:eastAsia="仿宋" w:cs="仿宋"/>
                <w:color w:val="auto"/>
                <w:spacing w:val="-9"/>
                <w:sz w:val="24"/>
              </w:rPr>
              <w:t>电子邮箱：</w:t>
            </w:r>
          </w:p>
        </w:tc>
        <w:tc>
          <w:tcPr>
            <w:tcW w:w="4519" w:type="dxa"/>
          </w:tcPr>
          <w:p w14:paraId="6F5A29EA">
            <w:pPr>
              <w:spacing w:before="38" w:line="221" w:lineRule="auto"/>
              <w:ind w:left="148"/>
              <w:rPr>
                <w:rFonts w:ascii="仿宋" w:hAnsi="仿宋" w:eastAsia="仿宋" w:cs="仿宋"/>
                <w:color w:val="auto"/>
                <w:sz w:val="24"/>
              </w:rPr>
            </w:pPr>
            <w:r>
              <w:rPr>
                <w:rFonts w:ascii="仿宋" w:hAnsi="仿宋" w:eastAsia="仿宋" w:cs="仿宋"/>
                <w:color w:val="auto"/>
                <w:spacing w:val="-9"/>
                <w:sz w:val="24"/>
              </w:rPr>
              <w:t>电子邮箱：</w:t>
            </w:r>
            <w:r>
              <w:rPr>
                <w:rFonts w:hint="eastAsia" w:ascii="仿宋" w:hAnsi="仿宋" w:eastAsia="仿宋" w:cs="仿宋"/>
                <w:color w:val="auto"/>
                <w:spacing w:val="-9"/>
                <w:sz w:val="24"/>
              </w:rPr>
              <w:t xml:space="preserve"> </w:t>
            </w:r>
          </w:p>
        </w:tc>
      </w:tr>
      <w:tr w14:paraId="656DD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18" w:type="dxa"/>
          </w:tcPr>
          <w:p w14:paraId="039D2EF2">
            <w:pPr>
              <w:spacing w:before="39" w:line="221" w:lineRule="auto"/>
              <w:ind w:left="122"/>
              <w:rPr>
                <w:rFonts w:ascii="仿宋" w:hAnsi="仿宋" w:eastAsia="仿宋" w:cs="仿宋"/>
                <w:color w:val="auto"/>
                <w:sz w:val="24"/>
              </w:rPr>
            </w:pPr>
            <w:r>
              <w:rPr>
                <w:rFonts w:ascii="仿宋" w:hAnsi="仿宋" w:eastAsia="仿宋" w:cs="仿宋"/>
                <w:color w:val="auto"/>
                <w:spacing w:val="-4"/>
                <w:sz w:val="24"/>
              </w:rPr>
              <w:t>开户银行：</w:t>
            </w:r>
            <w:r>
              <w:rPr>
                <w:rFonts w:hint="eastAsia" w:ascii="仿宋" w:hAnsi="仿宋" w:eastAsia="仿宋" w:cs="仿宋"/>
                <w:color w:val="auto"/>
                <w:spacing w:val="-4"/>
                <w:sz w:val="24"/>
              </w:rPr>
              <w:t xml:space="preserve"> </w:t>
            </w:r>
          </w:p>
        </w:tc>
        <w:tc>
          <w:tcPr>
            <w:tcW w:w="4519" w:type="dxa"/>
          </w:tcPr>
          <w:p w14:paraId="757E6619">
            <w:pPr>
              <w:spacing w:before="39" w:line="221" w:lineRule="auto"/>
              <w:ind w:left="121"/>
              <w:rPr>
                <w:rFonts w:ascii="仿宋" w:hAnsi="仿宋" w:eastAsia="仿宋" w:cs="仿宋"/>
                <w:color w:val="auto"/>
                <w:sz w:val="24"/>
              </w:rPr>
            </w:pPr>
            <w:r>
              <w:rPr>
                <w:rFonts w:ascii="仿宋" w:hAnsi="仿宋" w:eastAsia="仿宋" w:cs="仿宋"/>
                <w:color w:val="auto"/>
                <w:spacing w:val="-4"/>
                <w:sz w:val="24"/>
              </w:rPr>
              <w:t>开户银行：</w:t>
            </w:r>
            <w:r>
              <w:rPr>
                <w:rFonts w:hint="eastAsia" w:ascii="仿宋" w:hAnsi="仿宋" w:eastAsia="仿宋" w:cs="仿宋"/>
                <w:color w:val="auto"/>
                <w:spacing w:val="-4"/>
                <w:sz w:val="24"/>
              </w:rPr>
              <w:t xml:space="preserve"> </w:t>
            </w:r>
          </w:p>
        </w:tc>
      </w:tr>
      <w:tr w14:paraId="295C3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4518" w:type="dxa"/>
          </w:tcPr>
          <w:p w14:paraId="46244342">
            <w:pPr>
              <w:spacing w:before="39" w:line="224" w:lineRule="auto"/>
              <w:ind w:left="120"/>
              <w:rPr>
                <w:rFonts w:ascii="仿宋" w:hAnsi="仿宋" w:eastAsia="仿宋" w:cs="仿宋"/>
                <w:color w:val="auto"/>
                <w:sz w:val="24"/>
              </w:rPr>
            </w:pPr>
            <w:r>
              <w:rPr>
                <w:rFonts w:ascii="仿宋" w:hAnsi="仿宋" w:eastAsia="仿宋" w:cs="仿宋"/>
                <w:color w:val="auto"/>
                <w:spacing w:val="-5"/>
                <w:sz w:val="24"/>
              </w:rPr>
              <w:t>账号：</w:t>
            </w:r>
            <w:r>
              <w:rPr>
                <w:rFonts w:hint="eastAsia" w:ascii="仿宋" w:hAnsi="仿宋" w:eastAsia="仿宋" w:cs="仿宋"/>
                <w:color w:val="auto"/>
                <w:spacing w:val="-5"/>
                <w:sz w:val="24"/>
              </w:rPr>
              <w:t xml:space="preserve"> </w:t>
            </w:r>
          </w:p>
        </w:tc>
        <w:tc>
          <w:tcPr>
            <w:tcW w:w="4519" w:type="dxa"/>
          </w:tcPr>
          <w:p w14:paraId="09557E0C">
            <w:pPr>
              <w:spacing w:before="39" w:line="224" w:lineRule="auto"/>
              <w:ind w:left="119"/>
              <w:rPr>
                <w:rFonts w:ascii="仿宋" w:hAnsi="仿宋" w:eastAsia="仿宋" w:cs="仿宋"/>
                <w:color w:val="auto"/>
                <w:sz w:val="24"/>
              </w:rPr>
            </w:pPr>
            <w:r>
              <w:rPr>
                <w:rFonts w:ascii="仿宋" w:hAnsi="仿宋" w:eastAsia="仿宋" w:cs="仿宋"/>
                <w:color w:val="auto"/>
                <w:spacing w:val="-5"/>
                <w:sz w:val="24"/>
              </w:rPr>
              <w:t>账号：</w:t>
            </w:r>
            <w:r>
              <w:rPr>
                <w:rFonts w:hint="eastAsia" w:ascii="仿宋" w:hAnsi="仿宋" w:eastAsia="仿宋" w:cs="仿宋"/>
                <w:color w:val="auto"/>
                <w:spacing w:val="-5"/>
                <w:sz w:val="24"/>
              </w:rPr>
              <w:t xml:space="preserve"> </w:t>
            </w:r>
          </w:p>
        </w:tc>
      </w:tr>
      <w:tr w14:paraId="186C0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4518" w:type="dxa"/>
          </w:tcPr>
          <w:p w14:paraId="5781E9AA">
            <w:pPr>
              <w:spacing w:before="38" w:line="222" w:lineRule="auto"/>
              <w:ind w:left="140"/>
              <w:rPr>
                <w:rFonts w:ascii="仿宋" w:hAnsi="仿宋" w:eastAsia="仿宋" w:cs="仿宋"/>
                <w:color w:val="auto"/>
                <w:sz w:val="24"/>
              </w:rPr>
            </w:pPr>
            <w:r>
              <w:rPr>
                <w:rFonts w:ascii="仿宋" w:hAnsi="仿宋" w:eastAsia="仿宋" w:cs="仿宋"/>
                <w:color w:val="auto"/>
                <w:spacing w:val="-4"/>
                <w:sz w:val="24"/>
              </w:rPr>
              <w:t>邮政编码：</w:t>
            </w:r>
            <w:r>
              <w:rPr>
                <w:rFonts w:hint="eastAsia" w:ascii="仿宋" w:hAnsi="仿宋" w:eastAsia="仿宋" w:cs="仿宋"/>
                <w:color w:val="auto"/>
                <w:spacing w:val="-4"/>
                <w:sz w:val="24"/>
              </w:rPr>
              <w:t xml:space="preserve"> </w:t>
            </w:r>
          </w:p>
        </w:tc>
        <w:tc>
          <w:tcPr>
            <w:tcW w:w="4519" w:type="dxa"/>
          </w:tcPr>
          <w:p w14:paraId="2D9ECA1E">
            <w:pPr>
              <w:spacing w:before="38" w:line="222" w:lineRule="auto"/>
              <w:ind w:left="139"/>
              <w:rPr>
                <w:rFonts w:ascii="仿宋" w:hAnsi="仿宋" w:eastAsia="仿宋" w:cs="仿宋"/>
                <w:color w:val="auto"/>
                <w:sz w:val="24"/>
              </w:rPr>
            </w:pPr>
            <w:r>
              <w:rPr>
                <w:rFonts w:ascii="仿宋" w:hAnsi="仿宋" w:eastAsia="仿宋" w:cs="仿宋"/>
                <w:color w:val="auto"/>
                <w:spacing w:val="-7"/>
                <w:sz w:val="24"/>
              </w:rPr>
              <w:t>邮政编码：</w:t>
            </w:r>
            <w:r>
              <w:rPr>
                <w:rFonts w:hint="eastAsia" w:ascii="仿宋" w:hAnsi="仿宋" w:eastAsia="仿宋" w:cs="仿宋"/>
                <w:color w:val="auto"/>
                <w:spacing w:val="-7"/>
                <w:sz w:val="24"/>
              </w:rPr>
              <w:t xml:space="preserve"> </w:t>
            </w:r>
          </w:p>
        </w:tc>
      </w:tr>
    </w:tbl>
    <w:p w14:paraId="479690A7">
      <w:pPr>
        <w:rPr>
          <w:color w:val="auto"/>
        </w:rPr>
      </w:pPr>
      <w:r>
        <w:rPr>
          <w:rFonts w:ascii="宋体" w:hAnsi="宋体" w:eastAsia="宋体" w:cs="宋体"/>
          <w:b/>
          <w:color w:val="auto"/>
          <w:sz w:val="36"/>
        </w:rPr>
        <w:br w:type="page"/>
      </w:r>
    </w:p>
    <w:p w14:paraId="6D60C047">
      <w:pPr>
        <w:rPr>
          <w:color w:val="auto"/>
        </w:rPr>
      </w:pPr>
    </w:p>
    <w:p w14:paraId="5134A3C2">
      <w:pPr>
        <w:pStyle w:val="20"/>
        <w:tabs>
          <w:tab w:val="left" w:pos="2472"/>
        </w:tabs>
        <w:spacing w:line="460" w:lineRule="exact"/>
        <w:jc w:val="center"/>
        <w:rPr>
          <w:rFonts w:ascii="宋体" w:hAnsi="宋体" w:eastAsia="宋体" w:cs="宋体"/>
          <w:b/>
          <w:color w:val="auto"/>
          <w:sz w:val="36"/>
        </w:rPr>
      </w:pPr>
    </w:p>
    <w:p w14:paraId="05D28E8C">
      <w:pPr>
        <w:pStyle w:val="20"/>
        <w:tabs>
          <w:tab w:val="left" w:pos="2472"/>
        </w:tabs>
        <w:spacing w:line="460" w:lineRule="exact"/>
        <w:jc w:val="center"/>
        <w:rPr>
          <w:rFonts w:ascii="宋体" w:hAnsi="宋体" w:eastAsia="宋体" w:cs="宋体"/>
          <w:b/>
          <w:color w:val="auto"/>
          <w:sz w:val="36"/>
        </w:rPr>
      </w:pPr>
    </w:p>
    <w:p w14:paraId="6E286C15">
      <w:pPr>
        <w:pStyle w:val="20"/>
        <w:tabs>
          <w:tab w:val="left" w:pos="2472"/>
        </w:tabs>
        <w:spacing w:line="460" w:lineRule="exact"/>
        <w:jc w:val="center"/>
        <w:rPr>
          <w:rFonts w:ascii="宋体" w:hAnsi="宋体" w:eastAsia="宋体" w:cs="宋体"/>
          <w:b/>
          <w:color w:val="auto"/>
          <w:sz w:val="36"/>
        </w:rPr>
      </w:pPr>
    </w:p>
    <w:p w14:paraId="217DF838">
      <w:pPr>
        <w:pStyle w:val="20"/>
        <w:tabs>
          <w:tab w:val="left" w:pos="2472"/>
        </w:tabs>
        <w:spacing w:line="460" w:lineRule="exact"/>
        <w:jc w:val="center"/>
        <w:rPr>
          <w:rFonts w:ascii="宋体" w:hAnsi="宋体" w:eastAsia="宋体" w:cs="宋体"/>
          <w:b/>
          <w:color w:val="auto"/>
          <w:sz w:val="36"/>
        </w:rPr>
      </w:pPr>
    </w:p>
    <w:p w14:paraId="229025BF">
      <w:pPr>
        <w:pStyle w:val="20"/>
        <w:tabs>
          <w:tab w:val="left" w:pos="2472"/>
        </w:tabs>
        <w:spacing w:line="460" w:lineRule="exact"/>
        <w:jc w:val="center"/>
        <w:rPr>
          <w:rFonts w:ascii="宋体" w:hAnsi="宋体" w:eastAsia="宋体" w:cs="宋体"/>
          <w:b/>
          <w:color w:val="auto"/>
          <w:sz w:val="36"/>
        </w:rPr>
      </w:pPr>
    </w:p>
    <w:p w14:paraId="17F21404">
      <w:pPr>
        <w:pStyle w:val="20"/>
        <w:tabs>
          <w:tab w:val="left" w:pos="2472"/>
        </w:tabs>
        <w:spacing w:line="460" w:lineRule="exact"/>
        <w:jc w:val="center"/>
        <w:outlineLvl w:val="0"/>
        <w:rPr>
          <w:rFonts w:ascii="宋体" w:hAnsi="宋体" w:eastAsia="宋体" w:cs="宋体"/>
          <w:b/>
          <w:color w:val="auto"/>
          <w:sz w:val="36"/>
        </w:rPr>
      </w:pPr>
      <w:bookmarkStart w:id="90" w:name="_Toc18341"/>
      <w:r>
        <w:rPr>
          <w:rFonts w:hint="eastAsia" w:ascii="宋体" w:hAnsi="宋体" w:eastAsia="宋体" w:cs="宋体"/>
          <w:b/>
          <w:color w:val="auto"/>
          <w:sz w:val="36"/>
        </w:rPr>
        <w:t>第七章 投标文件格式</w:t>
      </w:r>
      <w:bookmarkEnd w:id="69"/>
      <w:bookmarkEnd w:id="90"/>
    </w:p>
    <w:p w14:paraId="078F80F8">
      <w:pPr>
        <w:pStyle w:val="20"/>
        <w:spacing w:line="360" w:lineRule="auto"/>
        <w:rPr>
          <w:rFonts w:ascii="宋体" w:hAnsi="宋体" w:eastAsia="宋体" w:cs="宋体"/>
          <w:color w:val="auto"/>
        </w:rPr>
        <w:sectPr>
          <w:headerReference r:id="rId13" w:type="default"/>
          <w:footerReference r:id="rId14" w:type="default"/>
          <w:pgSz w:w="11906" w:h="16838"/>
          <w:pgMar w:top="1361" w:right="1361" w:bottom="1361" w:left="1361" w:header="720" w:footer="720" w:gutter="0"/>
          <w:cols w:space="720" w:num="1"/>
          <w:docGrid w:type="lines" w:linePitch="331" w:charSpace="0"/>
        </w:sectPr>
      </w:pPr>
    </w:p>
    <w:p w14:paraId="303224D7">
      <w:pPr>
        <w:rPr>
          <w:rFonts w:ascii="宋体" w:hAnsi="宋体" w:eastAsia="宋体" w:cs="宋体"/>
          <w:b/>
          <w:color w:val="auto"/>
          <w:sz w:val="28"/>
          <w:szCs w:val="28"/>
        </w:rPr>
      </w:pPr>
      <w:r>
        <w:rPr>
          <w:rFonts w:hint="eastAsia" w:ascii="宋体" w:hAnsi="宋体" w:eastAsia="宋体" w:cs="宋体"/>
          <w:b/>
          <w:color w:val="auto"/>
          <w:sz w:val="28"/>
          <w:szCs w:val="28"/>
        </w:rPr>
        <w:t>一、报价文件格式</w:t>
      </w:r>
    </w:p>
    <w:p w14:paraId="4AF9B690">
      <w:pPr>
        <w:snapToGrid w:val="0"/>
        <w:spacing w:before="120" w:beforeLines="50" w:after="50" w:line="360" w:lineRule="auto"/>
        <w:ind w:left="142"/>
        <w:jc w:val="left"/>
        <w:rPr>
          <w:rFonts w:ascii="宋体" w:hAnsi="宋体" w:eastAsia="宋体" w:cs="宋体"/>
          <w:color w:val="auto"/>
          <w:sz w:val="24"/>
          <w:szCs w:val="20"/>
        </w:rPr>
      </w:pPr>
      <w:r>
        <w:rPr>
          <w:rFonts w:hint="eastAsia" w:ascii="宋体" w:hAnsi="宋体" w:eastAsia="宋体" w:cs="宋体"/>
          <w:b/>
          <w:color w:val="auto"/>
          <w:sz w:val="24"/>
        </w:rPr>
        <w:t xml:space="preserve">1. 报价文件封面格式： </w:t>
      </w:r>
    </w:p>
    <w:p w14:paraId="5AA6D575">
      <w:pPr>
        <w:snapToGrid w:val="0"/>
        <w:spacing w:before="120" w:beforeLines="50" w:after="50" w:line="400" w:lineRule="exact"/>
        <w:rPr>
          <w:rFonts w:ascii="宋体" w:hAnsi="宋体" w:eastAsia="宋体" w:cs="宋体"/>
          <w:bCs/>
          <w:color w:val="auto"/>
          <w:sz w:val="32"/>
          <w:szCs w:val="20"/>
        </w:rPr>
      </w:pPr>
      <w:r>
        <w:rPr>
          <w:rFonts w:hint="eastAsia" w:ascii="宋体" w:hAnsi="宋体" w:eastAsia="宋体" w:cs="宋体"/>
          <w:color w:val="auto"/>
          <w:sz w:val="24"/>
        </w:rPr>
        <w:t xml:space="preserve">                                                   </w:t>
      </w:r>
    </w:p>
    <w:p w14:paraId="43F5DBA4">
      <w:pPr>
        <w:snapToGrid w:val="0"/>
        <w:spacing w:before="120" w:beforeLines="50" w:after="50" w:line="400" w:lineRule="exact"/>
        <w:jc w:val="center"/>
        <w:rPr>
          <w:rFonts w:ascii="宋体" w:hAnsi="宋体" w:eastAsia="宋体" w:cs="宋体"/>
          <w:bCs/>
          <w:color w:val="auto"/>
          <w:sz w:val="24"/>
          <w:szCs w:val="20"/>
        </w:rPr>
      </w:pPr>
    </w:p>
    <w:p w14:paraId="283C44C3">
      <w:pPr>
        <w:snapToGrid w:val="0"/>
        <w:spacing w:before="120" w:beforeLines="50" w:after="50"/>
        <w:jc w:val="center"/>
        <w:rPr>
          <w:rFonts w:ascii="宋体" w:hAnsi="宋体" w:eastAsia="宋体" w:cs="宋体"/>
          <w:color w:val="auto"/>
          <w:sz w:val="84"/>
          <w:szCs w:val="84"/>
        </w:rPr>
      </w:pPr>
      <w:r>
        <w:rPr>
          <w:rFonts w:hint="eastAsia" w:ascii="宋体" w:hAnsi="宋体" w:eastAsia="宋体" w:cs="宋体"/>
          <w:color w:val="auto"/>
          <w:sz w:val="84"/>
          <w:szCs w:val="84"/>
        </w:rPr>
        <w:t>投  标  文  件</w:t>
      </w:r>
    </w:p>
    <w:p w14:paraId="483F1997">
      <w:pPr>
        <w:snapToGrid w:val="0"/>
        <w:spacing w:before="120" w:beforeLines="50" w:after="50" w:line="400" w:lineRule="exact"/>
        <w:jc w:val="center"/>
        <w:rPr>
          <w:rFonts w:ascii="宋体" w:hAnsi="宋体" w:eastAsia="宋体" w:cs="宋体"/>
          <w:bCs/>
          <w:color w:val="auto"/>
          <w:sz w:val="32"/>
          <w:szCs w:val="32"/>
        </w:rPr>
      </w:pPr>
    </w:p>
    <w:p w14:paraId="1E5CB1C8">
      <w:pPr>
        <w:snapToGrid w:val="0"/>
        <w:spacing w:before="120" w:beforeLines="50" w:after="50" w:line="400" w:lineRule="exact"/>
        <w:jc w:val="center"/>
        <w:rPr>
          <w:rFonts w:ascii="宋体" w:hAnsi="宋体" w:eastAsia="宋体" w:cs="宋体"/>
          <w:color w:val="auto"/>
          <w:sz w:val="32"/>
          <w:szCs w:val="32"/>
        </w:rPr>
      </w:pPr>
      <w:r>
        <w:rPr>
          <w:rFonts w:hint="eastAsia" w:ascii="宋体" w:hAnsi="宋体" w:eastAsia="宋体" w:cs="宋体"/>
          <w:color w:val="auto"/>
          <w:sz w:val="32"/>
          <w:szCs w:val="32"/>
        </w:rPr>
        <w:t>报  价  文  件</w:t>
      </w:r>
    </w:p>
    <w:p w14:paraId="1EC8BD02">
      <w:pPr>
        <w:snapToGrid w:val="0"/>
        <w:spacing w:before="120" w:beforeLines="50" w:after="50" w:line="400" w:lineRule="exact"/>
        <w:rPr>
          <w:rFonts w:ascii="宋体" w:hAnsi="宋体" w:eastAsia="宋体" w:cs="宋体"/>
          <w:bCs/>
          <w:color w:val="auto"/>
          <w:sz w:val="24"/>
          <w:szCs w:val="20"/>
        </w:rPr>
      </w:pPr>
    </w:p>
    <w:p w14:paraId="150D7D5F">
      <w:pPr>
        <w:snapToGrid w:val="0"/>
        <w:spacing w:before="120" w:beforeLines="50" w:after="50" w:line="400" w:lineRule="exact"/>
        <w:rPr>
          <w:rFonts w:ascii="宋体" w:hAnsi="宋体" w:eastAsia="宋体" w:cs="宋体"/>
          <w:bCs/>
          <w:color w:val="auto"/>
          <w:sz w:val="24"/>
          <w:szCs w:val="20"/>
        </w:rPr>
      </w:pPr>
    </w:p>
    <w:p w14:paraId="18E69AD2">
      <w:pPr>
        <w:snapToGrid w:val="0"/>
        <w:spacing w:before="120" w:beforeLines="50" w:after="50" w:line="400" w:lineRule="exact"/>
        <w:rPr>
          <w:rFonts w:ascii="宋体" w:hAnsi="宋体" w:eastAsia="宋体" w:cs="宋体"/>
          <w:bCs/>
          <w:color w:val="auto"/>
          <w:sz w:val="24"/>
          <w:szCs w:val="20"/>
        </w:rPr>
      </w:pPr>
    </w:p>
    <w:p w14:paraId="66EBD86D">
      <w:pPr>
        <w:snapToGrid w:val="0"/>
        <w:spacing w:before="120" w:beforeLines="50" w:after="50" w:line="400" w:lineRule="exact"/>
        <w:rPr>
          <w:rFonts w:ascii="宋体" w:hAnsi="宋体" w:eastAsia="宋体" w:cs="宋体"/>
          <w:bCs/>
          <w:color w:val="auto"/>
          <w:sz w:val="24"/>
          <w:szCs w:val="20"/>
        </w:rPr>
      </w:pPr>
    </w:p>
    <w:p w14:paraId="77119D60">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 xml:space="preserve">项目名称+标段： </w:t>
      </w:r>
    </w:p>
    <w:p w14:paraId="4F0679A8">
      <w:pPr>
        <w:snapToGrid w:val="0"/>
        <w:spacing w:before="120" w:beforeLines="50" w:after="50" w:line="400" w:lineRule="exact"/>
        <w:ind w:firstLine="360" w:firstLineChars="150"/>
        <w:rPr>
          <w:rFonts w:ascii="宋体" w:hAnsi="宋体" w:eastAsia="宋体" w:cs="宋体"/>
          <w:bCs/>
          <w:color w:val="auto"/>
          <w:sz w:val="24"/>
        </w:rPr>
      </w:pPr>
    </w:p>
    <w:p w14:paraId="56D2AB54">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 xml:space="preserve">项目编号： </w:t>
      </w:r>
    </w:p>
    <w:p w14:paraId="1E8DCB1B">
      <w:pPr>
        <w:snapToGrid w:val="0"/>
        <w:spacing w:before="120" w:beforeLines="50" w:after="50" w:line="400" w:lineRule="exact"/>
        <w:ind w:firstLine="360" w:firstLineChars="150"/>
        <w:rPr>
          <w:rFonts w:ascii="宋体" w:hAnsi="宋体" w:eastAsia="宋体" w:cs="宋体"/>
          <w:bCs/>
          <w:color w:val="auto"/>
          <w:sz w:val="24"/>
        </w:rPr>
      </w:pPr>
    </w:p>
    <w:p w14:paraId="54491011">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所投分标：</w:t>
      </w:r>
    </w:p>
    <w:p w14:paraId="4BC6BCA2">
      <w:pPr>
        <w:snapToGrid w:val="0"/>
        <w:spacing w:before="120" w:beforeLines="50" w:after="50" w:line="400" w:lineRule="exact"/>
        <w:ind w:firstLine="360" w:firstLineChars="150"/>
        <w:rPr>
          <w:rFonts w:ascii="宋体" w:hAnsi="宋体" w:eastAsia="宋体" w:cs="宋体"/>
          <w:bCs/>
          <w:color w:val="auto"/>
          <w:sz w:val="24"/>
        </w:rPr>
      </w:pPr>
    </w:p>
    <w:p w14:paraId="2621584D">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投标人名称：</w:t>
      </w:r>
    </w:p>
    <w:p w14:paraId="7E09FBA4">
      <w:pPr>
        <w:snapToGrid w:val="0"/>
        <w:spacing w:before="120" w:beforeLines="50" w:after="50" w:line="400" w:lineRule="exact"/>
        <w:ind w:firstLine="360" w:firstLineChars="150"/>
        <w:rPr>
          <w:rFonts w:ascii="宋体" w:hAnsi="宋体" w:eastAsia="宋体" w:cs="宋体"/>
          <w:bCs/>
          <w:color w:val="auto"/>
          <w:sz w:val="24"/>
        </w:rPr>
      </w:pPr>
    </w:p>
    <w:p w14:paraId="7854B1C1">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投标人地址：</w:t>
      </w:r>
    </w:p>
    <w:p w14:paraId="4B33EDA4">
      <w:pPr>
        <w:pStyle w:val="7"/>
        <w:snapToGrid w:val="0"/>
        <w:spacing w:before="50" w:after="50" w:line="400" w:lineRule="exact"/>
        <w:ind w:firstLine="960" w:firstLineChars="400"/>
        <w:rPr>
          <w:rFonts w:ascii="宋体" w:hAnsi="宋体" w:eastAsia="宋体" w:cs="宋体"/>
          <w:bCs/>
          <w:color w:val="auto"/>
          <w:sz w:val="24"/>
          <w:szCs w:val="24"/>
        </w:rPr>
      </w:pPr>
    </w:p>
    <w:p w14:paraId="358DBA24">
      <w:pPr>
        <w:snapToGrid w:val="0"/>
        <w:spacing w:before="120" w:beforeLines="50" w:after="50" w:line="400" w:lineRule="exact"/>
        <w:rPr>
          <w:rFonts w:ascii="宋体" w:hAnsi="宋体" w:eastAsia="宋体" w:cs="宋体"/>
          <w:color w:val="auto"/>
          <w:sz w:val="30"/>
          <w:szCs w:val="20"/>
        </w:rPr>
      </w:pPr>
      <w:r>
        <w:rPr>
          <w:rFonts w:hint="eastAsia" w:ascii="宋体" w:hAnsi="宋体" w:eastAsia="宋体" w:cs="宋体"/>
          <w:color w:val="auto"/>
          <w:sz w:val="24"/>
        </w:rPr>
        <w:t xml:space="preserve">                                   年  月  日</w:t>
      </w:r>
    </w:p>
    <w:p w14:paraId="35DA2F3E">
      <w:pPr>
        <w:snapToGrid w:val="0"/>
        <w:spacing w:before="120" w:beforeLines="50" w:after="50" w:line="360" w:lineRule="auto"/>
        <w:jc w:val="left"/>
        <w:rPr>
          <w:rFonts w:ascii="宋体" w:hAnsi="宋体" w:eastAsia="宋体" w:cs="宋体"/>
          <w:color w:val="auto"/>
          <w:sz w:val="24"/>
          <w:szCs w:val="20"/>
        </w:rPr>
      </w:pPr>
      <w:r>
        <w:rPr>
          <w:rFonts w:hint="eastAsia" w:ascii="宋体" w:hAnsi="宋体" w:eastAsia="宋体" w:cs="宋体"/>
          <w:b/>
          <w:color w:val="auto"/>
          <w:sz w:val="24"/>
        </w:rPr>
        <w:br w:type="page"/>
      </w:r>
      <w:r>
        <w:rPr>
          <w:rFonts w:hint="eastAsia" w:ascii="宋体" w:hAnsi="宋体" w:eastAsia="宋体" w:cs="宋体"/>
          <w:b/>
          <w:color w:val="auto"/>
          <w:sz w:val="24"/>
        </w:rPr>
        <w:t>2.</w:t>
      </w:r>
      <w:r>
        <w:rPr>
          <w:rFonts w:hint="eastAsia" w:ascii="宋体" w:hAnsi="宋体" w:eastAsia="宋体" w:cs="宋体"/>
          <w:b/>
          <w:bCs/>
          <w:color w:val="auto"/>
          <w:sz w:val="24"/>
        </w:rPr>
        <w:t>报价文件目录</w:t>
      </w:r>
    </w:p>
    <w:p w14:paraId="28414EEC">
      <w:pPr>
        <w:snapToGrid w:val="0"/>
        <w:spacing w:before="50" w:after="120" w:afterLines="50" w:line="360" w:lineRule="auto"/>
        <w:jc w:val="left"/>
        <w:rPr>
          <w:rFonts w:ascii="宋体" w:hAnsi="宋体" w:eastAsia="宋体" w:cs="宋体"/>
          <w:b/>
          <w:color w:val="auto"/>
          <w:sz w:val="24"/>
        </w:rPr>
      </w:pPr>
      <w:r>
        <w:rPr>
          <w:rFonts w:hint="eastAsia" w:ascii="宋体" w:hAnsi="宋体" w:eastAsia="宋体" w:cs="宋体"/>
          <w:color w:val="auto"/>
          <w:szCs w:val="21"/>
        </w:rPr>
        <w:t>根据招标文件规定及投标人提供的材料自行编写目录。</w:t>
      </w:r>
    </w:p>
    <w:p w14:paraId="34DC1A05">
      <w:pPr>
        <w:snapToGrid w:val="0"/>
        <w:spacing w:before="120" w:beforeLines="50" w:after="50"/>
        <w:rPr>
          <w:rFonts w:ascii="宋体" w:hAnsi="宋体" w:eastAsia="宋体" w:cs="宋体"/>
          <w:b/>
          <w:color w:val="auto"/>
          <w:sz w:val="24"/>
        </w:rPr>
      </w:pPr>
    </w:p>
    <w:p w14:paraId="2B5557CE">
      <w:pPr>
        <w:snapToGrid w:val="0"/>
        <w:spacing w:before="120" w:beforeLines="50" w:after="50"/>
        <w:rPr>
          <w:rFonts w:ascii="宋体" w:hAnsi="宋体" w:eastAsia="宋体" w:cs="宋体"/>
          <w:b/>
          <w:color w:val="auto"/>
          <w:sz w:val="24"/>
        </w:rPr>
      </w:pPr>
    </w:p>
    <w:p w14:paraId="5C7E878B">
      <w:pPr>
        <w:snapToGrid w:val="0"/>
        <w:spacing w:before="120" w:beforeLines="50" w:after="50"/>
        <w:rPr>
          <w:rFonts w:ascii="宋体" w:hAnsi="宋体" w:eastAsia="宋体" w:cs="宋体"/>
          <w:b/>
          <w:color w:val="auto"/>
          <w:sz w:val="24"/>
        </w:rPr>
      </w:pPr>
    </w:p>
    <w:p w14:paraId="30C6762B">
      <w:pPr>
        <w:snapToGrid w:val="0"/>
        <w:spacing w:before="120" w:beforeLines="50" w:after="50"/>
        <w:ind w:left="142"/>
        <w:jc w:val="left"/>
        <w:rPr>
          <w:rFonts w:ascii="宋体" w:hAnsi="宋体" w:eastAsia="宋体" w:cs="宋体"/>
          <w:b/>
          <w:color w:val="auto"/>
          <w:sz w:val="24"/>
        </w:rPr>
      </w:pPr>
      <w:r>
        <w:rPr>
          <w:rFonts w:hint="eastAsia" w:ascii="宋体" w:hAnsi="宋体" w:eastAsia="宋体" w:cs="宋体"/>
          <w:b/>
          <w:color w:val="auto"/>
          <w:sz w:val="24"/>
        </w:rPr>
        <w:br w:type="page"/>
      </w:r>
      <w:r>
        <w:rPr>
          <w:rFonts w:hint="eastAsia" w:ascii="宋体" w:hAnsi="宋体" w:eastAsia="宋体" w:cs="宋体"/>
          <w:b/>
          <w:color w:val="auto"/>
          <w:sz w:val="24"/>
        </w:rPr>
        <w:t>3. 投标函格式：</w:t>
      </w:r>
    </w:p>
    <w:p w14:paraId="1850D689">
      <w:pPr>
        <w:snapToGrid w:val="0"/>
        <w:spacing w:before="120" w:beforeLines="50" w:after="50" w:line="360" w:lineRule="auto"/>
        <w:jc w:val="center"/>
        <w:rPr>
          <w:rFonts w:ascii="宋体" w:hAnsi="宋体" w:eastAsia="宋体" w:cs="宋体"/>
          <w:bCs/>
          <w:color w:val="auto"/>
          <w:sz w:val="44"/>
          <w:szCs w:val="44"/>
        </w:rPr>
      </w:pPr>
      <w:r>
        <w:rPr>
          <w:rFonts w:hint="eastAsia" w:ascii="宋体" w:hAnsi="宋体" w:eastAsia="宋体" w:cs="宋体"/>
          <w:bCs/>
          <w:color w:val="auto"/>
          <w:sz w:val="44"/>
          <w:szCs w:val="44"/>
        </w:rPr>
        <w:t>投 标 函</w:t>
      </w:r>
    </w:p>
    <w:p w14:paraId="091EA659">
      <w:pPr>
        <w:spacing w:line="400" w:lineRule="exact"/>
        <w:contextualSpacing/>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采购人名称</w:t>
      </w:r>
    </w:p>
    <w:p w14:paraId="35D03780">
      <w:pPr>
        <w:spacing w:line="400" w:lineRule="exact"/>
        <w:ind w:firstLine="480"/>
        <w:contextualSpacing/>
        <w:rPr>
          <w:rFonts w:ascii="宋体" w:hAnsi="宋体" w:eastAsia="宋体" w:cs="宋体"/>
          <w:color w:val="auto"/>
          <w:sz w:val="24"/>
        </w:rPr>
      </w:pPr>
      <w:r>
        <w:rPr>
          <w:rFonts w:hint="eastAsia" w:ascii="宋体" w:hAnsi="宋体" w:eastAsia="宋体" w:cs="宋体"/>
          <w:color w:val="auto"/>
          <w:sz w:val="24"/>
        </w:rPr>
        <w:t>根据贵方</w:t>
      </w:r>
      <w:r>
        <w:rPr>
          <w:rFonts w:hint="eastAsia" w:ascii="宋体" w:hAnsi="宋体" w:eastAsia="宋体" w:cs="宋体"/>
          <w:color w:val="auto"/>
          <w:sz w:val="24"/>
          <w:u w:val="single"/>
        </w:rPr>
        <w:t xml:space="preserve"> 项目名称+标段</w:t>
      </w:r>
      <w:r>
        <w:rPr>
          <w:rFonts w:hint="eastAsia" w:ascii="宋体" w:hAnsi="宋体" w:eastAsia="宋体" w:cs="宋体"/>
          <w:color w:val="auto"/>
          <w:sz w:val="24"/>
        </w:rPr>
        <w:t>（项目编号：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）的招标公告，签字代表</w:t>
      </w:r>
      <w:r>
        <w:rPr>
          <w:rFonts w:hint="eastAsia" w:ascii="宋体" w:hAnsi="宋体" w:eastAsia="宋体" w:cs="宋体"/>
          <w:color w:val="auto"/>
          <w:sz w:val="24"/>
          <w:u w:val="single"/>
        </w:rPr>
        <w:t xml:space="preserve">           </w:t>
      </w:r>
      <w:r>
        <w:rPr>
          <w:rFonts w:hint="eastAsia" w:ascii="宋体" w:hAnsi="宋体" w:eastAsia="宋体" w:cs="宋体"/>
          <w:color w:val="auto"/>
          <w:sz w:val="24"/>
        </w:rPr>
        <w:t>（姓名）经正式授权并代表投标人</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（投标人名称）提交投标文件。</w:t>
      </w:r>
    </w:p>
    <w:p w14:paraId="2BBC8A77">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据此函，我方宣布同意如下：</w:t>
      </w:r>
    </w:p>
    <w:p w14:paraId="4A846A83">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1.我方已详细审查全部“招标文件”，包括修改文件（如有的话）以及全部参考资料和有关附件，已经了解我方对于招标文件、采购过程、采购结果有依法进行询问、质疑、投诉的权利及相关渠道和要求。</w:t>
      </w:r>
    </w:p>
    <w:p w14:paraId="2D7168EC">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2.我方在投标之前已经完全理解并接受招标文件的各项规定和要求，对招标文件的合理性、合法性不再有异议。</w:t>
      </w:r>
    </w:p>
    <w:p w14:paraId="7A22C5CC">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3.本投标有效期自投标截止之日起</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A35B974">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4.如中标，本投标文件至本项目合同履行完毕止均保持有效，我方将按“招标文件”及政府采购法律、法规的规定履行合同责任和义务。</w:t>
      </w:r>
    </w:p>
    <w:p w14:paraId="103ACFCA">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5.我方同意按照贵方要求提供与投标有关的一切数据或者资料。</w:t>
      </w:r>
    </w:p>
    <w:p w14:paraId="3E10F99F">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6.我方向贵方提交的所有投标文件、资料都是准确的和真实的。</w:t>
      </w:r>
    </w:p>
    <w:p w14:paraId="1B65F6BE">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7.以上事项如有虚假或者隐瞒，我方愿意承担一切后果，并不再寻求任何旨在减轻或者免除法律责任的辩解。</w:t>
      </w:r>
    </w:p>
    <w:p w14:paraId="6E808DAD">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63B87A95">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□我方本次投标文件</w:t>
      </w:r>
      <w:r>
        <w:rPr>
          <w:rFonts w:hint="eastAsia" w:ascii="宋体" w:hAnsi="宋体" w:eastAsia="宋体" w:cs="宋体"/>
          <w:color w:val="auto"/>
          <w:kern w:val="0"/>
          <w:sz w:val="24"/>
        </w:rPr>
        <w:t>内容中</w:t>
      </w:r>
      <w:r>
        <w:rPr>
          <w:rFonts w:hint="eastAsia" w:ascii="宋体" w:hAnsi="宋体" w:eastAsia="宋体" w:cs="宋体"/>
          <w:color w:val="auto"/>
          <w:sz w:val="24"/>
        </w:rPr>
        <w:t>未</w:t>
      </w:r>
      <w:r>
        <w:rPr>
          <w:rFonts w:hint="eastAsia" w:ascii="宋体" w:hAnsi="宋体" w:eastAsia="宋体" w:cs="宋体"/>
          <w:color w:val="auto"/>
          <w:kern w:val="0"/>
          <w:sz w:val="24"/>
        </w:rPr>
        <w:t>涉及商业秘密；</w:t>
      </w:r>
    </w:p>
    <w:p w14:paraId="5F9E8B4E">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□我方本次投标文件</w:t>
      </w:r>
      <w:r>
        <w:rPr>
          <w:rFonts w:hint="eastAsia" w:ascii="宋体" w:hAnsi="宋体" w:eastAsia="宋体" w:cs="宋体"/>
          <w:color w:val="auto"/>
          <w:kern w:val="0"/>
          <w:sz w:val="24"/>
        </w:rPr>
        <w:t>涉及商业秘密的内容有：</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w:t>
      </w:r>
    </w:p>
    <w:p w14:paraId="640A83F8">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9.与本投标有关的一切正式往来信函请寄：</w:t>
      </w:r>
    </w:p>
    <w:p w14:paraId="6A24C4FF">
      <w:pPr>
        <w:spacing w:line="400" w:lineRule="exact"/>
        <w:ind w:firstLine="480" w:firstLineChars="200"/>
        <w:contextualSpacing/>
        <w:rPr>
          <w:rFonts w:ascii="宋体" w:hAnsi="宋体" w:eastAsia="宋体" w:cs="宋体"/>
          <w:color w:val="auto"/>
          <w:sz w:val="24"/>
          <w:u w:val="single"/>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邮编：</w:t>
      </w:r>
      <w:r>
        <w:rPr>
          <w:rFonts w:hint="eastAsia" w:ascii="宋体" w:hAnsi="宋体" w:eastAsia="宋体" w:cs="宋体"/>
          <w:color w:val="auto"/>
          <w:sz w:val="24"/>
          <w:u w:val="single"/>
        </w:rPr>
        <w:t xml:space="preserve">            </w:t>
      </w:r>
    </w:p>
    <w:p w14:paraId="715A891C">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rPr>
        <w:t>传真：</w:t>
      </w:r>
      <w:r>
        <w:rPr>
          <w:rFonts w:hint="eastAsia" w:ascii="宋体" w:hAnsi="宋体" w:eastAsia="宋体" w:cs="宋体"/>
          <w:color w:val="auto"/>
          <w:sz w:val="24"/>
          <w:u w:val="single"/>
        </w:rPr>
        <w:t xml:space="preserve">          </w:t>
      </w:r>
    </w:p>
    <w:p w14:paraId="6C5B7A84">
      <w:pPr>
        <w:spacing w:line="400" w:lineRule="exact"/>
        <w:ind w:firstLine="480" w:firstLineChars="200"/>
        <w:contextualSpacing/>
        <w:rPr>
          <w:rFonts w:ascii="宋体" w:hAnsi="宋体" w:eastAsia="宋体" w:cs="宋体"/>
          <w:color w:val="auto"/>
          <w:sz w:val="24"/>
        </w:rPr>
      </w:pP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p>
    <w:p w14:paraId="177577C8">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开户银行：</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银行账号：</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363C8A2B">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 xml:space="preserve">法定代表人或者委托代理人签字:___________ </w:t>
      </w:r>
    </w:p>
    <w:p w14:paraId="35DC6F12">
      <w:pPr>
        <w:pStyle w:val="20"/>
        <w:spacing w:line="400" w:lineRule="exact"/>
        <w:contextualSpacing/>
        <w:jc w:val="center"/>
        <w:rPr>
          <w:rFonts w:ascii="宋体" w:hAnsi="宋体" w:eastAsia="宋体" w:cs="宋体"/>
          <w:color w:val="auto"/>
          <w:sz w:val="24"/>
          <w:szCs w:val="24"/>
          <w:u w:val="single"/>
        </w:rPr>
      </w:pPr>
      <w:r>
        <w:rPr>
          <w:rFonts w:hint="eastAsia" w:ascii="宋体" w:hAnsi="宋体" w:eastAsia="宋体" w:cs="宋体"/>
          <w:color w:val="auto"/>
          <w:sz w:val="24"/>
        </w:rPr>
        <w:t xml:space="preserve">                                    投标人（盖公章）：</w:t>
      </w:r>
    </w:p>
    <w:p w14:paraId="4B2566D2">
      <w:pPr>
        <w:pStyle w:val="20"/>
        <w:spacing w:line="400" w:lineRule="exact"/>
        <w:contextualSpacing/>
        <w:rPr>
          <w:rFonts w:ascii="宋体" w:hAnsi="宋体" w:eastAsia="宋体" w:cs="宋体"/>
          <w:color w:val="auto"/>
          <w:sz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88F3A25">
      <w:pPr>
        <w:snapToGrid w:val="0"/>
        <w:spacing w:before="120" w:beforeLines="50" w:after="50" w:line="440" w:lineRule="exact"/>
        <w:jc w:val="left"/>
        <w:rPr>
          <w:rFonts w:ascii="宋体" w:hAnsi="宋体" w:eastAsia="宋体" w:cs="宋体"/>
          <w:b/>
          <w:color w:val="auto"/>
          <w:sz w:val="24"/>
          <w:szCs w:val="20"/>
        </w:rPr>
      </w:pPr>
      <w:r>
        <w:rPr>
          <w:rFonts w:hint="eastAsia" w:ascii="宋体" w:hAnsi="宋体" w:eastAsia="宋体" w:cs="宋体"/>
          <w:color w:val="auto"/>
          <w:u w:val="single"/>
        </w:rPr>
        <w:br w:type="page"/>
      </w:r>
      <w:r>
        <w:rPr>
          <w:rFonts w:hint="eastAsia" w:ascii="宋体" w:hAnsi="宋体" w:eastAsia="宋体" w:cs="宋体"/>
          <w:b/>
          <w:color w:val="auto"/>
          <w:sz w:val="24"/>
        </w:rPr>
        <w:t>4. 开标一览表（货物类格式）</w:t>
      </w:r>
    </w:p>
    <w:p w14:paraId="0545641D">
      <w:pPr>
        <w:snapToGrid w:val="0"/>
        <w:spacing w:before="50" w:after="50"/>
        <w:jc w:val="center"/>
        <w:rPr>
          <w:rFonts w:ascii="宋体" w:hAnsi="宋体" w:eastAsia="宋体" w:cs="宋体"/>
          <w:b/>
          <w:color w:val="auto"/>
          <w:sz w:val="30"/>
        </w:rPr>
      </w:pPr>
      <w:r>
        <w:rPr>
          <w:rFonts w:hint="eastAsia" w:ascii="宋体" w:hAnsi="宋体" w:eastAsia="宋体" w:cs="宋体"/>
          <w:b/>
          <w:color w:val="auto"/>
          <w:sz w:val="30"/>
        </w:rPr>
        <w:t>开标一览表</w:t>
      </w:r>
    </w:p>
    <w:p w14:paraId="357484F4">
      <w:pPr>
        <w:snapToGrid w:val="0"/>
        <w:spacing w:before="50" w:after="50"/>
        <w:jc w:val="center"/>
        <w:rPr>
          <w:rFonts w:ascii="宋体" w:hAnsi="宋体" w:eastAsia="宋体" w:cs="宋体"/>
          <w:b/>
          <w:color w:val="auto"/>
          <w:sz w:val="30"/>
          <w:szCs w:val="20"/>
        </w:rPr>
      </w:pPr>
    </w:p>
    <w:p w14:paraId="29068B8B">
      <w:pPr>
        <w:snapToGrid w:val="0"/>
        <w:spacing w:before="50" w:after="50" w:line="360" w:lineRule="auto"/>
        <w:rPr>
          <w:rFonts w:ascii="宋体" w:hAnsi="宋体" w:eastAsia="宋体" w:cs="宋体"/>
          <w:color w:val="auto"/>
          <w:sz w:val="24"/>
          <w:u w:val="single"/>
        </w:rPr>
      </w:pPr>
      <w:r>
        <w:rPr>
          <w:rFonts w:hint="eastAsia" w:ascii="宋体" w:hAnsi="宋体" w:eastAsia="宋体" w:cs="宋体"/>
          <w:color w:val="auto"/>
          <w:sz w:val="24"/>
        </w:rPr>
        <w:t>项目名称+标段：</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分标：</w:t>
      </w:r>
      <w:r>
        <w:rPr>
          <w:rFonts w:hint="eastAsia" w:ascii="宋体" w:hAnsi="宋体" w:eastAsia="宋体" w:cs="宋体"/>
          <w:color w:val="auto"/>
          <w:sz w:val="24"/>
          <w:u w:val="single"/>
        </w:rPr>
        <w:t xml:space="preserve">           </w:t>
      </w:r>
    </w:p>
    <w:p w14:paraId="7E7F0C80">
      <w:pPr>
        <w:snapToGrid w:val="0"/>
        <w:spacing w:before="50" w:after="50" w:line="360" w:lineRule="auto"/>
        <w:rPr>
          <w:rFonts w:ascii="宋体" w:hAnsi="宋体" w:eastAsia="宋体" w:cs="宋体"/>
          <w:color w:val="auto"/>
          <w:sz w:val="24"/>
        </w:rPr>
      </w:pP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单位：元     </w:t>
      </w:r>
    </w:p>
    <w:tbl>
      <w:tblPr>
        <w:tblStyle w:val="37"/>
        <w:tblW w:w="96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209"/>
        <w:gridCol w:w="1670"/>
        <w:gridCol w:w="1050"/>
        <w:gridCol w:w="870"/>
        <w:gridCol w:w="1280"/>
        <w:gridCol w:w="1800"/>
        <w:gridCol w:w="1210"/>
      </w:tblGrid>
      <w:tr w14:paraId="2213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1" w:type="dxa"/>
            <w:tcBorders>
              <w:top w:val="single" w:color="auto" w:sz="4" w:space="0"/>
              <w:left w:val="single" w:color="auto" w:sz="4" w:space="0"/>
              <w:bottom w:val="single" w:color="auto" w:sz="4" w:space="0"/>
              <w:right w:val="single" w:color="auto" w:sz="4" w:space="0"/>
            </w:tcBorders>
            <w:noWrap/>
            <w:vAlign w:val="center"/>
          </w:tcPr>
          <w:p w14:paraId="0AB9E35C">
            <w:pPr>
              <w:jc w:val="center"/>
              <w:rPr>
                <w:rFonts w:ascii="宋体" w:hAnsi="宋体" w:eastAsia="宋体" w:cs="宋体"/>
                <w:color w:val="auto"/>
                <w:szCs w:val="22"/>
              </w:rPr>
            </w:pPr>
            <w:r>
              <w:rPr>
                <w:rFonts w:hint="eastAsia" w:ascii="宋体" w:hAnsi="宋体" w:eastAsia="宋体" w:cs="宋体"/>
                <w:color w:val="auto"/>
                <w:szCs w:val="22"/>
              </w:rPr>
              <w:t>序号</w:t>
            </w:r>
          </w:p>
        </w:tc>
        <w:tc>
          <w:tcPr>
            <w:tcW w:w="1209" w:type="dxa"/>
            <w:tcBorders>
              <w:top w:val="single" w:color="auto" w:sz="4" w:space="0"/>
              <w:left w:val="single" w:color="auto" w:sz="4" w:space="0"/>
              <w:bottom w:val="single" w:color="auto" w:sz="4" w:space="0"/>
              <w:right w:val="single" w:color="auto" w:sz="4" w:space="0"/>
            </w:tcBorders>
            <w:noWrap/>
            <w:vAlign w:val="center"/>
          </w:tcPr>
          <w:p w14:paraId="66C97CC1">
            <w:pPr>
              <w:jc w:val="center"/>
              <w:rPr>
                <w:rFonts w:ascii="宋体" w:hAnsi="宋体" w:eastAsia="宋体" w:cs="宋体"/>
                <w:color w:val="auto"/>
                <w:szCs w:val="22"/>
              </w:rPr>
            </w:pPr>
            <w:r>
              <w:rPr>
                <w:rFonts w:hint="eastAsia" w:ascii="宋体" w:hAnsi="宋体" w:eastAsia="宋体" w:cs="宋体"/>
                <w:color w:val="auto"/>
                <w:szCs w:val="22"/>
              </w:rPr>
              <w:t>货物名称</w:t>
            </w:r>
          </w:p>
        </w:tc>
        <w:tc>
          <w:tcPr>
            <w:tcW w:w="1670" w:type="dxa"/>
            <w:tcBorders>
              <w:top w:val="single" w:color="auto" w:sz="4" w:space="0"/>
              <w:left w:val="single" w:color="auto" w:sz="4" w:space="0"/>
              <w:bottom w:val="single" w:color="auto" w:sz="4" w:space="0"/>
              <w:right w:val="single" w:color="auto" w:sz="4" w:space="0"/>
            </w:tcBorders>
            <w:noWrap/>
            <w:vAlign w:val="center"/>
          </w:tcPr>
          <w:p w14:paraId="14225407">
            <w:pPr>
              <w:jc w:val="center"/>
              <w:rPr>
                <w:rFonts w:ascii="宋体" w:hAnsi="宋体" w:eastAsia="宋体" w:cs="宋体"/>
                <w:color w:val="auto"/>
                <w:szCs w:val="22"/>
              </w:rPr>
            </w:pPr>
            <w:r>
              <w:rPr>
                <w:rFonts w:hint="eastAsia" w:ascii="宋体" w:hAnsi="宋体" w:eastAsia="宋体" w:cs="宋体"/>
                <w:color w:val="auto"/>
                <w:szCs w:val="22"/>
              </w:rPr>
              <w:t>货物规格型号</w:t>
            </w:r>
          </w:p>
        </w:tc>
        <w:tc>
          <w:tcPr>
            <w:tcW w:w="1050" w:type="dxa"/>
            <w:tcBorders>
              <w:top w:val="single" w:color="auto" w:sz="4" w:space="0"/>
              <w:left w:val="single" w:color="auto" w:sz="4" w:space="0"/>
              <w:bottom w:val="single" w:color="auto" w:sz="4" w:space="0"/>
              <w:right w:val="single" w:color="auto" w:sz="4" w:space="0"/>
            </w:tcBorders>
            <w:noWrap/>
          </w:tcPr>
          <w:p w14:paraId="397A8B5D">
            <w:pPr>
              <w:jc w:val="center"/>
              <w:rPr>
                <w:rFonts w:ascii="宋体" w:hAnsi="宋体" w:eastAsia="宋体" w:cs="宋体"/>
                <w:color w:val="auto"/>
                <w:szCs w:val="22"/>
              </w:rPr>
            </w:pPr>
            <w:r>
              <w:rPr>
                <w:rFonts w:hint="eastAsia" w:ascii="宋体" w:hAnsi="宋体" w:eastAsia="宋体" w:cs="宋体"/>
                <w:color w:val="auto"/>
                <w:szCs w:val="22"/>
              </w:rPr>
              <w:t>品牌</w:t>
            </w:r>
          </w:p>
          <w:p w14:paraId="60AED5C3">
            <w:pPr>
              <w:jc w:val="center"/>
              <w:rPr>
                <w:rFonts w:ascii="宋体" w:hAnsi="宋体" w:eastAsia="宋体" w:cs="宋体"/>
                <w:color w:val="auto"/>
                <w:szCs w:val="22"/>
              </w:rPr>
            </w:pPr>
            <w:r>
              <w:rPr>
                <w:rFonts w:hint="eastAsia" w:ascii="宋体" w:hAnsi="宋体" w:eastAsia="宋体" w:cs="宋体"/>
                <w:color w:val="auto"/>
                <w:szCs w:val="22"/>
              </w:rPr>
              <w:t>（如有）</w:t>
            </w:r>
          </w:p>
        </w:tc>
        <w:tc>
          <w:tcPr>
            <w:tcW w:w="870" w:type="dxa"/>
            <w:tcBorders>
              <w:top w:val="single" w:color="auto" w:sz="4" w:space="0"/>
              <w:left w:val="single" w:color="auto" w:sz="4" w:space="0"/>
              <w:bottom w:val="single" w:color="auto" w:sz="4" w:space="0"/>
              <w:right w:val="single" w:color="auto" w:sz="4" w:space="0"/>
            </w:tcBorders>
            <w:noWrap/>
            <w:vAlign w:val="center"/>
          </w:tcPr>
          <w:p w14:paraId="0064B8A0">
            <w:pPr>
              <w:jc w:val="center"/>
              <w:rPr>
                <w:rFonts w:ascii="宋体" w:hAnsi="宋体" w:eastAsia="宋体" w:cs="宋体"/>
                <w:color w:val="auto"/>
                <w:szCs w:val="22"/>
              </w:rPr>
            </w:pPr>
            <w:r>
              <w:rPr>
                <w:rFonts w:hint="eastAsia" w:ascii="宋体" w:hAnsi="宋体" w:eastAsia="宋体" w:cs="宋体"/>
                <w:color w:val="auto"/>
                <w:szCs w:val="22"/>
              </w:rPr>
              <w:t>数量/单位①</w:t>
            </w:r>
          </w:p>
        </w:tc>
        <w:tc>
          <w:tcPr>
            <w:tcW w:w="1280" w:type="dxa"/>
            <w:tcBorders>
              <w:top w:val="single" w:color="auto" w:sz="4" w:space="0"/>
              <w:left w:val="single" w:color="auto" w:sz="4" w:space="0"/>
              <w:bottom w:val="single" w:color="auto" w:sz="4" w:space="0"/>
              <w:right w:val="single" w:color="auto" w:sz="4" w:space="0"/>
            </w:tcBorders>
            <w:noWrap/>
            <w:vAlign w:val="center"/>
          </w:tcPr>
          <w:p w14:paraId="125A8362">
            <w:pPr>
              <w:jc w:val="center"/>
              <w:rPr>
                <w:rFonts w:ascii="宋体" w:hAnsi="宋体" w:eastAsia="宋体" w:cs="宋体"/>
                <w:color w:val="auto"/>
                <w:szCs w:val="22"/>
              </w:rPr>
            </w:pPr>
            <w:r>
              <w:rPr>
                <w:rFonts w:hint="eastAsia" w:ascii="宋体" w:hAnsi="宋体" w:eastAsia="宋体" w:cs="宋体"/>
                <w:color w:val="auto"/>
                <w:szCs w:val="22"/>
              </w:rPr>
              <w:t>单价(元)②</w:t>
            </w:r>
          </w:p>
        </w:tc>
        <w:tc>
          <w:tcPr>
            <w:tcW w:w="1800" w:type="dxa"/>
            <w:tcBorders>
              <w:top w:val="single" w:color="auto" w:sz="4" w:space="0"/>
              <w:left w:val="single" w:color="auto" w:sz="4" w:space="0"/>
              <w:bottom w:val="single" w:color="auto" w:sz="4" w:space="0"/>
              <w:right w:val="single" w:color="auto" w:sz="4" w:space="0"/>
            </w:tcBorders>
            <w:noWrap/>
            <w:vAlign w:val="center"/>
          </w:tcPr>
          <w:p w14:paraId="152064EA">
            <w:pPr>
              <w:jc w:val="center"/>
              <w:rPr>
                <w:rFonts w:ascii="宋体" w:hAnsi="宋体" w:eastAsia="宋体" w:cs="宋体"/>
                <w:color w:val="auto"/>
                <w:szCs w:val="22"/>
              </w:rPr>
            </w:pPr>
            <w:r>
              <w:rPr>
                <w:rFonts w:hint="eastAsia" w:ascii="宋体" w:hAnsi="宋体" w:eastAsia="宋体" w:cs="宋体"/>
                <w:color w:val="auto"/>
                <w:szCs w:val="22"/>
              </w:rPr>
              <w:t>合价（元）</w:t>
            </w:r>
          </w:p>
          <w:p w14:paraId="1120CD5C">
            <w:pPr>
              <w:jc w:val="center"/>
              <w:rPr>
                <w:rFonts w:ascii="宋体" w:hAnsi="宋体" w:eastAsia="宋体" w:cs="宋体"/>
                <w:color w:val="auto"/>
                <w:szCs w:val="22"/>
              </w:rPr>
            </w:pPr>
            <w:r>
              <w:rPr>
                <w:rFonts w:hint="eastAsia" w:ascii="宋体" w:hAnsi="宋体" w:eastAsia="宋体" w:cs="宋体"/>
                <w:color w:val="auto"/>
                <w:szCs w:val="22"/>
              </w:rPr>
              <w:t>③＝①×②</w:t>
            </w:r>
          </w:p>
        </w:tc>
        <w:tc>
          <w:tcPr>
            <w:tcW w:w="1210" w:type="dxa"/>
            <w:tcBorders>
              <w:top w:val="single" w:color="auto" w:sz="4" w:space="0"/>
              <w:left w:val="single" w:color="auto" w:sz="4" w:space="0"/>
              <w:bottom w:val="single" w:color="auto" w:sz="4" w:space="0"/>
              <w:right w:val="single" w:color="auto" w:sz="4" w:space="0"/>
            </w:tcBorders>
            <w:noWrap/>
          </w:tcPr>
          <w:p w14:paraId="075AD521">
            <w:pPr>
              <w:spacing w:line="360" w:lineRule="auto"/>
              <w:jc w:val="center"/>
              <w:rPr>
                <w:rFonts w:ascii="宋体" w:hAnsi="宋体" w:eastAsia="宋体" w:cs="宋体"/>
                <w:color w:val="auto"/>
                <w:szCs w:val="22"/>
              </w:rPr>
            </w:pPr>
            <w:r>
              <w:rPr>
                <w:rFonts w:hint="eastAsia" w:ascii="宋体" w:hAnsi="宋体" w:eastAsia="宋体" w:cs="宋体"/>
                <w:color w:val="auto"/>
                <w:szCs w:val="22"/>
              </w:rPr>
              <w:t>备注</w:t>
            </w:r>
          </w:p>
        </w:tc>
      </w:tr>
      <w:tr w14:paraId="51B6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1" w:type="dxa"/>
            <w:tcBorders>
              <w:top w:val="single" w:color="auto" w:sz="4" w:space="0"/>
              <w:left w:val="single" w:color="auto" w:sz="4" w:space="0"/>
              <w:bottom w:val="single" w:color="auto" w:sz="4" w:space="0"/>
              <w:right w:val="single" w:color="auto" w:sz="4" w:space="0"/>
            </w:tcBorders>
            <w:noWrap/>
            <w:vAlign w:val="center"/>
          </w:tcPr>
          <w:p w14:paraId="48F982A7">
            <w:pPr>
              <w:rPr>
                <w:rFonts w:ascii="宋体" w:hAnsi="宋体" w:eastAsia="宋体" w:cs="宋体"/>
                <w:color w:val="auto"/>
                <w:szCs w:val="22"/>
              </w:rPr>
            </w:pPr>
            <w:r>
              <w:rPr>
                <w:rFonts w:hint="eastAsia" w:ascii="宋体" w:hAnsi="宋体" w:eastAsia="宋体" w:cs="宋体"/>
                <w:color w:val="auto"/>
                <w:szCs w:val="22"/>
              </w:rPr>
              <w:t>1</w:t>
            </w:r>
          </w:p>
        </w:tc>
        <w:tc>
          <w:tcPr>
            <w:tcW w:w="1209" w:type="dxa"/>
            <w:tcBorders>
              <w:top w:val="single" w:color="auto" w:sz="4" w:space="0"/>
              <w:left w:val="single" w:color="auto" w:sz="4" w:space="0"/>
              <w:bottom w:val="single" w:color="auto" w:sz="4" w:space="0"/>
              <w:right w:val="single" w:color="auto" w:sz="4" w:space="0"/>
            </w:tcBorders>
            <w:noWrap/>
            <w:vAlign w:val="center"/>
          </w:tcPr>
          <w:p w14:paraId="3BA19446">
            <w:pPr>
              <w:rPr>
                <w:rFonts w:ascii="宋体" w:hAnsi="宋体" w:eastAsia="宋体" w:cs="宋体"/>
                <w:color w:val="auto"/>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14:paraId="6D30D47C">
            <w:pPr>
              <w:rPr>
                <w:rFonts w:ascii="宋体" w:hAnsi="宋体" w:eastAsia="宋体" w:cs="宋体"/>
                <w:color w:val="auto"/>
                <w:szCs w:val="22"/>
              </w:rPr>
            </w:pPr>
          </w:p>
        </w:tc>
        <w:tc>
          <w:tcPr>
            <w:tcW w:w="1050" w:type="dxa"/>
            <w:tcBorders>
              <w:top w:val="single" w:color="auto" w:sz="4" w:space="0"/>
              <w:left w:val="single" w:color="auto" w:sz="4" w:space="0"/>
              <w:bottom w:val="single" w:color="auto" w:sz="4" w:space="0"/>
              <w:right w:val="single" w:color="auto" w:sz="4" w:space="0"/>
            </w:tcBorders>
            <w:noWrap/>
          </w:tcPr>
          <w:p w14:paraId="1372FE2F">
            <w:pPr>
              <w:rPr>
                <w:rFonts w:ascii="宋体" w:hAnsi="宋体" w:eastAsia="宋体" w:cs="宋体"/>
                <w:color w:val="auto"/>
                <w:szCs w:val="22"/>
              </w:rPr>
            </w:pPr>
          </w:p>
        </w:tc>
        <w:tc>
          <w:tcPr>
            <w:tcW w:w="870" w:type="dxa"/>
            <w:tcBorders>
              <w:top w:val="single" w:color="auto" w:sz="4" w:space="0"/>
              <w:left w:val="single" w:color="auto" w:sz="4" w:space="0"/>
              <w:bottom w:val="single" w:color="auto" w:sz="4" w:space="0"/>
              <w:right w:val="single" w:color="auto" w:sz="4" w:space="0"/>
            </w:tcBorders>
            <w:noWrap/>
            <w:vAlign w:val="center"/>
          </w:tcPr>
          <w:p w14:paraId="11431CAA">
            <w:pPr>
              <w:rPr>
                <w:rFonts w:ascii="宋体" w:hAnsi="宋体" w:eastAsia="宋体" w:cs="宋体"/>
                <w:color w:val="auto"/>
                <w:szCs w:val="22"/>
              </w:rPr>
            </w:pPr>
          </w:p>
        </w:tc>
        <w:tc>
          <w:tcPr>
            <w:tcW w:w="1280" w:type="dxa"/>
            <w:tcBorders>
              <w:top w:val="single" w:color="auto" w:sz="4" w:space="0"/>
              <w:left w:val="single" w:color="auto" w:sz="4" w:space="0"/>
              <w:bottom w:val="single" w:color="auto" w:sz="4" w:space="0"/>
              <w:right w:val="single" w:color="auto" w:sz="4" w:space="0"/>
            </w:tcBorders>
            <w:noWrap/>
            <w:vAlign w:val="center"/>
          </w:tcPr>
          <w:p w14:paraId="21146D4B">
            <w:pPr>
              <w:rPr>
                <w:rFonts w:ascii="宋体" w:hAnsi="宋体" w:eastAsia="宋体" w:cs="宋体"/>
                <w:color w:val="auto"/>
                <w:szCs w:val="22"/>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4A63DFFF">
            <w:pPr>
              <w:rPr>
                <w:rFonts w:ascii="宋体" w:hAnsi="宋体" w:eastAsia="宋体" w:cs="宋体"/>
                <w:color w:val="auto"/>
                <w:szCs w:val="22"/>
              </w:rPr>
            </w:pPr>
          </w:p>
        </w:tc>
        <w:tc>
          <w:tcPr>
            <w:tcW w:w="1210" w:type="dxa"/>
            <w:tcBorders>
              <w:top w:val="single" w:color="auto" w:sz="4" w:space="0"/>
              <w:left w:val="single" w:color="auto" w:sz="4" w:space="0"/>
              <w:bottom w:val="single" w:color="auto" w:sz="4" w:space="0"/>
              <w:right w:val="single" w:color="auto" w:sz="4" w:space="0"/>
            </w:tcBorders>
            <w:noWrap/>
          </w:tcPr>
          <w:p w14:paraId="1BDE30D2">
            <w:pPr>
              <w:rPr>
                <w:rFonts w:ascii="宋体" w:hAnsi="宋体" w:eastAsia="宋体" w:cs="宋体"/>
                <w:color w:val="auto"/>
                <w:szCs w:val="22"/>
              </w:rPr>
            </w:pPr>
          </w:p>
        </w:tc>
      </w:tr>
      <w:tr w14:paraId="3684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41" w:type="dxa"/>
            <w:tcBorders>
              <w:top w:val="single" w:color="auto" w:sz="4" w:space="0"/>
              <w:left w:val="single" w:color="auto" w:sz="4" w:space="0"/>
              <w:bottom w:val="single" w:color="auto" w:sz="4" w:space="0"/>
              <w:right w:val="single" w:color="auto" w:sz="4" w:space="0"/>
            </w:tcBorders>
            <w:noWrap/>
            <w:vAlign w:val="center"/>
          </w:tcPr>
          <w:p w14:paraId="47F9591F">
            <w:pPr>
              <w:rPr>
                <w:rFonts w:ascii="宋体" w:hAnsi="宋体" w:eastAsia="宋体" w:cs="宋体"/>
                <w:color w:val="auto"/>
                <w:szCs w:val="22"/>
              </w:rPr>
            </w:pPr>
            <w:r>
              <w:rPr>
                <w:rFonts w:hint="eastAsia" w:ascii="宋体" w:hAnsi="宋体" w:eastAsia="宋体" w:cs="宋体"/>
                <w:color w:val="auto"/>
                <w:szCs w:val="22"/>
              </w:rPr>
              <w:t>2</w:t>
            </w:r>
          </w:p>
        </w:tc>
        <w:tc>
          <w:tcPr>
            <w:tcW w:w="1209" w:type="dxa"/>
            <w:tcBorders>
              <w:top w:val="single" w:color="auto" w:sz="4" w:space="0"/>
              <w:left w:val="single" w:color="auto" w:sz="4" w:space="0"/>
              <w:bottom w:val="single" w:color="auto" w:sz="4" w:space="0"/>
              <w:right w:val="single" w:color="auto" w:sz="4" w:space="0"/>
            </w:tcBorders>
            <w:noWrap/>
            <w:vAlign w:val="center"/>
          </w:tcPr>
          <w:p w14:paraId="5C1C0628">
            <w:pPr>
              <w:rPr>
                <w:rFonts w:ascii="宋体" w:hAnsi="宋体" w:eastAsia="宋体" w:cs="宋体"/>
                <w:color w:val="auto"/>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14:paraId="6FD0C9F9">
            <w:pPr>
              <w:rPr>
                <w:rFonts w:ascii="宋体" w:hAnsi="宋体" w:eastAsia="宋体" w:cs="宋体"/>
                <w:color w:val="auto"/>
                <w:szCs w:val="22"/>
              </w:rPr>
            </w:pPr>
          </w:p>
        </w:tc>
        <w:tc>
          <w:tcPr>
            <w:tcW w:w="1050" w:type="dxa"/>
            <w:tcBorders>
              <w:top w:val="single" w:color="auto" w:sz="4" w:space="0"/>
              <w:left w:val="single" w:color="auto" w:sz="4" w:space="0"/>
              <w:bottom w:val="single" w:color="auto" w:sz="4" w:space="0"/>
              <w:right w:val="single" w:color="auto" w:sz="4" w:space="0"/>
            </w:tcBorders>
            <w:noWrap/>
          </w:tcPr>
          <w:p w14:paraId="3EA988BD">
            <w:pPr>
              <w:rPr>
                <w:rFonts w:ascii="宋体" w:hAnsi="宋体" w:eastAsia="宋体" w:cs="宋体"/>
                <w:color w:val="auto"/>
                <w:szCs w:val="22"/>
              </w:rPr>
            </w:pPr>
          </w:p>
        </w:tc>
        <w:tc>
          <w:tcPr>
            <w:tcW w:w="870" w:type="dxa"/>
            <w:tcBorders>
              <w:top w:val="single" w:color="auto" w:sz="4" w:space="0"/>
              <w:left w:val="single" w:color="auto" w:sz="4" w:space="0"/>
              <w:bottom w:val="single" w:color="auto" w:sz="4" w:space="0"/>
              <w:right w:val="single" w:color="auto" w:sz="4" w:space="0"/>
            </w:tcBorders>
            <w:noWrap/>
            <w:vAlign w:val="center"/>
          </w:tcPr>
          <w:p w14:paraId="1AE3578F">
            <w:pPr>
              <w:rPr>
                <w:rFonts w:ascii="宋体" w:hAnsi="宋体" w:eastAsia="宋体" w:cs="宋体"/>
                <w:color w:val="auto"/>
                <w:szCs w:val="22"/>
              </w:rPr>
            </w:pPr>
          </w:p>
        </w:tc>
        <w:tc>
          <w:tcPr>
            <w:tcW w:w="1280" w:type="dxa"/>
            <w:tcBorders>
              <w:top w:val="single" w:color="auto" w:sz="4" w:space="0"/>
              <w:left w:val="single" w:color="auto" w:sz="4" w:space="0"/>
              <w:bottom w:val="single" w:color="auto" w:sz="4" w:space="0"/>
              <w:right w:val="single" w:color="auto" w:sz="4" w:space="0"/>
            </w:tcBorders>
            <w:noWrap/>
            <w:vAlign w:val="center"/>
          </w:tcPr>
          <w:p w14:paraId="1DAA0D77">
            <w:pPr>
              <w:rPr>
                <w:rFonts w:ascii="宋体" w:hAnsi="宋体" w:eastAsia="宋体" w:cs="宋体"/>
                <w:color w:val="auto"/>
                <w:szCs w:val="22"/>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2C0811E2">
            <w:pPr>
              <w:rPr>
                <w:rFonts w:ascii="宋体" w:hAnsi="宋体" w:eastAsia="宋体" w:cs="宋体"/>
                <w:color w:val="auto"/>
                <w:szCs w:val="22"/>
              </w:rPr>
            </w:pPr>
          </w:p>
        </w:tc>
        <w:tc>
          <w:tcPr>
            <w:tcW w:w="1210" w:type="dxa"/>
            <w:tcBorders>
              <w:top w:val="single" w:color="auto" w:sz="4" w:space="0"/>
              <w:left w:val="single" w:color="auto" w:sz="4" w:space="0"/>
              <w:bottom w:val="single" w:color="auto" w:sz="4" w:space="0"/>
              <w:right w:val="single" w:color="auto" w:sz="4" w:space="0"/>
            </w:tcBorders>
            <w:noWrap/>
          </w:tcPr>
          <w:p w14:paraId="48CEAA12">
            <w:pPr>
              <w:rPr>
                <w:rFonts w:ascii="宋体" w:hAnsi="宋体" w:eastAsia="宋体" w:cs="宋体"/>
                <w:color w:val="auto"/>
                <w:szCs w:val="22"/>
              </w:rPr>
            </w:pPr>
          </w:p>
        </w:tc>
      </w:tr>
      <w:tr w14:paraId="3DBA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1" w:type="dxa"/>
            <w:tcBorders>
              <w:top w:val="single" w:color="auto" w:sz="4" w:space="0"/>
              <w:left w:val="single" w:color="auto" w:sz="4" w:space="0"/>
              <w:bottom w:val="single" w:color="auto" w:sz="4" w:space="0"/>
              <w:right w:val="single" w:color="auto" w:sz="4" w:space="0"/>
            </w:tcBorders>
            <w:noWrap/>
            <w:vAlign w:val="center"/>
          </w:tcPr>
          <w:p w14:paraId="7418B5E6">
            <w:pPr>
              <w:rPr>
                <w:rFonts w:ascii="宋体" w:hAnsi="宋体" w:eastAsia="宋体" w:cs="宋体"/>
                <w:color w:val="auto"/>
                <w:szCs w:val="22"/>
              </w:rPr>
            </w:pPr>
            <w:r>
              <w:rPr>
                <w:rFonts w:hint="eastAsia" w:ascii="宋体" w:hAnsi="宋体" w:eastAsia="宋体" w:cs="宋体"/>
                <w:color w:val="auto"/>
                <w:szCs w:val="22"/>
              </w:rPr>
              <w:t>...</w:t>
            </w:r>
          </w:p>
        </w:tc>
        <w:tc>
          <w:tcPr>
            <w:tcW w:w="1209" w:type="dxa"/>
            <w:tcBorders>
              <w:top w:val="single" w:color="auto" w:sz="4" w:space="0"/>
              <w:left w:val="single" w:color="auto" w:sz="4" w:space="0"/>
              <w:bottom w:val="single" w:color="auto" w:sz="4" w:space="0"/>
              <w:right w:val="single" w:color="auto" w:sz="4" w:space="0"/>
            </w:tcBorders>
            <w:noWrap/>
            <w:vAlign w:val="center"/>
          </w:tcPr>
          <w:p w14:paraId="58DA631C">
            <w:pPr>
              <w:rPr>
                <w:rFonts w:ascii="宋体" w:hAnsi="宋体" w:eastAsia="宋体" w:cs="宋体"/>
                <w:color w:val="auto"/>
                <w:szCs w:val="22"/>
              </w:rPr>
            </w:pPr>
          </w:p>
        </w:tc>
        <w:tc>
          <w:tcPr>
            <w:tcW w:w="1670" w:type="dxa"/>
            <w:tcBorders>
              <w:top w:val="single" w:color="auto" w:sz="4" w:space="0"/>
              <w:left w:val="single" w:color="auto" w:sz="4" w:space="0"/>
              <w:bottom w:val="single" w:color="auto" w:sz="4" w:space="0"/>
              <w:right w:val="single" w:color="auto" w:sz="4" w:space="0"/>
            </w:tcBorders>
            <w:noWrap/>
            <w:vAlign w:val="center"/>
          </w:tcPr>
          <w:p w14:paraId="6C0E8A0D">
            <w:pPr>
              <w:rPr>
                <w:rFonts w:ascii="宋体" w:hAnsi="宋体" w:eastAsia="宋体" w:cs="宋体"/>
                <w:color w:val="auto"/>
                <w:szCs w:val="22"/>
              </w:rPr>
            </w:pPr>
          </w:p>
        </w:tc>
        <w:tc>
          <w:tcPr>
            <w:tcW w:w="1050" w:type="dxa"/>
            <w:tcBorders>
              <w:top w:val="single" w:color="auto" w:sz="4" w:space="0"/>
              <w:left w:val="single" w:color="auto" w:sz="4" w:space="0"/>
              <w:bottom w:val="single" w:color="auto" w:sz="4" w:space="0"/>
              <w:right w:val="single" w:color="auto" w:sz="4" w:space="0"/>
            </w:tcBorders>
            <w:noWrap/>
          </w:tcPr>
          <w:p w14:paraId="0EFC7376">
            <w:pPr>
              <w:rPr>
                <w:rFonts w:ascii="宋体" w:hAnsi="宋体" w:eastAsia="宋体" w:cs="宋体"/>
                <w:color w:val="auto"/>
                <w:szCs w:val="22"/>
              </w:rPr>
            </w:pPr>
          </w:p>
        </w:tc>
        <w:tc>
          <w:tcPr>
            <w:tcW w:w="870" w:type="dxa"/>
            <w:tcBorders>
              <w:top w:val="single" w:color="auto" w:sz="4" w:space="0"/>
              <w:left w:val="single" w:color="auto" w:sz="4" w:space="0"/>
              <w:bottom w:val="single" w:color="auto" w:sz="4" w:space="0"/>
              <w:right w:val="single" w:color="auto" w:sz="4" w:space="0"/>
            </w:tcBorders>
            <w:noWrap/>
            <w:vAlign w:val="center"/>
          </w:tcPr>
          <w:p w14:paraId="29BC9A8A">
            <w:pPr>
              <w:rPr>
                <w:rFonts w:ascii="宋体" w:hAnsi="宋体" w:eastAsia="宋体" w:cs="宋体"/>
                <w:color w:val="auto"/>
                <w:szCs w:val="22"/>
              </w:rPr>
            </w:pPr>
          </w:p>
        </w:tc>
        <w:tc>
          <w:tcPr>
            <w:tcW w:w="1280" w:type="dxa"/>
            <w:tcBorders>
              <w:top w:val="single" w:color="auto" w:sz="4" w:space="0"/>
              <w:left w:val="single" w:color="auto" w:sz="4" w:space="0"/>
              <w:bottom w:val="single" w:color="auto" w:sz="4" w:space="0"/>
              <w:right w:val="single" w:color="auto" w:sz="4" w:space="0"/>
            </w:tcBorders>
            <w:noWrap/>
            <w:vAlign w:val="center"/>
          </w:tcPr>
          <w:p w14:paraId="21342C4C">
            <w:pPr>
              <w:rPr>
                <w:rFonts w:ascii="宋体" w:hAnsi="宋体" w:eastAsia="宋体" w:cs="宋体"/>
                <w:color w:val="auto"/>
                <w:szCs w:val="22"/>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51271E08">
            <w:pPr>
              <w:rPr>
                <w:rFonts w:ascii="宋体" w:hAnsi="宋体" w:eastAsia="宋体" w:cs="宋体"/>
                <w:color w:val="auto"/>
                <w:szCs w:val="22"/>
              </w:rPr>
            </w:pPr>
          </w:p>
        </w:tc>
        <w:tc>
          <w:tcPr>
            <w:tcW w:w="1210" w:type="dxa"/>
            <w:tcBorders>
              <w:top w:val="single" w:color="auto" w:sz="4" w:space="0"/>
              <w:left w:val="single" w:color="auto" w:sz="4" w:space="0"/>
              <w:bottom w:val="single" w:color="auto" w:sz="4" w:space="0"/>
              <w:right w:val="single" w:color="auto" w:sz="4" w:space="0"/>
            </w:tcBorders>
            <w:noWrap/>
          </w:tcPr>
          <w:p w14:paraId="5651B2E6">
            <w:pPr>
              <w:rPr>
                <w:rFonts w:ascii="宋体" w:hAnsi="宋体" w:eastAsia="宋体" w:cs="宋体"/>
                <w:color w:val="auto"/>
                <w:szCs w:val="22"/>
              </w:rPr>
            </w:pPr>
          </w:p>
        </w:tc>
      </w:tr>
      <w:tr w14:paraId="45B4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0" w:type="dxa"/>
            <w:gridSpan w:val="8"/>
            <w:tcBorders>
              <w:top w:val="single" w:color="auto" w:sz="4" w:space="0"/>
              <w:left w:val="single" w:color="auto" w:sz="4" w:space="0"/>
              <w:bottom w:val="single" w:color="auto" w:sz="4" w:space="0"/>
              <w:right w:val="single" w:color="auto" w:sz="4" w:space="0"/>
            </w:tcBorders>
            <w:noWrap/>
          </w:tcPr>
          <w:p w14:paraId="797616A1">
            <w:pPr>
              <w:rPr>
                <w:rFonts w:ascii="宋体" w:hAnsi="宋体" w:eastAsia="宋体" w:cs="宋体"/>
                <w:color w:val="auto"/>
                <w:szCs w:val="22"/>
              </w:rPr>
            </w:pPr>
            <w:r>
              <w:rPr>
                <w:rFonts w:hint="eastAsia" w:ascii="宋体" w:hAnsi="宋体" w:eastAsia="宋体" w:cs="宋体"/>
                <w:color w:val="auto"/>
                <w:szCs w:val="22"/>
              </w:rPr>
              <w:t>报价合计（包含税费等所有费用）：（大写）人民币（￥元）</w:t>
            </w:r>
          </w:p>
        </w:tc>
      </w:tr>
      <w:tr w14:paraId="1A95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0" w:type="dxa"/>
            <w:gridSpan w:val="8"/>
            <w:tcBorders>
              <w:top w:val="single" w:color="auto" w:sz="4" w:space="0"/>
              <w:left w:val="single" w:color="auto" w:sz="4" w:space="0"/>
              <w:bottom w:val="single" w:color="auto" w:sz="4" w:space="0"/>
              <w:right w:val="single" w:color="auto" w:sz="4" w:space="0"/>
            </w:tcBorders>
            <w:noWrap/>
          </w:tcPr>
          <w:p w14:paraId="15EC1B78">
            <w:pPr>
              <w:rPr>
                <w:rFonts w:ascii="宋体" w:hAnsi="宋体" w:eastAsia="宋体" w:cs="宋体"/>
                <w:color w:val="auto"/>
                <w:szCs w:val="22"/>
              </w:rPr>
            </w:pPr>
            <w:r>
              <w:rPr>
                <w:rFonts w:hint="eastAsia" w:ascii="宋体" w:hAnsi="宋体" w:eastAsia="宋体" w:cs="宋体"/>
                <w:color w:val="auto"/>
                <w:szCs w:val="21"/>
              </w:rPr>
              <w:t>合同履行期限</w:t>
            </w:r>
            <w:r>
              <w:rPr>
                <w:rFonts w:hint="eastAsia" w:ascii="宋体" w:hAnsi="宋体" w:eastAsia="宋体" w:cs="宋体"/>
                <w:color w:val="auto"/>
                <w:szCs w:val="22"/>
              </w:rPr>
              <w:t>：</w:t>
            </w:r>
          </w:p>
        </w:tc>
      </w:tr>
      <w:tr w14:paraId="7B8B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0" w:type="dxa"/>
            <w:gridSpan w:val="8"/>
            <w:tcBorders>
              <w:top w:val="single" w:color="auto" w:sz="4" w:space="0"/>
              <w:left w:val="single" w:color="auto" w:sz="4" w:space="0"/>
              <w:bottom w:val="single" w:color="auto" w:sz="4" w:space="0"/>
              <w:right w:val="single" w:color="auto" w:sz="4" w:space="0"/>
            </w:tcBorders>
            <w:noWrap/>
          </w:tcPr>
          <w:p w14:paraId="5C794F84">
            <w:pPr>
              <w:rPr>
                <w:rFonts w:ascii="宋体" w:hAnsi="宋体" w:eastAsia="宋体" w:cs="宋体"/>
                <w:color w:val="auto"/>
                <w:szCs w:val="22"/>
              </w:rPr>
            </w:pPr>
            <w:r>
              <w:rPr>
                <w:rFonts w:hint="eastAsia" w:ascii="宋体" w:hAnsi="宋体" w:eastAsia="宋体" w:cs="宋体"/>
                <w:color w:val="auto"/>
                <w:szCs w:val="22"/>
              </w:rPr>
              <w:t>优惠及其它：</w:t>
            </w:r>
          </w:p>
        </w:tc>
      </w:tr>
    </w:tbl>
    <w:p w14:paraId="05D726AD">
      <w:pPr>
        <w:snapToGrid w:val="0"/>
        <w:spacing w:before="50" w:after="50" w:line="360" w:lineRule="auto"/>
        <w:ind w:firstLine="420" w:firstLineChars="200"/>
        <w:jc w:val="left"/>
        <w:rPr>
          <w:rFonts w:ascii="宋体" w:hAnsi="宋体" w:eastAsia="宋体" w:cs="宋体"/>
          <w:color w:val="auto"/>
          <w:kern w:val="0"/>
          <w:szCs w:val="21"/>
          <w:lang w:val="zh-CN"/>
        </w:rPr>
      </w:pPr>
      <w:r>
        <w:rPr>
          <w:rFonts w:hint="eastAsia" w:ascii="宋体" w:hAnsi="宋体" w:eastAsia="宋体" w:cs="宋体"/>
          <w:color w:val="auto"/>
          <w:szCs w:val="21"/>
        </w:rPr>
        <w:t xml:space="preserve"> </w:t>
      </w:r>
      <w:r>
        <w:rPr>
          <w:rFonts w:hint="eastAsia" w:ascii="宋体" w:hAnsi="宋体" w:eastAsia="宋体" w:cs="宋体"/>
          <w:color w:val="auto"/>
          <w:kern w:val="0"/>
          <w:szCs w:val="21"/>
          <w:lang w:val="zh-CN"/>
        </w:rPr>
        <w:t xml:space="preserve">注： </w:t>
      </w:r>
    </w:p>
    <w:p w14:paraId="7E4CC6F5">
      <w:pPr>
        <w:snapToGrid w:val="0"/>
        <w:spacing w:before="50" w:after="50" w:line="360" w:lineRule="auto"/>
        <w:ind w:firstLine="420" w:firstLineChars="200"/>
        <w:jc w:val="left"/>
        <w:rPr>
          <w:rFonts w:ascii="宋体" w:hAnsi="宋体" w:eastAsia="宋体" w:cs="宋体"/>
          <w:color w:val="auto"/>
          <w:kern w:val="0"/>
          <w:szCs w:val="21"/>
          <w:lang w:val="zh-CN"/>
        </w:rPr>
      </w:pPr>
      <w:r>
        <w:rPr>
          <w:rFonts w:hint="eastAsia" w:ascii="宋体" w:hAnsi="宋体" w:eastAsia="宋体" w:cs="宋体"/>
          <w:color w:val="auto"/>
          <w:kern w:val="0"/>
          <w:szCs w:val="21"/>
          <w:lang w:val="zh-CN"/>
        </w:rPr>
        <w:t>1、 投标人需按本表格式填写，不得自行更改，也不得留空, 如有多分标，按分标分别提供开标一览表，必须加盖投标人有效电子公章，</w:t>
      </w:r>
      <w:r>
        <w:rPr>
          <w:rFonts w:hint="eastAsia" w:ascii="宋体" w:hAnsi="宋体" w:eastAsia="宋体" w:cs="宋体"/>
          <w:b/>
          <w:color w:val="auto"/>
          <w:kern w:val="0"/>
          <w:szCs w:val="21"/>
          <w:lang w:val="zh-CN"/>
        </w:rPr>
        <w:t>否则其投标作无效标处理。</w:t>
      </w:r>
    </w:p>
    <w:p w14:paraId="6FE03199">
      <w:pPr>
        <w:snapToGrid w:val="0"/>
        <w:spacing w:before="50" w:after="50" w:line="360" w:lineRule="auto"/>
        <w:ind w:firstLine="420" w:firstLineChars="200"/>
        <w:jc w:val="left"/>
        <w:rPr>
          <w:rFonts w:ascii="宋体" w:hAnsi="宋体" w:eastAsia="宋体" w:cs="宋体"/>
          <w:color w:val="auto"/>
          <w:kern w:val="0"/>
          <w:szCs w:val="21"/>
          <w:lang w:val="zh-CN"/>
        </w:rPr>
      </w:pPr>
      <w:r>
        <w:rPr>
          <w:rFonts w:hint="eastAsia" w:ascii="宋体" w:hAnsi="宋体" w:eastAsia="宋体" w:cs="宋体"/>
          <w:color w:val="auto"/>
          <w:kern w:val="0"/>
          <w:szCs w:val="21"/>
          <w:lang w:val="zh-CN"/>
        </w:rPr>
        <w:t>2、本表内容均不能涂改，</w:t>
      </w:r>
      <w:r>
        <w:rPr>
          <w:rFonts w:hint="eastAsia" w:ascii="宋体" w:hAnsi="宋体" w:eastAsia="宋体" w:cs="宋体"/>
          <w:color w:val="auto"/>
          <w:kern w:val="0"/>
          <w:szCs w:val="21"/>
        </w:rPr>
        <w:t>涂改处须加盖公章，</w:t>
      </w:r>
      <w:r>
        <w:rPr>
          <w:rFonts w:hint="eastAsia" w:ascii="宋体" w:hAnsi="宋体" w:eastAsia="宋体" w:cs="宋体"/>
          <w:b/>
          <w:color w:val="auto"/>
          <w:kern w:val="0"/>
          <w:szCs w:val="21"/>
          <w:lang w:val="zh-CN"/>
        </w:rPr>
        <w:t>否则其投标作无效标处理。</w:t>
      </w:r>
    </w:p>
    <w:p w14:paraId="0F8FC5D2">
      <w:pPr>
        <w:snapToGrid w:val="0"/>
        <w:spacing w:before="50" w:after="50"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3、如为联合体投标，“投标人名称”处必须列明联合体各方名称，并标注联合体牵头人名称，且盖章处须加盖联合体各方公章，</w:t>
      </w:r>
      <w:r>
        <w:rPr>
          <w:rFonts w:hint="eastAsia" w:ascii="宋体" w:hAnsi="宋体" w:eastAsia="宋体" w:cs="宋体"/>
          <w:b/>
          <w:color w:val="auto"/>
          <w:kern w:val="0"/>
          <w:szCs w:val="21"/>
          <w:lang w:val="zh-CN"/>
        </w:rPr>
        <w:t>否则其投标作无效标处理。</w:t>
      </w:r>
    </w:p>
    <w:p w14:paraId="1558F2A2">
      <w:pPr>
        <w:snapToGrid w:val="0"/>
        <w:spacing w:line="360" w:lineRule="auto"/>
        <w:ind w:firstLine="420" w:firstLineChars="200"/>
        <w:jc w:val="left"/>
        <w:rPr>
          <w:rFonts w:ascii="宋体" w:hAnsi="宋体" w:eastAsia="宋体" w:cs="宋体"/>
          <w:color w:val="auto"/>
          <w:kern w:val="0"/>
          <w:szCs w:val="21"/>
          <w:lang w:val="zh-CN"/>
        </w:rPr>
      </w:pPr>
      <w:r>
        <w:rPr>
          <w:rFonts w:hint="eastAsia" w:ascii="宋体" w:hAnsi="宋体" w:eastAsia="宋体" w:cs="宋体"/>
          <w:color w:val="auto"/>
          <w:kern w:val="0"/>
          <w:szCs w:val="21"/>
          <w:lang w:val="zh-CN"/>
        </w:rPr>
        <w:t>4、以上表格要求细分项目及报价，在“具体货物</w:t>
      </w:r>
      <w:r>
        <w:rPr>
          <w:rFonts w:hint="eastAsia" w:ascii="宋体" w:hAnsi="宋体" w:eastAsia="宋体" w:cs="宋体"/>
          <w:color w:val="auto"/>
          <w:kern w:val="0"/>
          <w:szCs w:val="21"/>
        </w:rPr>
        <w:t>名称</w:t>
      </w:r>
      <w:r>
        <w:rPr>
          <w:rFonts w:hint="eastAsia" w:ascii="宋体" w:hAnsi="宋体" w:eastAsia="宋体" w:cs="宋体"/>
          <w:color w:val="auto"/>
          <w:kern w:val="0"/>
          <w:szCs w:val="21"/>
          <w:lang w:val="zh-CN"/>
        </w:rPr>
        <w:t>”一栏中，填写具体货物。</w:t>
      </w:r>
    </w:p>
    <w:p w14:paraId="7D77355F">
      <w:pPr>
        <w:snapToGrid w:val="0"/>
        <w:spacing w:line="360" w:lineRule="auto"/>
        <w:ind w:firstLine="420" w:firstLineChars="200"/>
        <w:jc w:val="left"/>
        <w:rPr>
          <w:rFonts w:ascii="宋体" w:hAnsi="宋体" w:eastAsia="宋体" w:cs="宋体"/>
          <w:color w:val="auto"/>
          <w:kern w:val="0"/>
          <w:szCs w:val="21"/>
          <w:lang w:val="zh-CN"/>
        </w:rPr>
      </w:pPr>
      <w:r>
        <w:rPr>
          <w:rFonts w:hint="eastAsia" w:ascii="宋体" w:hAnsi="宋体" w:eastAsia="宋体" w:cs="宋体"/>
          <w:color w:val="auto"/>
          <w:kern w:val="0"/>
          <w:szCs w:val="21"/>
          <w:lang w:val="zh-CN"/>
        </w:rPr>
        <w:t>5、特别提示：采购机构将对项目名称和项目编号，中标供应商名称、地址和中标金额，主要中标标的的名称、规格型号、数量、单价、货物要求等予以公示。</w:t>
      </w:r>
    </w:p>
    <w:p w14:paraId="1C1567F6">
      <w:pPr>
        <w:snapToGrid w:val="0"/>
        <w:spacing w:line="360" w:lineRule="auto"/>
        <w:ind w:firstLine="420" w:firstLineChars="200"/>
        <w:jc w:val="left"/>
        <w:rPr>
          <w:rFonts w:ascii="宋体" w:hAnsi="宋体" w:eastAsia="宋体" w:cs="宋体"/>
          <w:color w:val="auto"/>
          <w:kern w:val="0"/>
          <w:szCs w:val="21"/>
          <w:lang w:val="zh-CN"/>
        </w:rPr>
      </w:pPr>
      <w:r>
        <w:rPr>
          <w:rFonts w:hint="eastAsia" w:ascii="宋体" w:hAnsi="宋体" w:eastAsia="宋体" w:cs="宋体"/>
          <w:color w:val="auto"/>
          <w:kern w:val="0"/>
          <w:szCs w:val="21"/>
          <w:lang w:val="zh-CN"/>
        </w:rPr>
        <w:t>6、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B945D2">
      <w:pPr>
        <w:snapToGrid w:val="0"/>
        <w:spacing w:before="50" w:after="50" w:line="360" w:lineRule="auto"/>
        <w:ind w:left="-2" w:leftChars="-1" w:right="-817" w:rightChars="-389"/>
        <w:rPr>
          <w:rFonts w:ascii="宋体" w:hAnsi="宋体" w:eastAsia="宋体" w:cs="宋体"/>
          <w:color w:val="auto"/>
          <w:sz w:val="24"/>
        </w:rPr>
      </w:pPr>
    </w:p>
    <w:p w14:paraId="35BC24FA">
      <w:pPr>
        <w:snapToGrid w:val="0"/>
        <w:spacing w:before="50" w:after="50" w:line="360" w:lineRule="auto"/>
        <w:ind w:left="-2" w:leftChars="-1" w:right="-817" w:rightChars="-389"/>
        <w:rPr>
          <w:rFonts w:ascii="宋体" w:hAnsi="宋体" w:eastAsia="宋体" w:cs="宋体"/>
          <w:color w:val="auto"/>
          <w:sz w:val="24"/>
        </w:rPr>
      </w:pPr>
      <w:r>
        <w:rPr>
          <w:rFonts w:hint="eastAsia" w:ascii="宋体" w:hAnsi="宋体" w:eastAsia="宋体" w:cs="宋体"/>
          <w:color w:val="auto"/>
          <w:sz w:val="24"/>
        </w:rPr>
        <w:t xml:space="preserve">法定代表人或者委托代理人（签字）：                    </w:t>
      </w:r>
    </w:p>
    <w:p w14:paraId="720F4DAE">
      <w:pPr>
        <w:snapToGrid w:val="0"/>
        <w:spacing w:before="50" w:after="50" w:line="360" w:lineRule="auto"/>
        <w:ind w:left="-3" w:leftChars="-15" w:right="-817" w:rightChars="-389" w:hanging="28" w:hangingChars="12"/>
        <w:rPr>
          <w:rFonts w:ascii="宋体" w:hAnsi="宋体" w:eastAsia="宋体" w:cs="宋体"/>
          <w:color w:val="auto"/>
          <w:sz w:val="24"/>
        </w:rPr>
      </w:pPr>
      <w:r>
        <w:rPr>
          <w:rFonts w:hint="eastAsia" w:ascii="宋体" w:hAnsi="宋体" w:eastAsia="宋体" w:cs="宋体"/>
          <w:color w:val="auto"/>
          <w:sz w:val="24"/>
        </w:rPr>
        <w:t>投标人（盖公章）：                                 日期：    年   月   日</w:t>
      </w:r>
    </w:p>
    <w:p w14:paraId="354EEF59">
      <w:pPr>
        <w:snapToGrid w:val="0"/>
        <w:spacing w:before="120" w:beforeLines="50" w:after="50"/>
        <w:jc w:val="left"/>
        <w:rPr>
          <w:rFonts w:ascii="宋体" w:hAnsi="宋体" w:eastAsia="宋体" w:cs="宋体"/>
          <w:color w:val="auto"/>
        </w:rPr>
      </w:pPr>
      <w:r>
        <w:rPr>
          <w:rFonts w:hint="eastAsia" w:ascii="宋体" w:hAnsi="宋体" w:eastAsia="宋体" w:cs="宋体"/>
          <w:b/>
          <w:color w:val="auto"/>
          <w:sz w:val="24"/>
        </w:rPr>
        <w:br w:type="page"/>
      </w:r>
      <w:r>
        <w:rPr>
          <w:rFonts w:hint="eastAsia" w:ascii="宋体" w:hAnsi="宋体" w:eastAsia="宋体" w:cs="宋体"/>
          <w:b/>
          <w:color w:val="auto"/>
          <w:sz w:val="24"/>
        </w:rPr>
        <w:t>5.中小企业声明函格式</w:t>
      </w:r>
    </w:p>
    <w:p w14:paraId="78642BAF">
      <w:pPr>
        <w:ind w:firstLine="404" w:firstLineChars="200"/>
        <w:rPr>
          <w:rFonts w:ascii="宋体" w:hAnsi="宋体" w:eastAsia="宋体" w:cs="宋体"/>
          <w:color w:val="auto"/>
          <w:spacing w:val="-4"/>
          <w:szCs w:val="21"/>
        </w:rPr>
      </w:pPr>
    </w:p>
    <w:p w14:paraId="72948BA1">
      <w:pPr>
        <w:ind w:firstLine="404" w:firstLineChars="200"/>
        <w:rPr>
          <w:rFonts w:ascii="宋体" w:hAnsi="宋体" w:eastAsia="宋体" w:cs="宋体"/>
          <w:color w:val="auto"/>
          <w:spacing w:val="-4"/>
          <w:szCs w:val="21"/>
        </w:rPr>
      </w:pPr>
      <w:r>
        <w:rPr>
          <w:rFonts w:hint="eastAsia" w:ascii="宋体" w:hAnsi="宋体" w:eastAsia="宋体" w:cs="宋体"/>
          <w:color w:val="auto"/>
          <w:spacing w:val="-4"/>
          <w:szCs w:val="21"/>
        </w:rPr>
        <w:t>说明：1、本声明函主要供参加政府采购活动的中小企业填写，非中小企业无需填写。</w:t>
      </w:r>
    </w:p>
    <w:p w14:paraId="0AA95809">
      <w:pPr>
        <w:ind w:firstLine="808" w:firstLineChars="400"/>
        <w:rPr>
          <w:rFonts w:ascii="宋体" w:hAnsi="宋体" w:eastAsia="宋体" w:cs="宋体"/>
          <w:color w:val="auto"/>
          <w:spacing w:val="-4"/>
          <w:szCs w:val="21"/>
        </w:rPr>
      </w:pPr>
      <w:r>
        <w:rPr>
          <w:rFonts w:hint="eastAsia" w:ascii="宋体" w:hAnsi="宋体" w:eastAsia="宋体" w:cs="宋体"/>
          <w:color w:val="auto"/>
          <w:spacing w:val="-4"/>
          <w:szCs w:val="21"/>
        </w:rPr>
        <w:t>2、小型、微型企业提供中型企业提供的货物的，视同为中型企业。</w:t>
      </w:r>
    </w:p>
    <w:p w14:paraId="718582A8">
      <w:pPr>
        <w:rPr>
          <w:rFonts w:ascii="宋体" w:hAnsi="宋体" w:eastAsia="宋体" w:cs="宋体"/>
          <w:color w:val="auto"/>
        </w:rPr>
      </w:pPr>
    </w:p>
    <w:p w14:paraId="0368DC17">
      <w:pPr>
        <w:pStyle w:val="15"/>
        <w:rPr>
          <w:rFonts w:ascii="宋体" w:hAnsi="宋体" w:eastAsia="宋体" w:cs="宋体"/>
          <w:color w:val="auto"/>
        </w:rPr>
      </w:pPr>
    </w:p>
    <w:p w14:paraId="784A00B9">
      <w:pPr>
        <w:jc w:val="center"/>
        <w:rPr>
          <w:rFonts w:ascii="宋体" w:hAnsi="宋体" w:eastAsia="宋体" w:cs="宋体"/>
          <w:color w:val="auto"/>
          <w:sz w:val="44"/>
          <w:szCs w:val="44"/>
        </w:rPr>
      </w:pPr>
      <w:r>
        <w:rPr>
          <w:rFonts w:hint="eastAsia" w:ascii="宋体" w:hAnsi="宋体" w:eastAsia="宋体" w:cs="宋体"/>
          <w:color w:val="auto"/>
          <w:sz w:val="44"/>
          <w:szCs w:val="44"/>
        </w:rPr>
        <w:t>中小企业声明函</w:t>
      </w:r>
    </w:p>
    <w:p w14:paraId="66060D47">
      <w:pPr>
        <w:spacing w:before="2" w:line="500" w:lineRule="exact"/>
        <w:rPr>
          <w:rFonts w:ascii="宋体" w:hAnsi="宋体" w:eastAsia="宋体" w:cs="宋体"/>
          <w:b/>
          <w:bCs/>
          <w:color w:val="auto"/>
          <w:szCs w:val="21"/>
        </w:rPr>
      </w:pPr>
    </w:p>
    <w:p w14:paraId="60BDCAEE">
      <w:pPr>
        <w:pStyle w:val="15"/>
        <w:spacing w:line="360" w:lineRule="auto"/>
        <w:ind w:left="-426" w:leftChars="-203" w:right="142" w:firstLine="420" w:firstLineChars="200"/>
        <w:contextualSpacing/>
        <w:rPr>
          <w:rFonts w:ascii="宋体" w:hAnsi="宋体" w:eastAsia="宋体" w:cs="宋体"/>
          <w:color w:val="auto"/>
          <w:kern w:val="24"/>
          <w:szCs w:val="21"/>
        </w:rPr>
      </w:pPr>
      <w:r>
        <w:rPr>
          <w:rFonts w:hint="eastAsia" w:ascii="宋体" w:hAnsi="宋体" w:eastAsia="宋体" w:cs="宋体"/>
          <w:color w:val="auto"/>
          <w:szCs w:val="21"/>
        </w:rPr>
        <w:t>本公司（联合体）郑重声明，根据《政府采购促进中小企业发展管理办法》（财库﹝2020﹞46号）的规定，本公司（联合体）参加</w:t>
      </w:r>
      <w:r>
        <w:rPr>
          <w:rFonts w:hint="eastAsia" w:ascii="宋体" w:hAnsi="宋体" w:eastAsia="宋体" w:cs="宋体"/>
          <w:color w:val="auto"/>
          <w:szCs w:val="21"/>
          <w:u w:val="single"/>
        </w:rPr>
        <w:t>（单位名称）</w:t>
      </w:r>
      <w:r>
        <w:rPr>
          <w:rFonts w:hint="eastAsia" w:ascii="宋体" w:hAnsi="宋体" w:eastAsia="宋体" w:cs="宋体"/>
          <w:color w:val="auto"/>
          <w:szCs w:val="21"/>
        </w:rPr>
        <w:t>的</w:t>
      </w:r>
      <w:r>
        <w:rPr>
          <w:rFonts w:hint="eastAsia" w:ascii="宋体" w:hAnsi="宋体" w:eastAsia="宋体" w:cs="宋体"/>
          <w:color w:val="auto"/>
          <w:szCs w:val="21"/>
          <w:u w:val="single"/>
        </w:rPr>
        <w:t>（项目名称+标段）</w:t>
      </w:r>
      <w:r>
        <w:rPr>
          <w:rFonts w:hint="eastAsia" w:ascii="宋体" w:hAnsi="宋体" w:eastAsia="宋体" w:cs="宋体"/>
          <w:color w:val="auto"/>
          <w:szCs w:val="21"/>
        </w:rPr>
        <w:t>采购活动，</w:t>
      </w:r>
      <w:r>
        <w:rPr>
          <w:rFonts w:hint="eastAsia" w:ascii="宋体" w:hAnsi="宋体" w:eastAsia="宋体" w:cs="宋体"/>
          <w:color w:val="auto"/>
          <w:kern w:val="24"/>
        </w:rPr>
        <w:t>提供的货物全部由符合政策要求的中小企业制造</w:t>
      </w:r>
      <w:r>
        <w:rPr>
          <w:rFonts w:hint="eastAsia" w:ascii="宋体" w:hAnsi="宋体" w:eastAsia="宋体" w:cs="宋体"/>
          <w:color w:val="auto"/>
          <w:szCs w:val="21"/>
        </w:rPr>
        <w:t>。相关企业（含联合体中的中小企业、签订分包意向协议的中小企业）的具体情况如下：</w:t>
      </w:r>
    </w:p>
    <w:p w14:paraId="33F3D558">
      <w:pPr>
        <w:tabs>
          <w:tab w:val="left" w:pos="1384"/>
          <w:tab w:val="left" w:pos="4562"/>
          <w:tab w:val="left" w:pos="6803"/>
        </w:tabs>
        <w:spacing w:line="360" w:lineRule="auto"/>
        <w:ind w:left="-426" w:right="-58" w:firstLine="655"/>
        <w:contextualSpacing/>
        <w:rPr>
          <w:rFonts w:ascii="宋体" w:hAnsi="宋体" w:eastAsia="宋体" w:cs="宋体"/>
          <w:color w:val="auto"/>
          <w:kern w:val="24"/>
          <w:szCs w:val="21"/>
        </w:rPr>
      </w:pPr>
      <w:r>
        <w:rPr>
          <w:rFonts w:hint="eastAsia" w:ascii="宋体" w:hAnsi="宋体" w:eastAsia="宋体" w:cs="宋体"/>
          <w:color w:val="auto"/>
          <w:kern w:val="24"/>
          <w:szCs w:val="21"/>
        </w:rPr>
        <w:t>1.</w:t>
      </w:r>
      <w:r>
        <w:rPr>
          <w:rFonts w:hint="eastAsia" w:ascii="宋体" w:hAnsi="宋体" w:eastAsia="宋体" w:cs="宋体"/>
          <w:color w:val="auto"/>
          <w:kern w:val="24"/>
          <w:szCs w:val="21"/>
          <w:u w:val="single"/>
        </w:rPr>
        <w:t>（标的名称）</w:t>
      </w:r>
      <w:r>
        <w:rPr>
          <w:rFonts w:hint="eastAsia" w:ascii="宋体" w:hAnsi="宋体" w:eastAsia="宋体" w:cs="宋体"/>
          <w:color w:val="auto"/>
          <w:kern w:val="24"/>
          <w:szCs w:val="21"/>
        </w:rPr>
        <w:t>，属于</w:t>
      </w:r>
      <w:r>
        <w:rPr>
          <w:rFonts w:hint="eastAsia" w:ascii="宋体" w:hAnsi="宋体" w:eastAsia="宋体" w:cs="宋体"/>
          <w:color w:val="auto"/>
          <w:kern w:val="24"/>
          <w:szCs w:val="21"/>
          <w:u w:val="single"/>
        </w:rPr>
        <w:t>（采购文件中明确的所属行业）</w:t>
      </w:r>
      <w:r>
        <w:rPr>
          <w:rFonts w:hint="eastAsia" w:ascii="宋体" w:hAnsi="宋体" w:eastAsia="宋体" w:cs="宋体"/>
          <w:color w:val="auto"/>
          <w:kern w:val="24"/>
          <w:szCs w:val="21"/>
        </w:rPr>
        <w:t>行业；承接企业为</w:t>
      </w:r>
      <w:r>
        <w:rPr>
          <w:rFonts w:hint="eastAsia" w:ascii="宋体" w:hAnsi="宋体" w:eastAsia="宋体" w:cs="宋体"/>
          <w:color w:val="auto"/>
          <w:kern w:val="24"/>
          <w:szCs w:val="21"/>
          <w:u w:val="single"/>
        </w:rPr>
        <w:t>（企业名称）</w:t>
      </w:r>
      <w:r>
        <w:rPr>
          <w:rFonts w:hint="eastAsia" w:ascii="宋体" w:hAnsi="宋体" w:eastAsia="宋体" w:cs="宋体"/>
          <w:color w:val="auto"/>
          <w:kern w:val="24"/>
          <w:szCs w:val="21"/>
        </w:rPr>
        <w:t>，从业人员</w:t>
      </w:r>
      <w:r>
        <w:rPr>
          <w:rFonts w:hint="eastAsia" w:ascii="宋体" w:hAnsi="宋体" w:eastAsia="宋体" w:cs="宋体"/>
          <w:color w:val="auto"/>
          <w:kern w:val="24"/>
          <w:szCs w:val="21"/>
          <w:u w:val="single"/>
        </w:rPr>
        <w:t xml:space="preserve">      </w:t>
      </w:r>
      <w:r>
        <w:rPr>
          <w:rFonts w:hint="eastAsia" w:ascii="宋体" w:hAnsi="宋体" w:eastAsia="宋体" w:cs="宋体"/>
          <w:color w:val="auto"/>
          <w:kern w:val="24"/>
          <w:szCs w:val="21"/>
        </w:rPr>
        <w:t>人，营业收入为</w:t>
      </w:r>
      <w:r>
        <w:rPr>
          <w:rFonts w:hint="eastAsia" w:ascii="宋体" w:hAnsi="宋体" w:eastAsia="宋体" w:cs="宋体"/>
          <w:color w:val="auto"/>
          <w:kern w:val="24"/>
          <w:szCs w:val="21"/>
          <w:u w:val="single"/>
        </w:rPr>
        <w:t xml:space="preserve">      </w:t>
      </w:r>
      <w:r>
        <w:rPr>
          <w:rFonts w:hint="eastAsia" w:ascii="宋体" w:hAnsi="宋体" w:eastAsia="宋体" w:cs="宋体"/>
          <w:color w:val="auto"/>
          <w:kern w:val="24"/>
          <w:szCs w:val="21"/>
        </w:rPr>
        <w:t>万元，资产总额为</w:t>
      </w:r>
      <w:r>
        <w:rPr>
          <w:rFonts w:hint="eastAsia" w:ascii="宋体" w:hAnsi="宋体" w:eastAsia="宋体" w:cs="宋体"/>
          <w:color w:val="auto"/>
          <w:kern w:val="24"/>
          <w:szCs w:val="21"/>
          <w:u w:val="single"/>
        </w:rPr>
        <w:t xml:space="preserve">      </w:t>
      </w:r>
      <w:r>
        <w:rPr>
          <w:rFonts w:hint="eastAsia" w:ascii="宋体" w:hAnsi="宋体" w:eastAsia="宋体" w:cs="宋体"/>
          <w:color w:val="auto"/>
          <w:kern w:val="24"/>
          <w:szCs w:val="21"/>
        </w:rPr>
        <w:t>万元，属于</w:t>
      </w:r>
      <w:r>
        <w:rPr>
          <w:rFonts w:hint="eastAsia" w:ascii="宋体" w:hAnsi="宋体" w:eastAsia="宋体" w:cs="宋体"/>
          <w:color w:val="auto"/>
          <w:kern w:val="24"/>
          <w:szCs w:val="21"/>
          <w:u w:val="single"/>
        </w:rPr>
        <w:t>（中型企业、小型企业、微型企业）</w:t>
      </w:r>
      <w:r>
        <w:rPr>
          <w:rFonts w:hint="eastAsia" w:ascii="宋体" w:hAnsi="宋体" w:eastAsia="宋体" w:cs="宋体"/>
          <w:color w:val="auto"/>
          <w:kern w:val="24"/>
          <w:szCs w:val="21"/>
        </w:rPr>
        <w:t>；</w:t>
      </w:r>
    </w:p>
    <w:p w14:paraId="115B2D3A">
      <w:pPr>
        <w:tabs>
          <w:tab w:val="left" w:pos="1065"/>
          <w:tab w:val="left" w:pos="6477"/>
        </w:tabs>
        <w:spacing w:line="360" w:lineRule="auto"/>
        <w:ind w:left="-426" w:right="-58" w:firstLine="655"/>
        <w:contextualSpacing/>
        <w:rPr>
          <w:rFonts w:ascii="宋体" w:hAnsi="宋体" w:eastAsia="宋体" w:cs="宋体"/>
          <w:color w:val="auto"/>
          <w:kern w:val="24"/>
          <w:szCs w:val="21"/>
        </w:rPr>
      </w:pPr>
      <w:r>
        <w:rPr>
          <w:rFonts w:hint="eastAsia" w:ascii="宋体" w:hAnsi="宋体" w:eastAsia="宋体" w:cs="宋体"/>
          <w:color w:val="auto"/>
          <w:kern w:val="24"/>
          <w:szCs w:val="21"/>
        </w:rPr>
        <w:t>2.</w:t>
      </w:r>
      <w:r>
        <w:rPr>
          <w:rFonts w:hint="eastAsia" w:ascii="宋体" w:hAnsi="宋体" w:eastAsia="宋体" w:cs="宋体"/>
          <w:color w:val="auto"/>
          <w:kern w:val="24"/>
          <w:szCs w:val="21"/>
          <w:u w:val="single"/>
        </w:rPr>
        <w:t>（标的名称）</w:t>
      </w:r>
      <w:r>
        <w:rPr>
          <w:rFonts w:hint="eastAsia" w:ascii="宋体" w:hAnsi="宋体" w:eastAsia="宋体" w:cs="宋体"/>
          <w:color w:val="auto"/>
          <w:kern w:val="24"/>
          <w:szCs w:val="21"/>
        </w:rPr>
        <w:t>，属于</w:t>
      </w:r>
      <w:r>
        <w:rPr>
          <w:rFonts w:hint="eastAsia" w:ascii="宋体" w:hAnsi="宋体" w:eastAsia="宋体" w:cs="宋体"/>
          <w:color w:val="auto"/>
          <w:kern w:val="24"/>
          <w:szCs w:val="21"/>
          <w:u w:val="single"/>
        </w:rPr>
        <w:t>（采购文件中明确的所属行业）</w:t>
      </w:r>
      <w:r>
        <w:rPr>
          <w:rFonts w:hint="eastAsia" w:ascii="宋体" w:hAnsi="宋体" w:eastAsia="宋体" w:cs="宋体"/>
          <w:color w:val="auto"/>
          <w:kern w:val="24"/>
          <w:szCs w:val="21"/>
        </w:rPr>
        <w:t>行业；承接企业为</w:t>
      </w:r>
      <w:r>
        <w:rPr>
          <w:rFonts w:hint="eastAsia" w:ascii="宋体" w:hAnsi="宋体" w:eastAsia="宋体" w:cs="宋体"/>
          <w:color w:val="auto"/>
          <w:kern w:val="24"/>
          <w:szCs w:val="21"/>
          <w:u w:val="single"/>
        </w:rPr>
        <w:t>（企业名称）</w:t>
      </w:r>
      <w:r>
        <w:rPr>
          <w:rFonts w:hint="eastAsia" w:ascii="宋体" w:hAnsi="宋体" w:eastAsia="宋体" w:cs="宋体"/>
          <w:color w:val="auto"/>
          <w:kern w:val="24"/>
          <w:szCs w:val="21"/>
        </w:rPr>
        <w:t>，从业人员</w:t>
      </w:r>
      <w:r>
        <w:rPr>
          <w:rFonts w:hint="eastAsia" w:ascii="宋体" w:hAnsi="宋体" w:eastAsia="宋体" w:cs="宋体"/>
          <w:color w:val="auto"/>
          <w:kern w:val="24"/>
          <w:szCs w:val="21"/>
          <w:u w:val="single"/>
        </w:rPr>
        <w:t xml:space="preserve">      </w:t>
      </w:r>
      <w:r>
        <w:rPr>
          <w:rFonts w:hint="eastAsia" w:ascii="宋体" w:hAnsi="宋体" w:eastAsia="宋体" w:cs="宋体"/>
          <w:color w:val="auto"/>
          <w:kern w:val="24"/>
          <w:szCs w:val="21"/>
        </w:rPr>
        <w:t>人，营业收入为</w:t>
      </w:r>
      <w:r>
        <w:rPr>
          <w:rFonts w:hint="eastAsia" w:ascii="宋体" w:hAnsi="宋体" w:eastAsia="宋体" w:cs="宋体"/>
          <w:color w:val="auto"/>
          <w:kern w:val="24"/>
          <w:szCs w:val="21"/>
          <w:u w:val="single"/>
        </w:rPr>
        <w:t xml:space="preserve">      </w:t>
      </w:r>
      <w:r>
        <w:rPr>
          <w:rFonts w:hint="eastAsia" w:ascii="宋体" w:hAnsi="宋体" w:eastAsia="宋体" w:cs="宋体"/>
          <w:color w:val="auto"/>
          <w:kern w:val="24"/>
          <w:szCs w:val="21"/>
        </w:rPr>
        <w:t>万元，资产总额为</w:t>
      </w:r>
      <w:r>
        <w:rPr>
          <w:rFonts w:hint="eastAsia" w:ascii="宋体" w:hAnsi="宋体" w:eastAsia="宋体" w:cs="宋体"/>
          <w:color w:val="auto"/>
          <w:kern w:val="24"/>
          <w:szCs w:val="21"/>
          <w:u w:val="single"/>
        </w:rPr>
        <w:t xml:space="preserve">      </w:t>
      </w:r>
      <w:r>
        <w:rPr>
          <w:rFonts w:hint="eastAsia" w:ascii="宋体" w:hAnsi="宋体" w:eastAsia="宋体" w:cs="宋体"/>
          <w:color w:val="auto"/>
          <w:kern w:val="24"/>
          <w:szCs w:val="21"/>
        </w:rPr>
        <w:t>万元，属于</w:t>
      </w:r>
      <w:r>
        <w:rPr>
          <w:rFonts w:hint="eastAsia" w:ascii="宋体" w:hAnsi="宋体" w:eastAsia="宋体" w:cs="宋体"/>
          <w:color w:val="auto"/>
          <w:kern w:val="24"/>
          <w:szCs w:val="21"/>
          <w:u w:val="single"/>
        </w:rPr>
        <w:t>（中型企业、小型企业、微型企业）</w:t>
      </w:r>
      <w:r>
        <w:rPr>
          <w:rFonts w:hint="eastAsia" w:ascii="宋体" w:hAnsi="宋体" w:eastAsia="宋体" w:cs="宋体"/>
          <w:color w:val="auto"/>
          <w:kern w:val="24"/>
          <w:szCs w:val="21"/>
        </w:rPr>
        <w:t>；</w:t>
      </w:r>
    </w:p>
    <w:p w14:paraId="4E548FF0">
      <w:pPr>
        <w:pStyle w:val="15"/>
        <w:spacing w:line="360" w:lineRule="auto"/>
        <w:ind w:left="142" w:right="142"/>
        <w:contextualSpacing/>
        <w:rPr>
          <w:rFonts w:ascii="宋体" w:hAnsi="宋体" w:eastAsia="宋体" w:cs="宋体"/>
          <w:color w:val="auto"/>
          <w:kern w:val="24"/>
          <w:szCs w:val="21"/>
        </w:rPr>
      </w:pPr>
      <w:r>
        <w:rPr>
          <w:rFonts w:hint="eastAsia" w:ascii="宋体" w:hAnsi="宋体" w:eastAsia="宋体" w:cs="宋体"/>
          <w:color w:val="auto"/>
          <w:kern w:val="24"/>
          <w:szCs w:val="21"/>
        </w:rPr>
        <w:t xml:space="preserve">…… </w:t>
      </w:r>
    </w:p>
    <w:p w14:paraId="245B8154">
      <w:pPr>
        <w:pStyle w:val="15"/>
        <w:spacing w:line="360" w:lineRule="auto"/>
        <w:ind w:left="-405" w:leftChars="-193" w:right="142" w:firstLine="396" w:firstLineChars="189"/>
        <w:contextualSpacing/>
        <w:rPr>
          <w:rFonts w:ascii="宋体" w:hAnsi="宋体" w:eastAsia="宋体" w:cs="宋体"/>
          <w:color w:val="auto"/>
          <w:kern w:val="24"/>
          <w:szCs w:val="21"/>
        </w:rPr>
      </w:pPr>
      <w:r>
        <w:rPr>
          <w:rFonts w:hint="eastAsia" w:ascii="宋体" w:hAnsi="宋体" w:eastAsia="宋体" w:cs="宋体"/>
          <w:color w:val="auto"/>
          <w:kern w:val="24"/>
          <w:szCs w:val="21"/>
        </w:rPr>
        <w:t>以上企业，不属于大企业的分支机构，不存在控股股东为大企业的情形，也不存在与大企业的负责人为同一人的情形。</w:t>
      </w:r>
    </w:p>
    <w:p w14:paraId="7A348C59">
      <w:pPr>
        <w:pStyle w:val="15"/>
        <w:spacing w:line="360" w:lineRule="auto"/>
        <w:ind w:left="-426" w:right="142" w:firstLine="567"/>
        <w:contextualSpacing/>
        <w:rPr>
          <w:rFonts w:ascii="宋体" w:hAnsi="宋体" w:eastAsia="宋体" w:cs="宋体"/>
          <w:color w:val="auto"/>
          <w:kern w:val="24"/>
          <w:szCs w:val="21"/>
        </w:rPr>
      </w:pPr>
      <w:r>
        <w:rPr>
          <w:rFonts w:hint="eastAsia" w:ascii="宋体" w:hAnsi="宋体" w:eastAsia="宋体" w:cs="宋体"/>
          <w:color w:val="auto"/>
          <w:kern w:val="24"/>
          <w:szCs w:val="21"/>
        </w:rPr>
        <w:t>本企业对上述声明内容的真实性负责。如有虚假，将依法承担相应责任。</w:t>
      </w:r>
    </w:p>
    <w:p w14:paraId="18EC7E38">
      <w:pPr>
        <w:pStyle w:val="15"/>
        <w:spacing w:line="360" w:lineRule="auto"/>
        <w:ind w:left="3960" w:right="1808"/>
        <w:contextualSpacing/>
        <w:rPr>
          <w:rFonts w:ascii="宋体" w:hAnsi="宋体" w:eastAsia="宋体" w:cs="宋体"/>
          <w:color w:val="auto"/>
          <w:kern w:val="24"/>
        </w:rPr>
      </w:pPr>
    </w:p>
    <w:p w14:paraId="74E73902">
      <w:pPr>
        <w:pStyle w:val="15"/>
        <w:spacing w:line="360" w:lineRule="auto"/>
        <w:ind w:left="3960" w:right="1808"/>
        <w:contextualSpacing/>
        <w:rPr>
          <w:rFonts w:ascii="宋体" w:hAnsi="宋体" w:eastAsia="宋体" w:cs="宋体"/>
          <w:color w:val="auto"/>
          <w:kern w:val="24"/>
        </w:rPr>
      </w:pPr>
      <w:r>
        <w:rPr>
          <w:rFonts w:hint="eastAsia" w:ascii="宋体" w:hAnsi="宋体" w:eastAsia="宋体" w:cs="宋体"/>
          <w:color w:val="auto"/>
          <w:kern w:val="24"/>
        </w:rPr>
        <w:t xml:space="preserve">企业名称（章）： </w:t>
      </w:r>
    </w:p>
    <w:p w14:paraId="572E500C">
      <w:pPr>
        <w:pStyle w:val="15"/>
        <w:spacing w:line="360" w:lineRule="auto"/>
        <w:ind w:left="3960" w:right="1808"/>
        <w:contextualSpacing/>
        <w:rPr>
          <w:rFonts w:ascii="宋体" w:hAnsi="宋体" w:eastAsia="宋体" w:cs="宋体"/>
          <w:color w:val="auto"/>
          <w:kern w:val="24"/>
        </w:rPr>
      </w:pPr>
      <w:r>
        <w:rPr>
          <w:rFonts w:hint="eastAsia" w:ascii="宋体" w:hAnsi="宋体" w:eastAsia="宋体" w:cs="宋体"/>
          <w:color w:val="auto"/>
          <w:kern w:val="24"/>
        </w:rPr>
        <w:t>日 期：</w:t>
      </w:r>
    </w:p>
    <w:p w14:paraId="001762D6">
      <w:pPr>
        <w:pStyle w:val="15"/>
        <w:spacing w:line="360" w:lineRule="auto"/>
        <w:ind w:left="3960" w:right="1808"/>
        <w:contextualSpacing/>
        <w:rPr>
          <w:rFonts w:ascii="宋体" w:hAnsi="宋体" w:eastAsia="宋体" w:cs="宋体"/>
          <w:color w:val="auto"/>
          <w:kern w:val="24"/>
        </w:rPr>
      </w:pPr>
    </w:p>
    <w:p w14:paraId="1885D26D">
      <w:pPr>
        <w:pStyle w:val="15"/>
        <w:spacing w:line="360" w:lineRule="auto"/>
        <w:ind w:left="3960" w:right="1808"/>
        <w:contextualSpacing/>
        <w:rPr>
          <w:rFonts w:ascii="宋体" w:hAnsi="宋体" w:eastAsia="宋体" w:cs="宋体"/>
          <w:color w:val="auto"/>
          <w:kern w:val="24"/>
        </w:rPr>
      </w:pPr>
    </w:p>
    <w:p w14:paraId="353A07C1">
      <w:pPr>
        <w:snapToGrid w:val="0"/>
        <w:spacing w:before="50" w:after="120" w:afterLines="50" w:line="360" w:lineRule="auto"/>
        <w:jc w:val="left"/>
        <w:rPr>
          <w:rFonts w:ascii="宋体" w:hAnsi="宋体" w:eastAsia="宋体" w:cs="宋体"/>
          <w:color w:val="auto"/>
          <w:sz w:val="20"/>
        </w:rPr>
      </w:pPr>
      <w:r>
        <w:rPr>
          <w:rFonts w:hint="eastAsia" w:ascii="宋体" w:hAnsi="宋体" w:eastAsia="宋体" w:cs="宋体"/>
          <w:color w:val="auto"/>
          <w:sz w:val="20"/>
        </w:rPr>
        <w:t>注：</w:t>
      </w:r>
    </w:p>
    <w:p w14:paraId="7568B08A">
      <w:pPr>
        <w:numPr>
          <w:ilvl w:val="0"/>
          <w:numId w:val="5"/>
        </w:numPr>
        <w:snapToGrid w:val="0"/>
        <w:spacing w:before="50" w:after="120" w:afterLines="50" w:line="360" w:lineRule="auto"/>
        <w:jc w:val="left"/>
        <w:rPr>
          <w:rFonts w:ascii="宋体" w:hAnsi="宋体" w:eastAsia="宋体" w:cs="宋体"/>
          <w:color w:val="auto"/>
          <w:sz w:val="20"/>
        </w:rPr>
      </w:pPr>
      <w:r>
        <w:rPr>
          <w:rFonts w:hint="eastAsia" w:ascii="宋体" w:hAnsi="宋体" w:eastAsia="宋体" w:cs="宋体"/>
          <w:color w:val="auto"/>
          <w:sz w:val="20"/>
        </w:rPr>
        <w:t>从业人员、营业收入、资产总额填报上一年度数据，无上一年度数据的新成立企业可不填报。</w:t>
      </w:r>
    </w:p>
    <w:p w14:paraId="381E801F">
      <w:pPr>
        <w:snapToGrid w:val="0"/>
        <w:spacing w:before="50" w:after="120" w:afterLines="50" w:line="360" w:lineRule="auto"/>
        <w:ind w:firstLine="300" w:firstLineChars="150"/>
        <w:jc w:val="left"/>
        <w:rPr>
          <w:rFonts w:ascii="宋体" w:hAnsi="宋体" w:eastAsia="宋体" w:cs="宋体"/>
          <w:color w:val="auto"/>
          <w:sz w:val="20"/>
        </w:rPr>
      </w:pPr>
      <w:r>
        <w:rPr>
          <w:rFonts w:hint="eastAsia" w:ascii="宋体" w:hAnsi="宋体" w:eastAsia="宋体" w:cs="宋体"/>
          <w:color w:val="auto"/>
          <w:sz w:val="20"/>
        </w:rPr>
        <w:t>2、请根据自己的真实情况出具《中小企业声明函》。依法享受中小企业优惠政策的，采购人或者采购代理机构在公告中标结果时，同时公告其《中小企业声明函》，接受社会监督。</w:t>
      </w:r>
    </w:p>
    <w:p w14:paraId="17E1C803">
      <w:pPr>
        <w:pStyle w:val="20"/>
        <w:ind w:firstLine="420" w:firstLineChars="200"/>
        <w:rPr>
          <w:rFonts w:ascii="宋体" w:hAnsi="宋体" w:eastAsia="宋体" w:cs="宋体"/>
          <w:color w:val="auto"/>
        </w:rPr>
      </w:pPr>
      <w:r>
        <w:rPr>
          <w:rFonts w:hint="eastAsia" w:ascii="宋体" w:hAnsi="宋体" w:eastAsia="宋体" w:cs="宋体"/>
          <w:color w:val="auto"/>
          <w:kern w:val="24"/>
        </w:rPr>
        <w:t>3、投标人针对本次采购货物内容，根据以上《中小企业声明函（货物）》要求填写完整相关信息。</w:t>
      </w:r>
    </w:p>
    <w:p w14:paraId="681D1169">
      <w:pPr>
        <w:snapToGrid w:val="0"/>
        <w:spacing w:before="120" w:beforeLines="50" w:after="50"/>
        <w:ind w:left="142"/>
        <w:jc w:val="left"/>
        <w:rPr>
          <w:rFonts w:ascii="宋体" w:hAnsi="宋体" w:eastAsia="宋体" w:cs="宋体"/>
          <w:b/>
          <w:color w:val="auto"/>
          <w:sz w:val="24"/>
        </w:rPr>
      </w:pPr>
    </w:p>
    <w:p w14:paraId="75906446">
      <w:pPr>
        <w:pStyle w:val="20"/>
        <w:jc w:val="left"/>
        <w:rPr>
          <w:rFonts w:ascii="宋体" w:hAnsi="宋体" w:eastAsia="宋体" w:cs="宋体"/>
          <w:color w:val="auto"/>
          <w:sz w:val="32"/>
          <w:szCs w:val="32"/>
        </w:rPr>
      </w:pPr>
    </w:p>
    <w:p w14:paraId="17E9954A">
      <w:pPr>
        <w:pStyle w:val="20"/>
        <w:jc w:val="left"/>
        <w:rPr>
          <w:rFonts w:ascii="宋体" w:hAnsi="宋体" w:eastAsia="宋体" w:cs="宋体"/>
          <w:color w:val="auto"/>
          <w:sz w:val="32"/>
          <w:szCs w:val="32"/>
        </w:rPr>
      </w:pPr>
    </w:p>
    <w:p w14:paraId="22D64582">
      <w:pPr>
        <w:pStyle w:val="20"/>
        <w:jc w:val="left"/>
        <w:rPr>
          <w:rFonts w:ascii="宋体" w:hAnsi="宋体" w:eastAsia="宋体" w:cs="宋体"/>
          <w:color w:val="auto"/>
          <w:sz w:val="32"/>
          <w:szCs w:val="32"/>
        </w:rPr>
      </w:pPr>
    </w:p>
    <w:p w14:paraId="4F266989">
      <w:pPr>
        <w:rPr>
          <w:rFonts w:ascii="宋体" w:hAnsi="宋体" w:eastAsia="宋体" w:cs="宋体"/>
          <w:b/>
          <w:bCs/>
          <w:color w:val="auto"/>
          <w:sz w:val="32"/>
          <w:szCs w:val="32"/>
        </w:rPr>
      </w:pPr>
      <w:r>
        <w:rPr>
          <w:rFonts w:hint="eastAsia" w:ascii="宋体" w:hAnsi="宋体" w:eastAsia="宋体" w:cs="宋体"/>
          <w:b/>
          <w:color w:val="auto"/>
          <w:sz w:val="24"/>
        </w:rPr>
        <w:t>6.如投标人属于监狱企业的，以提供由省级以上监狱管理局、戒毒管理局（含新疆生产建设兵团）出具的属于监狱企业的证明文件为准（如有，请提供）；</w:t>
      </w:r>
    </w:p>
    <w:p w14:paraId="0807BACE">
      <w:pPr>
        <w:snapToGrid w:val="0"/>
        <w:spacing w:before="120" w:beforeLines="50" w:after="50"/>
        <w:ind w:left="142"/>
        <w:jc w:val="left"/>
        <w:rPr>
          <w:rFonts w:ascii="宋体" w:hAnsi="宋体" w:eastAsia="宋体" w:cs="宋体"/>
          <w:b/>
          <w:color w:val="auto"/>
          <w:sz w:val="24"/>
        </w:rPr>
      </w:pPr>
    </w:p>
    <w:p w14:paraId="08A9FC84">
      <w:pPr>
        <w:pStyle w:val="15"/>
        <w:rPr>
          <w:rFonts w:ascii="宋体" w:hAnsi="宋体" w:eastAsia="宋体" w:cs="宋体"/>
          <w:b/>
          <w:color w:val="auto"/>
          <w:sz w:val="24"/>
        </w:rPr>
      </w:pPr>
    </w:p>
    <w:p w14:paraId="70996080">
      <w:pPr>
        <w:rPr>
          <w:rFonts w:ascii="宋体" w:hAnsi="宋体" w:eastAsia="宋体" w:cs="宋体"/>
          <w:color w:val="auto"/>
        </w:rPr>
      </w:pPr>
    </w:p>
    <w:p w14:paraId="1BA2523C">
      <w:pPr>
        <w:snapToGrid w:val="0"/>
        <w:spacing w:before="120" w:beforeLines="50" w:after="50"/>
        <w:jc w:val="left"/>
        <w:rPr>
          <w:rFonts w:ascii="宋体" w:hAnsi="宋体" w:eastAsia="宋体" w:cs="宋体"/>
          <w:b/>
          <w:color w:val="auto"/>
          <w:sz w:val="24"/>
        </w:rPr>
      </w:pPr>
      <w:r>
        <w:rPr>
          <w:rFonts w:hint="eastAsia" w:ascii="宋体" w:hAnsi="宋体" w:eastAsia="宋体" w:cs="宋体"/>
          <w:b/>
          <w:color w:val="auto"/>
          <w:sz w:val="24"/>
        </w:rPr>
        <w:t>7.残疾人福利性单位声明函格式</w:t>
      </w:r>
    </w:p>
    <w:p w14:paraId="5BAFFCE8">
      <w:pPr>
        <w:spacing w:line="588" w:lineRule="exact"/>
        <w:jc w:val="center"/>
        <w:rPr>
          <w:rFonts w:ascii="宋体" w:hAnsi="宋体" w:eastAsia="宋体" w:cs="宋体"/>
          <w:b/>
          <w:color w:val="auto"/>
          <w:spacing w:val="6"/>
          <w:sz w:val="32"/>
          <w:szCs w:val="32"/>
        </w:rPr>
      </w:pPr>
    </w:p>
    <w:p w14:paraId="00D6FF8C">
      <w:pPr>
        <w:spacing w:line="588" w:lineRule="exact"/>
        <w:jc w:val="center"/>
        <w:rPr>
          <w:rFonts w:ascii="宋体" w:hAnsi="宋体" w:eastAsia="宋体" w:cs="宋体"/>
          <w:bCs/>
          <w:color w:val="auto"/>
          <w:spacing w:val="6"/>
          <w:sz w:val="44"/>
          <w:szCs w:val="44"/>
        </w:rPr>
      </w:pPr>
      <w:r>
        <w:rPr>
          <w:rFonts w:hint="eastAsia" w:ascii="宋体" w:hAnsi="宋体" w:eastAsia="宋体" w:cs="宋体"/>
          <w:bCs/>
          <w:color w:val="auto"/>
          <w:spacing w:val="6"/>
          <w:sz w:val="44"/>
          <w:szCs w:val="44"/>
        </w:rPr>
        <w:t>残疾人福利性单位声明函</w:t>
      </w:r>
    </w:p>
    <w:p w14:paraId="3C5C0DE0">
      <w:pPr>
        <w:spacing w:line="360" w:lineRule="auto"/>
        <w:contextualSpacing/>
        <w:rPr>
          <w:rFonts w:ascii="宋体" w:hAnsi="宋体" w:eastAsia="宋体" w:cs="宋体"/>
          <w:bCs/>
          <w:color w:val="auto"/>
          <w:spacing w:val="6"/>
          <w:sz w:val="30"/>
          <w:szCs w:val="30"/>
        </w:rPr>
      </w:pPr>
    </w:p>
    <w:p w14:paraId="30E8DEF4">
      <w:pPr>
        <w:spacing w:line="360" w:lineRule="auto"/>
        <w:ind w:firstLine="504" w:firstLineChars="200"/>
        <w:contextualSpacing/>
        <w:rPr>
          <w:rFonts w:ascii="宋体" w:hAnsi="宋体" w:eastAsia="宋体" w:cs="宋体"/>
          <w:color w:val="auto"/>
          <w:spacing w:val="6"/>
          <w:sz w:val="24"/>
        </w:rPr>
      </w:pPr>
      <w:r>
        <w:rPr>
          <w:rFonts w:hint="eastAsia" w:ascii="宋体" w:hAnsi="宋体" w:eastAsia="宋体" w:cs="宋体"/>
          <w:color w:val="auto"/>
          <w:spacing w:val="6"/>
          <w:sz w:val="24"/>
        </w:rPr>
        <w:t>本单位郑重声明，根据《财政部 民政部 中国残疾人联合会关于促进残疾人就业政府采购政策的通知》（财库</w:t>
      </w:r>
      <w:r>
        <w:rPr>
          <w:rFonts w:hint="eastAsia" w:ascii="宋体" w:hAnsi="宋体" w:eastAsia="宋体" w:cs="宋体"/>
          <w:color w:val="auto"/>
          <w:sz w:val="24"/>
        </w:rPr>
        <w:t>〔2017〕 141</w:t>
      </w:r>
      <w:r>
        <w:rPr>
          <w:rFonts w:hint="eastAsia" w:ascii="宋体" w:hAnsi="宋体" w:eastAsia="宋体" w:cs="宋体"/>
          <w:color w:val="auto"/>
          <w:spacing w:val="6"/>
          <w:sz w:val="24"/>
        </w:rPr>
        <w:t>号）的规定，本单位为符合条件的残疾人福利性单位，且本单位参加</w:t>
      </w:r>
      <w:r>
        <w:rPr>
          <w:rFonts w:hint="eastAsia" w:ascii="宋体" w:hAnsi="宋体" w:eastAsia="宋体" w:cs="宋体"/>
          <w:color w:val="auto"/>
          <w:spacing w:val="6"/>
          <w:sz w:val="24"/>
          <w:u w:val="single"/>
        </w:rPr>
        <w:t xml:space="preserve">           </w:t>
      </w:r>
      <w:r>
        <w:rPr>
          <w:rFonts w:hint="eastAsia" w:ascii="宋体" w:hAnsi="宋体" w:eastAsia="宋体" w:cs="宋体"/>
          <w:color w:val="auto"/>
          <w:spacing w:val="6"/>
          <w:sz w:val="24"/>
        </w:rPr>
        <w:t>单位的</w:t>
      </w:r>
      <w:r>
        <w:rPr>
          <w:rFonts w:hint="eastAsia" w:ascii="宋体" w:hAnsi="宋体" w:eastAsia="宋体" w:cs="宋体"/>
          <w:color w:val="auto"/>
          <w:spacing w:val="6"/>
          <w:sz w:val="24"/>
          <w:u w:val="single"/>
        </w:rPr>
        <w:t xml:space="preserve">                 </w:t>
      </w:r>
      <w:r>
        <w:rPr>
          <w:rFonts w:hint="eastAsia" w:ascii="宋体" w:hAnsi="宋体" w:eastAsia="宋体" w:cs="宋体"/>
          <w:color w:val="auto"/>
          <w:spacing w:val="6"/>
          <w:sz w:val="24"/>
        </w:rPr>
        <w:t>项目采购活动提供本单位制造的</w:t>
      </w:r>
      <w:r>
        <w:rPr>
          <w:rFonts w:hint="eastAsia" w:ascii="宋体" w:hAnsi="宋体" w:eastAsia="宋体" w:cs="宋体"/>
          <w:color w:val="auto"/>
          <w:spacing w:val="6"/>
          <w:sz w:val="24"/>
          <w:u w:val="single"/>
        </w:rPr>
        <w:t xml:space="preserve">     </w:t>
      </w:r>
      <w:r>
        <w:rPr>
          <w:rFonts w:hint="eastAsia" w:ascii="宋体" w:hAnsi="宋体" w:eastAsia="宋体" w:cs="宋体"/>
          <w:color w:val="auto"/>
          <w:spacing w:val="6"/>
          <w:sz w:val="24"/>
        </w:rPr>
        <w:t>货物（由本单位承担工程/提供服务），或者提供其他残</w:t>
      </w:r>
      <w:r>
        <w:rPr>
          <w:rFonts w:hint="eastAsia" w:ascii="宋体" w:hAnsi="宋体" w:eastAsia="宋体" w:cs="宋体"/>
          <w:color w:val="auto"/>
          <w:spacing w:val="-6"/>
          <w:sz w:val="24"/>
        </w:rPr>
        <w:t>疾人福利性单位制造的货物（不包括使用非残疾人福利性单位注册商标的货物）。</w:t>
      </w:r>
    </w:p>
    <w:p w14:paraId="6F23FE29">
      <w:pPr>
        <w:spacing w:line="360" w:lineRule="auto"/>
        <w:ind w:firstLine="504" w:firstLineChars="200"/>
        <w:contextualSpacing/>
        <w:rPr>
          <w:rFonts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14:paraId="280670E6">
      <w:pPr>
        <w:spacing w:line="360" w:lineRule="auto"/>
        <w:ind w:firstLine="504" w:firstLineChars="200"/>
        <w:contextualSpacing/>
        <w:rPr>
          <w:rFonts w:ascii="宋体" w:hAnsi="宋体" w:eastAsia="宋体" w:cs="宋体"/>
          <w:color w:val="auto"/>
          <w:spacing w:val="6"/>
          <w:sz w:val="24"/>
        </w:rPr>
      </w:pPr>
    </w:p>
    <w:p w14:paraId="3B607A94">
      <w:pPr>
        <w:spacing w:line="360" w:lineRule="auto"/>
        <w:ind w:firstLine="504" w:firstLineChars="200"/>
        <w:contextualSpacing/>
        <w:rPr>
          <w:rFonts w:ascii="宋体" w:hAnsi="宋体" w:eastAsia="宋体" w:cs="宋体"/>
          <w:color w:val="auto"/>
          <w:spacing w:val="6"/>
          <w:sz w:val="24"/>
        </w:rPr>
      </w:pPr>
    </w:p>
    <w:p w14:paraId="607231E2">
      <w:pPr>
        <w:tabs>
          <w:tab w:val="left" w:pos="4860"/>
        </w:tabs>
        <w:spacing w:line="360" w:lineRule="auto"/>
        <w:ind w:right="1560" w:firstLine="504" w:firstLineChars="200"/>
        <w:contextualSpacing/>
        <w:jc w:val="center"/>
        <w:rPr>
          <w:rFonts w:ascii="宋体" w:hAnsi="宋体" w:eastAsia="宋体" w:cs="宋体"/>
          <w:color w:val="auto"/>
          <w:spacing w:val="6"/>
          <w:sz w:val="24"/>
        </w:rPr>
      </w:pPr>
      <w:r>
        <w:rPr>
          <w:rFonts w:hint="eastAsia" w:ascii="宋体" w:hAnsi="宋体" w:eastAsia="宋体" w:cs="宋体"/>
          <w:color w:val="auto"/>
          <w:spacing w:val="6"/>
          <w:sz w:val="24"/>
        </w:rPr>
        <w:t>单位名称（盖公章）：</w:t>
      </w:r>
    </w:p>
    <w:p w14:paraId="05BEBF84">
      <w:pPr>
        <w:tabs>
          <w:tab w:val="left" w:pos="4860"/>
        </w:tabs>
        <w:spacing w:line="360" w:lineRule="auto"/>
        <w:ind w:right="1560" w:firstLine="504" w:firstLineChars="200"/>
        <w:contextualSpacing/>
        <w:jc w:val="center"/>
        <w:rPr>
          <w:rFonts w:ascii="宋体" w:hAnsi="宋体" w:eastAsia="宋体" w:cs="宋体"/>
          <w:color w:val="auto"/>
          <w:spacing w:val="6"/>
          <w:sz w:val="24"/>
        </w:rPr>
      </w:pPr>
      <w:r>
        <w:rPr>
          <w:rFonts w:hint="eastAsia" w:ascii="宋体" w:hAnsi="宋体" w:eastAsia="宋体" w:cs="宋体"/>
          <w:color w:val="auto"/>
          <w:spacing w:val="6"/>
          <w:sz w:val="24"/>
        </w:rPr>
        <w:t>日  期：</w:t>
      </w:r>
    </w:p>
    <w:p w14:paraId="6133C4FD">
      <w:pPr>
        <w:spacing w:line="360" w:lineRule="auto"/>
        <w:contextualSpacing/>
        <w:rPr>
          <w:rFonts w:ascii="宋体" w:hAnsi="宋体" w:eastAsia="宋体" w:cs="宋体"/>
          <w:color w:val="auto"/>
          <w:sz w:val="24"/>
        </w:rPr>
      </w:pPr>
    </w:p>
    <w:p w14:paraId="39F198BC">
      <w:pPr>
        <w:spacing w:line="360" w:lineRule="auto"/>
        <w:contextualSpacing/>
        <w:rPr>
          <w:rFonts w:ascii="宋体" w:hAnsi="宋体" w:eastAsia="宋体" w:cs="宋体"/>
          <w:color w:val="auto"/>
          <w:sz w:val="24"/>
        </w:rPr>
      </w:pPr>
    </w:p>
    <w:p w14:paraId="7C3A3EB5">
      <w:pPr>
        <w:spacing w:line="360" w:lineRule="auto"/>
        <w:contextualSpacing/>
        <w:rPr>
          <w:rFonts w:ascii="宋体" w:hAnsi="宋体" w:eastAsia="宋体" w:cs="宋体"/>
          <w:color w:val="auto"/>
          <w:sz w:val="24"/>
        </w:rPr>
      </w:pPr>
    </w:p>
    <w:p w14:paraId="15BE7055">
      <w:pPr>
        <w:snapToGrid w:val="0"/>
        <w:spacing w:before="50" w:after="50" w:line="360" w:lineRule="auto"/>
        <w:ind w:left="-3" w:leftChars="-15" w:right="-817" w:rightChars="-389" w:hanging="28" w:hangingChars="12"/>
        <w:rPr>
          <w:rFonts w:ascii="宋体" w:hAnsi="宋体" w:eastAsia="宋体" w:cs="宋体"/>
          <w:b/>
          <w:color w:val="auto"/>
          <w:sz w:val="28"/>
          <w:szCs w:val="28"/>
        </w:rPr>
      </w:pPr>
      <w:r>
        <w:rPr>
          <w:rFonts w:hint="eastAsia" w:ascii="宋体" w:hAnsi="宋体" w:eastAsia="宋体" w:cs="宋体"/>
          <w:color w:val="auto"/>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r>
        <w:rPr>
          <w:rFonts w:hint="eastAsia" w:ascii="宋体" w:hAnsi="宋体" w:eastAsia="宋体" w:cs="宋体"/>
          <w:color w:val="auto"/>
          <w:sz w:val="24"/>
        </w:rPr>
        <w:br w:type="page"/>
      </w:r>
      <w:bookmarkStart w:id="91" w:name="_Toc19686837"/>
      <w:r>
        <w:rPr>
          <w:rFonts w:hint="eastAsia" w:ascii="宋体" w:hAnsi="宋体" w:eastAsia="宋体" w:cs="宋体"/>
          <w:b/>
          <w:color w:val="auto"/>
          <w:sz w:val="28"/>
          <w:szCs w:val="28"/>
        </w:rPr>
        <w:t>二、资格证明文件格式</w:t>
      </w:r>
      <w:bookmarkEnd w:id="91"/>
    </w:p>
    <w:p w14:paraId="5D6EA39C">
      <w:pPr>
        <w:numPr>
          <w:ilvl w:val="2"/>
          <w:numId w:val="6"/>
        </w:numPr>
        <w:snapToGrid w:val="0"/>
        <w:spacing w:before="120" w:beforeLines="50" w:after="50" w:line="360" w:lineRule="auto"/>
        <w:ind w:left="0" w:firstLine="0"/>
        <w:jc w:val="left"/>
        <w:rPr>
          <w:rFonts w:ascii="宋体" w:hAnsi="宋体" w:eastAsia="宋体" w:cs="宋体"/>
          <w:b/>
          <w:color w:val="auto"/>
          <w:sz w:val="24"/>
        </w:rPr>
      </w:pPr>
      <w:r>
        <w:rPr>
          <w:rFonts w:hint="eastAsia" w:ascii="宋体" w:hAnsi="宋体" w:eastAsia="宋体" w:cs="宋体"/>
          <w:b/>
          <w:color w:val="auto"/>
          <w:sz w:val="24"/>
        </w:rPr>
        <w:t xml:space="preserve">资格证明文件封面格式： </w:t>
      </w:r>
    </w:p>
    <w:p w14:paraId="28B68A3A">
      <w:pPr>
        <w:snapToGrid w:val="0"/>
        <w:spacing w:before="120" w:beforeLines="50" w:after="50"/>
        <w:rPr>
          <w:rFonts w:ascii="宋体" w:hAnsi="宋体" w:eastAsia="宋体" w:cs="宋体"/>
          <w:bCs/>
          <w:color w:val="auto"/>
          <w:sz w:val="32"/>
          <w:szCs w:val="20"/>
        </w:rPr>
      </w:pPr>
      <w:r>
        <w:rPr>
          <w:rFonts w:hint="eastAsia" w:ascii="宋体" w:hAnsi="宋体" w:eastAsia="宋体" w:cs="宋体"/>
          <w:color w:val="auto"/>
          <w:sz w:val="24"/>
        </w:rPr>
        <w:t xml:space="preserve">                                                   </w:t>
      </w:r>
    </w:p>
    <w:p w14:paraId="30E9A8A0">
      <w:pPr>
        <w:snapToGrid w:val="0"/>
        <w:spacing w:before="120" w:beforeLines="50" w:after="50"/>
        <w:rPr>
          <w:rFonts w:ascii="宋体" w:hAnsi="宋体" w:eastAsia="宋体" w:cs="宋体"/>
          <w:color w:val="auto"/>
          <w:sz w:val="24"/>
          <w:szCs w:val="20"/>
        </w:rPr>
      </w:pPr>
    </w:p>
    <w:p w14:paraId="4F8EAFF0">
      <w:pPr>
        <w:snapToGrid w:val="0"/>
        <w:spacing w:before="120" w:beforeLines="50" w:after="50"/>
        <w:rPr>
          <w:rFonts w:ascii="宋体" w:hAnsi="宋体" w:eastAsia="宋体" w:cs="宋体"/>
          <w:color w:val="auto"/>
          <w:sz w:val="24"/>
          <w:szCs w:val="20"/>
        </w:rPr>
      </w:pPr>
    </w:p>
    <w:p w14:paraId="1F724D76">
      <w:pPr>
        <w:snapToGrid w:val="0"/>
        <w:spacing w:before="120" w:beforeLines="50" w:after="50"/>
        <w:jc w:val="center"/>
        <w:rPr>
          <w:rFonts w:ascii="宋体" w:hAnsi="宋体" w:eastAsia="宋体" w:cs="宋体"/>
          <w:color w:val="auto"/>
          <w:sz w:val="84"/>
          <w:szCs w:val="84"/>
        </w:rPr>
      </w:pPr>
      <w:r>
        <w:rPr>
          <w:rFonts w:hint="eastAsia" w:ascii="宋体" w:hAnsi="宋体" w:eastAsia="宋体" w:cs="宋体"/>
          <w:color w:val="auto"/>
          <w:sz w:val="84"/>
          <w:szCs w:val="84"/>
        </w:rPr>
        <w:t>投  标  文  件</w:t>
      </w:r>
    </w:p>
    <w:p w14:paraId="11953A16">
      <w:pPr>
        <w:snapToGrid w:val="0"/>
        <w:spacing w:before="120" w:beforeLines="50" w:after="50"/>
        <w:rPr>
          <w:rFonts w:ascii="宋体" w:hAnsi="宋体" w:eastAsia="宋体" w:cs="宋体"/>
          <w:color w:val="auto"/>
          <w:sz w:val="24"/>
          <w:szCs w:val="20"/>
        </w:rPr>
      </w:pPr>
    </w:p>
    <w:p w14:paraId="050B5853">
      <w:pPr>
        <w:snapToGrid w:val="0"/>
        <w:spacing w:before="120" w:beforeLines="50" w:after="50"/>
        <w:rPr>
          <w:rFonts w:ascii="宋体" w:hAnsi="宋体" w:eastAsia="宋体" w:cs="宋体"/>
          <w:color w:val="auto"/>
          <w:sz w:val="24"/>
          <w:szCs w:val="20"/>
        </w:rPr>
      </w:pPr>
    </w:p>
    <w:p w14:paraId="29798C2D">
      <w:pPr>
        <w:snapToGrid w:val="0"/>
        <w:spacing w:before="120" w:beforeLines="50" w:after="50"/>
        <w:jc w:val="center"/>
        <w:rPr>
          <w:rFonts w:ascii="宋体" w:hAnsi="宋体" w:eastAsia="宋体" w:cs="宋体"/>
          <w:b/>
          <w:color w:val="auto"/>
          <w:sz w:val="24"/>
          <w:szCs w:val="20"/>
        </w:rPr>
      </w:pPr>
      <w:r>
        <w:rPr>
          <w:rFonts w:hint="eastAsia" w:ascii="宋体" w:hAnsi="宋体" w:eastAsia="宋体" w:cs="宋体"/>
          <w:b/>
          <w:color w:val="auto"/>
          <w:sz w:val="32"/>
          <w:szCs w:val="32"/>
        </w:rPr>
        <w:t>资 格 证 明 文 件</w:t>
      </w:r>
    </w:p>
    <w:p w14:paraId="69747B5D">
      <w:pPr>
        <w:snapToGrid w:val="0"/>
        <w:spacing w:before="120" w:beforeLines="50" w:after="50"/>
        <w:rPr>
          <w:rFonts w:ascii="宋体" w:hAnsi="宋体" w:eastAsia="宋体" w:cs="宋体"/>
          <w:bCs/>
          <w:color w:val="auto"/>
          <w:sz w:val="24"/>
          <w:szCs w:val="20"/>
        </w:rPr>
      </w:pPr>
    </w:p>
    <w:p w14:paraId="537EDECB">
      <w:pPr>
        <w:snapToGrid w:val="0"/>
        <w:spacing w:before="120" w:beforeLines="50" w:after="50"/>
        <w:rPr>
          <w:rFonts w:ascii="宋体" w:hAnsi="宋体" w:eastAsia="宋体" w:cs="宋体"/>
          <w:bCs/>
          <w:color w:val="auto"/>
          <w:sz w:val="24"/>
          <w:szCs w:val="20"/>
        </w:rPr>
      </w:pPr>
    </w:p>
    <w:p w14:paraId="264F3852">
      <w:pPr>
        <w:snapToGrid w:val="0"/>
        <w:spacing w:before="120" w:beforeLines="50" w:after="50"/>
        <w:rPr>
          <w:rFonts w:ascii="宋体" w:hAnsi="宋体" w:eastAsia="宋体" w:cs="宋体"/>
          <w:bCs/>
          <w:color w:val="auto"/>
          <w:sz w:val="24"/>
          <w:szCs w:val="20"/>
        </w:rPr>
      </w:pPr>
    </w:p>
    <w:p w14:paraId="3FAC709C">
      <w:pPr>
        <w:snapToGrid w:val="0"/>
        <w:spacing w:before="120" w:beforeLines="50" w:after="50"/>
        <w:rPr>
          <w:rFonts w:ascii="宋体" w:hAnsi="宋体" w:eastAsia="宋体" w:cs="宋体"/>
          <w:bCs/>
          <w:color w:val="auto"/>
          <w:sz w:val="24"/>
          <w:szCs w:val="20"/>
        </w:rPr>
      </w:pPr>
    </w:p>
    <w:p w14:paraId="1B8C9F61">
      <w:pPr>
        <w:snapToGrid w:val="0"/>
        <w:spacing w:before="120" w:beforeLines="50" w:after="50"/>
        <w:rPr>
          <w:rFonts w:ascii="宋体" w:hAnsi="宋体" w:eastAsia="宋体" w:cs="宋体"/>
          <w:bCs/>
          <w:color w:val="auto"/>
          <w:sz w:val="24"/>
          <w:szCs w:val="20"/>
        </w:rPr>
      </w:pPr>
    </w:p>
    <w:p w14:paraId="76A76483">
      <w:pPr>
        <w:snapToGrid w:val="0"/>
        <w:spacing w:before="120" w:beforeLines="50" w:after="50"/>
        <w:ind w:firstLine="540" w:firstLineChars="225"/>
        <w:rPr>
          <w:rFonts w:ascii="宋体" w:hAnsi="宋体" w:eastAsia="宋体" w:cs="宋体"/>
          <w:bCs/>
          <w:color w:val="auto"/>
          <w:sz w:val="24"/>
        </w:rPr>
      </w:pPr>
      <w:r>
        <w:rPr>
          <w:rFonts w:hint="eastAsia" w:ascii="宋体" w:hAnsi="宋体" w:eastAsia="宋体" w:cs="宋体"/>
          <w:bCs/>
          <w:color w:val="auto"/>
          <w:sz w:val="24"/>
        </w:rPr>
        <w:t>项目名称+标段：</w:t>
      </w:r>
    </w:p>
    <w:p w14:paraId="68E1360F">
      <w:pPr>
        <w:snapToGrid w:val="0"/>
        <w:spacing w:before="120" w:beforeLines="50" w:after="50"/>
        <w:ind w:firstLine="540" w:firstLineChars="225"/>
        <w:rPr>
          <w:rFonts w:ascii="宋体" w:hAnsi="宋体" w:eastAsia="宋体" w:cs="宋体"/>
          <w:bCs/>
          <w:color w:val="auto"/>
          <w:sz w:val="24"/>
          <w:szCs w:val="20"/>
        </w:rPr>
      </w:pPr>
    </w:p>
    <w:p w14:paraId="231DC423">
      <w:pPr>
        <w:snapToGrid w:val="0"/>
        <w:spacing w:before="120" w:beforeLines="50" w:after="50"/>
        <w:ind w:firstLine="540" w:firstLineChars="225"/>
        <w:rPr>
          <w:rFonts w:ascii="宋体" w:hAnsi="宋体" w:eastAsia="宋体" w:cs="宋体"/>
          <w:bCs/>
          <w:color w:val="auto"/>
          <w:sz w:val="24"/>
        </w:rPr>
      </w:pPr>
      <w:r>
        <w:rPr>
          <w:rFonts w:hint="eastAsia" w:ascii="宋体" w:hAnsi="宋体" w:eastAsia="宋体" w:cs="宋体"/>
          <w:bCs/>
          <w:color w:val="auto"/>
          <w:sz w:val="24"/>
        </w:rPr>
        <w:t>项目编号：</w:t>
      </w:r>
    </w:p>
    <w:p w14:paraId="21E10E1C">
      <w:pPr>
        <w:snapToGrid w:val="0"/>
        <w:spacing w:before="120" w:beforeLines="50" w:after="50"/>
        <w:ind w:firstLine="540" w:firstLineChars="225"/>
        <w:rPr>
          <w:rFonts w:ascii="宋体" w:hAnsi="宋体" w:eastAsia="宋体" w:cs="宋体"/>
          <w:bCs/>
          <w:color w:val="auto"/>
          <w:sz w:val="24"/>
          <w:szCs w:val="20"/>
        </w:rPr>
      </w:pPr>
      <w:r>
        <w:rPr>
          <w:rFonts w:hint="eastAsia" w:ascii="宋体" w:hAnsi="宋体" w:eastAsia="宋体" w:cs="宋体"/>
          <w:bCs/>
          <w:color w:val="auto"/>
          <w:sz w:val="24"/>
        </w:rPr>
        <w:t xml:space="preserve"> </w:t>
      </w:r>
    </w:p>
    <w:p w14:paraId="4D957E74">
      <w:pPr>
        <w:snapToGrid w:val="0"/>
        <w:spacing w:before="120" w:beforeLines="50" w:after="50"/>
        <w:ind w:firstLine="540" w:firstLineChars="225"/>
        <w:rPr>
          <w:rFonts w:ascii="宋体" w:hAnsi="宋体" w:eastAsia="宋体" w:cs="宋体"/>
          <w:bCs/>
          <w:color w:val="auto"/>
          <w:sz w:val="24"/>
        </w:rPr>
      </w:pPr>
      <w:r>
        <w:rPr>
          <w:rFonts w:hint="eastAsia" w:ascii="宋体" w:hAnsi="宋体" w:eastAsia="宋体" w:cs="宋体"/>
          <w:bCs/>
          <w:color w:val="auto"/>
          <w:sz w:val="24"/>
        </w:rPr>
        <w:t>所投分标：</w:t>
      </w:r>
    </w:p>
    <w:p w14:paraId="57EFE86C">
      <w:pPr>
        <w:pStyle w:val="7"/>
        <w:snapToGrid w:val="0"/>
        <w:spacing w:before="50" w:after="50"/>
        <w:ind w:firstLine="540" w:firstLineChars="225"/>
        <w:rPr>
          <w:rFonts w:ascii="宋体" w:hAnsi="宋体" w:eastAsia="宋体" w:cs="宋体"/>
          <w:bCs/>
          <w:color w:val="auto"/>
          <w:sz w:val="24"/>
          <w:szCs w:val="24"/>
        </w:rPr>
      </w:pPr>
    </w:p>
    <w:p w14:paraId="2B8002FC">
      <w:pPr>
        <w:pStyle w:val="7"/>
        <w:snapToGrid w:val="0"/>
        <w:spacing w:before="50" w:after="50"/>
        <w:ind w:firstLine="540" w:firstLineChars="225"/>
        <w:rPr>
          <w:rFonts w:ascii="宋体" w:hAnsi="宋体" w:eastAsia="宋体" w:cs="宋体"/>
          <w:bCs/>
          <w:color w:val="auto"/>
          <w:sz w:val="24"/>
          <w:szCs w:val="24"/>
        </w:rPr>
      </w:pPr>
      <w:r>
        <w:rPr>
          <w:rFonts w:hint="eastAsia" w:ascii="宋体" w:hAnsi="宋体" w:eastAsia="宋体" w:cs="宋体"/>
          <w:bCs/>
          <w:color w:val="auto"/>
          <w:sz w:val="24"/>
          <w:szCs w:val="24"/>
        </w:rPr>
        <w:t>投标人名称：</w:t>
      </w:r>
    </w:p>
    <w:p w14:paraId="5C0E5FD7">
      <w:pPr>
        <w:pStyle w:val="7"/>
        <w:snapToGrid w:val="0"/>
        <w:spacing w:before="50" w:after="50"/>
        <w:ind w:firstLine="540" w:firstLineChars="225"/>
        <w:rPr>
          <w:rFonts w:ascii="宋体" w:hAnsi="宋体" w:eastAsia="宋体" w:cs="宋体"/>
          <w:bCs/>
          <w:color w:val="auto"/>
          <w:sz w:val="24"/>
          <w:szCs w:val="24"/>
        </w:rPr>
      </w:pPr>
    </w:p>
    <w:p w14:paraId="113BB5CC">
      <w:pPr>
        <w:pStyle w:val="7"/>
        <w:snapToGrid w:val="0"/>
        <w:spacing w:before="50" w:after="50"/>
        <w:ind w:firstLine="960" w:firstLineChars="400"/>
        <w:rPr>
          <w:rFonts w:ascii="宋体" w:hAnsi="宋体" w:eastAsia="宋体" w:cs="宋体"/>
          <w:bCs/>
          <w:color w:val="auto"/>
          <w:sz w:val="24"/>
          <w:szCs w:val="24"/>
        </w:rPr>
      </w:pPr>
    </w:p>
    <w:p w14:paraId="3E128F88">
      <w:pPr>
        <w:snapToGrid w:val="0"/>
        <w:spacing w:before="120" w:beforeLines="50" w:after="50"/>
        <w:ind w:firstLine="645"/>
        <w:jc w:val="center"/>
        <w:rPr>
          <w:rFonts w:ascii="宋体" w:hAnsi="宋体" w:eastAsia="宋体" w:cs="宋体"/>
          <w:color w:val="auto"/>
          <w:sz w:val="24"/>
        </w:rPr>
      </w:pPr>
      <w:r>
        <w:rPr>
          <w:rFonts w:hint="eastAsia" w:ascii="宋体" w:hAnsi="宋体" w:eastAsia="宋体" w:cs="宋体"/>
          <w:color w:val="auto"/>
          <w:sz w:val="24"/>
        </w:rPr>
        <w:t>年  月  日</w:t>
      </w:r>
    </w:p>
    <w:p w14:paraId="4FCE0980">
      <w:pPr>
        <w:snapToGrid w:val="0"/>
        <w:spacing w:before="120" w:beforeLines="50" w:after="50"/>
        <w:rPr>
          <w:rFonts w:ascii="宋体" w:hAnsi="宋体" w:eastAsia="宋体" w:cs="宋体"/>
          <w:color w:val="auto"/>
          <w:sz w:val="24"/>
          <w:szCs w:val="20"/>
        </w:rPr>
      </w:pPr>
      <w:r>
        <w:rPr>
          <w:rFonts w:hint="eastAsia" w:ascii="宋体" w:hAnsi="宋体" w:eastAsia="宋体" w:cs="宋体"/>
          <w:color w:val="auto"/>
          <w:sz w:val="24"/>
          <w:szCs w:val="20"/>
        </w:rPr>
        <w:t xml:space="preserve"> </w:t>
      </w:r>
    </w:p>
    <w:p w14:paraId="48F753FC">
      <w:pPr>
        <w:snapToGrid w:val="0"/>
        <w:spacing w:before="120" w:beforeLines="50" w:after="50"/>
        <w:rPr>
          <w:rFonts w:ascii="宋体" w:hAnsi="宋体" w:eastAsia="宋体" w:cs="宋体"/>
          <w:color w:val="auto"/>
          <w:sz w:val="24"/>
          <w:szCs w:val="20"/>
        </w:rPr>
      </w:pPr>
    </w:p>
    <w:p w14:paraId="4C51FA44">
      <w:pPr>
        <w:numPr>
          <w:ilvl w:val="2"/>
          <w:numId w:val="6"/>
        </w:numPr>
        <w:snapToGrid w:val="0"/>
        <w:spacing w:before="120" w:beforeLines="50" w:after="50" w:line="360" w:lineRule="auto"/>
        <w:ind w:left="0" w:firstLine="0"/>
        <w:jc w:val="left"/>
        <w:rPr>
          <w:rFonts w:ascii="宋体" w:hAnsi="宋体" w:eastAsia="宋体" w:cs="宋体"/>
          <w:color w:val="auto"/>
          <w:sz w:val="24"/>
          <w:szCs w:val="20"/>
        </w:rPr>
      </w:pPr>
      <w:r>
        <w:rPr>
          <w:rFonts w:hint="eastAsia" w:ascii="宋体" w:hAnsi="宋体" w:eastAsia="宋体" w:cs="宋体"/>
          <w:b/>
          <w:bCs/>
          <w:color w:val="auto"/>
          <w:sz w:val="24"/>
        </w:rPr>
        <w:br w:type="page"/>
      </w:r>
      <w:r>
        <w:rPr>
          <w:rFonts w:hint="eastAsia" w:ascii="宋体" w:hAnsi="宋体" w:eastAsia="宋体" w:cs="宋体"/>
          <w:b/>
          <w:bCs/>
          <w:color w:val="auto"/>
          <w:sz w:val="24"/>
        </w:rPr>
        <w:t>资格证明文件目录</w:t>
      </w:r>
    </w:p>
    <w:p w14:paraId="1E796A2F">
      <w:pPr>
        <w:snapToGrid w:val="0"/>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rPr>
        <w:t>根据招标文件规定及投标人提供的材料自行编写目录。</w:t>
      </w:r>
    </w:p>
    <w:p w14:paraId="5C2201A4">
      <w:pPr>
        <w:pStyle w:val="74"/>
        <w:rPr>
          <w:rFonts w:ascii="宋体" w:hAnsi="宋体" w:eastAsia="宋体" w:cs="宋体"/>
          <w:color w:val="auto"/>
          <w:szCs w:val="21"/>
        </w:rPr>
      </w:pPr>
    </w:p>
    <w:p w14:paraId="5FC25160">
      <w:pPr>
        <w:pStyle w:val="74"/>
        <w:rPr>
          <w:rFonts w:ascii="宋体" w:hAnsi="宋体" w:eastAsia="宋体" w:cs="宋体"/>
          <w:color w:val="auto"/>
          <w:szCs w:val="21"/>
        </w:rPr>
      </w:pPr>
    </w:p>
    <w:p w14:paraId="4DB66A2B">
      <w:pPr>
        <w:pStyle w:val="74"/>
        <w:rPr>
          <w:rFonts w:ascii="宋体" w:hAnsi="宋体" w:eastAsia="宋体" w:cs="宋体"/>
          <w:color w:val="auto"/>
          <w:szCs w:val="21"/>
        </w:rPr>
      </w:pPr>
    </w:p>
    <w:p w14:paraId="06FFD6DF">
      <w:pPr>
        <w:pStyle w:val="74"/>
        <w:rPr>
          <w:rFonts w:ascii="宋体" w:hAnsi="宋体" w:eastAsia="宋体" w:cs="宋体"/>
          <w:color w:val="auto"/>
          <w:szCs w:val="21"/>
        </w:rPr>
      </w:pPr>
    </w:p>
    <w:p w14:paraId="58F63536">
      <w:pPr>
        <w:pStyle w:val="74"/>
        <w:rPr>
          <w:rFonts w:ascii="宋体" w:hAnsi="宋体" w:eastAsia="宋体" w:cs="宋体"/>
          <w:color w:val="auto"/>
          <w:szCs w:val="21"/>
        </w:rPr>
      </w:pPr>
    </w:p>
    <w:p w14:paraId="01569C02">
      <w:pPr>
        <w:pStyle w:val="74"/>
        <w:rPr>
          <w:rFonts w:ascii="宋体" w:hAnsi="宋体" w:eastAsia="宋体" w:cs="宋体"/>
          <w:color w:val="auto"/>
          <w:szCs w:val="21"/>
        </w:rPr>
      </w:pPr>
    </w:p>
    <w:p w14:paraId="38D688DE">
      <w:pPr>
        <w:pStyle w:val="74"/>
        <w:rPr>
          <w:rFonts w:ascii="宋体" w:hAnsi="宋体" w:eastAsia="宋体" w:cs="宋体"/>
          <w:color w:val="auto"/>
          <w:szCs w:val="21"/>
        </w:rPr>
      </w:pPr>
    </w:p>
    <w:p w14:paraId="2E82F14D">
      <w:pPr>
        <w:pStyle w:val="74"/>
        <w:rPr>
          <w:rFonts w:ascii="宋体" w:hAnsi="宋体" w:eastAsia="宋体" w:cs="宋体"/>
          <w:color w:val="auto"/>
          <w:szCs w:val="21"/>
        </w:rPr>
      </w:pPr>
    </w:p>
    <w:p w14:paraId="68B7E973">
      <w:pPr>
        <w:pStyle w:val="74"/>
        <w:rPr>
          <w:rFonts w:ascii="宋体" w:hAnsi="宋体" w:eastAsia="宋体" w:cs="宋体"/>
          <w:color w:val="auto"/>
          <w:szCs w:val="21"/>
        </w:rPr>
      </w:pPr>
    </w:p>
    <w:p w14:paraId="6E7B2BCF">
      <w:pPr>
        <w:pStyle w:val="74"/>
        <w:rPr>
          <w:rFonts w:ascii="宋体" w:hAnsi="宋体" w:eastAsia="宋体" w:cs="宋体"/>
          <w:color w:val="auto"/>
          <w:szCs w:val="21"/>
        </w:rPr>
      </w:pPr>
    </w:p>
    <w:p w14:paraId="4197D045">
      <w:pPr>
        <w:pStyle w:val="74"/>
        <w:rPr>
          <w:rFonts w:ascii="宋体" w:hAnsi="宋体" w:eastAsia="宋体" w:cs="宋体"/>
          <w:color w:val="auto"/>
          <w:szCs w:val="21"/>
        </w:rPr>
      </w:pPr>
    </w:p>
    <w:p w14:paraId="4C0BAEDA">
      <w:pPr>
        <w:pStyle w:val="74"/>
        <w:rPr>
          <w:rFonts w:ascii="宋体" w:hAnsi="宋体" w:eastAsia="宋体" w:cs="宋体"/>
          <w:color w:val="auto"/>
          <w:szCs w:val="21"/>
        </w:rPr>
      </w:pPr>
    </w:p>
    <w:p w14:paraId="250F8E5C">
      <w:pPr>
        <w:pStyle w:val="74"/>
        <w:rPr>
          <w:rFonts w:ascii="宋体" w:hAnsi="宋体" w:eastAsia="宋体" w:cs="宋体"/>
          <w:color w:val="auto"/>
          <w:szCs w:val="21"/>
        </w:rPr>
      </w:pPr>
    </w:p>
    <w:p w14:paraId="29D3B45F">
      <w:pPr>
        <w:pStyle w:val="74"/>
        <w:rPr>
          <w:rFonts w:ascii="宋体" w:hAnsi="宋体" w:eastAsia="宋体" w:cs="宋体"/>
          <w:color w:val="auto"/>
          <w:szCs w:val="21"/>
        </w:rPr>
      </w:pPr>
    </w:p>
    <w:p w14:paraId="21BB15DD">
      <w:pPr>
        <w:pStyle w:val="74"/>
        <w:rPr>
          <w:rFonts w:ascii="宋体" w:hAnsi="宋体" w:eastAsia="宋体" w:cs="宋体"/>
          <w:color w:val="auto"/>
          <w:szCs w:val="21"/>
        </w:rPr>
      </w:pPr>
    </w:p>
    <w:p w14:paraId="3811AF9C">
      <w:pPr>
        <w:pStyle w:val="74"/>
        <w:rPr>
          <w:rFonts w:ascii="宋体" w:hAnsi="宋体" w:eastAsia="宋体" w:cs="宋体"/>
          <w:color w:val="auto"/>
          <w:szCs w:val="21"/>
        </w:rPr>
      </w:pPr>
    </w:p>
    <w:p w14:paraId="52BCFB2A">
      <w:pPr>
        <w:pStyle w:val="74"/>
        <w:rPr>
          <w:rFonts w:ascii="宋体" w:hAnsi="宋体" w:eastAsia="宋体" w:cs="宋体"/>
          <w:color w:val="auto"/>
          <w:szCs w:val="21"/>
        </w:rPr>
      </w:pPr>
    </w:p>
    <w:p w14:paraId="2564F0F0">
      <w:pPr>
        <w:pStyle w:val="74"/>
        <w:rPr>
          <w:rFonts w:ascii="宋体" w:hAnsi="宋体" w:eastAsia="宋体" w:cs="宋体"/>
          <w:color w:val="auto"/>
          <w:szCs w:val="21"/>
        </w:rPr>
      </w:pPr>
    </w:p>
    <w:p w14:paraId="0A0AE713">
      <w:pPr>
        <w:pStyle w:val="74"/>
        <w:rPr>
          <w:rFonts w:ascii="宋体" w:hAnsi="宋体" w:eastAsia="宋体" w:cs="宋体"/>
          <w:color w:val="auto"/>
          <w:szCs w:val="21"/>
        </w:rPr>
      </w:pPr>
    </w:p>
    <w:p w14:paraId="209CB4CB">
      <w:pPr>
        <w:pStyle w:val="74"/>
        <w:rPr>
          <w:rFonts w:ascii="宋体" w:hAnsi="宋体" w:eastAsia="宋体" w:cs="宋体"/>
          <w:color w:val="auto"/>
          <w:szCs w:val="21"/>
        </w:rPr>
      </w:pPr>
    </w:p>
    <w:p w14:paraId="28C3B302">
      <w:pPr>
        <w:pStyle w:val="74"/>
        <w:rPr>
          <w:rFonts w:ascii="宋体" w:hAnsi="宋体" w:eastAsia="宋体" w:cs="宋体"/>
          <w:color w:val="auto"/>
          <w:szCs w:val="21"/>
        </w:rPr>
      </w:pPr>
    </w:p>
    <w:p w14:paraId="73E4C04D">
      <w:pPr>
        <w:pStyle w:val="74"/>
        <w:rPr>
          <w:rFonts w:ascii="宋体" w:hAnsi="宋体" w:eastAsia="宋体" w:cs="宋体"/>
          <w:color w:val="auto"/>
          <w:szCs w:val="21"/>
        </w:rPr>
      </w:pPr>
    </w:p>
    <w:p w14:paraId="5D743E72">
      <w:pPr>
        <w:pStyle w:val="74"/>
        <w:rPr>
          <w:rFonts w:ascii="宋体" w:hAnsi="宋体" w:eastAsia="宋体" w:cs="宋体"/>
          <w:color w:val="auto"/>
          <w:szCs w:val="21"/>
        </w:rPr>
      </w:pPr>
    </w:p>
    <w:p w14:paraId="1F927276">
      <w:pPr>
        <w:pStyle w:val="74"/>
        <w:rPr>
          <w:rFonts w:ascii="宋体" w:hAnsi="宋体" w:eastAsia="宋体" w:cs="宋体"/>
          <w:color w:val="auto"/>
          <w:szCs w:val="21"/>
        </w:rPr>
      </w:pPr>
    </w:p>
    <w:p w14:paraId="092BA076">
      <w:pPr>
        <w:snapToGrid w:val="0"/>
        <w:spacing w:before="50" w:after="120" w:afterLines="50"/>
        <w:jc w:val="left"/>
        <w:rPr>
          <w:rFonts w:ascii="宋体" w:hAnsi="宋体" w:eastAsia="宋体" w:cs="宋体"/>
          <w:color w:val="auto"/>
          <w:sz w:val="24"/>
        </w:rPr>
      </w:pPr>
    </w:p>
    <w:p w14:paraId="2E0CCC39">
      <w:pPr>
        <w:snapToGrid w:val="0"/>
        <w:spacing w:before="50" w:after="120" w:afterLines="50"/>
        <w:jc w:val="left"/>
        <w:rPr>
          <w:rFonts w:ascii="宋体" w:hAnsi="宋体" w:eastAsia="宋体" w:cs="宋体"/>
          <w:color w:val="auto"/>
          <w:sz w:val="24"/>
        </w:rPr>
      </w:pPr>
    </w:p>
    <w:p w14:paraId="428D896B">
      <w:pPr>
        <w:snapToGrid w:val="0"/>
        <w:spacing w:before="120" w:beforeLines="50" w:after="50"/>
        <w:jc w:val="left"/>
        <w:outlineLvl w:val="1"/>
        <w:rPr>
          <w:rFonts w:ascii="宋体" w:hAnsi="宋体" w:eastAsia="宋体" w:cs="宋体"/>
          <w:b/>
          <w:bCs/>
          <w:color w:val="auto"/>
          <w:sz w:val="24"/>
        </w:rPr>
      </w:pPr>
      <w:r>
        <w:rPr>
          <w:rFonts w:hint="eastAsia" w:ascii="宋体" w:hAnsi="宋体" w:eastAsia="宋体" w:cs="宋体"/>
          <w:b/>
          <w:color w:val="auto"/>
          <w:sz w:val="24"/>
        </w:rPr>
        <w:br w:type="page"/>
      </w:r>
      <w:r>
        <w:rPr>
          <w:rFonts w:hint="eastAsia" w:ascii="宋体" w:hAnsi="宋体" w:eastAsia="宋体" w:cs="宋体"/>
          <w:b/>
          <w:bCs/>
          <w:color w:val="auto"/>
          <w:sz w:val="24"/>
        </w:rPr>
        <w:t>3.具备履行合同所必需的设备和专业技术服务能力的承诺书</w:t>
      </w:r>
    </w:p>
    <w:p w14:paraId="76195AAA">
      <w:pPr>
        <w:spacing w:before="120" w:beforeLines="50" w:after="50"/>
        <w:jc w:val="center"/>
        <w:rPr>
          <w:rFonts w:ascii="宋体" w:hAnsi="宋体" w:eastAsia="宋体" w:cs="宋体"/>
          <w:b/>
          <w:color w:val="auto"/>
          <w:sz w:val="24"/>
        </w:rPr>
      </w:pPr>
    </w:p>
    <w:p w14:paraId="223AA3EF">
      <w:pPr>
        <w:spacing w:before="120" w:beforeLines="50" w:after="50"/>
        <w:jc w:val="center"/>
        <w:rPr>
          <w:rFonts w:ascii="宋体" w:hAnsi="宋体" w:eastAsia="宋体" w:cs="宋体"/>
          <w:b/>
          <w:color w:val="auto"/>
          <w:sz w:val="24"/>
        </w:rPr>
      </w:pPr>
      <w:r>
        <w:rPr>
          <w:rFonts w:hint="eastAsia" w:ascii="宋体" w:hAnsi="宋体" w:eastAsia="宋体" w:cs="宋体"/>
          <w:b/>
          <w:color w:val="auto"/>
          <w:sz w:val="24"/>
        </w:rPr>
        <w:t>具备履行合同所必需的设备和专业技术服务能力的承诺书</w:t>
      </w:r>
    </w:p>
    <w:p w14:paraId="48C010E5">
      <w:pPr>
        <w:spacing w:line="400" w:lineRule="exact"/>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p>
    <w:p w14:paraId="3FAD2045">
      <w:pPr>
        <w:spacing w:line="400" w:lineRule="exact"/>
        <w:ind w:firstLine="480" w:firstLineChars="200"/>
        <w:rPr>
          <w:rFonts w:ascii="宋体" w:hAnsi="宋体" w:eastAsia="宋体" w:cs="宋体"/>
          <w:color w:val="auto"/>
          <w:sz w:val="24"/>
        </w:rPr>
      </w:pPr>
      <w:r>
        <w:rPr>
          <w:rFonts w:hint="eastAsia" w:ascii="宋体" w:hAnsi="宋体" w:eastAsia="宋体" w:cs="宋体"/>
          <w:color w:val="auto"/>
          <w:sz w:val="24"/>
        </w:rPr>
        <w:t>我单位参加贵公司组织的</w:t>
      </w:r>
      <w:r>
        <w:rPr>
          <w:rFonts w:hint="eastAsia" w:ascii="宋体" w:hAnsi="宋体" w:eastAsia="宋体" w:cs="宋体"/>
          <w:color w:val="auto"/>
          <w:sz w:val="24"/>
          <w:u w:val="single"/>
        </w:rPr>
        <w:t xml:space="preserve">    （项目名称+标段）       </w:t>
      </w:r>
      <w:r>
        <w:rPr>
          <w:rFonts w:hint="eastAsia" w:ascii="宋体" w:hAnsi="宋体" w:eastAsia="宋体" w:cs="宋体"/>
          <w:color w:val="auto"/>
          <w:sz w:val="24"/>
        </w:rPr>
        <w:t>（项目编号：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政府采购活动。我单位在此郑重承诺：我单位具有履行合同所必需的设备和专业技术服务能力，完全符合《中华人民共和国政府采购法》第二十二条规定的供应商资格条件，按照采购文件的要求提交投标文件，并对所提供的全部资料的真实性承担法律责任。</w:t>
      </w:r>
    </w:p>
    <w:p w14:paraId="58EED576">
      <w:pPr>
        <w:spacing w:line="400" w:lineRule="exact"/>
        <w:ind w:firstLine="480" w:firstLineChars="200"/>
        <w:rPr>
          <w:rFonts w:ascii="宋体" w:hAnsi="宋体" w:eastAsia="宋体" w:cs="宋体"/>
          <w:color w:val="auto"/>
          <w:sz w:val="24"/>
        </w:rPr>
      </w:pPr>
      <w:r>
        <w:rPr>
          <w:rFonts w:hint="eastAsia" w:ascii="宋体" w:hAnsi="宋体" w:eastAsia="宋体" w:cs="宋体"/>
          <w:color w:val="auto"/>
          <w:sz w:val="24"/>
        </w:rPr>
        <w:t>特此承诺。</w:t>
      </w:r>
    </w:p>
    <w:p w14:paraId="586B980B">
      <w:pPr>
        <w:spacing w:line="400" w:lineRule="exact"/>
        <w:ind w:firstLine="480" w:firstLineChars="200"/>
        <w:rPr>
          <w:rFonts w:ascii="宋体" w:hAnsi="宋体" w:eastAsia="宋体" w:cs="宋体"/>
          <w:color w:val="auto"/>
          <w:sz w:val="24"/>
        </w:rPr>
      </w:pPr>
    </w:p>
    <w:p w14:paraId="782484EE">
      <w:pPr>
        <w:spacing w:line="500" w:lineRule="exact"/>
        <w:ind w:firstLine="3720" w:firstLineChars="1550"/>
        <w:rPr>
          <w:rFonts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u w:val="single"/>
        </w:rPr>
        <w:t xml:space="preserve">         （单位名称并盖公章） </w:t>
      </w:r>
    </w:p>
    <w:p w14:paraId="2DB4C976">
      <w:pPr>
        <w:spacing w:line="500" w:lineRule="exact"/>
        <w:ind w:firstLine="3720" w:firstLineChars="1550"/>
        <w:rPr>
          <w:rFonts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（签字）   </w:t>
      </w:r>
    </w:p>
    <w:p w14:paraId="66FFACEF">
      <w:pPr>
        <w:pStyle w:val="20"/>
        <w:spacing w:line="500" w:lineRule="exact"/>
        <w:ind w:firstLine="3720" w:firstLineChars="1550"/>
        <w:rPr>
          <w:rFonts w:ascii="宋体" w:hAnsi="宋体" w:eastAsia="宋体" w:cs="宋体"/>
          <w:color w:val="auto"/>
          <w:sz w:val="24"/>
        </w:rPr>
      </w:pPr>
      <w:r>
        <w:rPr>
          <w:rFonts w:hint="eastAsia" w:ascii="宋体" w:hAnsi="宋体" w:eastAsia="宋体" w:cs="宋体"/>
          <w:color w:val="auto"/>
          <w:sz w:val="24"/>
        </w:rPr>
        <w:t>日期：  年  月  日</w:t>
      </w:r>
    </w:p>
    <w:p w14:paraId="16DE1D7F">
      <w:pPr>
        <w:spacing w:before="120" w:beforeLines="50" w:after="50" w:line="360" w:lineRule="auto"/>
        <w:rPr>
          <w:rFonts w:ascii="宋体" w:hAnsi="宋体" w:eastAsia="宋体" w:cs="宋体"/>
          <w:color w:val="auto"/>
          <w:szCs w:val="21"/>
        </w:rPr>
      </w:pPr>
      <w:r>
        <w:rPr>
          <w:rFonts w:hint="eastAsia" w:ascii="宋体" w:hAnsi="宋体" w:eastAsia="宋体" w:cs="宋体"/>
          <w:color w:val="auto"/>
          <w:szCs w:val="21"/>
        </w:rPr>
        <w:t>附：我单位具备履行合同所必需的设备、项目实施人员专业技术服务能力证明材料（如有可以提供）</w:t>
      </w:r>
    </w:p>
    <w:p w14:paraId="2F2A3E9A">
      <w:pPr>
        <w:spacing w:before="120" w:beforeLines="50" w:after="50"/>
        <w:rPr>
          <w:rFonts w:ascii="宋体" w:hAnsi="宋体" w:eastAsia="宋体" w:cs="宋体"/>
          <w:b/>
          <w:bCs/>
          <w:color w:val="auto"/>
          <w:szCs w:val="21"/>
        </w:rPr>
      </w:pPr>
      <w:r>
        <w:rPr>
          <w:rFonts w:hint="eastAsia" w:ascii="宋体" w:hAnsi="宋体" w:eastAsia="宋体" w:cs="宋体"/>
          <w:b/>
          <w:bCs/>
          <w:color w:val="auto"/>
          <w:szCs w:val="21"/>
        </w:rPr>
        <w:t>（参考格式）：</w:t>
      </w:r>
    </w:p>
    <w:p w14:paraId="561FCA18">
      <w:pPr>
        <w:spacing w:before="120" w:beforeLines="50" w:after="50"/>
        <w:rPr>
          <w:rFonts w:ascii="宋体" w:hAnsi="宋体" w:eastAsia="宋体" w:cs="宋体"/>
          <w:b/>
          <w:bCs/>
          <w:color w:val="auto"/>
          <w:szCs w:val="21"/>
        </w:rPr>
      </w:pPr>
      <w:r>
        <w:rPr>
          <w:rFonts w:hint="eastAsia" w:ascii="宋体" w:hAnsi="宋体" w:eastAsia="宋体" w:cs="宋体"/>
          <w:b/>
          <w:bCs/>
          <w:color w:val="auto"/>
          <w:szCs w:val="21"/>
        </w:rPr>
        <w:t>我单位具备的履行合同所必需的设备</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544"/>
        <w:gridCol w:w="4925"/>
      </w:tblGrid>
      <w:tr w14:paraId="08A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0496CCB2">
            <w:pPr>
              <w:spacing w:before="120" w:beforeLines="50" w:after="50"/>
              <w:jc w:val="center"/>
              <w:rPr>
                <w:rFonts w:ascii="宋体" w:hAnsi="宋体" w:eastAsia="宋体" w:cs="宋体"/>
                <w:b/>
                <w:bCs/>
                <w:color w:val="auto"/>
                <w:szCs w:val="21"/>
              </w:rPr>
            </w:pPr>
            <w:r>
              <w:rPr>
                <w:rFonts w:hint="eastAsia" w:ascii="宋体" w:hAnsi="宋体" w:eastAsia="宋体" w:cs="宋体"/>
                <w:b/>
                <w:bCs/>
                <w:color w:val="auto"/>
                <w:szCs w:val="21"/>
              </w:rPr>
              <w:t>序号</w:t>
            </w:r>
          </w:p>
        </w:tc>
        <w:tc>
          <w:tcPr>
            <w:tcW w:w="3544" w:type="dxa"/>
          </w:tcPr>
          <w:p w14:paraId="52EBBBB9">
            <w:pPr>
              <w:spacing w:before="120" w:beforeLines="50" w:after="50"/>
              <w:jc w:val="center"/>
              <w:rPr>
                <w:rFonts w:ascii="宋体" w:hAnsi="宋体" w:eastAsia="宋体" w:cs="宋体"/>
                <w:b/>
                <w:bCs/>
                <w:color w:val="auto"/>
                <w:szCs w:val="21"/>
              </w:rPr>
            </w:pPr>
            <w:r>
              <w:rPr>
                <w:rFonts w:hint="eastAsia" w:ascii="宋体" w:hAnsi="宋体" w:eastAsia="宋体" w:cs="宋体"/>
                <w:b/>
                <w:bCs/>
                <w:color w:val="auto"/>
                <w:szCs w:val="21"/>
              </w:rPr>
              <w:t>设备名称</w:t>
            </w:r>
          </w:p>
        </w:tc>
        <w:tc>
          <w:tcPr>
            <w:tcW w:w="4925" w:type="dxa"/>
          </w:tcPr>
          <w:p w14:paraId="225F30A9">
            <w:pPr>
              <w:spacing w:before="120" w:beforeLines="50" w:after="50"/>
              <w:jc w:val="center"/>
              <w:rPr>
                <w:rFonts w:ascii="宋体" w:hAnsi="宋体" w:eastAsia="宋体" w:cs="宋体"/>
                <w:b/>
                <w:bCs/>
                <w:color w:val="auto"/>
                <w:szCs w:val="21"/>
              </w:rPr>
            </w:pPr>
            <w:r>
              <w:rPr>
                <w:rFonts w:hint="eastAsia" w:ascii="宋体" w:hAnsi="宋体" w:eastAsia="宋体" w:cs="宋体"/>
                <w:b/>
                <w:bCs/>
                <w:color w:val="auto"/>
                <w:szCs w:val="21"/>
              </w:rPr>
              <w:t>数量</w:t>
            </w:r>
          </w:p>
        </w:tc>
      </w:tr>
      <w:tr w14:paraId="6739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05EB60A">
            <w:pPr>
              <w:spacing w:before="120" w:beforeLines="50" w:after="50"/>
              <w:jc w:val="center"/>
              <w:rPr>
                <w:rFonts w:ascii="宋体" w:hAnsi="宋体" w:eastAsia="宋体" w:cs="宋体"/>
                <w:b/>
                <w:bCs/>
                <w:color w:val="auto"/>
                <w:szCs w:val="21"/>
              </w:rPr>
            </w:pPr>
          </w:p>
        </w:tc>
        <w:tc>
          <w:tcPr>
            <w:tcW w:w="3544" w:type="dxa"/>
          </w:tcPr>
          <w:p w14:paraId="095E567D">
            <w:pPr>
              <w:spacing w:before="120" w:beforeLines="50" w:after="50"/>
              <w:jc w:val="center"/>
              <w:rPr>
                <w:rFonts w:ascii="宋体" w:hAnsi="宋体" w:eastAsia="宋体" w:cs="宋体"/>
                <w:b/>
                <w:bCs/>
                <w:color w:val="auto"/>
                <w:szCs w:val="21"/>
              </w:rPr>
            </w:pPr>
          </w:p>
        </w:tc>
        <w:tc>
          <w:tcPr>
            <w:tcW w:w="4925" w:type="dxa"/>
          </w:tcPr>
          <w:p w14:paraId="6B7AFFC8">
            <w:pPr>
              <w:spacing w:before="120" w:beforeLines="50" w:after="50"/>
              <w:jc w:val="center"/>
              <w:rPr>
                <w:rFonts w:ascii="宋体" w:hAnsi="宋体" w:eastAsia="宋体" w:cs="宋体"/>
                <w:b/>
                <w:bCs/>
                <w:color w:val="auto"/>
                <w:szCs w:val="21"/>
              </w:rPr>
            </w:pPr>
          </w:p>
        </w:tc>
      </w:tr>
      <w:tr w14:paraId="4655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AD5E9D0">
            <w:pPr>
              <w:spacing w:before="120" w:beforeLines="50" w:after="50"/>
              <w:jc w:val="center"/>
              <w:rPr>
                <w:rFonts w:ascii="宋体" w:hAnsi="宋体" w:eastAsia="宋体" w:cs="宋体"/>
                <w:b/>
                <w:bCs/>
                <w:color w:val="auto"/>
                <w:szCs w:val="21"/>
              </w:rPr>
            </w:pPr>
          </w:p>
        </w:tc>
        <w:tc>
          <w:tcPr>
            <w:tcW w:w="3544" w:type="dxa"/>
          </w:tcPr>
          <w:p w14:paraId="292D7821">
            <w:pPr>
              <w:spacing w:before="120" w:beforeLines="50" w:after="50"/>
              <w:jc w:val="center"/>
              <w:rPr>
                <w:rFonts w:ascii="宋体" w:hAnsi="宋体" w:eastAsia="宋体" w:cs="宋体"/>
                <w:b/>
                <w:bCs/>
                <w:color w:val="auto"/>
                <w:szCs w:val="21"/>
              </w:rPr>
            </w:pPr>
          </w:p>
        </w:tc>
        <w:tc>
          <w:tcPr>
            <w:tcW w:w="4925" w:type="dxa"/>
          </w:tcPr>
          <w:p w14:paraId="6212EB32">
            <w:pPr>
              <w:spacing w:before="120" w:beforeLines="50" w:after="50"/>
              <w:jc w:val="center"/>
              <w:rPr>
                <w:rFonts w:ascii="宋体" w:hAnsi="宋体" w:eastAsia="宋体" w:cs="宋体"/>
                <w:b/>
                <w:bCs/>
                <w:color w:val="auto"/>
                <w:szCs w:val="21"/>
              </w:rPr>
            </w:pPr>
          </w:p>
        </w:tc>
      </w:tr>
      <w:tr w14:paraId="3F05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B3F883A">
            <w:pPr>
              <w:spacing w:before="120" w:beforeLines="50" w:after="50"/>
              <w:rPr>
                <w:rFonts w:ascii="宋体" w:hAnsi="宋体" w:eastAsia="宋体" w:cs="宋体"/>
                <w:b/>
                <w:bCs/>
                <w:color w:val="auto"/>
                <w:szCs w:val="21"/>
              </w:rPr>
            </w:pPr>
          </w:p>
        </w:tc>
        <w:tc>
          <w:tcPr>
            <w:tcW w:w="3544" w:type="dxa"/>
          </w:tcPr>
          <w:p w14:paraId="0FE0D01F">
            <w:pPr>
              <w:spacing w:before="120" w:beforeLines="50" w:after="50"/>
              <w:rPr>
                <w:rFonts w:ascii="宋体" w:hAnsi="宋体" w:eastAsia="宋体" w:cs="宋体"/>
                <w:b/>
                <w:bCs/>
                <w:color w:val="auto"/>
                <w:szCs w:val="21"/>
              </w:rPr>
            </w:pPr>
            <w:r>
              <w:rPr>
                <w:rFonts w:hint="eastAsia" w:ascii="宋体" w:hAnsi="宋体" w:eastAsia="宋体" w:cs="宋体"/>
                <w:b/>
                <w:bCs/>
                <w:color w:val="auto"/>
                <w:szCs w:val="21"/>
              </w:rPr>
              <w:t>……</w:t>
            </w:r>
          </w:p>
        </w:tc>
        <w:tc>
          <w:tcPr>
            <w:tcW w:w="4925" w:type="dxa"/>
          </w:tcPr>
          <w:p w14:paraId="6A7A60EF">
            <w:pPr>
              <w:spacing w:before="120" w:beforeLines="50" w:after="50"/>
              <w:rPr>
                <w:rFonts w:ascii="宋体" w:hAnsi="宋体" w:eastAsia="宋体" w:cs="宋体"/>
                <w:b/>
                <w:bCs/>
                <w:color w:val="auto"/>
                <w:szCs w:val="21"/>
              </w:rPr>
            </w:pPr>
          </w:p>
        </w:tc>
      </w:tr>
    </w:tbl>
    <w:p w14:paraId="7AB61288">
      <w:pPr>
        <w:spacing w:before="120" w:beforeLines="50" w:after="50"/>
        <w:rPr>
          <w:rFonts w:ascii="宋体" w:hAnsi="宋体" w:eastAsia="宋体" w:cs="宋体"/>
          <w:b/>
          <w:bCs/>
          <w:color w:val="auto"/>
          <w:szCs w:val="21"/>
        </w:rPr>
      </w:pPr>
    </w:p>
    <w:p w14:paraId="74120992">
      <w:pPr>
        <w:spacing w:before="120" w:beforeLines="50" w:after="50"/>
        <w:rPr>
          <w:rFonts w:ascii="宋体" w:hAnsi="宋体" w:eastAsia="宋体" w:cs="宋体"/>
          <w:b/>
          <w:bCs/>
          <w:color w:val="auto"/>
          <w:szCs w:val="21"/>
        </w:rPr>
      </w:pPr>
      <w:r>
        <w:rPr>
          <w:rFonts w:hint="eastAsia" w:ascii="宋体" w:hAnsi="宋体" w:eastAsia="宋体" w:cs="宋体"/>
          <w:b/>
          <w:bCs/>
          <w:color w:val="auto"/>
          <w:szCs w:val="21"/>
        </w:rPr>
        <w:t>项目实施人员专业技术服务能力</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119"/>
        <w:gridCol w:w="4925"/>
      </w:tblGrid>
      <w:tr w14:paraId="731A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40EDC0D4">
            <w:pPr>
              <w:spacing w:before="120" w:beforeLines="50" w:after="50"/>
              <w:jc w:val="center"/>
              <w:rPr>
                <w:rFonts w:ascii="宋体" w:hAnsi="宋体" w:eastAsia="宋体" w:cs="宋体"/>
                <w:b/>
                <w:bCs/>
                <w:color w:val="auto"/>
                <w:szCs w:val="21"/>
              </w:rPr>
            </w:pPr>
            <w:r>
              <w:rPr>
                <w:rFonts w:hint="eastAsia" w:ascii="宋体" w:hAnsi="宋体" w:eastAsia="宋体" w:cs="宋体"/>
                <w:b/>
                <w:bCs/>
                <w:color w:val="auto"/>
                <w:szCs w:val="21"/>
              </w:rPr>
              <w:t>姓名</w:t>
            </w:r>
          </w:p>
        </w:tc>
        <w:tc>
          <w:tcPr>
            <w:tcW w:w="3119" w:type="dxa"/>
          </w:tcPr>
          <w:p w14:paraId="7F4DE5CA">
            <w:pPr>
              <w:spacing w:before="120" w:beforeLines="50" w:after="50"/>
              <w:jc w:val="center"/>
              <w:rPr>
                <w:rFonts w:ascii="宋体" w:hAnsi="宋体" w:eastAsia="宋体" w:cs="宋体"/>
                <w:b/>
                <w:bCs/>
                <w:color w:val="auto"/>
                <w:szCs w:val="21"/>
              </w:rPr>
            </w:pPr>
            <w:r>
              <w:rPr>
                <w:rFonts w:hint="eastAsia" w:ascii="宋体" w:hAnsi="宋体" w:eastAsia="宋体" w:cs="宋体"/>
                <w:b/>
                <w:bCs/>
                <w:color w:val="auto"/>
                <w:szCs w:val="21"/>
              </w:rPr>
              <w:t>职务</w:t>
            </w:r>
          </w:p>
        </w:tc>
        <w:tc>
          <w:tcPr>
            <w:tcW w:w="4925" w:type="dxa"/>
          </w:tcPr>
          <w:p w14:paraId="55D81E28">
            <w:pPr>
              <w:spacing w:before="120" w:beforeLines="50" w:after="50"/>
              <w:jc w:val="center"/>
              <w:rPr>
                <w:rFonts w:ascii="宋体" w:hAnsi="宋体" w:eastAsia="宋体" w:cs="宋体"/>
                <w:b/>
                <w:bCs/>
                <w:color w:val="auto"/>
                <w:szCs w:val="21"/>
              </w:rPr>
            </w:pPr>
            <w:r>
              <w:rPr>
                <w:rFonts w:hint="eastAsia" w:ascii="宋体" w:hAnsi="宋体" w:eastAsia="宋体" w:cs="宋体"/>
                <w:b/>
                <w:bCs/>
                <w:color w:val="auto"/>
                <w:szCs w:val="21"/>
              </w:rPr>
              <w:t>专业技术资格</w:t>
            </w:r>
          </w:p>
        </w:tc>
      </w:tr>
      <w:tr w14:paraId="1463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56FDACC8">
            <w:pPr>
              <w:spacing w:before="120" w:beforeLines="50" w:after="50"/>
              <w:jc w:val="center"/>
              <w:rPr>
                <w:rFonts w:ascii="宋体" w:hAnsi="宋体" w:eastAsia="宋体" w:cs="宋体"/>
                <w:b/>
                <w:bCs/>
                <w:color w:val="auto"/>
                <w:szCs w:val="21"/>
              </w:rPr>
            </w:pPr>
          </w:p>
        </w:tc>
        <w:tc>
          <w:tcPr>
            <w:tcW w:w="3119" w:type="dxa"/>
          </w:tcPr>
          <w:p w14:paraId="56893BEC">
            <w:pPr>
              <w:spacing w:before="120" w:beforeLines="50" w:after="50"/>
              <w:jc w:val="center"/>
              <w:rPr>
                <w:rFonts w:ascii="宋体" w:hAnsi="宋体" w:eastAsia="宋体" w:cs="宋体"/>
                <w:b/>
                <w:bCs/>
                <w:color w:val="auto"/>
                <w:szCs w:val="21"/>
              </w:rPr>
            </w:pPr>
          </w:p>
        </w:tc>
        <w:tc>
          <w:tcPr>
            <w:tcW w:w="4925" w:type="dxa"/>
          </w:tcPr>
          <w:p w14:paraId="34246068">
            <w:pPr>
              <w:spacing w:before="120" w:beforeLines="50" w:after="50"/>
              <w:jc w:val="center"/>
              <w:rPr>
                <w:rFonts w:ascii="宋体" w:hAnsi="宋体" w:eastAsia="宋体" w:cs="宋体"/>
                <w:b/>
                <w:bCs/>
                <w:color w:val="auto"/>
                <w:szCs w:val="21"/>
              </w:rPr>
            </w:pPr>
          </w:p>
        </w:tc>
      </w:tr>
      <w:tr w14:paraId="7943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294C37B3">
            <w:pPr>
              <w:spacing w:before="120" w:beforeLines="50" w:after="50"/>
              <w:rPr>
                <w:rFonts w:ascii="宋体" w:hAnsi="宋体" w:eastAsia="宋体" w:cs="宋体"/>
                <w:b/>
                <w:bCs/>
                <w:color w:val="auto"/>
                <w:szCs w:val="21"/>
              </w:rPr>
            </w:pPr>
          </w:p>
        </w:tc>
        <w:tc>
          <w:tcPr>
            <w:tcW w:w="3119" w:type="dxa"/>
          </w:tcPr>
          <w:p w14:paraId="32CE47B7">
            <w:pPr>
              <w:spacing w:before="120" w:beforeLines="50" w:after="50"/>
              <w:rPr>
                <w:rFonts w:ascii="宋体" w:hAnsi="宋体" w:eastAsia="宋体" w:cs="宋体"/>
                <w:b/>
                <w:bCs/>
                <w:color w:val="auto"/>
                <w:szCs w:val="21"/>
              </w:rPr>
            </w:pPr>
          </w:p>
        </w:tc>
        <w:tc>
          <w:tcPr>
            <w:tcW w:w="4925" w:type="dxa"/>
          </w:tcPr>
          <w:p w14:paraId="423DFB1D">
            <w:pPr>
              <w:spacing w:before="120" w:beforeLines="50" w:after="50"/>
              <w:rPr>
                <w:rFonts w:ascii="宋体" w:hAnsi="宋体" w:eastAsia="宋体" w:cs="宋体"/>
                <w:b/>
                <w:bCs/>
                <w:color w:val="auto"/>
                <w:szCs w:val="21"/>
              </w:rPr>
            </w:pPr>
          </w:p>
        </w:tc>
      </w:tr>
      <w:tr w14:paraId="6EDD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0C388C0B">
            <w:pPr>
              <w:spacing w:before="120" w:beforeLines="50" w:after="50"/>
              <w:rPr>
                <w:rFonts w:ascii="宋体" w:hAnsi="宋体" w:eastAsia="宋体" w:cs="宋体"/>
                <w:b/>
                <w:bCs/>
                <w:color w:val="auto"/>
                <w:szCs w:val="21"/>
              </w:rPr>
            </w:pPr>
          </w:p>
        </w:tc>
        <w:tc>
          <w:tcPr>
            <w:tcW w:w="3119" w:type="dxa"/>
          </w:tcPr>
          <w:p w14:paraId="11393F98">
            <w:pPr>
              <w:spacing w:before="120" w:beforeLines="50" w:after="50"/>
              <w:rPr>
                <w:rFonts w:ascii="宋体" w:hAnsi="宋体" w:eastAsia="宋体" w:cs="宋体"/>
                <w:b/>
                <w:bCs/>
                <w:color w:val="auto"/>
                <w:szCs w:val="21"/>
              </w:rPr>
            </w:pPr>
            <w:r>
              <w:rPr>
                <w:rFonts w:hint="eastAsia" w:ascii="宋体" w:hAnsi="宋体" w:eastAsia="宋体" w:cs="宋体"/>
                <w:b/>
                <w:bCs/>
                <w:color w:val="auto"/>
                <w:szCs w:val="21"/>
              </w:rPr>
              <w:t>……</w:t>
            </w:r>
          </w:p>
        </w:tc>
        <w:tc>
          <w:tcPr>
            <w:tcW w:w="4925" w:type="dxa"/>
          </w:tcPr>
          <w:p w14:paraId="386E7B22">
            <w:pPr>
              <w:spacing w:before="120" w:beforeLines="50" w:after="50"/>
              <w:rPr>
                <w:rFonts w:ascii="宋体" w:hAnsi="宋体" w:eastAsia="宋体" w:cs="宋体"/>
                <w:b/>
                <w:bCs/>
                <w:color w:val="auto"/>
                <w:szCs w:val="21"/>
              </w:rPr>
            </w:pPr>
          </w:p>
        </w:tc>
      </w:tr>
    </w:tbl>
    <w:p w14:paraId="547BE875">
      <w:pPr>
        <w:pStyle w:val="20"/>
        <w:spacing w:line="440" w:lineRule="exact"/>
        <w:rPr>
          <w:rFonts w:ascii="宋体" w:hAnsi="宋体" w:eastAsia="宋体" w:cs="宋体"/>
          <w:b/>
          <w:bCs/>
          <w:color w:val="auto"/>
          <w:sz w:val="24"/>
        </w:rPr>
      </w:pPr>
      <w:r>
        <w:rPr>
          <w:rFonts w:hint="eastAsia" w:ascii="宋体" w:hAnsi="宋体" w:eastAsia="宋体" w:cs="宋体"/>
          <w:color w:val="auto"/>
          <w:sz w:val="22"/>
        </w:rPr>
        <w:t>（可以附上相关证明材料）</w:t>
      </w:r>
    </w:p>
    <w:p w14:paraId="414D9F3D">
      <w:pPr>
        <w:snapToGrid w:val="0"/>
        <w:spacing w:before="120" w:beforeLines="50" w:after="50"/>
        <w:jc w:val="left"/>
        <w:rPr>
          <w:rFonts w:ascii="宋体" w:hAnsi="宋体" w:eastAsia="宋体" w:cs="宋体"/>
          <w:b/>
          <w:bCs/>
          <w:color w:val="auto"/>
          <w:sz w:val="24"/>
        </w:rPr>
      </w:pPr>
      <w:r>
        <w:rPr>
          <w:rFonts w:hint="eastAsia" w:ascii="宋体" w:hAnsi="宋体" w:eastAsia="宋体" w:cs="宋体"/>
          <w:b/>
          <w:bCs/>
          <w:color w:val="auto"/>
          <w:sz w:val="24"/>
        </w:rPr>
        <w:br w:type="page"/>
      </w:r>
      <w:r>
        <w:rPr>
          <w:rFonts w:hint="eastAsia" w:ascii="宋体" w:hAnsi="宋体" w:eastAsia="宋体" w:cs="宋体"/>
          <w:b/>
          <w:bCs/>
          <w:color w:val="auto"/>
          <w:sz w:val="24"/>
        </w:rPr>
        <w:t>4.参加政府采购活动前三年内在经营活动中没有重大违法记录的书面声明</w:t>
      </w:r>
    </w:p>
    <w:p w14:paraId="4C375502">
      <w:pPr>
        <w:snapToGrid w:val="0"/>
        <w:spacing w:before="120" w:beforeLines="50" w:after="50"/>
        <w:jc w:val="center"/>
        <w:rPr>
          <w:rFonts w:ascii="宋体" w:hAnsi="宋体" w:eastAsia="宋体" w:cs="宋体"/>
          <w:b/>
          <w:bCs/>
          <w:color w:val="auto"/>
          <w:sz w:val="24"/>
        </w:rPr>
      </w:pPr>
    </w:p>
    <w:p w14:paraId="6B281C60">
      <w:pPr>
        <w:snapToGrid w:val="0"/>
        <w:spacing w:before="120" w:beforeLines="50" w:after="50"/>
        <w:jc w:val="center"/>
        <w:rPr>
          <w:rFonts w:ascii="宋体" w:hAnsi="宋体" w:eastAsia="宋体" w:cs="宋体"/>
          <w:b/>
          <w:bCs/>
          <w:color w:val="auto"/>
          <w:sz w:val="24"/>
        </w:rPr>
      </w:pPr>
      <w:r>
        <w:rPr>
          <w:rFonts w:hint="eastAsia" w:ascii="宋体" w:hAnsi="宋体" w:eastAsia="宋体" w:cs="宋体"/>
          <w:b/>
          <w:bCs/>
          <w:color w:val="auto"/>
          <w:sz w:val="24"/>
        </w:rPr>
        <w:t>参加政府采购活动前三年内在经营活动中</w:t>
      </w:r>
    </w:p>
    <w:p w14:paraId="67E5CB56">
      <w:pPr>
        <w:snapToGrid w:val="0"/>
        <w:spacing w:before="120" w:beforeLines="50" w:after="50"/>
        <w:jc w:val="center"/>
        <w:rPr>
          <w:rFonts w:ascii="宋体" w:hAnsi="宋体" w:eastAsia="宋体" w:cs="宋体"/>
          <w:b/>
          <w:color w:val="auto"/>
          <w:sz w:val="32"/>
          <w:szCs w:val="32"/>
        </w:rPr>
      </w:pPr>
      <w:r>
        <w:rPr>
          <w:rFonts w:hint="eastAsia" w:ascii="宋体" w:hAnsi="宋体" w:eastAsia="宋体" w:cs="宋体"/>
          <w:b/>
          <w:bCs/>
          <w:color w:val="auto"/>
          <w:sz w:val="24"/>
        </w:rPr>
        <w:t>没有重大违法记录的书面声明</w:t>
      </w:r>
    </w:p>
    <w:p w14:paraId="4ADD3AF1">
      <w:pPr>
        <w:snapToGrid w:val="0"/>
        <w:spacing w:before="120" w:beforeLines="50" w:after="50"/>
        <w:jc w:val="left"/>
        <w:rPr>
          <w:rFonts w:ascii="宋体" w:hAnsi="宋体" w:eastAsia="宋体" w:cs="宋体"/>
          <w:color w:val="auto"/>
          <w:szCs w:val="21"/>
        </w:rPr>
      </w:pPr>
    </w:p>
    <w:p w14:paraId="1E911780">
      <w:pPr>
        <w:snapToGrid w:val="0"/>
        <w:spacing w:before="120" w:beforeLines="50" w:after="50" w:line="360" w:lineRule="auto"/>
        <w:jc w:val="left"/>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p>
    <w:p w14:paraId="02924C5F">
      <w:pPr>
        <w:snapToGrid w:val="0"/>
        <w:spacing w:before="120" w:beforeLines="50" w:after="50"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我单位参加贵公司组织的</w:t>
      </w:r>
      <w:r>
        <w:rPr>
          <w:rFonts w:hint="eastAsia" w:ascii="宋体" w:hAnsi="宋体" w:eastAsia="宋体" w:cs="宋体"/>
          <w:color w:val="auto"/>
          <w:sz w:val="24"/>
          <w:u w:val="single"/>
        </w:rPr>
        <w:t xml:space="preserve">    （项目名称+标段）          </w:t>
      </w:r>
      <w:r>
        <w:rPr>
          <w:rFonts w:hint="eastAsia" w:ascii="宋体" w:hAnsi="宋体" w:eastAsia="宋体" w:cs="宋体"/>
          <w:color w:val="auto"/>
          <w:sz w:val="24"/>
        </w:rPr>
        <w:t>（项目编号：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政府采购活动。我单位在此郑重声明，我单位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AF03209">
      <w:pPr>
        <w:snapToGrid w:val="0"/>
        <w:spacing w:before="120" w:beforeLines="50" w:after="50"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特此承诺。</w:t>
      </w:r>
    </w:p>
    <w:p w14:paraId="05366749">
      <w:pPr>
        <w:snapToGrid w:val="0"/>
        <w:spacing w:before="120" w:beforeLines="50" w:after="50" w:line="360" w:lineRule="auto"/>
        <w:jc w:val="left"/>
        <w:rPr>
          <w:rFonts w:ascii="宋体" w:hAnsi="宋体" w:eastAsia="宋体" w:cs="宋体"/>
          <w:color w:val="auto"/>
          <w:sz w:val="24"/>
        </w:rPr>
      </w:pPr>
    </w:p>
    <w:p w14:paraId="189E9871">
      <w:pPr>
        <w:pStyle w:val="20"/>
        <w:spacing w:before="120" w:beforeLines="50" w:after="120" w:afterLines="50" w:line="440" w:lineRule="exact"/>
        <w:ind w:left="420" w:leftChars="200" w:firstLine="2660" w:firstLineChars="950"/>
        <w:rPr>
          <w:rFonts w:ascii="宋体" w:hAnsi="宋体" w:eastAsia="宋体" w:cs="宋体"/>
          <w:color w:val="auto"/>
          <w:spacing w:val="20"/>
          <w:sz w:val="24"/>
          <w:szCs w:val="24"/>
        </w:rPr>
      </w:pPr>
      <w:r>
        <w:rPr>
          <w:rFonts w:hint="eastAsia" w:ascii="宋体" w:hAnsi="宋体" w:eastAsia="宋体" w:cs="宋体"/>
          <w:color w:val="auto"/>
          <w:spacing w:val="20"/>
          <w:sz w:val="24"/>
          <w:szCs w:val="24"/>
        </w:rPr>
        <w:t>投标人名称(公章)：</w:t>
      </w:r>
      <w:r>
        <w:rPr>
          <w:rFonts w:hint="eastAsia" w:ascii="宋体" w:hAnsi="宋体" w:eastAsia="宋体" w:cs="宋体"/>
          <w:color w:val="auto"/>
          <w:spacing w:val="20"/>
          <w:sz w:val="24"/>
          <w:szCs w:val="24"/>
          <w:u w:val="single"/>
        </w:rPr>
        <w:t xml:space="preserve">            </w:t>
      </w:r>
      <w:r>
        <w:rPr>
          <w:rFonts w:hint="eastAsia" w:ascii="宋体" w:hAnsi="宋体" w:eastAsia="宋体" w:cs="宋体"/>
          <w:color w:val="auto"/>
          <w:spacing w:val="20"/>
          <w:sz w:val="24"/>
          <w:szCs w:val="24"/>
        </w:rPr>
        <w:t xml:space="preserve"> </w:t>
      </w:r>
    </w:p>
    <w:p w14:paraId="50E49C7D">
      <w:pPr>
        <w:snapToGrid w:val="0"/>
        <w:spacing w:before="50" w:after="50" w:line="360" w:lineRule="exact"/>
        <w:ind w:firstLine="3120" w:firstLineChars="1300"/>
        <w:rPr>
          <w:rFonts w:ascii="宋体" w:hAnsi="宋体" w:eastAsia="宋体" w:cs="宋体"/>
          <w:color w:val="auto"/>
          <w:spacing w:val="20"/>
          <w:sz w:val="24"/>
          <w:u w:val="single"/>
        </w:rPr>
      </w:pPr>
      <w:r>
        <w:rPr>
          <w:rFonts w:hint="eastAsia" w:ascii="宋体" w:hAnsi="宋体" w:eastAsia="宋体" w:cs="宋体"/>
          <w:color w:val="auto"/>
          <w:sz w:val="24"/>
        </w:rPr>
        <w:t>法定代表人或被授权人</w:t>
      </w:r>
      <w:r>
        <w:rPr>
          <w:rFonts w:hint="eastAsia" w:ascii="宋体" w:hAnsi="宋体" w:eastAsia="宋体" w:cs="宋体"/>
          <w:color w:val="auto"/>
          <w:spacing w:val="20"/>
          <w:sz w:val="24"/>
        </w:rPr>
        <w:t>签字：</w:t>
      </w:r>
      <w:r>
        <w:rPr>
          <w:rFonts w:hint="eastAsia" w:ascii="宋体" w:hAnsi="宋体" w:eastAsia="宋体" w:cs="宋体"/>
          <w:color w:val="auto"/>
          <w:spacing w:val="20"/>
          <w:sz w:val="24"/>
          <w:u w:val="single"/>
        </w:rPr>
        <w:t xml:space="preserve">        </w:t>
      </w:r>
    </w:p>
    <w:p w14:paraId="44CC8A00">
      <w:pPr>
        <w:pStyle w:val="20"/>
        <w:spacing w:before="120" w:beforeLines="50" w:after="120" w:afterLines="50" w:line="440" w:lineRule="exact"/>
        <w:ind w:left="420" w:leftChars="200" w:firstLine="2660" w:firstLineChars="950"/>
        <w:rPr>
          <w:rFonts w:ascii="宋体" w:hAnsi="宋体" w:eastAsia="宋体" w:cs="宋体"/>
          <w:b/>
          <w:bCs/>
          <w:color w:val="auto"/>
          <w:sz w:val="24"/>
          <w:szCs w:val="24"/>
        </w:rPr>
      </w:pPr>
      <w:bookmarkStart w:id="92" w:name="_Toc494205633"/>
      <w:bookmarkStart w:id="93" w:name="_Toc494380997"/>
      <w:r>
        <w:rPr>
          <w:rFonts w:hint="eastAsia" w:ascii="宋体" w:hAnsi="宋体" w:eastAsia="宋体" w:cs="宋体"/>
          <w:color w:val="auto"/>
          <w:spacing w:val="20"/>
          <w:sz w:val="24"/>
          <w:szCs w:val="24"/>
        </w:rPr>
        <w:t>日  期：</w:t>
      </w:r>
      <w:bookmarkEnd w:id="92"/>
      <w:bookmarkEnd w:id="93"/>
      <w:r>
        <w:rPr>
          <w:rFonts w:hint="eastAsia" w:ascii="宋体" w:hAnsi="宋体" w:eastAsia="宋体" w:cs="宋体"/>
          <w:color w:val="auto"/>
          <w:spacing w:val="20"/>
          <w:sz w:val="24"/>
          <w:szCs w:val="24"/>
        </w:rPr>
        <w:t xml:space="preserve">  年   月   日</w:t>
      </w:r>
    </w:p>
    <w:p w14:paraId="4AA2276F">
      <w:pPr>
        <w:snapToGrid w:val="0"/>
        <w:spacing w:before="120" w:beforeLines="50" w:after="50"/>
        <w:jc w:val="left"/>
        <w:rPr>
          <w:rFonts w:ascii="宋体" w:hAnsi="宋体" w:eastAsia="宋体" w:cs="宋体"/>
          <w:b/>
          <w:color w:val="auto"/>
          <w:sz w:val="24"/>
        </w:rPr>
      </w:pPr>
    </w:p>
    <w:p w14:paraId="4DB37090">
      <w:pPr>
        <w:pStyle w:val="74"/>
        <w:rPr>
          <w:rFonts w:ascii="宋体" w:hAnsi="宋体" w:eastAsia="宋体" w:cs="宋体"/>
          <w:b/>
          <w:color w:val="auto"/>
        </w:rPr>
      </w:pPr>
    </w:p>
    <w:p w14:paraId="27F7D237">
      <w:pPr>
        <w:pStyle w:val="74"/>
        <w:rPr>
          <w:rFonts w:ascii="宋体" w:hAnsi="宋体" w:eastAsia="宋体" w:cs="宋体"/>
          <w:b/>
          <w:color w:val="auto"/>
        </w:rPr>
      </w:pPr>
    </w:p>
    <w:p w14:paraId="59B9C08B">
      <w:pPr>
        <w:pStyle w:val="74"/>
        <w:rPr>
          <w:rFonts w:ascii="宋体" w:hAnsi="宋体" w:eastAsia="宋体" w:cs="宋体"/>
          <w:b/>
          <w:color w:val="auto"/>
        </w:rPr>
      </w:pPr>
    </w:p>
    <w:p w14:paraId="13389229">
      <w:pPr>
        <w:pStyle w:val="74"/>
        <w:rPr>
          <w:rFonts w:ascii="宋体" w:hAnsi="宋体" w:eastAsia="宋体" w:cs="宋体"/>
          <w:b/>
          <w:color w:val="auto"/>
        </w:rPr>
      </w:pPr>
    </w:p>
    <w:p w14:paraId="7CDAA3C3">
      <w:pPr>
        <w:pStyle w:val="74"/>
        <w:rPr>
          <w:rFonts w:ascii="宋体" w:hAnsi="宋体" w:eastAsia="宋体" w:cs="宋体"/>
          <w:b/>
          <w:color w:val="auto"/>
        </w:rPr>
      </w:pPr>
    </w:p>
    <w:p w14:paraId="5FACEF6D">
      <w:pPr>
        <w:pStyle w:val="74"/>
        <w:rPr>
          <w:rFonts w:ascii="宋体" w:hAnsi="宋体" w:eastAsia="宋体" w:cs="宋体"/>
          <w:b/>
          <w:color w:val="auto"/>
        </w:rPr>
      </w:pPr>
    </w:p>
    <w:p w14:paraId="00B42102">
      <w:pPr>
        <w:pStyle w:val="74"/>
        <w:rPr>
          <w:rFonts w:ascii="宋体" w:hAnsi="宋体" w:eastAsia="宋体" w:cs="宋体"/>
          <w:b/>
          <w:color w:val="auto"/>
        </w:rPr>
      </w:pPr>
    </w:p>
    <w:p w14:paraId="27055E3B">
      <w:pPr>
        <w:pStyle w:val="74"/>
        <w:rPr>
          <w:rFonts w:ascii="宋体" w:hAnsi="宋体" w:eastAsia="宋体" w:cs="宋体"/>
          <w:b/>
          <w:color w:val="auto"/>
        </w:rPr>
      </w:pPr>
    </w:p>
    <w:p w14:paraId="538A3E97">
      <w:pPr>
        <w:pStyle w:val="74"/>
        <w:rPr>
          <w:rFonts w:ascii="宋体" w:hAnsi="宋体" w:eastAsia="宋体" w:cs="宋体"/>
          <w:b/>
          <w:color w:val="auto"/>
        </w:rPr>
      </w:pPr>
    </w:p>
    <w:p w14:paraId="5913EA3F">
      <w:pPr>
        <w:pStyle w:val="74"/>
        <w:rPr>
          <w:rFonts w:ascii="宋体" w:hAnsi="宋体" w:eastAsia="宋体" w:cs="宋体"/>
          <w:b/>
          <w:color w:val="auto"/>
        </w:rPr>
      </w:pPr>
    </w:p>
    <w:p w14:paraId="05F30FD8">
      <w:pPr>
        <w:pStyle w:val="74"/>
        <w:rPr>
          <w:rFonts w:ascii="宋体" w:hAnsi="宋体" w:eastAsia="宋体" w:cs="宋体"/>
          <w:b/>
          <w:color w:val="auto"/>
        </w:rPr>
      </w:pPr>
    </w:p>
    <w:p w14:paraId="5CEE2A2B">
      <w:pPr>
        <w:pStyle w:val="74"/>
        <w:rPr>
          <w:rFonts w:ascii="宋体" w:hAnsi="宋体" w:eastAsia="宋体" w:cs="宋体"/>
          <w:b/>
          <w:color w:val="auto"/>
        </w:rPr>
      </w:pPr>
    </w:p>
    <w:p w14:paraId="68774E58">
      <w:pPr>
        <w:pStyle w:val="74"/>
        <w:rPr>
          <w:rFonts w:ascii="宋体" w:hAnsi="宋体" w:eastAsia="宋体" w:cs="宋体"/>
          <w:b/>
          <w:color w:val="auto"/>
        </w:rPr>
      </w:pPr>
    </w:p>
    <w:p w14:paraId="34336155">
      <w:pPr>
        <w:pStyle w:val="74"/>
        <w:rPr>
          <w:rFonts w:ascii="宋体" w:hAnsi="宋体" w:eastAsia="宋体" w:cs="宋体"/>
          <w:b/>
          <w:bCs/>
          <w:color w:val="auto"/>
          <w:kern w:val="2"/>
        </w:rPr>
      </w:pPr>
    </w:p>
    <w:p w14:paraId="54B13BAC">
      <w:pPr>
        <w:snapToGrid w:val="0"/>
        <w:spacing w:before="120" w:beforeLines="50" w:after="50"/>
        <w:jc w:val="left"/>
        <w:rPr>
          <w:rFonts w:ascii="宋体" w:hAnsi="宋体" w:eastAsia="宋体" w:cs="宋体"/>
          <w:b/>
          <w:bCs/>
          <w:color w:val="auto"/>
          <w:sz w:val="24"/>
        </w:rPr>
      </w:pPr>
      <w:r>
        <w:rPr>
          <w:rFonts w:hint="eastAsia" w:ascii="宋体" w:hAnsi="宋体" w:eastAsia="宋体" w:cs="宋体"/>
          <w:b/>
          <w:bCs/>
          <w:color w:val="auto"/>
          <w:sz w:val="24"/>
        </w:rPr>
        <w:t>5.投标人直接控股、管理关系信息表</w:t>
      </w:r>
    </w:p>
    <w:p w14:paraId="26B756A8">
      <w:pPr>
        <w:snapToGrid w:val="0"/>
        <w:spacing w:before="50" w:after="120" w:afterLines="50"/>
        <w:jc w:val="center"/>
        <w:rPr>
          <w:rFonts w:ascii="宋体" w:hAnsi="宋体" w:eastAsia="宋体" w:cs="宋体"/>
          <w:b/>
          <w:color w:val="auto"/>
          <w:sz w:val="28"/>
          <w:szCs w:val="28"/>
        </w:rPr>
      </w:pPr>
    </w:p>
    <w:p w14:paraId="074D027B">
      <w:pPr>
        <w:snapToGrid w:val="0"/>
        <w:spacing w:before="50" w:after="120" w:afterLines="50" w:line="360" w:lineRule="auto"/>
        <w:jc w:val="center"/>
        <w:rPr>
          <w:rFonts w:ascii="宋体" w:hAnsi="宋体" w:eastAsia="宋体" w:cs="宋体"/>
          <w:b/>
          <w:color w:val="auto"/>
          <w:sz w:val="32"/>
          <w:szCs w:val="32"/>
        </w:rPr>
      </w:pPr>
      <w:r>
        <w:rPr>
          <w:rFonts w:hint="eastAsia" w:ascii="宋体" w:hAnsi="宋体" w:eastAsia="宋体" w:cs="宋体"/>
          <w:b/>
          <w:color w:val="auto"/>
          <w:sz w:val="32"/>
          <w:szCs w:val="32"/>
        </w:rPr>
        <w:t>投标人直接控股股东信息表</w:t>
      </w:r>
    </w:p>
    <w:tbl>
      <w:tblPr>
        <w:tblStyle w:val="37"/>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58025245">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ACC0E70">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88923A4">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7141EA">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F1AAD64">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2593E22">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备注</w:t>
            </w:r>
          </w:p>
        </w:tc>
      </w:tr>
      <w:tr w14:paraId="71424A5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F2AFEA">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AE64F6">
            <w:pPr>
              <w:spacing w:line="360" w:lineRule="auto"/>
              <w:jc w:val="center"/>
              <w:rPr>
                <w:rFonts w:ascii="宋体" w:hAnsi="宋体" w:eastAsia="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C44456">
            <w:pPr>
              <w:spacing w:line="360" w:lineRule="auto"/>
              <w:jc w:val="center"/>
              <w:rPr>
                <w:rFonts w:ascii="宋体" w:hAnsi="宋体" w:eastAsia="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047319">
            <w:pPr>
              <w:spacing w:line="360" w:lineRule="auto"/>
              <w:jc w:val="center"/>
              <w:rPr>
                <w:rFonts w:ascii="宋体" w:hAnsi="宋体" w:eastAsia="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D469D2">
            <w:pPr>
              <w:spacing w:line="360" w:lineRule="auto"/>
              <w:jc w:val="center"/>
              <w:rPr>
                <w:rFonts w:ascii="宋体" w:hAnsi="宋体" w:eastAsia="宋体" w:cs="宋体"/>
                <w:color w:val="auto"/>
                <w:kern w:val="0"/>
                <w:sz w:val="24"/>
              </w:rPr>
            </w:pPr>
          </w:p>
        </w:tc>
      </w:tr>
      <w:tr w14:paraId="0EAD80D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EB0AB0">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BDEE4E">
            <w:pPr>
              <w:spacing w:line="360" w:lineRule="auto"/>
              <w:jc w:val="center"/>
              <w:rPr>
                <w:rFonts w:ascii="宋体" w:hAnsi="宋体" w:eastAsia="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CE355A">
            <w:pPr>
              <w:spacing w:line="360" w:lineRule="auto"/>
              <w:jc w:val="center"/>
              <w:rPr>
                <w:rFonts w:ascii="宋体" w:hAnsi="宋体" w:eastAsia="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8A7182">
            <w:pPr>
              <w:spacing w:line="360" w:lineRule="auto"/>
              <w:jc w:val="center"/>
              <w:rPr>
                <w:rFonts w:ascii="宋体" w:hAnsi="宋体" w:eastAsia="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3DB695">
            <w:pPr>
              <w:spacing w:line="360" w:lineRule="auto"/>
              <w:jc w:val="center"/>
              <w:rPr>
                <w:rFonts w:ascii="宋体" w:hAnsi="宋体" w:eastAsia="宋体" w:cs="宋体"/>
                <w:color w:val="auto"/>
                <w:kern w:val="0"/>
                <w:sz w:val="24"/>
              </w:rPr>
            </w:pPr>
          </w:p>
        </w:tc>
      </w:tr>
      <w:tr w14:paraId="09ECB92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30CE70">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999C4A">
            <w:pPr>
              <w:spacing w:line="360" w:lineRule="auto"/>
              <w:jc w:val="center"/>
              <w:rPr>
                <w:rFonts w:ascii="宋体" w:hAnsi="宋体" w:eastAsia="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0089A4">
            <w:pPr>
              <w:spacing w:line="360" w:lineRule="auto"/>
              <w:jc w:val="center"/>
              <w:rPr>
                <w:rFonts w:ascii="宋体" w:hAnsi="宋体" w:eastAsia="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FE9BF0">
            <w:pPr>
              <w:spacing w:line="360" w:lineRule="auto"/>
              <w:jc w:val="center"/>
              <w:rPr>
                <w:rFonts w:ascii="宋体" w:hAnsi="宋体" w:eastAsia="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6B5742">
            <w:pPr>
              <w:spacing w:line="360" w:lineRule="auto"/>
              <w:jc w:val="center"/>
              <w:rPr>
                <w:rFonts w:ascii="宋体" w:hAnsi="宋体" w:eastAsia="宋体" w:cs="宋体"/>
                <w:color w:val="auto"/>
                <w:kern w:val="0"/>
                <w:sz w:val="24"/>
              </w:rPr>
            </w:pPr>
          </w:p>
        </w:tc>
      </w:tr>
      <w:tr w14:paraId="34FDA68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449A40">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754252">
            <w:pPr>
              <w:spacing w:line="360" w:lineRule="auto"/>
              <w:jc w:val="center"/>
              <w:rPr>
                <w:rFonts w:ascii="宋体" w:hAnsi="宋体" w:eastAsia="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B9E583">
            <w:pPr>
              <w:spacing w:line="360" w:lineRule="auto"/>
              <w:jc w:val="center"/>
              <w:rPr>
                <w:rFonts w:ascii="宋体" w:hAnsi="宋体" w:eastAsia="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FD3503">
            <w:pPr>
              <w:spacing w:line="360" w:lineRule="auto"/>
              <w:jc w:val="center"/>
              <w:rPr>
                <w:rFonts w:ascii="宋体" w:hAnsi="宋体" w:eastAsia="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AA2C90">
            <w:pPr>
              <w:spacing w:line="360" w:lineRule="auto"/>
              <w:jc w:val="center"/>
              <w:rPr>
                <w:rFonts w:ascii="宋体" w:hAnsi="宋体" w:eastAsia="宋体" w:cs="宋体"/>
                <w:color w:val="auto"/>
                <w:kern w:val="0"/>
                <w:sz w:val="24"/>
              </w:rPr>
            </w:pPr>
          </w:p>
        </w:tc>
      </w:tr>
    </w:tbl>
    <w:p w14:paraId="74702008">
      <w:pPr>
        <w:snapToGrid w:val="0"/>
        <w:spacing w:line="360" w:lineRule="auto"/>
        <w:jc w:val="left"/>
        <w:rPr>
          <w:rFonts w:ascii="宋体" w:hAnsi="宋体" w:eastAsia="宋体" w:cs="宋体"/>
          <w:color w:val="auto"/>
          <w:sz w:val="24"/>
        </w:rPr>
      </w:pPr>
      <w:r>
        <w:rPr>
          <w:rFonts w:hint="eastAsia" w:ascii="宋体" w:hAnsi="宋体" w:eastAsia="宋体" w:cs="宋体"/>
          <w:color w:val="auto"/>
          <w:sz w:val="24"/>
        </w:rPr>
        <w:t>注：</w:t>
      </w:r>
    </w:p>
    <w:p w14:paraId="120CCA8A">
      <w:pPr>
        <w:snapToGrid w:val="0"/>
        <w:spacing w:line="360" w:lineRule="auto"/>
        <w:jc w:val="left"/>
        <w:rPr>
          <w:rFonts w:ascii="宋体" w:hAnsi="宋体" w:eastAsia="宋体" w:cs="宋体"/>
          <w:color w:val="auto"/>
          <w:sz w:val="24"/>
        </w:rPr>
      </w:pPr>
      <w:r>
        <w:rPr>
          <w:rFonts w:hint="eastAsia" w:ascii="宋体" w:hAnsi="宋体" w:eastAsia="宋体" w:cs="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8CF3C1A">
      <w:pPr>
        <w:snapToGrid w:val="0"/>
        <w:spacing w:line="360" w:lineRule="auto"/>
        <w:jc w:val="left"/>
        <w:rPr>
          <w:rFonts w:ascii="宋体" w:hAnsi="宋体" w:eastAsia="宋体" w:cs="宋体"/>
          <w:color w:val="auto"/>
          <w:sz w:val="24"/>
        </w:rPr>
      </w:pPr>
      <w:r>
        <w:rPr>
          <w:rFonts w:hint="eastAsia" w:ascii="宋体" w:hAnsi="宋体" w:eastAsia="宋体" w:cs="宋体"/>
          <w:color w:val="auto"/>
          <w:sz w:val="24"/>
        </w:rPr>
        <w:t>2.本表所指的控股关系仅限于直接控股关系，不包括间接的控股关系。公司实际控制人与公司之间的关系不属于本表所指的直接控股关系。</w:t>
      </w:r>
    </w:p>
    <w:p w14:paraId="679F921A">
      <w:pPr>
        <w:snapToGrid w:val="0"/>
        <w:spacing w:line="360" w:lineRule="auto"/>
        <w:jc w:val="left"/>
        <w:rPr>
          <w:rFonts w:ascii="宋体" w:hAnsi="宋体" w:eastAsia="宋体" w:cs="宋体"/>
          <w:color w:val="auto"/>
          <w:sz w:val="24"/>
        </w:rPr>
      </w:pPr>
      <w:r>
        <w:rPr>
          <w:rFonts w:hint="eastAsia" w:ascii="宋体" w:hAnsi="宋体" w:eastAsia="宋体" w:cs="宋体"/>
          <w:color w:val="auto"/>
          <w:sz w:val="24"/>
        </w:rPr>
        <w:t>3.供应商不存在直接控股股东的，则填“无”。</w:t>
      </w:r>
    </w:p>
    <w:p w14:paraId="74B0B53F">
      <w:pPr>
        <w:snapToGrid w:val="0"/>
        <w:spacing w:line="360" w:lineRule="auto"/>
        <w:jc w:val="left"/>
        <w:rPr>
          <w:rFonts w:ascii="宋体" w:hAnsi="宋体" w:eastAsia="宋体" w:cs="宋体"/>
          <w:color w:val="auto"/>
          <w:sz w:val="24"/>
        </w:rPr>
      </w:pPr>
    </w:p>
    <w:p w14:paraId="6344F21F">
      <w:pPr>
        <w:snapToGrid w:val="0"/>
        <w:spacing w:line="360" w:lineRule="auto"/>
        <w:jc w:val="left"/>
        <w:rPr>
          <w:rFonts w:ascii="宋体" w:hAnsi="宋体" w:eastAsia="宋体" w:cs="宋体"/>
          <w:color w:val="auto"/>
          <w:sz w:val="24"/>
        </w:rPr>
      </w:pPr>
    </w:p>
    <w:p w14:paraId="55945FF5">
      <w:pPr>
        <w:snapToGrid w:val="0"/>
        <w:spacing w:line="360" w:lineRule="auto"/>
        <w:jc w:val="left"/>
        <w:rPr>
          <w:rFonts w:ascii="宋体" w:hAnsi="宋体" w:eastAsia="宋体" w:cs="宋体"/>
          <w:color w:val="auto"/>
          <w:sz w:val="24"/>
        </w:rPr>
      </w:pPr>
    </w:p>
    <w:p w14:paraId="57B949E8">
      <w:pPr>
        <w:snapToGrid w:val="0"/>
        <w:spacing w:line="360" w:lineRule="auto"/>
        <w:jc w:val="left"/>
        <w:rPr>
          <w:rFonts w:ascii="宋体" w:hAnsi="宋体" w:eastAsia="宋体" w:cs="宋体"/>
          <w:color w:val="auto"/>
          <w:sz w:val="24"/>
        </w:rPr>
      </w:pPr>
    </w:p>
    <w:p w14:paraId="32E50D27">
      <w:pPr>
        <w:snapToGrid w:val="0"/>
        <w:spacing w:line="360" w:lineRule="auto"/>
        <w:jc w:val="left"/>
        <w:rPr>
          <w:rFonts w:ascii="宋体" w:hAnsi="宋体" w:eastAsia="宋体" w:cs="宋体"/>
          <w:color w:val="auto"/>
          <w:sz w:val="24"/>
        </w:rPr>
      </w:pPr>
    </w:p>
    <w:p w14:paraId="4C4C84E7">
      <w:pPr>
        <w:snapToGrid w:val="0"/>
        <w:spacing w:before="120" w:beforeLines="50" w:line="360" w:lineRule="auto"/>
        <w:ind w:right="480" w:firstLine="3967" w:firstLineChars="1653"/>
        <w:rPr>
          <w:rFonts w:ascii="宋体" w:hAnsi="宋体" w:eastAsia="宋体" w:cs="宋体"/>
          <w:color w:val="auto"/>
          <w:sz w:val="24"/>
          <w:u w:val="single"/>
        </w:rPr>
      </w:pPr>
      <w:r>
        <w:rPr>
          <w:rFonts w:hint="eastAsia" w:ascii="宋体" w:hAnsi="宋体" w:eastAsia="宋体" w:cs="宋体"/>
          <w:color w:val="auto"/>
          <w:sz w:val="24"/>
        </w:rPr>
        <w:t>法定代表人或者委托代理人（签字）：</w:t>
      </w:r>
      <w:r>
        <w:rPr>
          <w:rFonts w:hint="eastAsia" w:ascii="宋体" w:hAnsi="宋体" w:eastAsia="宋体" w:cs="宋体"/>
          <w:color w:val="auto"/>
          <w:sz w:val="24"/>
          <w:u w:val="single"/>
        </w:rPr>
        <w:t xml:space="preserve">             </w:t>
      </w:r>
    </w:p>
    <w:p w14:paraId="3D413D1F">
      <w:pPr>
        <w:snapToGrid w:val="0"/>
        <w:spacing w:before="120" w:beforeLines="50" w:after="50" w:line="360" w:lineRule="auto"/>
        <w:ind w:right="480" w:firstLine="5520" w:firstLineChars="2300"/>
        <w:rPr>
          <w:rFonts w:ascii="宋体" w:hAnsi="宋体" w:eastAsia="宋体" w:cs="宋体"/>
          <w:color w:val="auto"/>
          <w:sz w:val="24"/>
          <w:u w:val="single"/>
        </w:rPr>
      </w:pPr>
      <w:r>
        <w:rPr>
          <w:rFonts w:hint="eastAsia" w:ascii="宋体" w:hAnsi="宋体" w:eastAsia="宋体" w:cs="宋体"/>
          <w:color w:val="auto"/>
          <w:sz w:val="24"/>
        </w:rPr>
        <w:t>投标人（盖公章）：</w:t>
      </w:r>
      <w:r>
        <w:rPr>
          <w:rFonts w:hint="eastAsia" w:ascii="宋体" w:hAnsi="宋体" w:eastAsia="宋体" w:cs="宋体"/>
          <w:color w:val="auto"/>
          <w:sz w:val="24"/>
          <w:u w:val="single"/>
        </w:rPr>
        <w:t xml:space="preserve">                 </w:t>
      </w:r>
    </w:p>
    <w:p w14:paraId="7AB1C5B8">
      <w:pPr>
        <w:snapToGrid w:val="0"/>
        <w:spacing w:before="120" w:beforeLines="50" w:after="50" w:line="360" w:lineRule="auto"/>
        <w:ind w:right="480" w:firstLine="5520" w:firstLineChars="2300"/>
        <w:jc w:val="center"/>
        <w:rPr>
          <w:rFonts w:ascii="宋体" w:hAnsi="宋体" w:eastAsia="宋体" w:cs="宋体"/>
          <w:color w:val="auto"/>
          <w:sz w:val="32"/>
          <w:szCs w:val="32"/>
        </w:rPr>
      </w:pPr>
      <w:r>
        <w:rPr>
          <w:rFonts w:hint="eastAsia" w:ascii="宋体" w:hAnsi="宋体" w:eastAsia="宋体" w:cs="宋体"/>
          <w:color w:val="auto"/>
          <w:sz w:val="24"/>
        </w:rPr>
        <w:t>年    月    日</w:t>
      </w:r>
      <w:r>
        <w:rPr>
          <w:rFonts w:hint="eastAsia" w:ascii="宋体" w:hAnsi="宋体" w:eastAsia="宋体" w:cs="宋体"/>
          <w:b/>
          <w:color w:val="auto"/>
          <w:sz w:val="32"/>
          <w:szCs w:val="32"/>
        </w:rPr>
        <w:br w:type="page"/>
      </w:r>
      <w:r>
        <w:rPr>
          <w:rFonts w:hint="eastAsia" w:ascii="宋体" w:hAnsi="宋体" w:eastAsia="宋体" w:cs="宋体"/>
          <w:b/>
          <w:color w:val="auto"/>
          <w:sz w:val="32"/>
          <w:szCs w:val="32"/>
        </w:rPr>
        <w:t>投标人直接管理关系信息表</w:t>
      </w:r>
    </w:p>
    <w:tbl>
      <w:tblPr>
        <w:tblStyle w:val="37"/>
        <w:tblW w:w="0" w:type="auto"/>
        <w:tblInd w:w="0" w:type="dxa"/>
        <w:tblLayout w:type="fixed"/>
        <w:tblCellMar>
          <w:top w:w="0" w:type="dxa"/>
          <w:left w:w="0" w:type="dxa"/>
          <w:bottom w:w="0" w:type="dxa"/>
          <w:right w:w="0" w:type="dxa"/>
        </w:tblCellMar>
      </w:tblPr>
      <w:tblGrid>
        <w:gridCol w:w="1005"/>
        <w:gridCol w:w="2659"/>
        <w:gridCol w:w="3924"/>
        <w:gridCol w:w="2064"/>
      </w:tblGrid>
      <w:tr w14:paraId="30065915">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ED7E668">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99FC0DC">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31D8B85">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0CF47DD">
            <w:pPr>
              <w:spacing w:line="360" w:lineRule="auto"/>
              <w:jc w:val="center"/>
              <w:rPr>
                <w:rFonts w:ascii="宋体" w:hAnsi="宋体" w:eastAsia="宋体" w:cs="宋体"/>
                <w:b/>
                <w:bCs/>
                <w:color w:val="auto"/>
                <w:kern w:val="0"/>
                <w:sz w:val="24"/>
              </w:rPr>
            </w:pPr>
            <w:r>
              <w:rPr>
                <w:rFonts w:hint="eastAsia" w:ascii="宋体" w:hAnsi="宋体" w:eastAsia="宋体" w:cs="宋体"/>
                <w:b/>
                <w:bCs/>
                <w:color w:val="auto"/>
                <w:kern w:val="0"/>
                <w:sz w:val="24"/>
              </w:rPr>
              <w:t>备注</w:t>
            </w:r>
          </w:p>
        </w:tc>
      </w:tr>
      <w:tr w14:paraId="3A3AAFE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9A8BC65">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E0DF354">
            <w:pPr>
              <w:spacing w:line="360" w:lineRule="auto"/>
              <w:jc w:val="center"/>
              <w:rPr>
                <w:rFonts w:ascii="宋体" w:hAnsi="宋体" w:eastAsia="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6CD25B1">
            <w:pPr>
              <w:spacing w:line="360" w:lineRule="auto"/>
              <w:jc w:val="center"/>
              <w:rPr>
                <w:rFonts w:ascii="宋体" w:hAnsi="宋体" w:eastAsia="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67C6CA0">
            <w:pPr>
              <w:spacing w:line="360" w:lineRule="auto"/>
              <w:jc w:val="center"/>
              <w:rPr>
                <w:rFonts w:ascii="宋体" w:hAnsi="宋体" w:eastAsia="宋体" w:cs="宋体"/>
                <w:color w:val="auto"/>
                <w:kern w:val="0"/>
                <w:sz w:val="24"/>
              </w:rPr>
            </w:pPr>
          </w:p>
        </w:tc>
      </w:tr>
      <w:tr w14:paraId="4754F63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13B44B1">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B1F4C46">
            <w:pPr>
              <w:spacing w:line="360" w:lineRule="auto"/>
              <w:jc w:val="center"/>
              <w:rPr>
                <w:rFonts w:ascii="宋体" w:hAnsi="宋体" w:eastAsia="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3518378">
            <w:pPr>
              <w:spacing w:line="360" w:lineRule="auto"/>
              <w:jc w:val="center"/>
              <w:rPr>
                <w:rFonts w:ascii="宋体" w:hAnsi="宋体" w:eastAsia="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7E3AD8C">
            <w:pPr>
              <w:spacing w:line="360" w:lineRule="auto"/>
              <w:jc w:val="center"/>
              <w:rPr>
                <w:rFonts w:ascii="宋体" w:hAnsi="宋体" w:eastAsia="宋体" w:cs="宋体"/>
                <w:color w:val="auto"/>
                <w:kern w:val="0"/>
                <w:sz w:val="24"/>
              </w:rPr>
            </w:pPr>
          </w:p>
        </w:tc>
      </w:tr>
      <w:tr w14:paraId="60383A77">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5A4F77">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A66BA52">
            <w:pPr>
              <w:spacing w:line="360" w:lineRule="auto"/>
              <w:jc w:val="center"/>
              <w:rPr>
                <w:rFonts w:ascii="宋体" w:hAnsi="宋体" w:eastAsia="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92B1EA9">
            <w:pPr>
              <w:spacing w:line="360" w:lineRule="auto"/>
              <w:jc w:val="center"/>
              <w:rPr>
                <w:rFonts w:ascii="宋体" w:hAnsi="宋体" w:eastAsia="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DAE277B">
            <w:pPr>
              <w:spacing w:line="360" w:lineRule="auto"/>
              <w:jc w:val="center"/>
              <w:rPr>
                <w:rFonts w:ascii="宋体" w:hAnsi="宋体" w:eastAsia="宋体" w:cs="宋体"/>
                <w:color w:val="auto"/>
                <w:kern w:val="0"/>
                <w:sz w:val="24"/>
              </w:rPr>
            </w:pPr>
          </w:p>
        </w:tc>
      </w:tr>
      <w:tr w14:paraId="50769DD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5D6EA8B">
            <w:pPr>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7465808">
            <w:pPr>
              <w:spacing w:line="360" w:lineRule="auto"/>
              <w:jc w:val="center"/>
              <w:rPr>
                <w:rFonts w:ascii="宋体" w:hAnsi="宋体" w:eastAsia="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3687CE3">
            <w:pPr>
              <w:spacing w:line="360" w:lineRule="auto"/>
              <w:jc w:val="center"/>
              <w:rPr>
                <w:rFonts w:ascii="宋体" w:hAnsi="宋体" w:eastAsia="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D9F469E">
            <w:pPr>
              <w:spacing w:line="360" w:lineRule="auto"/>
              <w:jc w:val="center"/>
              <w:rPr>
                <w:rFonts w:ascii="宋体" w:hAnsi="宋体" w:eastAsia="宋体" w:cs="宋体"/>
                <w:color w:val="auto"/>
                <w:kern w:val="0"/>
                <w:sz w:val="24"/>
              </w:rPr>
            </w:pPr>
          </w:p>
        </w:tc>
      </w:tr>
    </w:tbl>
    <w:p w14:paraId="030BB2DB">
      <w:pPr>
        <w:snapToGrid w:val="0"/>
        <w:spacing w:line="360" w:lineRule="auto"/>
        <w:jc w:val="left"/>
        <w:rPr>
          <w:rFonts w:ascii="宋体" w:hAnsi="宋体" w:eastAsia="宋体" w:cs="宋体"/>
          <w:color w:val="auto"/>
          <w:sz w:val="24"/>
        </w:rPr>
      </w:pPr>
      <w:r>
        <w:rPr>
          <w:rFonts w:hint="eastAsia" w:ascii="宋体" w:hAnsi="宋体" w:eastAsia="宋体" w:cs="宋体"/>
          <w:color w:val="auto"/>
          <w:sz w:val="24"/>
        </w:rPr>
        <w:t>注：</w:t>
      </w:r>
    </w:p>
    <w:p w14:paraId="0F663BF1">
      <w:pPr>
        <w:snapToGri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1.管理关系：是指不具有出资持股关系的其他单位之间存在的管理与被管理关系，如一些上下级关系的事业单位和团体组织。</w:t>
      </w:r>
    </w:p>
    <w:p w14:paraId="45E6D563">
      <w:pPr>
        <w:snapToGri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pacing w:val="-6"/>
          <w:sz w:val="24"/>
        </w:rPr>
        <w:t>本表所指的管理关系仅限于直接管理关系，不包括间接的管理关系。</w:t>
      </w:r>
    </w:p>
    <w:p w14:paraId="6FD95279">
      <w:pPr>
        <w:snapToGri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3.供应商不存在直接管理关系的，则填“无”。</w:t>
      </w:r>
    </w:p>
    <w:p w14:paraId="4A3E509E">
      <w:pPr>
        <w:snapToGrid w:val="0"/>
        <w:spacing w:line="360" w:lineRule="auto"/>
        <w:jc w:val="left"/>
        <w:rPr>
          <w:rFonts w:ascii="宋体" w:hAnsi="宋体" w:eastAsia="宋体" w:cs="宋体"/>
          <w:color w:val="auto"/>
          <w:sz w:val="24"/>
        </w:rPr>
      </w:pPr>
    </w:p>
    <w:p w14:paraId="56120172">
      <w:pPr>
        <w:snapToGrid w:val="0"/>
        <w:spacing w:line="360" w:lineRule="auto"/>
        <w:jc w:val="left"/>
        <w:rPr>
          <w:rFonts w:ascii="宋体" w:hAnsi="宋体" w:eastAsia="宋体" w:cs="宋体"/>
          <w:color w:val="auto"/>
          <w:sz w:val="24"/>
        </w:rPr>
      </w:pPr>
    </w:p>
    <w:p w14:paraId="1A132303">
      <w:pPr>
        <w:snapToGrid w:val="0"/>
        <w:spacing w:line="360" w:lineRule="auto"/>
        <w:jc w:val="left"/>
        <w:rPr>
          <w:rFonts w:ascii="宋体" w:hAnsi="宋体" w:eastAsia="宋体" w:cs="宋体"/>
          <w:color w:val="auto"/>
          <w:sz w:val="24"/>
        </w:rPr>
      </w:pPr>
    </w:p>
    <w:p w14:paraId="64EB5A8A">
      <w:pPr>
        <w:snapToGrid w:val="0"/>
        <w:spacing w:line="360" w:lineRule="auto"/>
        <w:jc w:val="left"/>
        <w:rPr>
          <w:rFonts w:ascii="宋体" w:hAnsi="宋体" w:eastAsia="宋体" w:cs="宋体"/>
          <w:color w:val="auto"/>
          <w:sz w:val="24"/>
        </w:rPr>
      </w:pPr>
    </w:p>
    <w:p w14:paraId="0D6721A3">
      <w:pPr>
        <w:snapToGrid w:val="0"/>
        <w:spacing w:line="360" w:lineRule="auto"/>
        <w:jc w:val="left"/>
        <w:rPr>
          <w:rFonts w:ascii="宋体" w:hAnsi="宋体" w:eastAsia="宋体" w:cs="宋体"/>
          <w:color w:val="auto"/>
          <w:sz w:val="24"/>
        </w:rPr>
      </w:pPr>
    </w:p>
    <w:p w14:paraId="024267F4">
      <w:pPr>
        <w:snapToGrid w:val="0"/>
        <w:spacing w:line="360" w:lineRule="auto"/>
        <w:jc w:val="left"/>
        <w:rPr>
          <w:rFonts w:ascii="宋体" w:hAnsi="宋体" w:eastAsia="宋体" w:cs="宋体"/>
          <w:color w:val="auto"/>
          <w:sz w:val="24"/>
        </w:rPr>
      </w:pPr>
    </w:p>
    <w:p w14:paraId="148CE219">
      <w:pPr>
        <w:snapToGrid w:val="0"/>
        <w:spacing w:line="360" w:lineRule="auto"/>
        <w:jc w:val="left"/>
        <w:rPr>
          <w:rFonts w:ascii="宋体" w:hAnsi="宋体" w:eastAsia="宋体" w:cs="宋体"/>
          <w:color w:val="auto"/>
          <w:sz w:val="24"/>
        </w:rPr>
      </w:pPr>
    </w:p>
    <w:p w14:paraId="295E33E0">
      <w:pPr>
        <w:snapToGrid w:val="0"/>
        <w:spacing w:before="120" w:beforeLines="50" w:line="360" w:lineRule="auto"/>
        <w:ind w:right="480" w:firstLine="3967" w:firstLineChars="1653"/>
        <w:rPr>
          <w:rFonts w:ascii="宋体" w:hAnsi="宋体" w:eastAsia="宋体" w:cs="宋体"/>
          <w:color w:val="auto"/>
          <w:sz w:val="24"/>
          <w:u w:val="single"/>
        </w:rPr>
      </w:pPr>
      <w:r>
        <w:rPr>
          <w:rFonts w:hint="eastAsia" w:ascii="宋体" w:hAnsi="宋体" w:eastAsia="宋体" w:cs="宋体"/>
          <w:color w:val="auto"/>
          <w:sz w:val="24"/>
        </w:rPr>
        <w:t>法定代表人或者委托代理人（签字）：</w:t>
      </w:r>
      <w:r>
        <w:rPr>
          <w:rFonts w:hint="eastAsia" w:ascii="宋体" w:hAnsi="宋体" w:eastAsia="宋体" w:cs="宋体"/>
          <w:color w:val="auto"/>
          <w:sz w:val="24"/>
          <w:u w:val="single"/>
        </w:rPr>
        <w:t xml:space="preserve">             </w:t>
      </w:r>
    </w:p>
    <w:p w14:paraId="1D6D0431">
      <w:pPr>
        <w:snapToGrid w:val="0"/>
        <w:spacing w:before="120" w:beforeLines="50" w:after="50" w:line="360" w:lineRule="auto"/>
        <w:ind w:right="480" w:firstLine="5520" w:firstLineChars="2300"/>
        <w:rPr>
          <w:rFonts w:ascii="宋体" w:hAnsi="宋体" w:eastAsia="宋体" w:cs="宋体"/>
          <w:color w:val="auto"/>
          <w:sz w:val="24"/>
        </w:rPr>
      </w:pPr>
      <w:r>
        <w:rPr>
          <w:rFonts w:hint="eastAsia" w:ascii="宋体" w:hAnsi="宋体" w:eastAsia="宋体" w:cs="宋体"/>
          <w:color w:val="auto"/>
          <w:sz w:val="24"/>
        </w:rPr>
        <w:t>投标人（盖公章）：</w:t>
      </w:r>
      <w:r>
        <w:rPr>
          <w:rFonts w:hint="eastAsia" w:ascii="宋体" w:hAnsi="宋体" w:eastAsia="宋体" w:cs="宋体"/>
          <w:color w:val="auto"/>
          <w:sz w:val="24"/>
          <w:u w:val="single"/>
        </w:rPr>
        <w:t xml:space="preserve">                 </w:t>
      </w:r>
    </w:p>
    <w:p w14:paraId="77F2296E">
      <w:pPr>
        <w:snapToGrid w:val="0"/>
        <w:spacing w:before="120" w:beforeLines="50" w:after="50" w:line="360" w:lineRule="auto"/>
        <w:ind w:right="480" w:firstLine="240" w:firstLineChars="100"/>
        <w:jc w:val="right"/>
        <w:rPr>
          <w:color w:val="auto"/>
        </w:rPr>
      </w:pPr>
      <w:r>
        <w:rPr>
          <w:rFonts w:hint="eastAsia" w:ascii="宋体" w:hAnsi="宋体" w:eastAsia="宋体" w:cs="宋体"/>
          <w:color w:val="auto"/>
          <w:sz w:val="24"/>
        </w:rPr>
        <w:t xml:space="preserve"> 年    月    日</w:t>
      </w:r>
      <w:r>
        <w:rPr>
          <w:color w:val="auto"/>
        </w:rPr>
        <w:br w:type="page"/>
      </w:r>
    </w:p>
    <w:p w14:paraId="0F765C8C">
      <w:pPr>
        <w:pStyle w:val="26"/>
        <w:rPr>
          <w:color w:val="auto"/>
        </w:rPr>
      </w:pPr>
    </w:p>
    <w:p w14:paraId="66B70F7A">
      <w:pPr>
        <w:snapToGrid w:val="0"/>
        <w:spacing w:before="120" w:beforeLines="50" w:after="50"/>
        <w:jc w:val="left"/>
        <w:rPr>
          <w:rFonts w:ascii="宋体" w:hAnsi="宋体" w:eastAsia="宋体" w:cs="宋体"/>
          <w:b/>
          <w:color w:val="auto"/>
          <w:sz w:val="24"/>
        </w:rPr>
      </w:pPr>
    </w:p>
    <w:p w14:paraId="4FE01E8B">
      <w:pPr>
        <w:snapToGrid w:val="0"/>
        <w:spacing w:before="120" w:beforeLines="50" w:after="50"/>
        <w:jc w:val="left"/>
        <w:rPr>
          <w:rFonts w:ascii="宋体" w:hAnsi="宋体" w:eastAsia="宋体" w:cs="宋体"/>
          <w:b/>
          <w:bCs/>
          <w:color w:val="auto"/>
          <w:sz w:val="24"/>
        </w:rPr>
      </w:pPr>
      <w:r>
        <w:rPr>
          <w:rFonts w:hint="eastAsia" w:ascii="宋体" w:hAnsi="宋体" w:eastAsia="宋体" w:cs="宋体"/>
          <w:b/>
          <w:bCs/>
          <w:color w:val="auto"/>
          <w:sz w:val="24"/>
        </w:rPr>
        <w:t>6.投标声明格式</w:t>
      </w:r>
    </w:p>
    <w:p w14:paraId="0DF322DD">
      <w:pPr>
        <w:snapToGrid w:val="0"/>
        <w:spacing w:before="50" w:after="120" w:afterLines="50"/>
        <w:jc w:val="left"/>
        <w:rPr>
          <w:rFonts w:ascii="宋体" w:hAnsi="宋体" w:eastAsia="宋体" w:cs="宋体"/>
          <w:color w:val="auto"/>
        </w:rPr>
      </w:pPr>
    </w:p>
    <w:p w14:paraId="5373A66B">
      <w:pPr>
        <w:snapToGrid w:val="0"/>
        <w:spacing w:before="50" w:after="120" w:afterLines="50"/>
        <w:jc w:val="center"/>
        <w:rPr>
          <w:rFonts w:ascii="宋体" w:hAnsi="宋体" w:eastAsia="宋体" w:cs="宋体"/>
          <w:bCs/>
          <w:color w:val="auto"/>
          <w:sz w:val="44"/>
          <w:szCs w:val="44"/>
        </w:rPr>
      </w:pPr>
      <w:r>
        <w:rPr>
          <w:rFonts w:hint="eastAsia" w:ascii="宋体" w:hAnsi="宋体" w:eastAsia="宋体" w:cs="宋体"/>
          <w:bCs/>
          <w:color w:val="auto"/>
          <w:sz w:val="44"/>
          <w:szCs w:val="44"/>
        </w:rPr>
        <w:t>投标声明</w:t>
      </w:r>
    </w:p>
    <w:p w14:paraId="72A26762">
      <w:pPr>
        <w:snapToGrid w:val="0"/>
        <w:spacing w:before="50" w:after="120" w:afterLines="50"/>
        <w:jc w:val="center"/>
        <w:rPr>
          <w:rFonts w:ascii="宋体" w:hAnsi="宋体" w:eastAsia="宋体" w:cs="宋体"/>
          <w:bCs/>
          <w:color w:val="auto"/>
          <w:sz w:val="44"/>
          <w:szCs w:val="44"/>
        </w:rPr>
      </w:pPr>
    </w:p>
    <w:p w14:paraId="3E7B9309">
      <w:pPr>
        <w:spacing w:line="400" w:lineRule="exact"/>
        <w:contextualSpacing/>
        <w:jc w:val="left"/>
        <w:rPr>
          <w:rFonts w:ascii="宋体" w:hAnsi="宋体" w:eastAsia="宋体" w:cs="宋体"/>
          <w:color w:val="auto"/>
          <w:sz w:val="24"/>
        </w:rPr>
      </w:pPr>
      <w:r>
        <w:rPr>
          <w:rFonts w:hint="eastAsia" w:ascii="宋体" w:hAnsi="宋体" w:eastAsia="宋体" w:cs="宋体"/>
          <w:color w:val="auto"/>
          <w:sz w:val="24"/>
        </w:rPr>
        <w:t>（采购人名称）：</w:t>
      </w:r>
    </w:p>
    <w:p w14:paraId="5B6AAB0F">
      <w:pPr>
        <w:spacing w:line="400" w:lineRule="exact"/>
        <w:ind w:firstLine="523" w:firstLineChars="218"/>
        <w:contextualSpacing/>
        <w:jc w:val="left"/>
        <w:rPr>
          <w:rFonts w:ascii="宋体" w:hAnsi="宋体" w:eastAsia="宋体" w:cs="宋体"/>
          <w:color w:val="auto"/>
          <w:sz w:val="24"/>
        </w:rPr>
      </w:pPr>
      <w:r>
        <w:rPr>
          <w:rFonts w:hint="eastAsia" w:ascii="宋体" w:hAnsi="宋体" w:eastAsia="宋体" w:cs="宋体"/>
          <w:color w:val="auto"/>
          <w:sz w:val="24"/>
        </w:rPr>
        <w:t>我方参加贵单位组织</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）的政府采购活动。我方在此郑重声明：</w:t>
      </w:r>
    </w:p>
    <w:p w14:paraId="63F2BD35">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4B3D7B2">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2.我方不是为本次采购项目提供整体设计、规范编制或者项目管理、监理、检测等服务的供应商。</w:t>
      </w:r>
    </w:p>
    <w:p w14:paraId="459A0725">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3. 我方承诺符合《中华人民共和国政府采购法》第二十二条规定：</w:t>
      </w:r>
    </w:p>
    <w:p w14:paraId="6D71A529">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（一）具有独立承担民事责任的能力；</w:t>
      </w:r>
    </w:p>
    <w:p w14:paraId="741634B9">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（二）具有良好的商业信誉和健全的财务会计制度；</w:t>
      </w:r>
    </w:p>
    <w:p w14:paraId="165B49AA">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（三）具有履行合同所必需的设备和专业技术能力；</w:t>
      </w:r>
    </w:p>
    <w:p w14:paraId="6B202149">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（四）有依法缴纳税收和社会保障资金的良好记录；</w:t>
      </w:r>
    </w:p>
    <w:p w14:paraId="3C896911">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（五）参加政府采购活动前三年内，在经营活动中没有重大违法记录；</w:t>
      </w:r>
    </w:p>
    <w:p w14:paraId="010C3699">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（六）法律、行政法规规定的其他条件。</w:t>
      </w:r>
    </w:p>
    <w:p w14:paraId="3E2EEF5F">
      <w:pPr>
        <w:spacing w:line="40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4.以上事项如有虚假或者隐瞒，我方愿意承担一切后果，并不再寻求任何旨在减轻或者免除法律责任的辩解。</w:t>
      </w:r>
    </w:p>
    <w:p w14:paraId="3A0601BB">
      <w:pPr>
        <w:spacing w:line="400" w:lineRule="exact"/>
        <w:contextualSpacing/>
        <w:jc w:val="left"/>
        <w:rPr>
          <w:rFonts w:ascii="宋体" w:hAnsi="宋体" w:eastAsia="宋体" w:cs="宋体"/>
          <w:color w:val="auto"/>
          <w:sz w:val="24"/>
        </w:rPr>
      </w:pPr>
      <w:r>
        <w:rPr>
          <w:rFonts w:hint="eastAsia" w:ascii="宋体" w:hAnsi="宋体" w:eastAsia="宋体" w:cs="宋体"/>
          <w:color w:val="auto"/>
          <w:sz w:val="24"/>
        </w:rPr>
        <w:t xml:space="preserve">    特此承诺。</w:t>
      </w:r>
    </w:p>
    <w:p w14:paraId="4BD8EEF3">
      <w:pPr>
        <w:spacing w:line="400" w:lineRule="exact"/>
        <w:contextualSpacing/>
        <w:jc w:val="left"/>
        <w:rPr>
          <w:rFonts w:ascii="宋体" w:hAnsi="宋体" w:eastAsia="宋体" w:cs="宋体"/>
          <w:b/>
          <w:color w:val="auto"/>
          <w:sz w:val="24"/>
        </w:rPr>
      </w:pPr>
      <w:r>
        <w:rPr>
          <w:rFonts w:hint="eastAsia" w:ascii="宋体" w:hAnsi="宋体" w:eastAsia="宋体" w:cs="宋体"/>
          <w:b/>
          <w:color w:val="auto"/>
          <w:sz w:val="24"/>
        </w:rPr>
        <w:t xml:space="preserve">    注：如为联合体投标，盖章处须加盖联合体各方公章并由联合体各方法定代表人分别签字，否则投标无效。</w:t>
      </w:r>
    </w:p>
    <w:p w14:paraId="7A722F3B">
      <w:pPr>
        <w:spacing w:line="400" w:lineRule="exact"/>
        <w:contextualSpacing/>
        <w:jc w:val="left"/>
        <w:rPr>
          <w:rFonts w:ascii="宋体" w:hAnsi="宋体" w:eastAsia="宋体" w:cs="宋体"/>
          <w:color w:val="auto"/>
          <w:sz w:val="24"/>
        </w:rPr>
      </w:pPr>
      <w:r>
        <w:rPr>
          <w:rFonts w:hint="eastAsia" w:ascii="宋体" w:hAnsi="宋体" w:eastAsia="宋体" w:cs="宋体"/>
          <w:color w:val="auto"/>
          <w:sz w:val="24"/>
        </w:rPr>
        <w:t xml:space="preserve">                                          </w:t>
      </w:r>
    </w:p>
    <w:p w14:paraId="7978F978">
      <w:pPr>
        <w:spacing w:line="400" w:lineRule="exact"/>
        <w:contextualSpacing/>
        <w:jc w:val="left"/>
        <w:rPr>
          <w:rFonts w:ascii="宋体" w:hAnsi="宋体" w:eastAsia="宋体" w:cs="宋体"/>
          <w:color w:val="auto"/>
          <w:sz w:val="24"/>
        </w:rPr>
      </w:pPr>
    </w:p>
    <w:p w14:paraId="3426E820">
      <w:pPr>
        <w:spacing w:line="400" w:lineRule="exact"/>
        <w:ind w:firstLine="4320" w:firstLineChars="1800"/>
        <w:contextualSpacing/>
        <w:jc w:val="left"/>
        <w:rPr>
          <w:rFonts w:ascii="宋体" w:hAnsi="宋体" w:eastAsia="宋体" w:cs="宋体"/>
          <w:color w:val="auto"/>
          <w:sz w:val="24"/>
        </w:rPr>
      </w:pPr>
      <w:r>
        <w:rPr>
          <w:rFonts w:hint="eastAsia" w:ascii="宋体" w:hAnsi="宋体" w:eastAsia="宋体" w:cs="宋体"/>
          <w:color w:val="auto"/>
          <w:sz w:val="24"/>
        </w:rPr>
        <w:t>法定代表人（签字或者盖章）：</w:t>
      </w:r>
      <w:r>
        <w:rPr>
          <w:rFonts w:hint="eastAsia" w:ascii="宋体" w:hAnsi="宋体" w:eastAsia="宋体" w:cs="宋体"/>
          <w:color w:val="auto"/>
          <w:sz w:val="24"/>
          <w:u w:val="single"/>
        </w:rPr>
        <w:t xml:space="preserve">             </w:t>
      </w:r>
    </w:p>
    <w:p w14:paraId="4CCEF0C0">
      <w:pPr>
        <w:spacing w:line="400" w:lineRule="exact"/>
        <w:contextualSpacing/>
        <w:jc w:val="left"/>
        <w:rPr>
          <w:rFonts w:ascii="宋体" w:hAnsi="宋体" w:eastAsia="宋体" w:cs="宋体"/>
          <w:color w:val="auto"/>
          <w:sz w:val="24"/>
        </w:rPr>
      </w:pPr>
      <w:r>
        <w:rPr>
          <w:rFonts w:hint="eastAsia" w:ascii="宋体" w:hAnsi="宋体" w:eastAsia="宋体" w:cs="宋体"/>
          <w:color w:val="auto"/>
          <w:sz w:val="24"/>
        </w:rPr>
        <w:t xml:space="preserve">                                          投标人（盖公章）：</w:t>
      </w:r>
      <w:r>
        <w:rPr>
          <w:rFonts w:hint="eastAsia" w:ascii="宋体" w:hAnsi="宋体" w:eastAsia="宋体" w:cs="宋体"/>
          <w:color w:val="auto"/>
          <w:sz w:val="24"/>
          <w:u w:val="single"/>
        </w:rPr>
        <w:t xml:space="preserve">                 </w:t>
      </w:r>
    </w:p>
    <w:p w14:paraId="4B79A582">
      <w:pPr>
        <w:spacing w:line="400" w:lineRule="exact"/>
        <w:contextualSpacing/>
        <w:jc w:val="left"/>
        <w:rPr>
          <w:rFonts w:ascii="宋体" w:hAnsi="宋体" w:eastAsia="宋体" w:cs="宋体"/>
          <w:color w:val="auto"/>
          <w:sz w:val="24"/>
        </w:rPr>
      </w:pPr>
      <w:r>
        <w:rPr>
          <w:rFonts w:hint="eastAsia" w:ascii="宋体" w:hAnsi="宋体" w:eastAsia="宋体" w:cs="宋体"/>
          <w:color w:val="auto"/>
          <w:sz w:val="24"/>
        </w:rPr>
        <w:t xml:space="preserve">                                                  年    月    日</w:t>
      </w:r>
    </w:p>
    <w:p w14:paraId="785A496F">
      <w:pPr>
        <w:rPr>
          <w:rFonts w:ascii="宋体" w:hAnsi="宋体" w:eastAsia="宋体" w:cs="宋体"/>
          <w:b/>
          <w:color w:val="auto"/>
          <w:sz w:val="28"/>
          <w:szCs w:val="28"/>
        </w:rPr>
      </w:pPr>
      <w:bookmarkStart w:id="94" w:name="_Toc19686838"/>
      <w:r>
        <w:rPr>
          <w:rFonts w:hint="eastAsia" w:ascii="宋体" w:hAnsi="宋体" w:eastAsia="宋体" w:cs="宋体"/>
          <w:b/>
          <w:color w:val="auto"/>
          <w:sz w:val="28"/>
          <w:szCs w:val="28"/>
        </w:rPr>
        <w:br w:type="page"/>
      </w:r>
      <w:r>
        <w:rPr>
          <w:rFonts w:hint="eastAsia" w:ascii="宋体" w:hAnsi="宋体" w:eastAsia="宋体" w:cs="宋体"/>
          <w:b/>
          <w:color w:val="auto"/>
          <w:sz w:val="28"/>
          <w:szCs w:val="28"/>
        </w:rPr>
        <w:t>三、商务文件格式</w:t>
      </w:r>
      <w:bookmarkEnd w:id="94"/>
    </w:p>
    <w:p w14:paraId="19766149">
      <w:pPr>
        <w:snapToGrid w:val="0"/>
        <w:spacing w:before="120" w:beforeLines="50" w:after="50" w:line="360" w:lineRule="auto"/>
        <w:jc w:val="left"/>
        <w:rPr>
          <w:rFonts w:ascii="宋体" w:hAnsi="宋体" w:eastAsia="宋体" w:cs="宋体"/>
          <w:b/>
          <w:color w:val="auto"/>
          <w:sz w:val="24"/>
        </w:rPr>
      </w:pPr>
      <w:r>
        <w:rPr>
          <w:rFonts w:hint="eastAsia" w:ascii="宋体" w:hAnsi="宋体" w:eastAsia="宋体" w:cs="宋体"/>
          <w:b/>
          <w:color w:val="auto"/>
          <w:sz w:val="24"/>
        </w:rPr>
        <w:t xml:space="preserve">1.商务文件封面格式： </w:t>
      </w:r>
    </w:p>
    <w:p w14:paraId="529ACE4F">
      <w:pPr>
        <w:snapToGrid w:val="0"/>
        <w:spacing w:before="120" w:beforeLines="50" w:after="50"/>
        <w:rPr>
          <w:rFonts w:ascii="宋体" w:hAnsi="宋体" w:eastAsia="宋体" w:cs="宋体"/>
          <w:bCs/>
          <w:color w:val="auto"/>
          <w:sz w:val="32"/>
          <w:szCs w:val="20"/>
        </w:rPr>
      </w:pPr>
      <w:r>
        <w:rPr>
          <w:rFonts w:hint="eastAsia" w:ascii="宋体" w:hAnsi="宋体" w:eastAsia="宋体" w:cs="宋体"/>
          <w:color w:val="auto"/>
          <w:sz w:val="24"/>
        </w:rPr>
        <w:t xml:space="preserve">                                                 </w:t>
      </w:r>
    </w:p>
    <w:p w14:paraId="2733FC60">
      <w:pPr>
        <w:snapToGrid w:val="0"/>
        <w:spacing w:before="120" w:beforeLines="50" w:after="50"/>
        <w:rPr>
          <w:rFonts w:ascii="宋体" w:hAnsi="宋体" w:eastAsia="宋体" w:cs="宋体"/>
          <w:color w:val="auto"/>
          <w:sz w:val="24"/>
          <w:szCs w:val="20"/>
        </w:rPr>
      </w:pPr>
    </w:p>
    <w:p w14:paraId="10B5351A">
      <w:pPr>
        <w:snapToGrid w:val="0"/>
        <w:spacing w:before="120" w:beforeLines="50" w:after="50"/>
        <w:rPr>
          <w:rFonts w:ascii="宋体" w:hAnsi="宋体" w:eastAsia="宋体" w:cs="宋体"/>
          <w:color w:val="auto"/>
          <w:sz w:val="24"/>
          <w:szCs w:val="20"/>
        </w:rPr>
      </w:pPr>
    </w:p>
    <w:p w14:paraId="7F6783E2">
      <w:pPr>
        <w:snapToGrid w:val="0"/>
        <w:spacing w:before="120" w:beforeLines="50" w:after="50"/>
        <w:rPr>
          <w:rFonts w:ascii="宋体" w:hAnsi="宋体" w:eastAsia="宋体" w:cs="宋体"/>
          <w:color w:val="auto"/>
          <w:sz w:val="24"/>
          <w:szCs w:val="20"/>
        </w:rPr>
      </w:pPr>
    </w:p>
    <w:p w14:paraId="30EEB9EE">
      <w:pPr>
        <w:snapToGrid w:val="0"/>
        <w:spacing w:before="120" w:beforeLines="50" w:after="50"/>
        <w:jc w:val="center"/>
        <w:rPr>
          <w:rFonts w:ascii="宋体" w:hAnsi="宋体" w:eastAsia="宋体" w:cs="宋体"/>
          <w:color w:val="auto"/>
          <w:sz w:val="84"/>
          <w:szCs w:val="84"/>
        </w:rPr>
      </w:pPr>
      <w:r>
        <w:rPr>
          <w:rFonts w:hint="eastAsia" w:ascii="宋体" w:hAnsi="宋体" w:eastAsia="宋体" w:cs="宋体"/>
          <w:color w:val="auto"/>
          <w:sz w:val="84"/>
          <w:szCs w:val="84"/>
        </w:rPr>
        <w:t>投  标  文  件</w:t>
      </w:r>
    </w:p>
    <w:p w14:paraId="24E9121E">
      <w:pPr>
        <w:snapToGrid w:val="0"/>
        <w:spacing w:before="120" w:beforeLines="50" w:after="50"/>
        <w:rPr>
          <w:rFonts w:ascii="宋体" w:hAnsi="宋体" w:eastAsia="宋体" w:cs="宋体"/>
          <w:color w:val="auto"/>
          <w:sz w:val="24"/>
          <w:szCs w:val="20"/>
        </w:rPr>
      </w:pPr>
    </w:p>
    <w:p w14:paraId="436BD82F">
      <w:pPr>
        <w:snapToGrid w:val="0"/>
        <w:spacing w:before="120" w:beforeLines="50" w:after="50"/>
        <w:rPr>
          <w:rFonts w:ascii="宋体" w:hAnsi="宋体" w:eastAsia="宋体" w:cs="宋体"/>
          <w:color w:val="auto"/>
          <w:sz w:val="24"/>
          <w:szCs w:val="20"/>
        </w:rPr>
      </w:pPr>
    </w:p>
    <w:p w14:paraId="636920F2">
      <w:pPr>
        <w:snapToGrid w:val="0"/>
        <w:spacing w:before="120" w:beforeLines="50" w:after="50"/>
        <w:jc w:val="center"/>
        <w:rPr>
          <w:rFonts w:ascii="宋体" w:hAnsi="宋体" w:eastAsia="宋体" w:cs="宋体"/>
          <w:bCs/>
          <w:color w:val="auto"/>
          <w:sz w:val="32"/>
          <w:szCs w:val="32"/>
        </w:rPr>
      </w:pPr>
      <w:r>
        <w:rPr>
          <w:rFonts w:hint="eastAsia" w:ascii="宋体" w:hAnsi="宋体" w:eastAsia="宋体" w:cs="宋体"/>
          <w:bCs/>
          <w:color w:val="auto"/>
          <w:sz w:val="32"/>
          <w:szCs w:val="32"/>
        </w:rPr>
        <w:t>商  务  文  件</w:t>
      </w:r>
    </w:p>
    <w:p w14:paraId="41676316">
      <w:pPr>
        <w:snapToGrid w:val="0"/>
        <w:spacing w:before="120" w:beforeLines="50" w:after="50"/>
        <w:rPr>
          <w:rFonts w:ascii="宋体" w:hAnsi="宋体" w:eastAsia="宋体" w:cs="宋体"/>
          <w:bCs/>
          <w:color w:val="auto"/>
          <w:sz w:val="24"/>
          <w:szCs w:val="20"/>
        </w:rPr>
      </w:pPr>
    </w:p>
    <w:p w14:paraId="23B5753D">
      <w:pPr>
        <w:snapToGrid w:val="0"/>
        <w:spacing w:before="120" w:beforeLines="50" w:after="50"/>
        <w:ind w:firstLine="540" w:firstLineChars="225"/>
        <w:rPr>
          <w:rFonts w:ascii="宋体" w:hAnsi="宋体" w:eastAsia="宋体" w:cs="宋体"/>
          <w:bCs/>
          <w:color w:val="auto"/>
          <w:sz w:val="24"/>
        </w:rPr>
      </w:pPr>
    </w:p>
    <w:p w14:paraId="5168EDF5">
      <w:pPr>
        <w:snapToGrid w:val="0"/>
        <w:spacing w:before="120" w:beforeLines="50" w:after="50"/>
        <w:ind w:firstLine="540" w:firstLineChars="225"/>
        <w:rPr>
          <w:rFonts w:ascii="宋体" w:hAnsi="宋体" w:eastAsia="宋体" w:cs="宋体"/>
          <w:bCs/>
          <w:color w:val="auto"/>
          <w:sz w:val="24"/>
        </w:rPr>
      </w:pPr>
    </w:p>
    <w:p w14:paraId="7D15C834">
      <w:pPr>
        <w:snapToGrid w:val="0"/>
        <w:spacing w:before="120" w:beforeLines="50" w:after="50"/>
        <w:ind w:firstLine="540" w:firstLineChars="225"/>
        <w:rPr>
          <w:rFonts w:ascii="宋体" w:hAnsi="宋体" w:eastAsia="宋体" w:cs="宋体"/>
          <w:bCs/>
          <w:color w:val="auto"/>
          <w:sz w:val="24"/>
        </w:rPr>
      </w:pPr>
    </w:p>
    <w:p w14:paraId="1CF20809">
      <w:pPr>
        <w:snapToGrid w:val="0"/>
        <w:spacing w:before="120" w:beforeLines="50" w:after="50"/>
        <w:ind w:firstLine="540" w:firstLineChars="225"/>
        <w:rPr>
          <w:rFonts w:ascii="宋体" w:hAnsi="宋体" w:eastAsia="宋体" w:cs="宋体"/>
          <w:bCs/>
          <w:color w:val="auto"/>
          <w:sz w:val="24"/>
        </w:rPr>
      </w:pPr>
      <w:r>
        <w:rPr>
          <w:rFonts w:hint="eastAsia" w:ascii="宋体" w:hAnsi="宋体" w:eastAsia="宋体" w:cs="宋体"/>
          <w:bCs/>
          <w:color w:val="auto"/>
          <w:sz w:val="24"/>
        </w:rPr>
        <w:t>项目名称+标段：</w:t>
      </w:r>
    </w:p>
    <w:p w14:paraId="37D8D540">
      <w:pPr>
        <w:snapToGrid w:val="0"/>
        <w:spacing w:before="120" w:beforeLines="50" w:after="50"/>
        <w:ind w:firstLine="540" w:firstLineChars="225"/>
        <w:rPr>
          <w:rFonts w:ascii="宋体" w:hAnsi="宋体" w:eastAsia="宋体" w:cs="宋体"/>
          <w:bCs/>
          <w:color w:val="auto"/>
          <w:sz w:val="24"/>
          <w:szCs w:val="20"/>
        </w:rPr>
      </w:pPr>
    </w:p>
    <w:p w14:paraId="3D83286D">
      <w:pPr>
        <w:snapToGrid w:val="0"/>
        <w:spacing w:before="120" w:beforeLines="50" w:after="50"/>
        <w:ind w:firstLine="540" w:firstLineChars="225"/>
        <w:rPr>
          <w:rFonts w:ascii="宋体" w:hAnsi="宋体" w:eastAsia="宋体" w:cs="宋体"/>
          <w:bCs/>
          <w:color w:val="auto"/>
          <w:sz w:val="24"/>
        </w:rPr>
      </w:pPr>
      <w:r>
        <w:rPr>
          <w:rFonts w:hint="eastAsia" w:ascii="宋体" w:hAnsi="宋体" w:eastAsia="宋体" w:cs="宋体"/>
          <w:bCs/>
          <w:color w:val="auto"/>
          <w:sz w:val="24"/>
        </w:rPr>
        <w:t>项目编号：</w:t>
      </w:r>
    </w:p>
    <w:p w14:paraId="422E6454">
      <w:pPr>
        <w:snapToGrid w:val="0"/>
        <w:spacing w:before="120" w:beforeLines="50" w:after="50"/>
        <w:ind w:firstLine="540" w:firstLineChars="225"/>
        <w:rPr>
          <w:rFonts w:ascii="宋体" w:hAnsi="宋体" w:eastAsia="宋体" w:cs="宋体"/>
          <w:bCs/>
          <w:color w:val="auto"/>
          <w:sz w:val="24"/>
          <w:szCs w:val="20"/>
        </w:rPr>
      </w:pPr>
      <w:r>
        <w:rPr>
          <w:rFonts w:hint="eastAsia" w:ascii="宋体" w:hAnsi="宋体" w:eastAsia="宋体" w:cs="宋体"/>
          <w:bCs/>
          <w:color w:val="auto"/>
          <w:sz w:val="24"/>
        </w:rPr>
        <w:t xml:space="preserve"> </w:t>
      </w:r>
    </w:p>
    <w:p w14:paraId="1C1E52BB">
      <w:pPr>
        <w:snapToGrid w:val="0"/>
        <w:spacing w:before="120" w:beforeLines="50" w:after="50"/>
        <w:ind w:firstLine="540" w:firstLineChars="225"/>
        <w:rPr>
          <w:rFonts w:ascii="宋体" w:hAnsi="宋体" w:eastAsia="宋体" w:cs="宋体"/>
          <w:bCs/>
          <w:color w:val="auto"/>
          <w:sz w:val="24"/>
        </w:rPr>
      </w:pPr>
      <w:r>
        <w:rPr>
          <w:rFonts w:hint="eastAsia" w:ascii="宋体" w:hAnsi="宋体" w:eastAsia="宋体" w:cs="宋体"/>
          <w:bCs/>
          <w:color w:val="auto"/>
          <w:sz w:val="24"/>
        </w:rPr>
        <w:t>所投分标：</w:t>
      </w:r>
    </w:p>
    <w:p w14:paraId="4C120F78">
      <w:pPr>
        <w:snapToGrid w:val="0"/>
        <w:spacing w:before="120" w:beforeLines="50" w:after="50"/>
        <w:ind w:firstLine="540" w:firstLineChars="225"/>
        <w:rPr>
          <w:rFonts w:ascii="宋体" w:hAnsi="宋体" w:eastAsia="宋体" w:cs="宋体"/>
          <w:bCs/>
          <w:color w:val="auto"/>
          <w:sz w:val="24"/>
          <w:szCs w:val="20"/>
        </w:rPr>
      </w:pPr>
    </w:p>
    <w:p w14:paraId="786BFB67">
      <w:pPr>
        <w:pStyle w:val="7"/>
        <w:snapToGrid w:val="0"/>
        <w:spacing w:before="50" w:after="50"/>
        <w:ind w:firstLine="540" w:firstLineChars="225"/>
        <w:rPr>
          <w:rFonts w:ascii="宋体" w:hAnsi="宋体" w:eastAsia="宋体" w:cs="宋体"/>
          <w:bCs/>
          <w:color w:val="auto"/>
          <w:sz w:val="24"/>
          <w:szCs w:val="24"/>
        </w:rPr>
      </w:pPr>
      <w:r>
        <w:rPr>
          <w:rFonts w:hint="eastAsia" w:ascii="宋体" w:hAnsi="宋体" w:eastAsia="宋体" w:cs="宋体"/>
          <w:bCs/>
          <w:color w:val="auto"/>
          <w:sz w:val="24"/>
          <w:szCs w:val="24"/>
        </w:rPr>
        <w:t>投标人名称：</w:t>
      </w:r>
    </w:p>
    <w:p w14:paraId="7C76A16C">
      <w:pPr>
        <w:pStyle w:val="7"/>
        <w:snapToGrid w:val="0"/>
        <w:spacing w:before="50" w:after="50"/>
        <w:ind w:firstLine="540" w:firstLineChars="225"/>
        <w:rPr>
          <w:rFonts w:ascii="宋体" w:hAnsi="宋体" w:eastAsia="宋体" w:cs="宋体"/>
          <w:bCs/>
          <w:color w:val="auto"/>
          <w:sz w:val="24"/>
          <w:szCs w:val="24"/>
        </w:rPr>
      </w:pPr>
    </w:p>
    <w:p w14:paraId="389442AE">
      <w:pPr>
        <w:pStyle w:val="7"/>
        <w:snapToGrid w:val="0"/>
        <w:spacing w:before="50" w:after="50"/>
        <w:ind w:firstLine="540" w:firstLineChars="225"/>
        <w:rPr>
          <w:rFonts w:ascii="宋体" w:hAnsi="宋体" w:eastAsia="宋体" w:cs="宋体"/>
          <w:bCs/>
          <w:color w:val="auto"/>
          <w:sz w:val="24"/>
          <w:szCs w:val="24"/>
        </w:rPr>
      </w:pPr>
      <w:r>
        <w:rPr>
          <w:rFonts w:hint="eastAsia" w:ascii="宋体" w:hAnsi="宋体" w:eastAsia="宋体" w:cs="宋体"/>
          <w:bCs/>
          <w:color w:val="auto"/>
          <w:sz w:val="24"/>
          <w:szCs w:val="24"/>
        </w:rPr>
        <w:t>投标人地址：</w:t>
      </w:r>
    </w:p>
    <w:p w14:paraId="026129EE">
      <w:pPr>
        <w:pStyle w:val="7"/>
        <w:snapToGrid w:val="0"/>
        <w:spacing w:before="50" w:after="50"/>
        <w:ind w:firstLine="960" w:firstLineChars="400"/>
        <w:rPr>
          <w:rFonts w:ascii="宋体" w:hAnsi="宋体" w:eastAsia="宋体" w:cs="宋体"/>
          <w:bCs/>
          <w:color w:val="auto"/>
          <w:sz w:val="24"/>
          <w:szCs w:val="24"/>
        </w:rPr>
      </w:pPr>
    </w:p>
    <w:p w14:paraId="6E25372E">
      <w:pPr>
        <w:snapToGrid w:val="0"/>
        <w:spacing w:before="120" w:beforeLines="50" w:after="50"/>
        <w:ind w:firstLine="645"/>
        <w:rPr>
          <w:rFonts w:ascii="宋体" w:hAnsi="宋体" w:eastAsia="宋体" w:cs="宋体"/>
          <w:color w:val="auto"/>
          <w:sz w:val="24"/>
        </w:rPr>
      </w:pPr>
      <w:r>
        <w:rPr>
          <w:rFonts w:hint="eastAsia" w:ascii="宋体" w:hAnsi="宋体" w:eastAsia="宋体" w:cs="宋体"/>
          <w:color w:val="auto"/>
          <w:sz w:val="24"/>
        </w:rPr>
        <w:t xml:space="preserve">                        年  月  日</w:t>
      </w:r>
    </w:p>
    <w:p w14:paraId="443311E9">
      <w:pPr>
        <w:snapToGrid w:val="0"/>
        <w:spacing w:before="120" w:beforeLines="50" w:after="50"/>
        <w:rPr>
          <w:rFonts w:ascii="宋体" w:hAnsi="宋体" w:eastAsia="宋体" w:cs="宋体"/>
          <w:color w:val="auto"/>
          <w:sz w:val="24"/>
          <w:szCs w:val="20"/>
        </w:rPr>
      </w:pPr>
      <w:r>
        <w:rPr>
          <w:rFonts w:hint="eastAsia" w:ascii="宋体" w:hAnsi="宋体" w:eastAsia="宋体" w:cs="宋体"/>
          <w:color w:val="auto"/>
          <w:sz w:val="24"/>
          <w:szCs w:val="20"/>
        </w:rPr>
        <w:t xml:space="preserve"> </w:t>
      </w:r>
    </w:p>
    <w:p w14:paraId="00AB8834">
      <w:pPr>
        <w:snapToGrid w:val="0"/>
        <w:spacing w:line="360" w:lineRule="auto"/>
        <w:jc w:val="left"/>
        <w:rPr>
          <w:rFonts w:ascii="宋体" w:hAnsi="宋体" w:eastAsia="宋体" w:cs="宋体"/>
          <w:b/>
          <w:bCs/>
          <w:color w:val="auto"/>
          <w:sz w:val="28"/>
          <w:szCs w:val="28"/>
        </w:rPr>
      </w:pPr>
      <w:r>
        <w:rPr>
          <w:rFonts w:hint="eastAsia" w:ascii="宋体" w:hAnsi="宋体" w:eastAsia="宋体" w:cs="宋体"/>
          <w:color w:val="auto"/>
          <w:sz w:val="24"/>
          <w:szCs w:val="20"/>
        </w:rPr>
        <w:br w:type="page"/>
      </w:r>
      <w:r>
        <w:rPr>
          <w:rFonts w:hint="eastAsia" w:ascii="宋体" w:hAnsi="宋体" w:eastAsia="宋体" w:cs="宋体"/>
          <w:b/>
          <w:bCs/>
          <w:color w:val="auto"/>
          <w:sz w:val="24"/>
        </w:rPr>
        <w:t>2.商务文件目录</w:t>
      </w:r>
    </w:p>
    <w:p w14:paraId="4B1C362D">
      <w:pPr>
        <w:snapToGrid w:val="0"/>
        <w:spacing w:before="50" w:after="120" w:afterLines="50" w:line="360" w:lineRule="auto"/>
        <w:ind w:firstLine="480" w:firstLineChars="200"/>
        <w:jc w:val="left"/>
        <w:rPr>
          <w:rFonts w:ascii="宋体" w:hAnsi="宋体" w:eastAsia="宋体" w:cs="宋体"/>
          <w:b/>
          <w:bCs/>
          <w:color w:val="auto"/>
          <w:sz w:val="32"/>
          <w:szCs w:val="32"/>
        </w:rPr>
      </w:pPr>
      <w:r>
        <w:rPr>
          <w:rFonts w:hint="eastAsia" w:ascii="宋体" w:hAnsi="宋体" w:eastAsia="宋体" w:cs="宋体"/>
          <w:color w:val="auto"/>
          <w:sz w:val="24"/>
        </w:rPr>
        <w:t>根据招标文件规定及投标人提供的材料自行编写目录。</w:t>
      </w:r>
    </w:p>
    <w:p w14:paraId="1E620AC9">
      <w:pPr>
        <w:snapToGrid w:val="0"/>
        <w:spacing w:before="50" w:after="120" w:afterLines="50"/>
        <w:jc w:val="left"/>
        <w:rPr>
          <w:rFonts w:ascii="宋体" w:hAnsi="宋体" w:eastAsia="宋体" w:cs="宋体"/>
          <w:color w:val="auto"/>
        </w:rPr>
      </w:pPr>
    </w:p>
    <w:p w14:paraId="61C84FAE">
      <w:pPr>
        <w:spacing w:line="400" w:lineRule="exact"/>
        <w:contextualSpacing/>
        <w:jc w:val="left"/>
        <w:rPr>
          <w:rFonts w:ascii="宋体" w:hAnsi="宋体" w:eastAsia="宋体" w:cs="宋体"/>
          <w:color w:val="auto"/>
          <w:sz w:val="24"/>
        </w:rPr>
      </w:pPr>
    </w:p>
    <w:p w14:paraId="02DD0648">
      <w:pPr>
        <w:pStyle w:val="74"/>
        <w:rPr>
          <w:rFonts w:ascii="宋体" w:hAnsi="宋体" w:eastAsia="宋体" w:cs="宋体"/>
          <w:color w:val="auto"/>
        </w:rPr>
      </w:pPr>
    </w:p>
    <w:p w14:paraId="495632D1">
      <w:pPr>
        <w:pStyle w:val="74"/>
        <w:rPr>
          <w:rFonts w:ascii="宋体" w:hAnsi="宋体" w:eastAsia="宋体" w:cs="宋体"/>
          <w:color w:val="auto"/>
        </w:rPr>
      </w:pPr>
    </w:p>
    <w:p w14:paraId="7878F103">
      <w:pPr>
        <w:pStyle w:val="74"/>
        <w:rPr>
          <w:rFonts w:ascii="宋体" w:hAnsi="宋体" w:eastAsia="宋体" w:cs="宋体"/>
          <w:color w:val="auto"/>
        </w:rPr>
      </w:pPr>
    </w:p>
    <w:p w14:paraId="50C78BE6">
      <w:pPr>
        <w:pStyle w:val="74"/>
        <w:rPr>
          <w:rFonts w:ascii="宋体" w:hAnsi="宋体" w:eastAsia="宋体" w:cs="宋体"/>
          <w:color w:val="auto"/>
        </w:rPr>
      </w:pPr>
    </w:p>
    <w:p w14:paraId="6BFBBD9F">
      <w:pPr>
        <w:pStyle w:val="74"/>
        <w:rPr>
          <w:rFonts w:ascii="宋体" w:hAnsi="宋体" w:eastAsia="宋体" w:cs="宋体"/>
          <w:color w:val="auto"/>
        </w:rPr>
      </w:pPr>
    </w:p>
    <w:p w14:paraId="09CFA9C7">
      <w:pPr>
        <w:pStyle w:val="74"/>
        <w:rPr>
          <w:rFonts w:ascii="宋体" w:hAnsi="宋体" w:eastAsia="宋体" w:cs="宋体"/>
          <w:color w:val="auto"/>
        </w:rPr>
      </w:pPr>
    </w:p>
    <w:p w14:paraId="7F0A13A8">
      <w:pPr>
        <w:pStyle w:val="74"/>
        <w:rPr>
          <w:rFonts w:ascii="宋体" w:hAnsi="宋体" w:eastAsia="宋体" w:cs="宋体"/>
          <w:color w:val="auto"/>
        </w:rPr>
      </w:pPr>
    </w:p>
    <w:p w14:paraId="143B7C15">
      <w:pPr>
        <w:pStyle w:val="74"/>
        <w:rPr>
          <w:rFonts w:ascii="宋体" w:hAnsi="宋体" w:eastAsia="宋体" w:cs="宋体"/>
          <w:color w:val="auto"/>
        </w:rPr>
      </w:pPr>
    </w:p>
    <w:p w14:paraId="377BCA6D">
      <w:pPr>
        <w:pStyle w:val="74"/>
        <w:rPr>
          <w:rFonts w:ascii="宋体" w:hAnsi="宋体" w:eastAsia="宋体" w:cs="宋体"/>
          <w:color w:val="auto"/>
        </w:rPr>
      </w:pPr>
    </w:p>
    <w:p w14:paraId="7EC39A1C">
      <w:pPr>
        <w:pStyle w:val="74"/>
        <w:rPr>
          <w:rFonts w:ascii="宋体" w:hAnsi="宋体" w:eastAsia="宋体" w:cs="宋体"/>
          <w:color w:val="auto"/>
        </w:rPr>
      </w:pPr>
    </w:p>
    <w:p w14:paraId="2355F585">
      <w:pPr>
        <w:pStyle w:val="74"/>
        <w:rPr>
          <w:rFonts w:ascii="宋体" w:hAnsi="宋体" w:eastAsia="宋体" w:cs="宋体"/>
          <w:color w:val="auto"/>
        </w:rPr>
      </w:pPr>
    </w:p>
    <w:p w14:paraId="21290215">
      <w:pPr>
        <w:pStyle w:val="74"/>
        <w:rPr>
          <w:rFonts w:ascii="宋体" w:hAnsi="宋体" w:eastAsia="宋体" w:cs="宋体"/>
          <w:color w:val="auto"/>
        </w:rPr>
      </w:pPr>
    </w:p>
    <w:p w14:paraId="326B78B4">
      <w:pPr>
        <w:pStyle w:val="74"/>
        <w:rPr>
          <w:rFonts w:ascii="宋体" w:hAnsi="宋体" w:eastAsia="宋体" w:cs="宋体"/>
          <w:color w:val="auto"/>
        </w:rPr>
      </w:pPr>
    </w:p>
    <w:p w14:paraId="7E06E4D4">
      <w:pPr>
        <w:pStyle w:val="74"/>
        <w:rPr>
          <w:rFonts w:ascii="宋体" w:hAnsi="宋体" w:eastAsia="宋体" w:cs="宋体"/>
          <w:color w:val="auto"/>
        </w:rPr>
      </w:pPr>
    </w:p>
    <w:p w14:paraId="690AF862">
      <w:pPr>
        <w:pStyle w:val="74"/>
        <w:rPr>
          <w:rFonts w:ascii="宋体" w:hAnsi="宋体" w:eastAsia="宋体" w:cs="宋体"/>
          <w:color w:val="auto"/>
        </w:rPr>
      </w:pPr>
    </w:p>
    <w:p w14:paraId="1C43DCCC">
      <w:pPr>
        <w:pStyle w:val="74"/>
        <w:rPr>
          <w:rFonts w:ascii="宋体" w:hAnsi="宋体" w:eastAsia="宋体" w:cs="宋体"/>
          <w:color w:val="auto"/>
        </w:rPr>
      </w:pPr>
    </w:p>
    <w:p w14:paraId="01FE35AA">
      <w:pPr>
        <w:pStyle w:val="74"/>
        <w:rPr>
          <w:rFonts w:ascii="宋体" w:hAnsi="宋体" w:eastAsia="宋体" w:cs="宋体"/>
          <w:color w:val="auto"/>
        </w:rPr>
      </w:pPr>
    </w:p>
    <w:p w14:paraId="3D851970">
      <w:pPr>
        <w:pStyle w:val="74"/>
        <w:rPr>
          <w:rFonts w:ascii="宋体" w:hAnsi="宋体" w:eastAsia="宋体" w:cs="宋体"/>
          <w:color w:val="auto"/>
        </w:rPr>
      </w:pPr>
    </w:p>
    <w:p w14:paraId="6E8B1508">
      <w:pPr>
        <w:pStyle w:val="74"/>
        <w:rPr>
          <w:rFonts w:ascii="宋体" w:hAnsi="宋体" w:eastAsia="宋体" w:cs="宋体"/>
          <w:color w:val="auto"/>
        </w:rPr>
      </w:pPr>
    </w:p>
    <w:p w14:paraId="63F01A8D">
      <w:pPr>
        <w:pStyle w:val="74"/>
        <w:rPr>
          <w:rFonts w:ascii="宋体" w:hAnsi="宋体" w:eastAsia="宋体" w:cs="宋体"/>
          <w:color w:val="auto"/>
        </w:rPr>
      </w:pPr>
    </w:p>
    <w:p w14:paraId="2DACEBF1">
      <w:pPr>
        <w:pStyle w:val="74"/>
        <w:rPr>
          <w:rFonts w:ascii="宋体" w:hAnsi="宋体" w:eastAsia="宋体" w:cs="宋体"/>
          <w:color w:val="auto"/>
        </w:rPr>
      </w:pPr>
    </w:p>
    <w:p w14:paraId="54BE38E4">
      <w:pPr>
        <w:pStyle w:val="74"/>
        <w:rPr>
          <w:rFonts w:ascii="宋体" w:hAnsi="宋体" w:eastAsia="宋体" w:cs="宋体"/>
          <w:color w:val="auto"/>
        </w:rPr>
      </w:pPr>
    </w:p>
    <w:p w14:paraId="0EB2A6F5">
      <w:pPr>
        <w:pStyle w:val="74"/>
        <w:rPr>
          <w:rFonts w:ascii="宋体" w:hAnsi="宋体" w:eastAsia="宋体" w:cs="宋体"/>
          <w:color w:val="auto"/>
        </w:rPr>
      </w:pPr>
    </w:p>
    <w:p w14:paraId="25204C5C">
      <w:pPr>
        <w:pStyle w:val="74"/>
        <w:rPr>
          <w:rFonts w:ascii="宋体" w:hAnsi="宋体" w:eastAsia="宋体" w:cs="宋体"/>
          <w:color w:val="auto"/>
        </w:rPr>
      </w:pPr>
    </w:p>
    <w:p w14:paraId="1D063097">
      <w:pPr>
        <w:pStyle w:val="74"/>
        <w:rPr>
          <w:rFonts w:ascii="宋体" w:hAnsi="宋体" w:eastAsia="宋体" w:cs="宋体"/>
          <w:color w:val="auto"/>
        </w:rPr>
      </w:pPr>
    </w:p>
    <w:p w14:paraId="7C50B9B3">
      <w:pPr>
        <w:pStyle w:val="74"/>
        <w:rPr>
          <w:rFonts w:ascii="宋体" w:hAnsi="宋体" w:eastAsia="宋体" w:cs="宋体"/>
          <w:color w:val="auto"/>
        </w:rPr>
      </w:pPr>
    </w:p>
    <w:p w14:paraId="20FC9DE3">
      <w:pPr>
        <w:pStyle w:val="74"/>
        <w:rPr>
          <w:rFonts w:ascii="宋体" w:hAnsi="宋体" w:eastAsia="宋体" w:cs="宋体"/>
          <w:color w:val="auto"/>
        </w:rPr>
      </w:pPr>
    </w:p>
    <w:p w14:paraId="0DC89489">
      <w:pPr>
        <w:pStyle w:val="74"/>
        <w:rPr>
          <w:rFonts w:ascii="宋体" w:hAnsi="宋体" w:eastAsia="宋体" w:cs="宋体"/>
          <w:color w:val="auto"/>
        </w:rPr>
      </w:pPr>
    </w:p>
    <w:p w14:paraId="2703EDA3">
      <w:pPr>
        <w:pStyle w:val="74"/>
        <w:rPr>
          <w:rFonts w:ascii="宋体" w:hAnsi="宋体" w:eastAsia="宋体" w:cs="宋体"/>
          <w:color w:val="auto"/>
        </w:rPr>
      </w:pPr>
    </w:p>
    <w:p w14:paraId="434CFBE4">
      <w:pPr>
        <w:pStyle w:val="74"/>
        <w:rPr>
          <w:rFonts w:ascii="宋体" w:hAnsi="宋体" w:eastAsia="宋体" w:cs="宋体"/>
          <w:color w:val="auto"/>
        </w:rPr>
      </w:pPr>
    </w:p>
    <w:p w14:paraId="42A0A575">
      <w:pPr>
        <w:pStyle w:val="74"/>
        <w:rPr>
          <w:rFonts w:ascii="宋体" w:hAnsi="宋体" w:eastAsia="宋体" w:cs="宋体"/>
          <w:color w:val="auto"/>
        </w:rPr>
      </w:pPr>
    </w:p>
    <w:p w14:paraId="7E6D073B">
      <w:pPr>
        <w:pStyle w:val="74"/>
        <w:rPr>
          <w:rFonts w:ascii="宋体" w:hAnsi="宋体" w:eastAsia="宋体" w:cs="宋体"/>
          <w:color w:val="auto"/>
        </w:rPr>
      </w:pPr>
    </w:p>
    <w:p w14:paraId="559E93F6">
      <w:pPr>
        <w:rPr>
          <w:rFonts w:ascii="宋体" w:hAnsi="宋体" w:eastAsia="宋体" w:cs="宋体"/>
          <w:color w:val="auto"/>
        </w:rPr>
      </w:pPr>
      <w:r>
        <w:rPr>
          <w:rFonts w:ascii="宋体" w:hAnsi="宋体" w:eastAsia="宋体" w:cs="宋体"/>
          <w:color w:val="auto"/>
        </w:rPr>
        <w:br w:type="page"/>
      </w:r>
    </w:p>
    <w:p w14:paraId="0746C9D3">
      <w:pPr>
        <w:pStyle w:val="74"/>
        <w:rPr>
          <w:rFonts w:ascii="宋体" w:hAnsi="宋体" w:eastAsia="宋体" w:cs="宋体"/>
          <w:color w:val="auto"/>
        </w:rPr>
      </w:pPr>
    </w:p>
    <w:p w14:paraId="077443CC">
      <w:pPr>
        <w:pStyle w:val="5"/>
        <w:rPr>
          <w:rFonts w:ascii="宋体" w:hAnsi="宋体" w:eastAsia="宋体" w:cs="宋体"/>
          <w:color w:val="auto"/>
          <w:sz w:val="24"/>
        </w:rPr>
      </w:pPr>
    </w:p>
    <w:p w14:paraId="1D5A6160">
      <w:pPr>
        <w:snapToGrid w:val="0"/>
        <w:spacing w:before="120" w:beforeLines="50" w:after="50"/>
        <w:jc w:val="left"/>
        <w:rPr>
          <w:rFonts w:ascii="宋体" w:hAnsi="宋体" w:eastAsia="宋体" w:cs="宋体"/>
          <w:b/>
          <w:color w:val="auto"/>
          <w:sz w:val="24"/>
        </w:rPr>
      </w:pPr>
    </w:p>
    <w:p w14:paraId="234B8E76">
      <w:pPr>
        <w:snapToGrid w:val="0"/>
        <w:spacing w:before="120" w:beforeLines="50" w:after="50"/>
        <w:jc w:val="left"/>
        <w:rPr>
          <w:rFonts w:ascii="宋体" w:hAnsi="宋体" w:eastAsia="宋体" w:cs="宋体"/>
          <w:b/>
          <w:color w:val="auto"/>
          <w:sz w:val="24"/>
        </w:rPr>
      </w:pPr>
      <w:r>
        <w:rPr>
          <w:rFonts w:hint="eastAsia" w:ascii="宋体" w:hAnsi="宋体" w:eastAsia="宋体" w:cs="宋体"/>
          <w:b/>
          <w:color w:val="auto"/>
          <w:sz w:val="24"/>
        </w:rPr>
        <w:t>3.投标人参加本项目无围标串标行为的承诺</w:t>
      </w:r>
    </w:p>
    <w:p w14:paraId="6C0FC85D">
      <w:pPr>
        <w:snapToGrid w:val="0"/>
        <w:spacing w:before="120" w:beforeLines="50" w:after="50"/>
        <w:jc w:val="left"/>
        <w:rPr>
          <w:rFonts w:ascii="宋体" w:hAnsi="宋体" w:eastAsia="宋体" w:cs="宋体"/>
          <w:b/>
          <w:color w:val="auto"/>
          <w:sz w:val="24"/>
        </w:rPr>
      </w:pPr>
    </w:p>
    <w:p w14:paraId="3E5D2A86">
      <w:pPr>
        <w:spacing w:line="360" w:lineRule="auto"/>
        <w:ind w:left="420"/>
        <w:contextualSpacing/>
        <w:jc w:val="center"/>
        <w:rPr>
          <w:rFonts w:ascii="宋体" w:hAnsi="宋体" w:eastAsia="宋体" w:cs="宋体"/>
          <w:b/>
          <w:color w:val="auto"/>
          <w:sz w:val="24"/>
        </w:rPr>
      </w:pPr>
      <w:r>
        <w:rPr>
          <w:rFonts w:hint="eastAsia" w:ascii="宋体" w:hAnsi="宋体" w:eastAsia="宋体" w:cs="宋体"/>
          <w:bCs/>
          <w:color w:val="auto"/>
          <w:spacing w:val="-11"/>
          <w:sz w:val="44"/>
          <w:szCs w:val="44"/>
        </w:rPr>
        <w:t>投标人参加本项目无围标串标行为的承诺函</w:t>
      </w:r>
    </w:p>
    <w:p w14:paraId="259D9F77">
      <w:pPr>
        <w:spacing w:line="440" w:lineRule="exact"/>
        <w:contextualSpacing/>
        <w:jc w:val="left"/>
        <w:rPr>
          <w:rFonts w:ascii="宋体" w:hAnsi="宋体" w:eastAsia="宋体" w:cs="宋体"/>
          <w:b/>
          <w:color w:val="auto"/>
          <w:sz w:val="24"/>
        </w:rPr>
      </w:pPr>
      <w:r>
        <w:rPr>
          <w:rFonts w:hint="eastAsia" w:ascii="宋体" w:hAnsi="宋体" w:eastAsia="宋体" w:cs="宋体"/>
          <w:b/>
          <w:color w:val="auto"/>
          <w:sz w:val="24"/>
        </w:rPr>
        <w:t>一、我方承诺无下列相互串通投标的情形：</w:t>
      </w:r>
    </w:p>
    <w:p w14:paraId="194D4996">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1.不同投标人的投标文件由同一单位或者个人编制；</w:t>
      </w:r>
    </w:p>
    <w:p w14:paraId="2A314893">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2.不同投标人委托同一单位或者个人办理投标事宜；</w:t>
      </w:r>
    </w:p>
    <w:p w14:paraId="39125090">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3.不同的投标人的投标文件载明的项目管理员为同一个人；</w:t>
      </w:r>
    </w:p>
    <w:p w14:paraId="7ABCBC25">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4.不同投标人的投标文件异常一致或者投标报价呈规律性差异；</w:t>
      </w:r>
    </w:p>
    <w:p w14:paraId="5943E7A8">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5.不同投标人的投标文件相互混装；</w:t>
      </w:r>
    </w:p>
    <w:p w14:paraId="1209780E">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6.不同投标人的投标保证金从同一单位或者个人账户转出。</w:t>
      </w:r>
    </w:p>
    <w:p w14:paraId="5B71099D">
      <w:pPr>
        <w:spacing w:line="440" w:lineRule="exact"/>
        <w:contextualSpacing/>
        <w:jc w:val="left"/>
        <w:rPr>
          <w:rFonts w:ascii="宋体" w:hAnsi="宋体" w:eastAsia="宋体" w:cs="宋体"/>
          <w:color w:val="auto"/>
          <w:sz w:val="24"/>
        </w:rPr>
      </w:pPr>
      <w:r>
        <w:rPr>
          <w:rFonts w:hint="eastAsia" w:ascii="宋体" w:hAnsi="宋体" w:eastAsia="宋体" w:cs="宋体"/>
          <w:b/>
          <w:color w:val="auto"/>
          <w:sz w:val="24"/>
        </w:rPr>
        <w:t>二、我方承诺无下列恶意串通的情形：</w:t>
      </w:r>
    </w:p>
    <w:p w14:paraId="00A99054">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1.投标人直接或者间接从采购人或者采购代理机构处获得其他投标人的相关信息并修改其投标文件或者响应文件；</w:t>
      </w:r>
    </w:p>
    <w:p w14:paraId="3A5F2E9A">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2.投标人按照采购人或者采购代理机构的授意撤换、修改投标文件或者响应文件；</w:t>
      </w:r>
    </w:p>
    <w:p w14:paraId="3983FDA9">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3.投标人之间协商报价、技术方案等投标文件或者响应文件的实质性内容；</w:t>
      </w:r>
    </w:p>
    <w:p w14:paraId="03C85388">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4.属于同一集团、协会、商会等组织成员的投标人按照该组织要求协同参加政府采购活动；</w:t>
      </w:r>
    </w:p>
    <w:p w14:paraId="208C00D8">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5.投标人之间事先约定一致抬高或者压低投标报价，或者在招标项目中事先约定轮流以高价位或者低价位中标，或者事先约定由某一特定投标人中标，然后再参加投标；</w:t>
      </w:r>
    </w:p>
    <w:p w14:paraId="3268E525">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6.投标人之间商定部分投标人放弃参加政府采购活动或者放弃中标；</w:t>
      </w:r>
    </w:p>
    <w:p w14:paraId="07EB2646">
      <w:pPr>
        <w:spacing w:line="440" w:lineRule="exact"/>
        <w:ind w:firstLine="470" w:firstLineChars="196"/>
        <w:contextualSpacing/>
        <w:jc w:val="left"/>
        <w:rPr>
          <w:rFonts w:ascii="宋体" w:hAnsi="宋体" w:eastAsia="宋体" w:cs="宋体"/>
          <w:color w:val="auto"/>
          <w:sz w:val="24"/>
        </w:rPr>
      </w:pPr>
      <w:r>
        <w:rPr>
          <w:rFonts w:hint="eastAsia" w:ascii="宋体" w:hAnsi="宋体" w:eastAsia="宋体" w:cs="宋体"/>
          <w:color w:val="auto"/>
          <w:sz w:val="24"/>
        </w:rPr>
        <w:t>7.投标人与采购人或者采购代理机构之间、投标人相互之间，为谋求特定投标人中标或者排斥其他投标人的其他串通行为。</w:t>
      </w:r>
    </w:p>
    <w:p w14:paraId="4E449D6D">
      <w:pPr>
        <w:spacing w:line="440" w:lineRule="exact"/>
        <w:ind w:firstLine="472" w:firstLineChars="196"/>
        <w:contextualSpacing/>
        <w:jc w:val="left"/>
        <w:rPr>
          <w:rFonts w:ascii="宋体" w:hAnsi="宋体" w:eastAsia="宋体" w:cs="宋体"/>
          <w:b/>
          <w:color w:val="auto"/>
          <w:sz w:val="24"/>
        </w:rPr>
      </w:pPr>
      <w:r>
        <w:rPr>
          <w:rFonts w:hint="eastAsia" w:ascii="宋体" w:hAnsi="宋体" w:eastAsia="宋体" w:cs="宋体"/>
          <w:b/>
          <w:color w:val="auto"/>
          <w:sz w:val="24"/>
        </w:rPr>
        <w:t>以上情形一经核查属实，我方愿意承担一切后果，并不再寻求任何旨在减轻或者免除法律责任的辩解。</w:t>
      </w:r>
    </w:p>
    <w:p w14:paraId="19C9C005">
      <w:pPr>
        <w:pStyle w:val="20"/>
        <w:spacing w:line="440" w:lineRule="exact"/>
        <w:ind w:firstLine="6840" w:firstLineChars="2850"/>
        <w:contextualSpacing/>
        <w:rPr>
          <w:rFonts w:ascii="宋体" w:hAnsi="宋体" w:eastAsia="宋体" w:cs="宋体"/>
          <w:color w:val="auto"/>
          <w:sz w:val="24"/>
          <w:szCs w:val="24"/>
        </w:rPr>
      </w:pPr>
    </w:p>
    <w:p w14:paraId="55332175">
      <w:pPr>
        <w:pStyle w:val="20"/>
        <w:spacing w:line="440" w:lineRule="exact"/>
        <w:contextualSpacing/>
        <w:jc w:val="center"/>
        <w:rPr>
          <w:rFonts w:ascii="宋体" w:hAnsi="宋体" w:eastAsia="宋体" w:cs="宋体"/>
          <w:color w:val="auto"/>
          <w:sz w:val="24"/>
          <w:szCs w:val="24"/>
        </w:rPr>
      </w:pPr>
      <w:r>
        <w:rPr>
          <w:rFonts w:hint="eastAsia" w:ascii="宋体" w:hAnsi="宋体" w:eastAsia="宋体" w:cs="宋体"/>
          <w:color w:val="auto"/>
          <w:sz w:val="24"/>
          <w:szCs w:val="24"/>
        </w:rPr>
        <w:t xml:space="preserve">                                    投标人名称（公章）</w:t>
      </w:r>
    </w:p>
    <w:p w14:paraId="5D677F7B">
      <w:pPr>
        <w:pStyle w:val="20"/>
        <w:spacing w:line="440" w:lineRule="exact"/>
        <w:contextualSpacing/>
        <w:rPr>
          <w:rFonts w:ascii="宋体" w:hAnsi="宋体" w:eastAsia="宋体" w:cs="宋体"/>
          <w:b/>
          <w:color w:val="auto"/>
          <w:sz w:val="24"/>
        </w:rPr>
      </w:pPr>
      <w:r>
        <w:rPr>
          <w:rFonts w:hint="eastAsia" w:ascii="宋体" w:hAnsi="宋体" w:eastAsia="宋体" w:cs="宋体"/>
          <w:color w:val="auto"/>
          <w:sz w:val="24"/>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5A6F5DF">
      <w:pPr>
        <w:snapToGrid w:val="0"/>
        <w:spacing w:before="120" w:beforeLines="50" w:after="50"/>
        <w:jc w:val="left"/>
        <w:rPr>
          <w:rFonts w:ascii="宋体" w:hAnsi="宋体" w:eastAsia="宋体" w:cs="宋体"/>
          <w:b/>
          <w:color w:val="auto"/>
          <w:sz w:val="24"/>
        </w:rPr>
      </w:pPr>
    </w:p>
    <w:p w14:paraId="515F75E7">
      <w:pPr>
        <w:snapToGrid w:val="0"/>
        <w:spacing w:before="120" w:beforeLines="50" w:after="50"/>
        <w:jc w:val="left"/>
        <w:rPr>
          <w:rFonts w:ascii="宋体" w:hAnsi="宋体" w:eastAsia="宋体" w:cs="宋体"/>
          <w:b/>
          <w:color w:val="auto"/>
          <w:sz w:val="24"/>
          <w:szCs w:val="20"/>
        </w:rPr>
      </w:pPr>
      <w:r>
        <w:rPr>
          <w:rFonts w:hint="eastAsia" w:ascii="宋体" w:hAnsi="宋体" w:eastAsia="宋体" w:cs="宋体"/>
          <w:b/>
          <w:color w:val="auto"/>
          <w:sz w:val="24"/>
        </w:rPr>
        <w:br w:type="page"/>
      </w:r>
      <w:r>
        <w:rPr>
          <w:rFonts w:hint="eastAsia" w:ascii="宋体" w:hAnsi="宋体" w:eastAsia="宋体" w:cs="宋体"/>
          <w:b/>
          <w:color w:val="auto"/>
          <w:sz w:val="24"/>
        </w:rPr>
        <w:t>4.法定代表人身份证明</w:t>
      </w:r>
    </w:p>
    <w:p w14:paraId="12383232">
      <w:pPr>
        <w:spacing w:before="240" w:beforeLines="100" w:after="120" w:afterLines="50"/>
        <w:ind w:left="540"/>
        <w:jc w:val="center"/>
        <w:rPr>
          <w:rFonts w:ascii="宋体" w:hAnsi="宋体" w:eastAsia="宋体" w:cs="宋体"/>
          <w:bCs/>
          <w:color w:val="auto"/>
          <w:sz w:val="44"/>
          <w:szCs w:val="44"/>
        </w:rPr>
      </w:pPr>
      <w:r>
        <w:rPr>
          <w:rFonts w:hint="eastAsia" w:ascii="宋体" w:hAnsi="宋体" w:eastAsia="宋体" w:cs="宋体"/>
          <w:bCs/>
          <w:color w:val="auto"/>
          <w:sz w:val="44"/>
          <w:szCs w:val="44"/>
        </w:rPr>
        <w:t>法定代表人身份证明</w:t>
      </w:r>
    </w:p>
    <w:p w14:paraId="63FF44CC">
      <w:pPr>
        <w:spacing w:line="500" w:lineRule="exact"/>
        <w:ind w:left="540"/>
        <w:rPr>
          <w:rFonts w:ascii="宋体" w:hAnsi="宋体" w:eastAsia="宋体" w:cs="宋体"/>
          <w:color w:val="auto"/>
          <w:sz w:val="24"/>
        </w:rPr>
      </w:pPr>
      <w:r>
        <w:rPr>
          <w:rFonts w:hint="eastAsia" w:ascii="宋体" w:hAnsi="宋体" w:eastAsia="宋体" w:cs="宋体"/>
          <w:color w:val="auto"/>
          <w:sz w:val="24"/>
        </w:rPr>
        <w:t>投 标 人：</w:t>
      </w:r>
      <w:r>
        <w:rPr>
          <w:rFonts w:hint="eastAsia" w:ascii="宋体" w:hAnsi="宋体" w:eastAsia="宋体" w:cs="宋体"/>
          <w:color w:val="auto"/>
          <w:sz w:val="24"/>
          <w:u w:val="single"/>
        </w:rPr>
        <w:t xml:space="preserve">                                                        </w:t>
      </w:r>
    </w:p>
    <w:p w14:paraId="1CC2A08C">
      <w:pPr>
        <w:spacing w:line="500" w:lineRule="exact"/>
        <w:ind w:left="540"/>
        <w:rPr>
          <w:rFonts w:ascii="宋体" w:hAnsi="宋体" w:eastAsia="宋体" w:cs="宋体"/>
          <w:color w:val="auto"/>
          <w:sz w:val="24"/>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14:paraId="3DA65B76">
      <w:pPr>
        <w:spacing w:line="500" w:lineRule="exact"/>
        <w:ind w:left="540"/>
        <w:rPr>
          <w:rFonts w:ascii="宋体" w:hAnsi="宋体" w:eastAsia="宋体" w:cs="宋体"/>
          <w:color w:val="auto"/>
          <w:sz w:val="24"/>
        </w:rPr>
      </w:pPr>
      <w:r>
        <w:rPr>
          <w:rFonts w:hint="eastAsia" w:ascii="宋体" w:hAnsi="宋体" w:eastAsia="宋体" w:cs="宋体"/>
          <w:color w:val="auto"/>
          <w:sz w:val="24"/>
        </w:rPr>
        <w:t>姓    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      别：</w:t>
      </w:r>
      <w:r>
        <w:rPr>
          <w:rFonts w:hint="eastAsia" w:ascii="宋体" w:hAnsi="宋体" w:eastAsia="宋体" w:cs="宋体"/>
          <w:color w:val="auto"/>
          <w:sz w:val="24"/>
          <w:u w:val="single"/>
        </w:rPr>
        <w:t xml:space="preserve">                </w:t>
      </w:r>
    </w:p>
    <w:p w14:paraId="2BB3F85E">
      <w:pPr>
        <w:spacing w:line="500" w:lineRule="exact"/>
        <w:ind w:left="540"/>
        <w:rPr>
          <w:rFonts w:ascii="宋体" w:hAnsi="宋体" w:eastAsia="宋体" w:cs="宋体"/>
          <w:color w:val="auto"/>
          <w:sz w:val="24"/>
          <w:u w:val="single"/>
        </w:rPr>
      </w:pPr>
      <w:r>
        <w:rPr>
          <w:rFonts w:hint="eastAsia" w:ascii="宋体" w:hAnsi="宋体" w:eastAsia="宋体" w:cs="宋体"/>
          <w:color w:val="auto"/>
          <w:sz w:val="24"/>
        </w:rPr>
        <w:t>年    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      务：</w:t>
      </w:r>
      <w:r>
        <w:rPr>
          <w:rFonts w:hint="eastAsia" w:ascii="宋体" w:hAnsi="宋体" w:eastAsia="宋体" w:cs="宋体"/>
          <w:color w:val="auto"/>
          <w:sz w:val="24"/>
          <w:u w:val="single"/>
        </w:rPr>
        <w:t xml:space="preserve">                </w:t>
      </w:r>
    </w:p>
    <w:p w14:paraId="284C609C">
      <w:pPr>
        <w:spacing w:line="500" w:lineRule="exact"/>
        <w:ind w:left="540"/>
        <w:rPr>
          <w:rFonts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0A2FBA9E">
      <w:pPr>
        <w:spacing w:line="500" w:lineRule="exact"/>
        <w:ind w:left="540"/>
        <w:rPr>
          <w:rFonts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（投标人名称）              </w:t>
      </w:r>
      <w:r>
        <w:rPr>
          <w:rFonts w:hint="eastAsia" w:ascii="宋体" w:hAnsi="宋体" w:eastAsia="宋体" w:cs="宋体"/>
          <w:color w:val="auto"/>
          <w:sz w:val="24"/>
        </w:rPr>
        <w:t>的法定代表人。</w:t>
      </w:r>
    </w:p>
    <w:p w14:paraId="3B03F053">
      <w:pPr>
        <w:spacing w:line="500" w:lineRule="exact"/>
        <w:ind w:left="540"/>
        <w:rPr>
          <w:rFonts w:ascii="宋体" w:hAnsi="宋体" w:eastAsia="宋体" w:cs="宋体"/>
          <w:color w:val="auto"/>
          <w:sz w:val="24"/>
        </w:rPr>
      </w:pPr>
      <w:r>
        <w:rPr>
          <w:rFonts w:hint="eastAsia" w:ascii="宋体" w:hAnsi="宋体" w:eastAsia="宋体" w:cs="宋体"/>
          <w:color w:val="auto"/>
          <w:sz w:val="24"/>
        </w:rPr>
        <w:t>特此证明。</w:t>
      </w:r>
    </w:p>
    <w:p w14:paraId="3F4887F8">
      <w:pPr>
        <w:spacing w:line="500" w:lineRule="exact"/>
        <w:ind w:left="540"/>
        <w:rPr>
          <w:rFonts w:ascii="宋体" w:hAnsi="宋体" w:eastAsia="宋体" w:cs="宋体"/>
          <w:color w:val="auto"/>
          <w:sz w:val="24"/>
        </w:rPr>
      </w:pPr>
    </w:p>
    <w:p w14:paraId="3EEDE0FC">
      <w:pPr>
        <w:spacing w:line="500" w:lineRule="exact"/>
        <w:ind w:left="540"/>
        <w:rPr>
          <w:rFonts w:ascii="宋体" w:hAnsi="宋体" w:eastAsia="宋体" w:cs="宋体"/>
          <w:color w:val="auto"/>
          <w:sz w:val="24"/>
        </w:rPr>
      </w:pPr>
    </w:p>
    <w:p w14:paraId="2985DBDF">
      <w:pPr>
        <w:spacing w:line="500" w:lineRule="exact"/>
        <w:ind w:left="540"/>
        <w:rPr>
          <w:rFonts w:ascii="宋体" w:hAnsi="宋体" w:eastAsia="宋体" w:cs="宋体"/>
          <w:color w:val="auto"/>
          <w:sz w:val="24"/>
        </w:rPr>
      </w:pPr>
      <w:r>
        <w:rPr>
          <w:rFonts w:hint="eastAsia" w:ascii="宋体" w:hAnsi="宋体" w:eastAsia="宋体" w:cs="宋体"/>
          <w:color w:val="auto"/>
          <w:sz w:val="24"/>
        </w:rPr>
        <w:t>附件：法定代表人有效身份证正反面复印件</w:t>
      </w:r>
    </w:p>
    <w:p w14:paraId="6600D410">
      <w:pPr>
        <w:spacing w:line="500" w:lineRule="exact"/>
        <w:ind w:left="540"/>
        <w:rPr>
          <w:rFonts w:ascii="宋体" w:hAnsi="宋体" w:eastAsia="宋体" w:cs="宋体"/>
          <w:color w:val="auto"/>
          <w:sz w:val="24"/>
        </w:rPr>
      </w:pPr>
    </w:p>
    <w:p w14:paraId="1B50363C">
      <w:pPr>
        <w:spacing w:line="500" w:lineRule="exact"/>
        <w:ind w:left="540"/>
        <w:jc w:val="right"/>
        <w:rPr>
          <w:rFonts w:ascii="宋体" w:hAnsi="宋体" w:eastAsia="宋体" w:cs="宋体"/>
          <w:color w:val="auto"/>
          <w:sz w:val="24"/>
        </w:rPr>
      </w:pPr>
      <w:r>
        <w:rPr>
          <w:rFonts w:hint="eastAsia" w:ascii="宋体" w:hAnsi="宋体" w:eastAsia="宋体" w:cs="宋体"/>
          <w:color w:val="auto"/>
          <w:sz w:val="24"/>
        </w:rPr>
        <w:t>投标人名称（公章）</w:t>
      </w:r>
    </w:p>
    <w:p w14:paraId="37A28BB1">
      <w:pPr>
        <w:spacing w:line="500" w:lineRule="exact"/>
        <w:ind w:left="540"/>
        <w:jc w:val="right"/>
        <w:rPr>
          <w:rFonts w:ascii="宋体" w:hAnsi="宋体" w:eastAsia="宋体" w:cs="宋体"/>
          <w:color w:val="auto"/>
          <w:sz w:val="24"/>
        </w:rPr>
      </w:pPr>
    </w:p>
    <w:p w14:paraId="11A227EE">
      <w:pPr>
        <w:snapToGrid w:val="0"/>
        <w:spacing w:before="120" w:beforeLines="50" w:after="50"/>
        <w:ind w:left="540"/>
        <w:jc w:val="right"/>
        <w:rPr>
          <w:rFonts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A078260">
      <w:pPr>
        <w:snapToGrid w:val="0"/>
        <w:spacing w:before="120" w:beforeLines="50" w:after="50"/>
        <w:jc w:val="center"/>
        <w:rPr>
          <w:rFonts w:ascii="宋体" w:hAnsi="宋体" w:eastAsia="宋体" w:cs="宋体"/>
          <w:b/>
          <w:color w:val="auto"/>
          <w:sz w:val="24"/>
        </w:rPr>
      </w:pPr>
    </w:p>
    <w:p w14:paraId="0856D1E1">
      <w:pPr>
        <w:snapToGrid w:val="0"/>
        <w:spacing w:before="120" w:beforeLines="50" w:after="50"/>
        <w:jc w:val="left"/>
        <w:rPr>
          <w:rFonts w:ascii="宋体" w:hAnsi="宋体" w:eastAsia="宋体" w:cs="宋体"/>
          <w:b/>
          <w:color w:val="auto"/>
          <w:sz w:val="24"/>
          <w:szCs w:val="20"/>
        </w:rPr>
      </w:pPr>
      <w:r>
        <w:rPr>
          <w:rFonts w:hint="eastAsia" w:ascii="宋体" w:hAnsi="宋体" w:eastAsia="宋体" w:cs="宋体"/>
          <w:color w:val="auto"/>
          <w:sz w:val="24"/>
        </w:rPr>
        <w:t>注：自然人投标的无需提供</w:t>
      </w:r>
    </w:p>
    <w:p w14:paraId="2A7489DC">
      <w:pPr>
        <w:snapToGrid w:val="0"/>
        <w:spacing w:before="120" w:beforeLines="50" w:after="50"/>
        <w:jc w:val="left"/>
        <w:rPr>
          <w:rFonts w:ascii="宋体" w:hAnsi="宋体" w:eastAsia="宋体" w:cs="宋体"/>
          <w:b/>
          <w:color w:val="auto"/>
          <w:sz w:val="24"/>
          <w:szCs w:val="20"/>
        </w:rPr>
      </w:pPr>
      <w:r>
        <w:rPr>
          <w:rFonts w:hint="eastAsia" w:ascii="宋体" w:hAnsi="宋体" w:eastAsia="宋体" w:cs="宋体"/>
          <w:b/>
          <w:color w:val="auto"/>
          <w:sz w:val="24"/>
        </w:rPr>
        <w:br w:type="page"/>
      </w:r>
      <w:r>
        <w:rPr>
          <w:rFonts w:hint="eastAsia" w:ascii="宋体" w:hAnsi="宋体" w:eastAsia="宋体" w:cs="宋体"/>
          <w:b/>
          <w:color w:val="auto"/>
          <w:sz w:val="24"/>
        </w:rPr>
        <w:t>5.授权委托书格式</w:t>
      </w:r>
    </w:p>
    <w:p w14:paraId="0FFE7F76">
      <w:pPr>
        <w:snapToGrid w:val="0"/>
        <w:spacing w:before="120" w:beforeLines="50" w:after="50"/>
        <w:jc w:val="center"/>
        <w:rPr>
          <w:rFonts w:ascii="宋体" w:hAnsi="宋体" w:eastAsia="宋体" w:cs="宋体"/>
          <w:b/>
          <w:color w:val="auto"/>
          <w:sz w:val="44"/>
          <w:szCs w:val="44"/>
        </w:rPr>
      </w:pPr>
    </w:p>
    <w:p w14:paraId="73167EE2">
      <w:pPr>
        <w:spacing w:line="360" w:lineRule="auto"/>
        <w:contextualSpacing/>
        <w:jc w:val="center"/>
        <w:rPr>
          <w:rFonts w:ascii="宋体" w:hAnsi="宋体" w:eastAsia="宋体" w:cs="宋体"/>
          <w:bCs/>
          <w:color w:val="auto"/>
          <w:sz w:val="44"/>
          <w:szCs w:val="44"/>
        </w:rPr>
      </w:pPr>
      <w:r>
        <w:rPr>
          <w:rFonts w:hint="eastAsia" w:ascii="宋体" w:hAnsi="宋体" w:eastAsia="宋体" w:cs="宋体"/>
          <w:bCs/>
          <w:color w:val="auto"/>
          <w:sz w:val="44"/>
          <w:szCs w:val="44"/>
        </w:rPr>
        <w:t>授权委托书</w:t>
      </w:r>
    </w:p>
    <w:p w14:paraId="6ECFD158">
      <w:pPr>
        <w:spacing w:line="360" w:lineRule="auto"/>
        <w:contextualSpacing/>
        <w:jc w:val="center"/>
        <w:rPr>
          <w:rFonts w:ascii="宋体" w:hAnsi="宋体" w:eastAsia="宋体" w:cs="宋体"/>
          <w:bCs/>
          <w:color w:val="auto"/>
          <w:sz w:val="32"/>
          <w:szCs w:val="32"/>
        </w:rPr>
      </w:pPr>
      <w:r>
        <w:rPr>
          <w:rFonts w:hint="eastAsia" w:ascii="宋体" w:hAnsi="宋体" w:eastAsia="宋体" w:cs="宋体"/>
          <w:bCs/>
          <w:color w:val="auto"/>
          <w:sz w:val="32"/>
          <w:szCs w:val="32"/>
        </w:rPr>
        <w:t>（非联合体投标格式）</w:t>
      </w:r>
    </w:p>
    <w:p w14:paraId="58668D35">
      <w:pPr>
        <w:spacing w:line="360" w:lineRule="auto"/>
        <w:contextualSpacing/>
        <w:jc w:val="center"/>
        <w:rPr>
          <w:rFonts w:ascii="宋体" w:hAnsi="宋体" w:eastAsia="宋体" w:cs="宋体"/>
          <w:bCs/>
          <w:color w:val="auto"/>
          <w:sz w:val="24"/>
        </w:rPr>
      </w:pPr>
      <w:r>
        <w:rPr>
          <w:rFonts w:hint="eastAsia" w:ascii="宋体" w:hAnsi="宋体" w:eastAsia="宋体" w:cs="宋体"/>
          <w:bCs/>
          <w:color w:val="auto"/>
          <w:sz w:val="32"/>
          <w:szCs w:val="32"/>
        </w:rPr>
        <w:t>（如有委托时）</w:t>
      </w:r>
    </w:p>
    <w:p w14:paraId="705DA984">
      <w:pPr>
        <w:spacing w:line="440" w:lineRule="exact"/>
        <w:contextualSpacing/>
        <w:jc w:val="center"/>
        <w:rPr>
          <w:rFonts w:ascii="宋体" w:hAnsi="宋体" w:eastAsia="宋体" w:cs="宋体"/>
          <w:b/>
          <w:color w:val="auto"/>
          <w:sz w:val="24"/>
        </w:rPr>
      </w:pPr>
    </w:p>
    <w:p w14:paraId="53A00DE9">
      <w:pPr>
        <w:spacing w:line="440" w:lineRule="exact"/>
        <w:contextualSpacing/>
        <w:rPr>
          <w:rFonts w:ascii="宋体" w:hAnsi="宋体" w:eastAsia="宋体" w:cs="宋体"/>
          <w:b/>
          <w:bCs/>
          <w:color w:val="auto"/>
          <w:sz w:val="24"/>
        </w:rPr>
      </w:pPr>
      <w:r>
        <w:rPr>
          <w:rFonts w:hint="eastAsia" w:ascii="宋体" w:hAnsi="宋体" w:eastAsia="宋体" w:cs="宋体"/>
          <w:bCs/>
          <w:color w:val="auto"/>
          <w:sz w:val="24"/>
        </w:rPr>
        <w:t>致：</w:t>
      </w:r>
      <w:r>
        <w:rPr>
          <w:rFonts w:hint="eastAsia" w:ascii="宋体" w:hAnsi="宋体" w:eastAsia="宋体" w:cs="宋体"/>
          <w:color w:val="auto"/>
          <w:sz w:val="24"/>
          <w:u w:val="single"/>
        </w:rPr>
        <w:t>采购人名称</w:t>
      </w:r>
      <w:r>
        <w:rPr>
          <w:rFonts w:hint="eastAsia" w:ascii="宋体" w:hAnsi="宋体" w:eastAsia="宋体" w:cs="宋体"/>
          <w:color w:val="auto"/>
          <w:sz w:val="24"/>
        </w:rPr>
        <w:t>：</w:t>
      </w:r>
    </w:p>
    <w:p w14:paraId="42ACE74A">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我</w:t>
      </w:r>
      <w:r>
        <w:rPr>
          <w:rFonts w:hint="eastAsia" w:ascii="宋体" w:hAnsi="宋体" w:eastAsia="宋体" w:cs="宋体"/>
          <w:color w:val="auto"/>
          <w:sz w:val="24"/>
          <w:u w:val="single"/>
        </w:rPr>
        <w:t xml:space="preserve">       </w:t>
      </w:r>
      <w:r>
        <w:rPr>
          <w:rFonts w:hint="eastAsia" w:ascii="宋体" w:hAnsi="宋体" w:eastAsia="宋体" w:cs="宋体"/>
          <w:color w:val="auto"/>
          <w:sz w:val="24"/>
        </w:rPr>
        <w:t>（姓名）系</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（投标人名称）的法定代表人，现授权委托</w:t>
      </w:r>
      <w:r>
        <w:rPr>
          <w:rFonts w:hint="eastAsia" w:ascii="宋体" w:hAnsi="宋体" w:eastAsia="宋体" w:cs="宋体"/>
          <w:color w:val="auto"/>
          <w:sz w:val="24"/>
          <w:u w:val="single"/>
        </w:rPr>
        <w:t xml:space="preserve">              （姓名）</w:t>
      </w:r>
      <w:r>
        <w:rPr>
          <w:rFonts w:hint="eastAsia" w:ascii="宋体" w:hAnsi="宋体" w:eastAsia="宋体" w:cs="宋体"/>
          <w:color w:val="auto"/>
          <w:sz w:val="24"/>
        </w:rPr>
        <w:t>以我方的名义参加</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项目的投标活动，并代表我方全权办理针对上述项目的所有采购程序和环节的具体事务和签署相关文件。</w:t>
      </w:r>
    </w:p>
    <w:p w14:paraId="1E586556">
      <w:pPr>
        <w:spacing w:line="440" w:lineRule="exact"/>
        <w:contextualSpacing/>
        <w:rPr>
          <w:rFonts w:ascii="宋体" w:hAnsi="宋体" w:eastAsia="宋体" w:cs="宋体"/>
          <w:color w:val="auto"/>
          <w:sz w:val="24"/>
        </w:rPr>
      </w:pPr>
      <w:r>
        <w:rPr>
          <w:rFonts w:hint="eastAsia" w:ascii="宋体" w:hAnsi="宋体" w:eastAsia="宋体" w:cs="宋体"/>
          <w:color w:val="auto"/>
          <w:sz w:val="24"/>
        </w:rPr>
        <w:t xml:space="preserve">    我方对委托代理人的签字事项负全部责任。</w:t>
      </w:r>
    </w:p>
    <w:p w14:paraId="0AC6FB8A">
      <w:pPr>
        <w:spacing w:line="440" w:lineRule="exact"/>
        <w:ind w:firstLine="480"/>
        <w:contextualSpacing/>
        <w:rPr>
          <w:rFonts w:ascii="宋体" w:hAnsi="宋体" w:eastAsia="宋体" w:cs="宋体"/>
          <w:color w:val="auto"/>
          <w:sz w:val="24"/>
        </w:rPr>
      </w:pPr>
      <w:r>
        <w:rPr>
          <w:rFonts w:hint="eastAsia" w:ascii="宋体" w:hAnsi="宋体" w:eastAsia="宋体" w:cs="宋体"/>
          <w:color w:val="auto"/>
          <w:sz w:val="24"/>
          <w:u w:val="single"/>
        </w:rPr>
        <w:t>本授权书自签署之日起生效，在撤销授权的书面通知以前，本授权书一直有效。委托代理人在授权书有效期内签署的所有文件不因授权的撤销而失效。</w:t>
      </w:r>
    </w:p>
    <w:p w14:paraId="59E10687">
      <w:pPr>
        <w:spacing w:line="440" w:lineRule="exact"/>
        <w:ind w:firstLine="480"/>
        <w:contextualSpacing/>
        <w:rPr>
          <w:rFonts w:ascii="宋体" w:hAnsi="宋体" w:eastAsia="宋体" w:cs="宋体"/>
          <w:color w:val="auto"/>
          <w:sz w:val="24"/>
        </w:rPr>
      </w:pPr>
      <w:r>
        <w:rPr>
          <w:rFonts w:hint="eastAsia" w:ascii="宋体" w:hAnsi="宋体" w:eastAsia="宋体" w:cs="宋体"/>
          <w:color w:val="auto"/>
          <w:sz w:val="24"/>
        </w:rPr>
        <w:t>委托代理人无转委托权，特此委托。</w:t>
      </w:r>
    </w:p>
    <w:p w14:paraId="42BDA5C3">
      <w:pPr>
        <w:spacing w:line="440" w:lineRule="exact"/>
        <w:ind w:firstLine="480"/>
        <w:contextualSpacing/>
        <w:rPr>
          <w:rFonts w:ascii="宋体" w:hAnsi="宋体" w:eastAsia="宋体" w:cs="宋体"/>
          <w:color w:val="auto"/>
          <w:sz w:val="24"/>
        </w:rPr>
      </w:pPr>
      <w:r>
        <w:rPr>
          <w:rFonts w:hint="eastAsia" w:ascii="宋体" w:hAnsi="宋体" w:eastAsia="宋体" w:cs="宋体"/>
          <w:color w:val="auto"/>
          <w:sz w:val="24"/>
        </w:rPr>
        <w:t>附：法定代表人身份证明及委托代理人有效身份证正反面复印件</w:t>
      </w:r>
    </w:p>
    <w:p w14:paraId="3A573E41">
      <w:pPr>
        <w:spacing w:line="440" w:lineRule="exact"/>
        <w:contextualSpacing/>
        <w:rPr>
          <w:rFonts w:ascii="宋体" w:hAnsi="宋体" w:eastAsia="宋体" w:cs="宋体"/>
          <w:color w:val="auto"/>
          <w:sz w:val="24"/>
        </w:rPr>
      </w:pPr>
    </w:p>
    <w:p w14:paraId="05706523">
      <w:pPr>
        <w:spacing w:line="440" w:lineRule="exact"/>
        <w:contextualSpacing/>
        <w:rPr>
          <w:rFonts w:ascii="宋体" w:hAnsi="宋体" w:eastAsia="宋体" w:cs="宋体"/>
          <w:color w:val="auto"/>
          <w:sz w:val="24"/>
          <w:u w:val="single"/>
        </w:rPr>
      </w:pPr>
      <w:r>
        <w:rPr>
          <w:rFonts w:hint="eastAsia" w:ascii="宋体" w:hAnsi="宋体" w:eastAsia="宋体" w:cs="宋体"/>
          <w:color w:val="auto"/>
          <w:sz w:val="24"/>
        </w:rPr>
        <w:t>委托代理人（签字）：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法定代表人（签字或者盖章）：</w:t>
      </w:r>
      <w:r>
        <w:rPr>
          <w:rFonts w:hint="eastAsia" w:ascii="宋体" w:hAnsi="宋体" w:eastAsia="宋体" w:cs="宋体"/>
          <w:color w:val="auto"/>
          <w:sz w:val="24"/>
          <w:u w:val="single"/>
        </w:rPr>
        <w:t xml:space="preserve">              </w:t>
      </w:r>
    </w:p>
    <w:p w14:paraId="5964D363">
      <w:pPr>
        <w:spacing w:line="440" w:lineRule="exact"/>
        <w:contextualSpacing/>
        <w:rPr>
          <w:rFonts w:ascii="宋体" w:hAnsi="宋体" w:eastAsia="宋体" w:cs="宋体"/>
          <w:color w:val="auto"/>
          <w:sz w:val="24"/>
        </w:rPr>
      </w:pPr>
      <w:r>
        <w:rPr>
          <w:rFonts w:hint="eastAsia" w:ascii="宋体" w:hAnsi="宋体" w:eastAsia="宋体" w:cs="宋体"/>
          <w:color w:val="auto"/>
          <w:sz w:val="24"/>
        </w:rPr>
        <w:t>委托代理人身份证号码：</w:t>
      </w:r>
      <w:r>
        <w:rPr>
          <w:rFonts w:hint="eastAsia" w:ascii="宋体" w:hAnsi="宋体" w:eastAsia="宋体" w:cs="宋体"/>
          <w:color w:val="auto"/>
          <w:sz w:val="24"/>
          <w:u w:val="single"/>
        </w:rPr>
        <w:t xml:space="preserve">                       </w:t>
      </w:r>
    </w:p>
    <w:p w14:paraId="730E94F5">
      <w:pPr>
        <w:spacing w:line="440" w:lineRule="exact"/>
        <w:contextualSpacing/>
        <w:jc w:val="center"/>
        <w:rPr>
          <w:rFonts w:ascii="宋体" w:hAnsi="宋体" w:eastAsia="宋体" w:cs="宋体"/>
          <w:color w:val="auto"/>
          <w:sz w:val="24"/>
        </w:rPr>
      </w:pPr>
      <w:r>
        <w:rPr>
          <w:rFonts w:hint="eastAsia" w:ascii="宋体" w:hAnsi="宋体" w:eastAsia="宋体" w:cs="宋体"/>
          <w:color w:val="auto"/>
          <w:sz w:val="24"/>
        </w:rPr>
        <w:t xml:space="preserve">                                                投标人（盖公章）：</w:t>
      </w:r>
    </w:p>
    <w:p w14:paraId="72A5AC6B">
      <w:pPr>
        <w:spacing w:line="440" w:lineRule="exact"/>
        <w:contextualSpacing/>
        <w:jc w:val="center"/>
        <w:rPr>
          <w:rFonts w:ascii="宋体" w:hAnsi="宋体" w:eastAsia="宋体" w:cs="宋体"/>
          <w:color w:val="auto"/>
          <w:sz w:val="24"/>
        </w:rPr>
      </w:pPr>
      <w:r>
        <w:rPr>
          <w:rFonts w:hint="eastAsia" w:ascii="宋体" w:hAnsi="宋体" w:eastAsia="宋体" w:cs="宋体"/>
          <w:color w:val="auto"/>
          <w:sz w:val="24"/>
        </w:rPr>
        <w:t xml:space="preserve">                                              年    月    日</w:t>
      </w:r>
    </w:p>
    <w:p w14:paraId="1EA3F124">
      <w:pPr>
        <w:spacing w:line="440" w:lineRule="exact"/>
        <w:contextualSpacing/>
        <w:rPr>
          <w:rFonts w:ascii="宋体" w:hAnsi="宋体" w:eastAsia="宋体" w:cs="宋体"/>
          <w:color w:val="auto"/>
          <w:sz w:val="24"/>
        </w:rPr>
      </w:pPr>
      <w:r>
        <w:rPr>
          <w:rFonts w:hint="eastAsia" w:ascii="宋体" w:hAnsi="宋体" w:eastAsia="宋体" w:cs="宋体"/>
          <w:color w:val="auto"/>
          <w:sz w:val="24"/>
        </w:rPr>
        <w:t>注：1.</w:t>
      </w:r>
      <w:bookmarkStart w:id="95" w:name="_Hlk65851555"/>
      <w:bookmarkStart w:id="96" w:name="_Hlk65851620"/>
      <w:r>
        <w:rPr>
          <w:rFonts w:hint="eastAsia" w:ascii="宋体" w:hAnsi="宋体" w:eastAsia="宋体" w:cs="宋体"/>
          <w:color w:val="auto"/>
          <w:sz w:val="24"/>
        </w:rPr>
        <w:t>法定代表人必须在授权委托书上亲笔签字或者盖章，</w:t>
      </w:r>
      <w:bookmarkEnd w:id="95"/>
      <w:r>
        <w:rPr>
          <w:rFonts w:hint="eastAsia" w:ascii="宋体" w:hAnsi="宋体" w:eastAsia="宋体" w:cs="宋体"/>
          <w:color w:val="auto"/>
          <w:sz w:val="24"/>
        </w:rPr>
        <w:t>委托代理人必须在授权委托书上亲笔签字，</w:t>
      </w:r>
      <w:r>
        <w:rPr>
          <w:rFonts w:hint="eastAsia" w:ascii="宋体" w:hAnsi="宋体" w:eastAsia="宋体" w:cs="宋体"/>
          <w:b/>
          <w:bCs/>
          <w:color w:val="auto"/>
          <w:sz w:val="24"/>
        </w:rPr>
        <w:t>否则按无效投标处理</w:t>
      </w:r>
      <w:r>
        <w:rPr>
          <w:rFonts w:hint="eastAsia" w:ascii="宋体" w:hAnsi="宋体" w:eastAsia="宋体" w:cs="宋体"/>
          <w:color w:val="auto"/>
          <w:sz w:val="24"/>
        </w:rPr>
        <w:t>；</w:t>
      </w:r>
      <w:bookmarkEnd w:id="96"/>
    </w:p>
    <w:p w14:paraId="6B0A9058">
      <w:pPr>
        <w:spacing w:line="44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2.法人、其他组织投标时“我方”是指“我单位”，自然人投标时“我方”是指“本人”。</w:t>
      </w:r>
    </w:p>
    <w:p w14:paraId="69D1E71B">
      <w:pPr>
        <w:snapToGrid w:val="0"/>
        <w:spacing w:before="120" w:beforeLines="50" w:after="50"/>
        <w:ind w:firstLine="566" w:firstLineChars="236"/>
        <w:jc w:val="center"/>
        <w:rPr>
          <w:rFonts w:ascii="宋体" w:hAnsi="宋体" w:eastAsia="宋体" w:cs="宋体"/>
          <w:color w:val="auto"/>
          <w:sz w:val="44"/>
          <w:szCs w:val="44"/>
        </w:rPr>
      </w:pPr>
      <w:r>
        <w:rPr>
          <w:rFonts w:hint="eastAsia" w:ascii="宋体" w:hAnsi="宋体" w:eastAsia="宋体" w:cs="宋体"/>
          <w:color w:val="auto"/>
          <w:sz w:val="24"/>
        </w:rPr>
        <w:br w:type="page"/>
      </w:r>
      <w:r>
        <w:rPr>
          <w:rFonts w:hint="eastAsia" w:ascii="宋体" w:hAnsi="宋体" w:eastAsia="宋体" w:cs="宋体"/>
          <w:color w:val="auto"/>
          <w:sz w:val="44"/>
          <w:szCs w:val="44"/>
        </w:rPr>
        <w:t>授权委托书</w:t>
      </w:r>
    </w:p>
    <w:p w14:paraId="79B2B265">
      <w:pPr>
        <w:snapToGrid w:val="0"/>
        <w:spacing w:before="120" w:beforeLines="50" w:after="50"/>
        <w:ind w:firstLine="755" w:firstLineChars="236"/>
        <w:jc w:val="center"/>
        <w:rPr>
          <w:rFonts w:ascii="宋体" w:hAnsi="宋体" w:eastAsia="宋体" w:cs="宋体"/>
          <w:color w:val="auto"/>
          <w:sz w:val="32"/>
          <w:szCs w:val="32"/>
        </w:rPr>
      </w:pPr>
      <w:r>
        <w:rPr>
          <w:rFonts w:hint="eastAsia" w:ascii="宋体" w:hAnsi="宋体" w:eastAsia="宋体" w:cs="宋体"/>
          <w:color w:val="auto"/>
          <w:sz w:val="32"/>
          <w:szCs w:val="32"/>
        </w:rPr>
        <w:t>（联合体投标格式）</w:t>
      </w:r>
    </w:p>
    <w:p w14:paraId="18E16271">
      <w:pPr>
        <w:snapToGrid w:val="0"/>
        <w:spacing w:before="120" w:beforeLines="50" w:after="50"/>
        <w:ind w:firstLine="755" w:firstLineChars="236"/>
        <w:jc w:val="center"/>
        <w:rPr>
          <w:rFonts w:ascii="宋体" w:hAnsi="宋体" w:eastAsia="宋体" w:cs="宋体"/>
          <w:color w:val="auto"/>
          <w:sz w:val="24"/>
        </w:rPr>
      </w:pPr>
      <w:r>
        <w:rPr>
          <w:rFonts w:hint="eastAsia" w:ascii="宋体" w:hAnsi="宋体" w:eastAsia="宋体" w:cs="宋体"/>
          <w:color w:val="auto"/>
          <w:sz w:val="32"/>
          <w:szCs w:val="32"/>
        </w:rPr>
        <w:t>（如有委托时）</w:t>
      </w:r>
    </w:p>
    <w:p w14:paraId="23CF1A54">
      <w:pPr>
        <w:spacing w:line="440" w:lineRule="exact"/>
        <w:contextualSpacing/>
        <w:jc w:val="left"/>
        <w:rPr>
          <w:rFonts w:ascii="宋体" w:hAnsi="宋体" w:eastAsia="宋体" w:cs="宋体"/>
          <w:color w:val="auto"/>
          <w:sz w:val="24"/>
        </w:rPr>
      </w:pPr>
      <w:r>
        <w:rPr>
          <w:rFonts w:hint="eastAsia" w:ascii="宋体" w:hAnsi="宋体" w:eastAsia="宋体" w:cs="宋体"/>
          <w:bCs/>
          <w:color w:val="auto"/>
          <w:sz w:val="24"/>
        </w:rPr>
        <w:t>致：</w:t>
      </w:r>
      <w:r>
        <w:rPr>
          <w:rFonts w:hint="eastAsia" w:ascii="宋体" w:hAnsi="宋体" w:eastAsia="宋体" w:cs="宋体"/>
          <w:color w:val="auto"/>
          <w:sz w:val="24"/>
          <w:u w:val="single"/>
        </w:rPr>
        <w:t>采购人名称</w:t>
      </w:r>
      <w:r>
        <w:rPr>
          <w:rFonts w:hint="eastAsia" w:ascii="宋体" w:hAnsi="宋体" w:eastAsia="宋体" w:cs="宋体"/>
          <w:color w:val="auto"/>
          <w:sz w:val="24"/>
        </w:rPr>
        <w:t>：</w:t>
      </w:r>
    </w:p>
    <w:p w14:paraId="3C40D555">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 xml:space="preserve">根据 </w:t>
      </w:r>
      <w:r>
        <w:rPr>
          <w:rFonts w:hint="eastAsia" w:ascii="宋体" w:hAnsi="宋体" w:eastAsia="宋体" w:cs="宋体"/>
          <w:color w:val="auto"/>
          <w:sz w:val="24"/>
          <w:u w:val="single"/>
        </w:rPr>
        <w:t xml:space="preserve"> （牵头人名称）</w:t>
      </w:r>
      <w:r>
        <w:rPr>
          <w:rFonts w:hint="eastAsia" w:ascii="宋体" w:hAnsi="宋体" w:eastAsia="宋体" w:cs="宋体"/>
          <w:color w:val="auto"/>
          <w:sz w:val="24"/>
        </w:rPr>
        <w:t>与</w:t>
      </w:r>
      <w:r>
        <w:rPr>
          <w:rFonts w:hint="eastAsia" w:ascii="宋体" w:hAnsi="宋体" w:eastAsia="宋体" w:cs="宋体"/>
          <w:color w:val="auto"/>
          <w:sz w:val="24"/>
          <w:u w:val="single"/>
        </w:rPr>
        <w:t>（联合体其他成员名称）</w:t>
      </w:r>
      <w:r>
        <w:rPr>
          <w:rFonts w:hint="eastAsia" w:ascii="宋体" w:hAnsi="宋体" w:eastAsia="宋体" w:cs="宋体"/>
          <w:color w:val="auto"/>
          <w:sz w:val="24"/>
        </w:rPr>
        <w:t>签订的《联合体投标协议书》的内容，</w:t>
      </w:r>
      <w:r>
        <w:rPr>
          <w:rFonts w:hint="eastAsia" w:ascii="宋体" w:hAnsi="宋体" w:eastAsia="宋体" w:cs="宋体"/>
          <w:color w:val="auto"/>
          <w:sz w:val="24"/>
          <w:u w:val="single"/>
        </w:rPr>
        <w:t>（牵头人名称）</w:t>
      </w:r>
      <w:r>
        <w:rPr>
          <w:rFonts w:hint="eastAsia" w:ascii="宋体" w:hAnsi="宋体" w:eastAsia="宋体" w:cs="宋体"/>
          <w:color w:val="auto"/>
          <w:sz w:val="24"/>
        </w:rPr>
        <w:t>的法定代表人</w:t>
      </w:r>
      <w:r>
        <w:rPr>
          <w:rFonts w:hint="eastAsia" w:ascii="宋体" w:hAnsi="宋体" w:eastAsia="宋体" w:cs="宋体"/>
          <w:color w:val="auto"/>
          <w:sz w:val="24"/>
          <w:u w:val="single"/>
        </w:rPr>
        <w:t>（姓名）</w:t>
      </w:r>
      <w:r>
        <w:rPr>
          <w:rFonts w:hint="eastAsia" w:ascii="宋体" w:hAnsi="宋体" w:eastAsia="宋体" w:cs="宋体"/>
          <w:color w:val="auto"/>
          <w:sz w:val="24"/>
        </w:rPr>
        <w:t>现授权委托</w:t>
      </w:r>
      <w:r>
        <w:rPr>
          <w:rFonts w:hint="eastAsia" w:ascii="宋体" w:hAnsi="宋体" w:eastAsia="宋体" w:cs="宋体"/>
          <w:color w:val="auto"/>
          <w:sz w:val="24"/>
          <w:u w:val="single"/>
        </w:rPr>
        <w:t xml:space="preserve">              （姓名）</w:t>
      </w:r>
      <w:r>
        <w:rPr>
          <w:rFonts w:hint="eastAsia" w:ascii="宋体" w:hAnsi="宋体" w:eastAsia="宋体" w:cs="宋体"/>
          <w:color w:val="auto"/>
          <w:sz w:val="24"/>
        </w:rPr>
        <w:t>以我方的名义参加</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项目的投标活动，并代表我方全权办理针对上述项目的所有采购程序和环节的具体事务和签署相关文件。</w:t>
      </w:r>
    </w:p>
    <w:p w14:paraId="0E9820BF">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我方对委托代理人的签字事项负全部责任。</w:t>
      </w:r>
    </w:p>
    <w:p w14:paraId="16F26C85">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本授权书自签署之日起生效，在撤销授权的书面通知以前，本授权书一直有效。委托代理人在授权书有效期内签署的所有文件不因授权的撤销而失效。</w:t>
      </w:r>
    </w:p>
    <w:p w14:paraId="76479D69">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委托代理人无转委托权，特此委托。</w:t>
      </w:r>
    </w:p>
    <w:p w14:paraId="00EF1F7B">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附：牵头人法定代表人身份证明及委托代理人有效身份证正反面复印件</w:t>
      </w:r>
    </w:p>
    <w:p w14:paraId="526FA3A1">
      <w:pPr>
        <w:spacing w:line="440" w:lineRule="exact"/>
        <w:ind w:firstLine="566" w:firstLineChars="236"/>
        <w:contextualSpacing/>
        <w:rPr>
          <w:rFonts w:ascii="宋体" w:hAnsi="宋体" w:eastAsia="宋体" w:cs="宋体"/>
          <w:color w:val="auto"/>
          <w:sz w:val="24"/>
        </w:rPr>
      </w:pPr>
    </w:p>
    <w:p w14:paraId="161E47B5">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牵头人法定代表人（签字或者盖章）：</w:t>
      </w:r>
    </w:p>
    <w:p w14:paraId="2150953A">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牵头人（盖公章）：</w:t>
      </w:r>
    </w:p>
    <w:p w14:paraId="0C5589FB">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日期：    年   月   日</w:t>
      </w:r>
    </w:p>
    <w:p w14:paraId="74ABC531">
      <w:pPr>
        <w:spacing w:line="440" w:lineRule="exact"/>
        <w:ind w:firstLine="566" w:firstLineChars="236"/>
        <w:contextualSpacing/>
        <w:rPr>
          <w:rFonts w:ascii="宋体" w:hAnsi="宋体" w:eastAsia="宋体" w:cs="宋体"/>
          <w:color w:val="auto"/>
          <w:sz w:val="24"/>
        </w:rPr>
      </w:pPr>
    </w:p>
    <w:p w14:paraId="5F8CCC5D">
      <w:pPr>
        <w:spacing w:line="440" w:lineRule="exact"/>
        <w:ind w:firstLine="566" w:firstLineChars="236"/>
        <w:contextualSpacing/>
        <w:rPr>
          <w:rFonts w:ascii="宋体" w:hAnsi="宋体" w:eastAsia="宋体" w:cs="宋体"/>
          <w:color w:val="auto"/>
          <w:sz w:val="24"/>
        </w:rPr>
      </w:pPr>
      <w:r>
        <w:rPr>
          <w:rFonts w:hint="eastAsia" w:ascii="宋体" w:hAnsi="宋体" w:eastAsia="宋体" w:cs="宋体"/>
          <w:color w:val="auto"/>
          <w:sz w:val="24"/>
        </w:rPr>
        <w:t>被授权人（签字）：</w:t>
      </w:r>
    </w:p>
    <w:p w14:paraId="36417730">
      <w:pPr>
        <w:spacing w:line="440" w:lineRule="exact"/>
        <w:ind w:firstLine="566" w:firstLineChars="236"/>
        <w:contextualSpacing/>
        <w:rPr>
          <w:rFonts w:ascii="宋体" w:hAnsi="宋体" w:eastAsia="宋体" w:cs="宋体"/>
          <w:color w:val="auto"/>
          <w:sz w:val="32"/>
          <w:szCs w:val="32"/>
        </w:rPr>
      </w:pPr>
      <w:r>
        <w:rPr>
          <w:rFonts w:hint="eastAsia" w:ascii="宋体" w:hAnsi="宋体" w:eastAsia="宋体" w:cs="宋体"/>
          <w:color w:val="auto"/>
          <w:sz w:val="24"/>
        </w:rPr>
        <w:t>日期：    年   月   日</w:t>
      </w:r>
    </w:p>
    <w:p w14:paraId="433AFE68">
      <w:pPr>
        <w:spacing w:line="440" w:lineRule="exact"/>
        <w:contextualSpacing/>
        <w:rPr>
          <w:rFonts w:ascii="宋体" w:hAnsi="宋体" w:eastAsia="宋体" w:cs="宋体"/>
          <w:color w:val="auto"/>
          <w:sz w:val="24"/>
        </w:rPr>
      </w:pPr>
      <w:r>
        <w:rPr>
          <w:rFonts w:hint="eastAsia" w:ascii="宋体" w:hAnsi="宋体" w:eastAsia="宋体" w:cs="宋体"/>
          <w:color w:val="auto"/>
          <w:sz w:val="24"/>
        </w:rPr>
        <w:t>注：1. 法定代表人必须在授权委托书上亲笔签字或者盖章，委托代理人必须在授权委托书上亲笔签字，</w:t>
      </w:r>
      <w:r>
        <w:rPr>
          <w:rFonts w:hint="eastAsia" w:ascii="宋体" w:hAnsi="宋体" w:eastAsia="宋体" w:cs="宋体"/>
          <w:b/>
          <w:bCs/>
          <w:color w:val="auto"/>
          <w:sz w:val="24"/>
        </w:rPr>
        <w:t>否则按无效投标处理</w:t>
      </w:r>
      <w:r>
        <w:rPr>
          <w:rFonts w:hint="eastAsia" w:ascii="宋体" w:hAnsi="宋体" w:eastAsia="宋体" w:cs="宋体"/>
          <w:color w:val="auto"/>
          <w:sz w:val="24"/>
        </w:rPr>
        <w:t>；</w:t>
      </w:r>
    </w:p>
    <w:p w14:paraId="3A520F85">
      <w:pPr>
        <w:spacing w:line="44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2.本授权委托书应由联合体牵头人的法定代表人按上述规定签字。</w:t>
      </w:r>
    </w:p>
    <w:p w14:paraId="2BAB0A18">
      <w:pPr>
        <w:spacing w:line="440" w:lineRule="exact"/>
        <w:ind w:firstLine="480" w:firstLineChars="200"/>
        <w:contextualSpacing/>
        <w:jc w:val="left"/>
        <w:rPr>
          <w:rFonts w:ascii="宋体" w:hAnsi="宋体" w:eastAsia="宋体" w:cs="宋体"/>
          <w:color w:val="auto"/>
          <w:sz w:val="24"/>
        </w:rPr>
      </w:pPr>
      <w:r>
        <w:rPr>
          <w:rFonts w:hint="eastAsia" w:ascii="宋体" w:hAnsi="宋体" w:eastAsia="宋体" w:cs="宋体"/>
          <w:color w:val="auto"/>
          <w:sz w:val="24"/>
        </w:rPr>
        <w:t>3.法人、其他组织投标时“我方”是指“我单位”，自然人投标时“我方”是指“本人”。</w:t>
      </w:r>
    </w:p>
    <w:p w14:paraId="16F46BF8">
      <w:pPr>
        <w:snapToGrid w:val="0"/>
        <w:spacing w:before="50" w:after="120" w:afterLines="50"/>
        <w:ind w:firstLine="480" w:firstLineChars="200"/>
        <w:jc w:val="left"/>
        <w:rPr>
          <w:rFonts w:ascii="宋体" w:hAnsi="宋体" w:eastAsia="宋体" w:cs="宋体"/>
          <w:color w:val="auto"/>
          <w:sz w:val="24"/>
        </w:rPr>
        <w:sectPr>
          <w:footerReference r:id="rId18" w:type="first"/>
          <w:headerReference r:id="rId15" w:type="default"/>
          <w:footerReference r:id="rId16" w:type="default"/>
          <w:footerReference r:id="rId17" w:type="even"/>
          <w:pgSz w:w="11906" w:h="16838"/>
          <w:pgMar w:top="1361" w:right="1361" w:bottom="1361" w:left="1361" w:header="851" w:footer="567" w:gutter="0"/>
          <w:cols w:space="720" w:num="1"/>
          <w:titlePg/>
          <w:docGrid w:linePitch="312" w:charSpace="0"/>
        </w:sectPr>
      </w:pPr>
    </w:p>
    <w:p w14:paraId="5EF36D5D">
      <w:pPr>
        <w:rPr>
          <w:rFonts w:ascii="宋体" w:hAnsi="宋体" w:eastAsia="宋体" w:cs="宋体"/>
          <w:color w:val="auto"/>
          <w:sz w:val="24"/>
        </w:rPr>
      </w:pPr>
    </w:p>
    <w:p w14:paraId="6406CC80">
      <w:pPr>
        <w:rPr>
          <w:rFonts w:ascii="宋体" w:hAnsi="宋体" w:eastAsia="宋体" w:cs="宋体"/>
          <w:b/>
          <w:color w:val="auto"/>
          <w:sz w:val="24"/>
          <w:szCs w:val="20"/>
        </w:rPr>
      </w:pPr>
      <w:r>
        <w:rPr>
          <w:rFonts w:hint="eastAsia" w:ascii="宋体" w:hAnsi="宋体" w:eastAsia="宋体" w:cs="宋体"/>
          <w:b/>
          <w:color w:val="auto"/>
          <w:sz w:val="24"/>
        </w:rPr>
        <w:t>6.商务要求偏离表格式（注：按项目需求表具体项目修改）</w:t>
      </w:r>
    </w:p>
    <w:p w14:paraId="73282CD7">
      <w:pPr>
        <w:snapToGrid w:val="0"/>
        <w:spacing w:before="50"/>
        <w:jc w:val="left"/>
        <w:rPr>
          <w:rFonts w:ascii="宋体" w:hAnsi="宋体" w:eastAsia="宋体" w:cs="宋体"/>
          <w:color w:val="auto"/>
          <w:sz w:val="24"/>
        </w:rPr>
      </w:pPr>
    </w:p>
    <w:p w14:paraId="48D2999D">
      <w:pPr>
        <w:spacing w:line="360" w:lineRule="auto"/>
        <w:ind w:left="-424" w:leftChars="-202" w:firstLine="846"/>
        <w:rPr>
          <w:rFonts w:ascii="宋体" w:hAnsi="宋体" w:eastAsia="宋体" w:cs="宋体"/>
          <w:color w:val="auto"/>
          <w:szCs w:val="20"/>
        </w:rPr>
      </w:pPr>
      <w:r>
        <w:rPr>
          <w:rFonts w:hint="eastAsia" w:ascii="宋体" w:hAnsi="宋体" w:eastAsia="宋体" w:cs="宋体"/>
          <w:color w:val="auto"/>
          <w:szCs w:val="20"/>
        </w:rPr>
        <w:t>请逐条对应本项目招标文件第二章“货物需求一览表”中“商务条款”的要求，详细填写相应的具体内容。“偏离说明”一栏应当选择“正偏离”、“负偏离”或“无偏离”进行填写。</w:t>
      </w:r>
    </w:p>
    <w:tbl>
      <w:tblPr>
        <w:tblStyle w:val="37"/>
        <w:tblpPr w:leftFromText="180" w:rightFromText="180" w:vertAnchor="text" w:horzAnchor="margin" w:tblpXSpec="center" w:tblpY="94"/>
        <w:tblW w:w="10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3169"/>
      </w:tblGrid>
      <w:tr w14:paraId="1324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340DEE59">
            <w:pPr>
              <w:spacing w:line="340" w:lineRule="exact"/>
              <w:jc w:val="center"/>
              <w:rPr>
                <w:rFonts w:ascii="宋体" w:hAnsi="宋体" w:eastAsia="宋体" w:cs="宋体"/>
                <w:color w:val="auto"/>
                <w:szCs w:val="21"/>
              </w:rPr>
            </w:pPr>
            <w:r>
              <w:rPr>
                <w:rFonts w:hint="eastAsia" w:ascii="宋体" w:hAnsi="宋体" w:eastAsia="宋体" w:cs="宋体"/>
                <w:color w:val="auto"/>
                <w:szCs w:val="21"/>
              </w:rPr>
              <w:t>项号</w:t>
            </w:r>
          </w:p>
        </w:tc>
        <w:tc>
          <w:tcPr>
            <w:tcW w:w="3757" w:type="dxa"/>
            <w:tcBorders>
              <w:top w:val="single" w:color="auto" w:sz="4" w:space="0"/>
              <w:left w:val="single" w:color="auto" w:sz="4" w:space="0"/>
              <w:bottom w:val="single" w:color="auto" w:sz="4" w:space="0"/>
              <w:right w:val="single" w:color="auto" w:sz="4" w:space="0"/>
            </w:tcBorders>
            <w:noWrap/>
          </w:tcPr>
          <w:p w14:paraId="28BD9C6F">
            <w:pPr>
              <w:spacing w:line="340" w:lineRule="exact"/>
              <w:jc w:val="center"/>
              <w:rPr>
                <w:rFonts w:ascii="宋体" w:hAnsi="宋体" w:eastAsia="宋体" w:cs="宋体"/>
                <w:color w:val="auto"/>
                <w:szCs w:val="21"/>
              </w:rPr>
            </w:pPr>
            <w:r>
              <w:rPr>
                <w:rFonts w:hint="eastAsia" w:ascii="宋体" w:hAnsi="宋体" w:eastAsia="宋体" w:cs="宋体"/>
                <w:color w:val="auto"/>
                <w:szCs w:val="21"/>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54B16C09">
            <w:pPr>
              <w:spacing w:line="340" w:lineRule="exact"/>
              <w:jc w:val="center"/>
              <w:rPr>
                <w:rFonts w:ascii="宋体" w:hAnsi="宋体" w:eastAsia="宋体" w:cs="宋体"/>
                <w:color w:val="auto"/>
                <w:szCs w:val="21"/>
              </w:rPr>
            </w:pPr>
            <w:r>
              <w:rPr>
                <w:rFonts w:hint="eastAsia" w:ascii="宋体" w:hAnsi="宋体" w:eastAsia="宋体" w:cs="宋体"/>
                <w:color w:val="auto"/>
                <w:szCs w:val="21"/>
              </w:rPr>
              <w:t>投标文件承诺的商务条款</w:t>
            </w:r>
          </w:p>
        </w:tc>
        <w:tc>
          <w:tcPr>
            <w:tcW w:w="3169" w:type="dxa"/>
            <w:tcBorders>
              <w:top w:val="single" w:color="auto" w:sz="4" w:space="0"/>
              <w:left w:val="single" w:color="auto" w:sz="4" w:space="0"/>
              <w:bottom w:val="single" w:color="auto" w:sz="4" w:space="0"/>
              <w:right w:val="single" w:color="auto" w:sz="4" w:space="0"/>
            </w:tcBorders>
          </w:tcPr>
          <w:p w14:paraId="6C6BE4B4">
            <w:pPr>
              <w:spacing w:line="300" w:lineRule="exact"/>
              <w:jc w:val="center"/>
              <w:rPr>
                <w:rFonts w:ascii="宋体" w:hAnsi="宋体" w:eastAsia="宋体" w:cs="宋体"/>
                <w:color w:val="auto"/>
                <w:szCs w:val="21"/>
              </w:rPr>
            </w:pPr>
            <w:r>
              <w:rPr>
                <w:rFonts w:hint="eastAsia" w:ascii="宋体" w:hAnsi="宋体" w:eastAsia="宋体" w:cs="宋体"/>
                <w:color w:val="auto"/>
                <w:szCs w:val="21"/>
              </w:rPr>
              <w:t>偏离说明</w:t>
            </w:r>
          </w:p>
        </w:tc>
      </w:tr>
      <w:tr w14:paraId="71A9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717CBC7F">
            <w:pPr>
              <w:spacing w:line="340" w:lineRule="exact"/>
              <w:rPr>
                <w:rFonts w:ascii="宋体" w:hAnsi="宋体" w:eastAsia="宋体" w:cs="宋体"/>
                <w:color w:val="auto"/>
                <w:szCs w:val="21"/>
              </w:rPr>
            </w:pPr>
            <w:r>
              <w:rPr>
                <w:rFonts w:hint="eastAsia" w:ascii="宋体" w:hAnsi="宋体" w:eastAsia="宋体" w:cs="宋体"/>
                <w:color w:val="auto"/>
                <w:szCs w:val="21"/>
              </w:rPr>
              <w:t>一</w:t>
            </w:r>
          </w:p>
        </w:tc>
        <w:tc>
          <w:tcPr>
            <w:tcW w:w="3757" w:type="dxa"/>
            <w:tcBorders>
              <w:top w:val="single" w:color="auto" w:sz="4" w:space="0"/>
              <w:left w:val="single" w:color="auto" w:sz="4" w:space="0"/>
              <w:bottom w:val="single" w:color="auto" w:sz="4" w:space="0"/>
              <w:right w:val="single" w:color="auto" w:sz="4" w:space="0"/>
            </w:tcBorders>
            <w:noWrap/>
          </w:tcPr>
          <w:p w14:paraId="220E75FB">
            <w:pPr>
              <w:rPr>
                <w:rFonts w:ascii="宋体" w:hAnsi="宋体" w:eastAsia="宋体" w:cs="宋体"/>
                <w:color w:val="auto"/>
                <w:szCs w:val="21"/>
              </w:rPr>
            </w:pPr>
            <w:r>
              <w:rPr>
                <w:rFonts w:hint="eastAsia" w:ascii="宋体" w:hAnsi="宋体" w:eastAsia="宋体" w:cs="宋体"/>
                <w:color w:val="auto"/>
                <w:szCs w:val="21"/>
              </w:rPr>
              <w:t>1  ……</w:t>
            </w:r>
          </w:p>
        </w:tc>
        <w:tc>
          <w:tcPr>
            <w:tcW w:w="2516" w:type="dxa"/>
            <w:tcBorders>
              <w:top w:val="single" w:color="auto" w:sz="4" w:space="0"/>
              <w:left w:val="single" w:color="auto" w:sz="4" w:space="0"/>
              <w:bottom w:val="single" w:color="auto" w:sz="4" w:space="0"/>
              <w:right w:val="single" w:color="auto" w:sz="4" w:space="0"/>
            </w:tcBorders>
          </w:tcPr>
          <w:p w14:paraId="0BA69DAD">
            <w:pPr>
              <w:rPr>
                <w:rFonts w:ascii="宋体" w:hAnsi="宋体" w:eastAsia="宋体" w:cs="宋体"/>
                <w:color w:val="auto"/>
                <w:szCs w:val="21"/>
              </w:rPr>
            </w:pPr>
            <w:r>
              <w:rPr>
                <w:rFonts w:hint="eastAsia" w:ascii="宋体" w:hAnsi="宋体" w:eastAsia="宋体" w:cs="宋体"/>
                <w:color w:val="auto"/>
                <w:szCs w:val="21"/>
              </w:rPr>
              <w:t>1  ……</w:t>
            </w:r>
          </w:p>
        </w:tc>
        <w:tc>
          <w:tcPr>
            <w:tcW w:w="3169" w:type="dxa"/>
            <w:tcBorders>
              <w:top w:val="single" w:color="auto" w:sz="4" w:space="0"/>
              <w:left w:val="single" w:color="auto" w:sz="4" w:space="0"/>
              <w:bottom w:val="single" w:color="auto" w:sz="4" w:space="0"/>
              <w:right w:val="single" w:color="auto" w:sz="4" w:space="0"/>
            </w:tcBorders>
          </w:tcPr>
          <w:p w14:paraId="1D7F0D05">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17EBC1D0">
            <w:pPr>
              <w:spacing w:line="300" w:lineRule="exact"/>
              <w:rPr>
                <w:rFonts w:ascii="宋体" w:hAnsi="宋体" w:eastAsia="宋体" w:cs="宋体"/>
                <w:color w:val="auto"/>
                <w:szCs w:val="21"/>
              </w:rPr>
            </w:pPr>
          </w:p>
        </w:tc>
      </w:tr>
      <w:tr w14:paraId="5583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3A80FE7">
            <w:pPr>
              <w:widowControl/>
              <w:jc w:val="left"/>
              <w:rPr>
                <w:rFonts w:ascii="宋体" w:hAnsi="宋体" w:eastAsia="宋体" w:cs="宋体"/>
                <w:color w:val="auto"/>
                <w:szCs w:val="21"/>
              </w:rPr>
            </w:pPr>
          </w:p>
        </w:tc>
        <w:tc>
          <w:tcPr>
            <w:tcW w:w="3757" w:type="dxa"/>
            <w:tcBorders>
              <w:top w:val="single" w:color="auto" w:sz="4" w:space="0"/>
              <w:left w:val="single" w:color="auto" w:sz="4" w:space="0"/>
              <w:bottom w:val="single" w:color="auto" w:sz="4" w:space="0"/>
              <w:right w:val="single" w:color="auto" w:sz="4" w:space="0"/>
            </w:tcBorders>
            <w:noWrap/>
          </w:tcPr>
          <w:p w14:paraId="4A47253B">
            <w:pPr>
              <w:spacing w:line="340" w:lineRule="exact"/>
              <w:rPr>
                <w:rFonts w:ascii="宋体" w:hAnsi="宋体" w:eastAsia="宋体" w:cs="宋体"/>
                <w:color w:val="auto"/>
                <w:szCs w:val="21"/>
              </w:rPr>
            </w:pPr>
            <w:r>
              <w:rPr>
                <w:rFonts w:hint="eastAsia" w:ascii="宋体" w:hAnsi="宋体" w:eastAsia="宋体" w:cs="宋体"/>
                <w:color w:val="auto"/>
                <w:szCs w:val="21"/>
              </w:rPr>
              <w:t>2  ……</w:t>
            </w:r>
          </w:p>
          <w:p w14:paraId="410A730C">
            <w:pPr>
              <w:spacing w:line="340" w:lineRule="exact"/>
              <w:rPr>
                <w:rFonts w:ascii="宋体" w:hAnsi="宋体" w:eastAsia="宋体" w:cs="宋体"/>
                <w:color w:val="auto"/>
                <w:szCs w:val="21"/>
              </w:rPr>
            </w:pPr>
          </w:p>
        </w:tc>
        <w:tc>
          <w:tcPr>
            <w:tcW w:w="2516" w:type="dxa"/>
            <w:tcBorders>
              <w:top w:val="single" w:color="auto" w:sz="4" w:space="0"/>
              <w:left w:val="single" w:color="auto" w:sz="4" w:space="0"/>
              <w:bottom w:val="single" w:color="auto" w:sz="4" w:space="0"/>
              <w:right w:val="single" w:color="auto" w:sz="4" w:space="0"/>
            </w:tcBorders>
          </w:tcPr>
          <w:p w14:paraId="0DB05194">
            <w:pPr>
              <w:spacing w:line="340" w:lineRule="exact"/>
              <w:rPr>
                <w:rFonts w:ascii="宋体" w:hAnsi="宋体" w:eastAsia="宋体" w:cs="宋体"/>
                <w:color w:val="auto"/>
                <w:szCs w:val="21"/>
              </w:rPr>
            </w:pPr>
            <w:r>
              <w:rPr>
                <w:rFonts w:hint="eastAsia" w:ascii="宋体" w:hAnsi="宋体" w:eastAsia="宋体" w:cs="宋体"/>
                <w:color w:val="auto"/>
                <w:szCs w:val="21"/>
              </w:rPr>
              <w:t>2  ……</w:t>
            </w:r>
          </w:p>
          <w:p w14:paraId="34CD9253">
            <w:pPr>
              <w:spacing w:line="300" w:lineRule="exact"/>
              <w:rPr>
                <w:rFonts w:ascii="宋体" w:hAnsi="宋体" w:eastAsia="宋体" w:cs="宋体"/>
                <w:color w:val="auto"/>
                <w:szCs w:val="21"/>
              </w:rPr>
            </w:pPr>
          </w:p>
        </w:tc>
        <w:tc>
          <w:tcPr>
            <w:tcW w:w="3169" w:type="dxa"/>
            <w:tcBorders>
              <w:top w:val="single" w:color="auto" w:sz="4" w:space="0"/>
              <w:left w:val="single" w:color="auto" w:sz="4" w:space="0"/>
              <w:bottom w:val="single" w:color="auto" w:sz="4" w:space="0"/>
              <w:right w:val="single" w:color="auto" w:sz="4" w:space="0"/>
            </w:tcBorders>
          </w:tcPr>
          <w:p w14:paraId="063E9ECF">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0AD5F06D">
            <w:pPr>
              <w:spacing w:line="300" w:lineRule="exact"/>
              <w:rPr>
                <w:rFonts w:ascii="宋体" w:hAnsi="宋体" w:eastAsia="宋体" w:cs="宋体"/>
                <w:color w:val="auto"/>
                <w:szCs w:val="21"/>
              </w:rPr>
            </w:pPr>
          </w:p>
        </w:tc>
      </w:tr>
      <w:tr w14:paraId="7876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FB973F2">
            <w:pPr>
              <w:widowControl/>
              <w:jc w:val="left"/>
              <w:rPr>
                <w:rFonts w:ascii="宋体" w:hAnsi="宋体" w:eastAsia="宋体" w:cs="宋体"/>
                <w:color w:val="auto"/>
                <w:szCs w:val="21"/>
              </w:rPr>
            </w:pPr>
          </w:p>
        </w:tc>
        <w:tc>
          <w:tcPr>
            <w:tcW w:w="3757" w:type="dxa"/>
            <w:tcBorders>
              <w:top w:val="single" w:color="auto" w:sz="4" w:space="0"/>
              <w:left w:val="single" w:color="auto" w:sz="4" w:space="0"/>
              <w:bottom w:val="single" w:color="auto" w:sz="4" w:space="0"/>
              <w:right w:val="single" w:color="auto" w:sz="4" w:space="0"/>
            </w:tcBorders>
            <w:noWrap/>
          </w:tcPr>
          <w:p w14:paraId="6499CF6E">
            <w:pPr>
              <w:spacing w:line="340" w:lineRule="exact"/>
              <w:rPr>
                <w:rFonts w:ascii="宋体" w:hAnsi="宋体" w:eastAsia="宋体" w:cs="宋体"/>
                <w:color w:val="auto"/>
                <w:szCs w:val="21"/>
              </w:rPr>
            </w:pPr>
            <w:r>
              <w:rPr>
                <w:rFonts w:hint="eastAsia" w:ascii="宋体" w:hAnsi="宋体" w:eastAsia="宋体" w:cs="宋体"/>
                <w:color w:val="auto"/>
                <w:szCs w:val="21"/>
              </w:rPr>
              <w:t>3  ……</w:t>
            </w:r>
          </w:p>
          <w:p w14:paraId="6EDB0D48">
            <w:pPr>
              <w:spacing w:line="340" w:lineRule="exact"/>
              <w:rPr>
                <w:rFonts w:ascii="宋体" w:hAnsi="宋体" w:eastAsia="宋体" w:cs="宋体"/>
                <w:color w:val="auto"/>
                <w:szCs w:val="21"/>
              </w:rPr>
            </w:pPr>
          </w:p>
        </w:tc>
        <w:tc>
          <w:tcPr>
            <w:tcW w:w="2516" w:type="dxa"/>
            <w:tcBorders>
              <w:top w:val="single" w:color="auto" w:sz="4" w:space="0"/>
              <w:left w:val="single" w:color="auto" w:sz="4" w:space="0"/>
              <w:bottom w:val="single" w:color="auto" w:sz="4" w:space="0"/>
              <w:right w:val="single" w:color="auto" w:sz="4" w:space="0"/>
            </w:tcBorders>
          </w:tcPr>
          <w:p w14:paraId="44D16F8B">
            <w:pPr>
              <w:spacing w:line="340" w:lineRule="exact"/>
              <w:rPr>
                <w:rFonts w:ascii="宋体" w:hAnsi="宋体" w:eastAsia="宋体" w:cs="宋体"/>
                <w:color w:val="auto"/>
                <w:szCs w:val="21"/>
              </w:rPr>
            </w:pPr>
            <w:r>
              <w:rPr>
                <w:rFonts w:hint="eastAsia" w:ascii="宋体" w:hAnsi="宋体" w:eastAsia="宋体" w:cs="宋体"/>
                <w:color w:val="auto"/>
                <w:szCs w:val="21"/>
              </w:rPr>
              <w:t>3  ……</w:t>
            </w:r>
          </w:p>
          <w:p w14:paraId="31EDBF31">
            <w:pPr>
              <w:spacing w:line="300" w:lineRule="exact"/>
              <w:rPr>
                <w:rFonts w:ascii="宋体" w:hAnsi="宋体" w:eastAsia="宋体" w:cs="宋体"/>
                <w:color w:val="auto"/>
                <w:szCs w:val="21"/>
              </w:rPr>
            </w:pPr>
          </w:p>
        </w:tc>
        <w:tc>
          <w:tcPr>
            <w:tcW w:w="3169" w:type="dxa"/>
            <w:tcBorders>
              <w:top w:val="single" w:color="auto" w:sz="4" w:space="0"/>
              <w:left w:val="single" w:color="auto" w:sz="4" w:space="0"/>
              <w:bottom w:val="single" w:color="auto" w:sz="4" w:space="0"/>
              <w:right w:val="single" w:color="auto" w:sz="4" w:space="0"/>
            </w:tcBorders>
          </w:tcPr>
          <w:p w14:paraId="38B4A5C2">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541F1F58">
            <w:pPr>
              <w:spacing w:line="300" w:lineRule="exact"/>
              <w:rPr>
                <w:rFonts w:ascii="宋体" w:hAnsi="宋体" w:eastAsia="宋体" w:cs="宋体"/>
                <w:color w:val="auto"/>
                <w:szCs w:val="21"/>
              </w:rPr>
            </w:pPr>
          </w:p>
        </w:tc>
      </w:tr>
      <w:tr w14:paraId="3084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90F8371">
            <w:pPr>
              <w:widowControl/>
              <w:jc w:val="left"/>
              <w:rPr>
                <w:rFonts w:ascii="宋体" w:hAnsi="宋体" w:eastAsia="宋体" w:cs="宋体"/>
                <w:color w:val="auto"/>
                <w:szCs w:val="21"/>
              </w:rPr>
            </w:pPr>
          </w:p>
        </w:tc>
        <w:tc>
          <w:tcPr>
            <w:tcW w:w="3757" w:type="dxa"/>
            <w:tcBorders>
              <w:top w:val="single" w:color="auto" w:sz="4" w:space="0"/>
              <w:left w:val="single" w:color="auto" w:sz="4" w:space="0"/>
              <w:bottom w:val="single" w:color="auto" w:sz="4" w:space="0"/>
              <w:right w:val="single" w:color="auto" w:sz="4" w:space="0"/>
            </w:tcBorders>
            <w:noWrap/>
          </w:tcPr>
          <w:p w14:paraId="56610ECC">
            <w:pPr>
              <w:spacing w:line="340" w:lineRule="exact"/>
              <w:rPr>
                <w:rFonts w:ascii="宋体" w:hAnsi="宋体" w:eastAsia="宋体" w:cs="宋体"/>
                <w:color w:val="auto"/>
                <w:szCs w:val="21"/>
              </w:rPr>
            </w:pPr>
            <w:r>
              <w:rPr>
                <w:rFonts w:hint="eastAsia" w:ascii="宋体" w:hAnsi="宋体" w:eastAsia="宋体" w:cs="宋体"/>
                <w:color w:val="auto"/>
                <w:szCs w:val="21"/>
              </w:rPr>
              <w:t>……</w:t>
            </w:r>
          </w:p>
        </w:tc>
        <w:tc>
          <w:tcPr>
            <w:tcW w:w="2516" w:type="dxa"/>
            <w:tcBorders>
              <w:top w:val="single" w:color="auto" w:sz="4" w:space="0"/>
              <w:left w:val="single" w:color="auto" w:sz="4" w:space="0"/>
              <w:bottom w:val="single" w:color="auto" w:sz="4" w:space="0"/>
              <w:right w:val="single" w:color="auto" w:sz="4" w:space="0"/>
            </w:tcBorders>
          </w:tcPr>
          <w:p w14:paraId="7E0A82ED">
            <w:pPr>
              <w:spacing w:line="300" w:lineRule="exact"/>
              <w:rPr>
                <w:rFonts w:ascii="宋体" w:hAnsi="宋体" w:eastAsia="宋体" w:cs="宋体"/>
                <w:color w:val="auto"/>
                <w:szCs w:val="21"/>
              </w:rPr>
            </w:pPr>
            <w:r>
              <w:rPr>
                <w:rFonts w:hint="eastAsia" w:ascii="宋体" w:hAnsi="宋体" w:eastAsia="宋体" w:cs="宋体"/>
                <w:color w:val="auto"/>
                <w:szCs w:val="21"/>
              </w:rPr>
              <w:t>……</w:t>
            </w:r>
          </w:p>
        </w:tc>
        <w:tc>
          <w:tcPr>
            <w:tcW w:w="3169" w:type="dxa"/>
            <w:tcBorders>
              <w:top w:val="single" w:color="auto" w:sz="4" w:space="0"/>
              <w:left w:val="single" w:color="auto" w:sz="4" w:space="0"/>
              <w:bottom w:val="single" w:color="auto" w:sz="4" w:space="0"/>
              <w:right w:val="single" w:color="auto" w:sz="4" w:space="0"/>
            </w:tcBorders>
          </w:tcPr>
          <w:p w14:paraId="5ACB0E96">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79D61EC4">
            <w:pPr>
              <w:spacing w:line="300" w:lineRule="exact"/>
              <w:rPr>
                <w:rFonts w:ascii="宋体" w:hAnsi="宋体" w:eastAsia="宋体" w:cs="宋体"/>
                <w:color w:val="auto"/>
                <w:szCs w:val="21"/>
              </w:rPr>
            </w:pPr>
          </w:p>
        </w:tc>
      </w:tr>
      <w:tr w14:paraId="1D61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315B3A8A">
            <w:pPr>
              <w:spacing w:line="340" w:lineRule="exact"/>
              <w:rPr>
                <w:rFonts w:ascii="宋体" w:hAnsi="宋体" w:eastAsia="宋体" w:cs="宋体"/>
                <w:color w:val="auto"/>
                <w:szCs w:val="21"/>
              </w:rPr>
            </w:pPr>
            <w:r>
              <w:rPr>
                <w:rFonts w:hint="eastAsia" w:ascii="宋体" w:hAnsi="宋体" w:eastAsia="宋体" w:cs="宋体"/>
                <w:color w:val="auto"/>
                <w:szCs w:val="21"/>
              </w:rPr>
              <w:t>……</w:t>
            </w:r>
          </w:p>
        </w:tc>
        <w:tc>
          <w:tcPr>
            <w:tcW w:w="3757" w:type="dxa"/>
            <w:tcBorders>
              <w:top w:val="single" w:color="auto" w:sz="4" w:space="0"/>
              <w:left w:val="single" w:color="auto" w:sz="4" w:space="0"/>
              <w:bottom w:val="single" w:color="auto" w:sz="4" w:space="0"/>
              <w:right w:val="single" w:color="auto" w:sz="4" w:space="0"/>
            </w:tcBorders>
            <w:noWrap/>
          </w:tcPr>
          <w:p w14:paraId="23F60FC8">
            <w:pPr>
              <w:rPr>
                <w:rFonts w:ascii="宋体" w:hAnsi="宋体" w:eastAsia="宋体" w:cs="宋体"/>
                <w:color w:val="auto"/>
                <w:szCs w:val="21"/>
              </w:rPr>
            </w:pPr>
            <w:r>
              <w:rPr>
                <w:rFonts w:hint="eastAsia" w:ascii="宋体" w:hAnsi="宋体" w:eastAsia="宋体" w:cs="宋体"/>
                <w:color w:val="auto"/>
                <w:szCs w:val="21"/>
              </w:rPr>
              <w:t>1  ……</w:t>
            </w:r>
          </w:p>
        </w:tc>
        <w:tc>
          <w:tcPr>
            <w:tcW w:w="2516" w:type="dxa"/>
            <w:tcBorders>
              <w:top w:val="single" w:color="auto" w:sz="4" w:space="0"/>
              <w:left w:val="single" w:color="auto" w:sz="4" w:space="0"/>
              <w:bottom w:val="single" w:color="auto" w:sz="4" w:space="0"/>
              <w:right w:val="single" w:color="auto" w:sz="4" w:space="0"/>
            </w:tcBorders>
          </w:tcPr>
          <w:p w14:paraId="13D43C0E">
            <w:pPr>
              <w:rPr>
                <w:rFonts w:ascii="宋体" w:hAnsi="宋体" w:eastAsia="宋体" w:cs="宋体"/>
                <w:color w:val="auto"/>
                <w:szCs w:val="21"/>
              </w:rPr>
            </w:pPr>
            <w:r>
              <w:rPr>
                <w:rFonts w:hint="eastAsia" w:ascii="宋体" w:hAnsi="宋体" w:eastAsia="宋体" w:cs="宋体"/>
                <w:color w:val="auto"/>
                <w:szCs w:val="21"/>
              </w:rPr>
              <w:t>1  ……</w:t>
            </w:r>
          </w:p>
        </w:tc>
        <w:tc>
          <w:tcPr>
            <w:tcW w:w="3169" w:type="dxa"/>
            <w:tcBorders>
              <w:top w:val="single" w:color="auto" w:sz="4" w:space="0"/>
              <w:left w:val="single" w:color="auto" w:sz="4" w:space="0"/>
              <w:bottom w:val="single" w:color="auto" w:sz="4" w:space="0"/>
              <w:right w:val="single" w:color="auto" w:sz="4" w:space="0"/>
            </w:tcBorders>
          </w:tcPr>
          <w:p w14:paraId="74E09576">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56BE09C6">
            <w:pPr>
              <w:spacing w:line="300" w:lineRule="exact"/>
              <w:rPr>
                <w:rFonts w:ascii="宋体" w:hAnsi="宋体" w:eastAsia="宋体" w:cs="宋体"/>
                <w:color w:val="auto"/>
                <w:szCs w:val="21"/>
              </w:rPr>
            </w:pPr>
          </w:p>
        </w:tc>
      </w:tr>
      <w:tr w14:paraId="2E12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47B1898">
            <w:pPr>
              <w:widowControl/>
              <w:jc w:val="left"/>
              <w:rPr>
                <w:rFonts w:ascii="宋体" w:hAnsi="宋体" w:eastAsia="宋体" w:cs="宋体"/>
                <w:color w:val="auto"/>
                <w:szCs w:val="21"/>
              </w:rPr>
            </w:pPr>
          </w:p>
        </w:tc>
        <w:tc>
          <w:tcPr>
            <w:tcW w:w="3757" w:type="dxa"/>
            <w:tcBorders>
              <w:top w:val="single" w:color="auto" w:sz="4" w:space="0"/>
              <w:left w:val="single" w:color="auto" w:sz="4" w:space="0"/>
              <w:bottom w:val="single" w:color="auto" w:sz="4" w:space="0"/>
              <w:right w:val="single" w:color="auto" w:sz="4" w:space="0"/>
            </w:tcBorders>
            <w:noWrap/>
          </w:tcPr>
          <w:p w14:paraId="3E1D04BD">
            <w:pPr>
              <w:spacing w:line="340" w:lineRule="exact"/>
              <w:rPr>
                <w:rFonts w:ascii="宋体" w:hAnsi="宋体" w:eastAsia="宋体" w:cs="宋体"/>
                <w:color w:val="auto"/>
                <w:szCs w:val="21"/>
              </w:rPr>
            </w:pPr>
            <w:r>
              <w:rPr>
                <w:rFonts w:hint="eastAsia" w:ascii="宋体" w:hAnsi="宋体" w:eastAsia="宋体" w:cs="宋体"/>
                <w:color w:val="auto"/>
                <w:szCs w:val="21"/>
              </w:rPr>
              <w:t>2  ……</w:t>
            </w:r>
          </w:p>
          <w:p w14:paraId="0C12656E">
            <w:pPr>
              <w:spacing w:line="340" w:lineRule="exact"/>
              <w:rPr>
                <w:rFonts w:ascii="宋体" w:hAnsi="宋体" w:eastAsia="宋体" w:cs="宋体"/>
                <w:color w:val="auto"/>
                <w:szCs w:val="21"/>
              </w:rPr>
            </w:pPr>
          </w:p>
        </w:tc>
        <w:tc>
          <w:tcPr>
            <w:tcW w:w="2516" w:type="dxa"/>
            <w:tcBorders>
              <w:top w:val="single" w:color="auto" w:sz="4" w:space="0"/>
              <w:left w:val="single" w:color="auto" w:sz="4" w:space="0"/>
              <w:bottom w:val="single" w:color="auto" w:sz="4" w:space="0"/>
              <w:right w:val="single" w:color="auto" w:sz="4" w:space="0"/>
            </w:tcBorders>
          </w:tcPr>
          <w:p w14:paraId="57C611CE">
            <w:pPr>
              <w:spacing w:line="340" w:lineRule="exact"/>
              <w:rPr>
                <w:rFonts w:ascii="宋体" w:hAnsi="宋体" w:eastAsia="宋体" w:cs="宋体"/>
                <w:color w:val="auto"/>
                <w:szCs w:val="21"/>
              </w:rPr>
            </w:pPr>
            <w:r>
              <w:rPr>
                <w:rFonts w:hint="eastAsia" w:ascii="宋体" w:hAnsi="宋体" w:eastAsia="宋体" w:cs="宋体"/>
                <w:color w:val="auto"/>
                <w:szCs w:val="21"/>
              </w:rPr>
              <w:t>2  ……</w:t>
            </w:r>
          </w:p>
          <w:p w14:paraId="4F257BED">
            <w:pPr>
              <w:spacing w:line="300" w:lineRule="exact"/>
              <w:rPr>
                <w:rFonts w:ascii="宋体" w:hAnsi="宋体" w:eastAsia="宋体" w:cs="宋体"/>
                <w:color w:val="auto"/>
                <w:szCs w:val="21"/>
              </w:rPr>
            </w:pPr>
          </w:p>
        </w:tc>
        <w:tc>
          <w:tcPr>
            <w:tcW w:w="3169" w:type="dxa"/>
            <w:tcBorders>
              <w:top w:val="single" w:color="auto" w:sz="4" w:space="0"/>
              <w:left w:val="single" w:color="auto" w:sz="4" w:space="0"/>
              <w:bottom w:val="single" w:color="auto" w:sz="4" w:space="0"/>
              <w:right w:val="single" w:color="auto" w:sz="4" w:space="0"/>
            </w:tcBorders>
          </w:tcPr>
          <w:p w14:paraId="28388680">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112351C8">
            <w:pPr>
              <w:spacing w:line="300" w:lineRule="exact"/>
              <w:rPr>
                <w:rFonts w:ascii="宋体" w:hAnsi="宋体" w:eastAsia="宋体" w:cs="宋体"/>
                <w:color w:val="auto"/>
                <w:szCs w:val="21"/>
              </w:rPr>
            </w:pPr>
          </w:p>
        </w:tc>
      </w:tr>
      <w:tr w14:paraId="76B3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E00A21D">
            <w:pPr>
              <w:widowControl/>
              <w:jc w:val="left"/>
              <w:rPr>
                <w:rFonts w:ascii="宋体" w:hAnsi="宋体" w:eastAsia="宋体" w:cs="宋体"/>
                <w:color w:val="auto"/>
                <w:szCs w:val="21"/>
              </w:rPr>
            </w:pPr>
          </w:p>
        </w:tc>
        <w:tc>
          <w:tcPr>
            <w:tcW w:w="3757" w:type="dxa"/>
            <w:tcBorders>
              <w:top w:val="single" w:color="auto" w:sz="4" w:space="0"/>
              <w:left w:val="single" w:color="auto" w:sz="4" w:space="0"/>
              <w:bottom w:val="single" w:color="auto" w:sz="4" w:space="0"/>
              <w:right w:val="single" w:color="auto" w:sz="4" w:space="0"/>
            </w:tcBorders>
            <w:noWrap/>
          </w:tcPr>
          <w:p w14:paraId="3DB8A692">
            <w:pPr>
              <w:spacing w:line="340" w:lineRule="exact"/>
              <w:rPr>
                <w:rFonts w:ascii="宋体" w:hAnsi="宋体" w:eastAsia="宋体" w:cs="宋体"/>
                <w:color w:val="auto"/>
                <w:szCs w:val="21"/>
              </w:rPr>
            </w:pPr>
            <w:r>
              <w:rPr>
                <w:rFonts w:hint="eastAsia" w:ascii="宋体" w:hAnsi="宋体" w:eastAsia="宋体" w:cs="宋体"/>
                <w:color w:val="auto"/>
                <w:szCs w:val="21"/>
              </w:rPr>
              <w:t>3  ……</w:t>
            </w:r>
          </w:p>
          <w:p w14:paraId="0AD1A6F1">
            <w:pPr>
              <w:spacing w:line="340" w:lineRule="exact"/>
              <w:rPr>
                <w:rFonts w:ascii="宋体" w:hAnsi="宋体" w:eastAsia="宋体" w:cs="宋体"/>
                <w:color w:val="auto"/>
                <w:szCs w:val="21"/>
              </w:rPr>
            </w:pPr>
          </w:p>
        </w:tc>
        <w:tc>
          <w:tcPr>
            <w:tcW w:w="2516" w:type="dxa"/>
            <w:tcBorders>
              <w:top w:val="single" w:color="auto" w:sz="4" w:space="0"/>
              <w:left w:val="single" w:color="auto" w:sz="4" w:space="0"/>
              <w:bottom w:val="single" w:color="auto" w:sz="4" w:space="0"/>
              <w:right w:val="single" w:color="auto" w:sz="4" w:space="0"/>
            </w:tcBorders>
          </w:tcPr>
          <w:p w14:paraId="4E94520D">
            <w:pPr>
              <w:spacing w:line="340" w:lineRule="exact"/>
              <w:rPr>
                <w:rFonts w:ascii="宋体" w:hAnsi="宋体" w:eastAsia="宋体" w:cs="宋体"/>
                <w:color w:val="auto"/>
                <w:szCs w:val="21"/>
              </w:rPr>
            </w:pPr>
            <w:r>
              <w:rPr>
                <w:rFonts w:hint="eastAsia" w:ascii="宋体" w:hAnsi="宋体" w:eastAsia="宋体" w:cs="宋体"/>
                <w:color w:val="auto"/>
                <w:szCs w:val="21"/>
              </w:rPr>
              <w:t>3  ……</w:t>
            </w:r>
          </w:p>
          <w:p w14:paraId="1FF595DA">
            <w:pPr>
              <w:spacing w:line="300" w:lineRule="exact"/>
              <w:rPr>
                <w:rFonts w:ascii="宋体" w:hAnsi="宋体" w:eastAsia="宋体" w:cs="宋体"/>
                <w:color w:val="auto"/>
                <w:szCs w:val="21"/>
              </w:rPr>
            </w:pPr>
          </w:p>
        </w:tc>
        <w:tc>
          <w:tcPr>
            <w:tcW w:w="3169" w:type="dxa"/>
            <w:tcBorders>
              <w:top w:val="single" w:color="auto" w:sz="4" w:space="0"/>
              <w:left w:val="single" w:color="auto" w:sz="4" w:space="0"/>
              <w:bottom w:val="single" w:color="auto" w:sz="4" w:space="0"/>
              <w:right w:val="single" w:color="auto" w:sz="4" w:space="0"/>
            </w:tcBorders>
          </w:tcPr>
          <w:p w14:paraId="53FAC98A">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534B4C3E">
            <w:pPr>
              <w:spacing w:line="300" w:lineRule="exact"/>
              <w:rPr>
                <w:rFonts w:ascii="宋体" w:hAnsi="宋体" w:eastAsia="宋体" w:cs="宋体"/>
                <w:color w:val="auto"/>
                <w:szCs w:val="21"/>
              </w:rPr>
            </w:pPr>
          </w:p>
        </w:tc>
      </w:tr>
      <w:tr w14:paraId="1EE2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7E896A6">
            <w:pPr>
              <w:widowControl/>
              <w:jc w:val="left"/>
              <w:rPr>
                <w:rFonts w:ascii="宋体" w:hAnsi="宋体" w:eastAsia="宋体" w:cs="宋体"/>
                <w:color w:val="auto"/>
                <w:szCs w:val="21"/>
              </w:rPr>
            </w:pPr>
          </w:p>
        </w:tc>
        <w:tc>
          <w:tcPr>
            <w:tcW w:w="3757" w:type="dxa"/>
            <w:tcBorders>
              <w:top w:val="single" w:color="auto" w:sz="4" w:space="0"/>
              <w:left w:val="single" w:color="auto" w:sz="4" w:space="0"/>
              <w:bottom w:val="single" w:color="auto" w:sz="4" w:space="0"/>
              <w:right w:val="single" w:color="auto" w:sz="4" w:space="0"/>
            </w:tcBorders>
            <w:noWrap/>
          </w:tcPr>
          <w:p w14:paraId="0670FD4A">
            <w:pPr>
              <w:spacing w:line="340" w:lineRule="exact"/>
              <w:rPr>
                <w:rFonts w:ascii="宋体" w:hAnsi="宋体" w:eastAsia="宋体" w:cs="宋体"/>
                <w:color w:val="auto"/>
                <w:szCs w:val="21"/>
              </w:rPr>
            </w:pPr>
            <w:r>
              <w:rPr>
                <w:rFonts w:hint="eastAsia" w:ascii="宋体" w:hAnsi="宋体" w:eastAsia="宋体" w:cs="宋体"/>
                <w:color w:val="auto"/>
                <w:szCs w:val="21"/>
              </w:rPr>
              <w:t>……</w:t>
            </w:r>
          </w:p>
        </w:tc>
        <w:tc>
          <w:tcPr>
            <w:tcW w:w="2516" w:type="dxa"/>
            <w:tcBorders>
              <w:top w:val="single" w:color="auto" w:sz="4" w:space="0"/>
              <w:left w:val="single" w:color="auto" w:sz="4" w:space="0"/>
              <w:bottom w:val="single" w:color="auto" w:sz="4" w:space="0"/>
              <w:right w:val="single" w:color="auto" w:sz="4" w:space="0"/>
            </w:tcBorders>
          </w:tcPr>
          <w:p w14:paraId="2D2C48BB">
            <w:pPr>
              <w:spacing w:line="300" w:lineRule="exact"/>
              <w:rPr>
                <w:rFonts w:ascii="宋体" w:hAnsi="宋体" w:eastAsia="宋体" w:cs="宋体"/>
                <w:color w:val="auto"/>
                <w:szCs w:val="21"/>
              </w:rPr>
            </w:pPr>
            <w:r>
              <w:rPr>
                <w:rFonts w:hint="eastAsia" w:ascii="宋体" w:hAnsi="宋体" w:eastAsia="宋体" w:cs="宋体"/>
                <w:color w:val="auto"/>
                <w:szCs w:val="21"/>
              </w:rPr>
              <w:t>……</w:t>
            </w:r>
          </w:p>
        </w:tc>
        <w:tc>
          <w:tcPr>
            <w:tcW w:w="3169" w:type="dxa"/>
            <w:tcBorders>
              <w:top w:val="single" w:color="auto" w:sz="4" w:space="0"/>
              <w:left w:val="single" w:color="auto" w:sz="4" w:space="0"/>
              <w:bottom w:val="single" w:color="auto" w:sz="4" w:space="0"/>
              <w:right w:val="single" w:color="auto" w:sz="4" w:space="0"/>
            </w:tcBorders>
          </w:tcPr>
          <w:p w14:paraId="450C34D1">
            <w:pPr>
              <w:spacing w:line="300" w:lineRule="exact"/>
              <w:rPr>
                <w:rFonts w:ascii="宋体" w:hAnsi="宋体" w:eastAsia="宋体" w:cs="宋体"/>
                <w:color w:val="auto"/>
                <w:szCs w:val="21"/>
              </w:rPr>
            </w:pPr>
            <w:r>
              <w:rPr>
                <w:rFonts w:hint="eastAsia" w:ascii="宋体" w:hAnsi="宋体" w:eastAsia="宋体" w:cs="宋体"/>
                <w:color w:val="auto"/>
                <w:szCs w:val="21"/>
              </w:rPr>
              <w:t>正偏离（负偏离或无偏离）</w:t>
            </w:r>
          </w:p>
          <w:p w14:paraId="0C93AB68">
            <w:pPr>
              <w:spacing w:line="300" w:lineRule="exact"/>
              <w:rPr>
                <w:rFonts w:ascii="宋体" w:hAnsi="宋体" w:eastAsia="宋体" w:cs="宋体"/>
                <w:color w:val="auto"/>
                <w:szCs w:val="21"/>
              </w:rPr>
            </w:pPr>
          </w:p>
        </w:tc>
      </w:tr>
      <w:tr w14:paraId="075A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133" w:type="dxa"/>
            <w:gridSpan w:val="4"/>
            <w:tcBorders>
              <w:top w:val="single" w:color="auto" w:sz="4" w:space="0"/>
              <w:left w:val="single" w:color="auto" w:sz="4" w:space="0"/>
              <w:bottom w:val="single" w:color="auto" w:sz="4" w:space="0"/>
              <w:right w:val="single" w:color="auto" w:sz="4" w:space="0"/>
            </w:tcBorders>
            <w:noWrap/>
          </w:tcPr>
          <w:p w14:paraId="47D9A1CF">
            <w:pPr>
              <w:spacing w:line="340" w:lineRule="exact"/>
              <w:rPr>
                <w:rFonts w:ascii="宋体" w:hAnsi="宋体" w:eastAsia="宋体" w:cs="宋体"/>
                <w:color w:val="auto"/>
                <w:szCs w:val="21"/>
              </w:rPr>
            </w:pPr>
            <w:r>
              <w:rPr>
                <w:rFonts w:hint="eastAsia" w:ascii="宋体" w:hAnsi="宋体" w:eastAsia="宋体" w:cs="宋体"/>
                <w:color w:val="auto"/>
                <w:szCs w:val="21"/>
                <w:u w:val="single"/>
              </w:rPr>
              <w:t>　　</w:t>
            </w:r>
            <w:r>
              <w:rPr>
                <w:rFonts w:hint="eastAsia" w:ascii="宋体" w:hAnsi="宋体" w:eastAsia="宋体" w:cs="宋体"/>
                <w:color w:val="auto"/>
                <w:szCs w:val="21"/>
              </w:rPr>
              <w:t>分标（此处有分标时填写具体分标号，无分标时填写“无”）</w:t>
            </w:r>
          </w:p>
        </w:tc>
      </w:tr>
    </w:tbl>
    <w:p w14:paraId="5C32A68A">
      <w:pPr>
        <w:spacing w:line="360" w:lineRule="auto"/>
        <w:rPr>
          <w:rFonts w:ascii="宋体" w:hAnsi="宋体" w:eastAsia="宋体" w:cs="宋体"/>
          <w:color w:val="auto"/>
          <w:szCs w:val="20"/>
        </w:rPr>
      </w:pPr>
      <w:r>
        <w:rPr>
          <w:rFonts w:hint="eastAsia" w:ascii="宋体" w:hAnsi="宋体" w:eastAsia="宋体" w:cs="宋体"/>
          <w:color w:val="auto"/>
          <w:szCs w:val="20"/>
        </w:rPr>
        <w:t>注：1.表格内容均需按要求填写并盖章，不得留空，否则按投标无效处理。</w:t>
      </w:r>
    </w:p>
    <w:p w14:paraId="4BB063E1">
      <w:pPr>
        <w:spacing w:line="360" w:lineRule="auto"/>
        <w:ind w:left="-603" w:leftChars="-287" w:firstLine="315" w:firstLineChars="150"/>
        <w:rPr>
          <w:rFonts w:ascii="宋体" w:hAnsi="宋体" w:eastAsia="宋体" w:cs="宋体"/>
          <w:color w:val="auto"/>
          <w:szCs w:val="20"/>
        </w:rPr>
      </w:pPr>
      <w:r>
        <w:rPr>
          <w:rFonts w:hint="eastAsia" w:ascii="宋体" w:hAnsi="宋体" w:eastAsia="宋体" w:cs="宋体"/>
          <w:color w:val="auto"/>
          <w:szCs w:val="20"/>
        </w:rPr>
        <w:t>2.如果招标文件需求为小于或大于某个数值标准时，投标文件承诺不得直接复制招标文件需求，投标文件承诺内容应当写明投标货物具体参数或商务响应承诺的具体数值。</w:t>
      </w:r>
    </w:p>
    <w:p w14:paraId="4C255C12">
      <w:pPr>
        <w:spacing w:line="360" w:lineRule="auto"/>
        <w:ind w:left="-708" w:leftChars="-337" w:firstLine="420" w:firstLineChars="200"/>
        <w:rPr>
          <w:rFonts w:ascii="宋体" w:hAnsi="宋体" w:eastAsia="宋体" w:cs="宋体"/>
          <w:color w:val="auto"/>
          <w:szCs w:val="20"/>
        </w:rPr>
      </w:pPr>
      <w:r>
        <w:rPr>
          <w:rFonts w:hint="eastAsia" w:ascii="宋体" w:hAnsi="宋体" w:eastAsia="宋体" w:cs="宋体"/>
          <w:color w:val="auto"/>
          <w:szCs w:val="20"/>
        </w:rPr>
        <w:t>3.当投标文件的商务内容低于招标文件要求时，投标人应当如实写明“负偏离”，否则视为虚假应标。</w:t>
      </w:r>
    </w:p>
    <w:p w14:paraId="7D6C746D">
      <w:pPr>
        <w:spacing w:line="360" w:lineRule="auto"/>
        <w:ind w:left="-708" w:leftChars="-337" w:firstLine="420" w:firstLineChars="200"/>
        <w:rPr>
          <w:rFonts w:ascii="宋体" w:hAnsi="宋体" w:eastAsia="宋体" w:cs="宋体"/>
          <w:color w:val="auto"/>
          <w:szCs w:val="20"/>
        </w:rPr>
      </w:pPr>
      <w:r>
        <w:rPr>
          <w:rFonts w:hint="eastAsia" w:ascii="宋体" w:hAnsi="宋体" w:eastAsia="宋体" w:cs="宋体"/>
          <w:color w:val="auto"/>
          <w:szCs w:val="21"/>
        </w:rPr>
        <w:t>4.采购需求中带“▲”的条款，也要分别在本表“投标文件的商务需求”、“投标文件承诺的商务条款”中标记。</w:t>
      </w:r>
    </w:p>
    <w:p w14:paraId="63D8C5FC">
      <w:pPr>
        <w:snapToGrid w:val="0"/>
        <w:spacing w:before="50" w:after="50"/>
        <w:rPr>
          <w:rFonts w:ascii="宋体" w:hAnsi="宋体" w:eastAsia="宋体" w:cs="宋体"/>
          <w:color w:val="auto"/>
          <w:sz w:val="24"/>
        </w:rPr>
      </w:pPr>
    </w:p>
    <w:p w14:paraId="4FFD3807">
      <w:pPr>
        <w:snapToGrid w:val="0"/>
        <w:spacing w:before="50" w:after="50"/>
        <w:rPr>
          <w:rFonts w:ascii="宋体" w:hAnsi="宋体" w:eastAsia="宋体" w:cs="宋体"/>
          <w:color w:val="auto"/>
          <w:spacing w:val="20"/>
          <w:sz w:val="24"/>
          <w:u w:val="single"/>
        </w:rPr>
      </w:pPr>
      <w:r>
        <w:rPr>
          <w:rFonts w:hint="eastAsia" w:ascii="宋体" w:hAnsi="宋体" w:eastAsia="宋体" w:cs="宋体"/>
          <w:color w:val="auto"/>
          <w:sz w:val="24"/>
        </w:rPr>
        <w:t>法定代表人或者委托代理人</w:t>
      </w:r>
      <w:r>
        <w:rPr>
          <w:rFonts w:hint="eastAsia" w:ascii="宋体" w:hAnsi="宋体" w:eastAsia="宋体" w:cs="宋体"/>
          <w:color w:val="auto"/>
          <w:spacing w:val="20"/>
          <w:sz w:val="24"/>
        </w:rPr>
        <w:t>（签字）：</w:t>
      </w:r>
      <w:r>
        <w:rPr>
          <w:rFonts w:hint="eastAsia" w:ascii="宋体" w:hAnsi="宋体" w:eastAsia="宋体" w:cs="宋体"/>
          <w:color w:val="auto"/>
          <w:spacing w:val="20"/>
          <w:sz w:val="24"/>
          <w:u w:val="single"/>
        </w:rPr>
        <w:t xml:space="preserve">        </w:t>
      </w:r>
    </w:p>
    <w:p w14:paraId="25A79E79">
      <w:pPr>
        <w:snapToGrid w:val="0"/>
        <w:spacing w:before="120" w:beforeLines="50"/>
        <w:rPr>
          <w:rFonts w:ascii="宋体" w:hAnsi="宋体" w:eastAsia="宋体" w:cs="宋体"/>
          <w:color w:val="auto"/>
          <w:spacing w:val="20"/>
          <w:sz w:val="24"/>
        </w:rPr>
      </w:pPr>
      <w:r>
        <w:rPr>
          <w:rFonts w:hint="eastAsia" w:ascii="宋体" w:hAnsi="宋体" w:eastAsia="宋体" w:cs="宋体"/>
          <w:color w:val="auto"/>
          <w:spacing w:val="20"/>
          <w:sz w:val="24"/>
        </w:rPr>
        <w:t>投标人盖公章：</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p>
    <w:p w14:paraId="7888500E">
      <w:pPr>
        <w:snapToGrid w:val="0"/>
        <w:spacing w:before="120" w:beforeLines="50"/>
        <w:rPr>
          <w:rFonts w:ascii="宋体" w:hAnsi="宋体" w:eastAsia="宋体" w:cs="宋体"/>
          <w:color w:val="auto"/>
          <w:sz w:val="24"/>
          <w:szCs w:val="20"/>
        </w:rPr>
      </w:pPr>
      <w:r>
        <w:rPr>
          <w:rFonts w:hint="eastAsia" w:ascii="宋体" w:hAnsi="宋体" w:eastAsia="宋体" w:cs="宋体"/>
          <w:color w:val="auto"/>
          <w:spacing w:val="20"/>
          <w:sz w:val="24"/>
        </w:rPr>
        <w:t>日  期：</w:t>
      </w:r>
      <w:r>
        <w:rPr>
          <w:rFonts w:hint="eastAsia" w:ascii="宋体" w:hAnsi="宋体" w:eastAsia="宋体" w:cs="宋体"/>
          <w:color w:val="auto"/>
          <w:spacing w:val="20"/>
          <w:sz w:val="24"/>
          <w:u w:val="single"/>
        </w:rPr>
        <w:t xml:space="preserve">         </w:t>
      </w:r>
    </w:p>
    <w:p w14:paraId="4D98BFD7">
      <w:pPr>
        <w:snapToGrid w:val="0"/>
        <w:spacing w:before="120" w:beforeLines="50" w:after="50"/>
        <w:jc w:val="left"/>
        <w:rPr>
          <w:rFonts w:ascii="宋体" w:hAnsi="宋体" w:eastAsia="宋体" w:cs="宋体"/>
          <w:b/>
          <w:color w:val="auto"/>
          <w:sz w:val="24"/>
        </w:rPr>
      </w:pPr>
      <w:r>
        <w:rPr>
          <w:rFonts w:hint="eastAsia" w:ascii="宋体" w:hAnsi="宋体" w:eastAsia="宋体" w:cs="宋体"/>
          <w:color w:val="auto"/>
          <w:sz w:val="24"/>
          <w:szCs w:val="20"/>
        </w:rPr>
        <w:br w:type="page"/>
      </w:r>
      <w:r>
        <w:rPr>
          <w:rFonts w:hint="eastAsia" w:ascii="宋体" w:hAnsi="宋体" w:eastAsia="宋体" w:cs="宋体"/>
          <w:b/>
          <w:color w:val="auto"/>
          <w:sz w:val="24"/>
        </w:rPr>
        <w:t>7.投标人业绩证明材料</w:t>
      </w:r>
    </w:p>
    <w:p w14:paraId="37671833">
      <w:pPr>
        <w:pStyle w:val="29"/>
        <w:snapToGrid w:val="0"/>
        <w:ind w:left="480" w:hanging="480"/>
        <w:rPr>
          <w:rFonts w:ascii="宋体" w:hAnsi="宋体" w:eastAsia="宋体" w:cs="宋体"/>
          <w:color w:val="auto"/>
          <w:sz w:val="24"/>
        </w:rPr>
      </w:pPr>
    </w:p>
    <w:p w14:paraId="7D973752">
      <w:pPr>
        <w:pStyle w:val="29"/>
        <w:snapToGrid w:val="0"/>
        <w:ind w:left="480" w:hanging="480"/>
        <w:rPr>
          <w:rFonts w:ascii="宋体" w:hAnsi="宋体" w:eastAsia="宋体" w:cs="宋体"/>
          <w:color w:val="auto"/>
          <w:sz w:val="24"/>
        </w:rPr>
      </w:pPr>
      <w:r>
        <w:rPr>
          <w:rFonts w:hint="eastAsia" w:ascii="宋体" w:hAnsi="宋体" w:eastAsia="宋体" w:cs="宋体"/>
          <w:color w:val="auto"/>
          <w:sz w:val="24"/>
        </w:rPr>
        <w:t xml:space="preserve">投标人业绩情况一览表格式： </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50"/>
        <w:gridCol w:w="1951"/>
        <w:gridCol w:w="1951"/>
        <w:gridCol w:w="3148"/>
      </w:tblGrid>
      <w:tr w14:paraId="525BB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132" w:type="dxa"/>
            <w:vMerge w:val="restart"/>
            <w:tcBorders>
              <w:top w:val="single" w:color="auto" w:sz="4" w:space="0"/>
              <w:left w:val="single" w:color="auto" w:sz="4" w:space="0"/>
              <w:bottom w:val="single" w:color="auto" w:sz="4" w:space="0"/>
              <w:right w:val="single" w:color="auto" w:sz="4" w:space="0"/>
            </w:tcBorders>
            <w:vAlign w:val="center"/>
          </w:tcPr>
          <w:p w14:paraId="62FBEC91">
            <w:pPr>
              <w:snapToGrid w:val="0"/>
              <w:spacing w:line="400" w:lineRule="exact"/>
              <w:jc w:val="center"/>
              <w:rPr>
                <w:rFonts w:ascii="宋体" w:hAnsi="宋体" w:eastAsia="宋体" w:cs="宋体"/>
                <w:color w:val="auto"/>
                <w:sz w:val="24"/>
              </w:rPr>
            </w:pPr>
            <w:r>
              <w:rPr>
                <w:rFonts w:hint="eastAsia" w:ascii="宋体" w:hAnsi="宋体" w:eastAsia="宋体" w:cs="宋体"/>
                <w:color w:val="auto"/>
                <w:sz w:val="24"/>
              </w:rPr>
              <w:t>采购人名称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52D591B6">
            <w:pPr>
              <w:snapToGrid w:val="0"/>
              <w:spacing w:line="400" w:lineRule="exact"/>
              <w:jc w:val="center"/>
              <w:rPr>
                <w:rFonts w:ascii="宋体" w:hAnsi="宋体" w:eastAsia="宋体" w:cs="宋体"/>
                <w:color w:val="auto"/>
                <w:sz w:val="24"/>
              </w:rPr>
            </w:pPr>
            <w:r>
              <w:rPr>
                <w:rFonts w:hint="eastAsia" w:ascii="宋体" w:hAnsi="宋体" w:eastAsia="宋体" w:cs="宋体"/>
                <w:color w:val="auto"/>
                <w:sz w:val="24"/>
              </w:rPr>
              <w:t>项目名称+标段</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3A0BA3A8">
            <w:pPr>
              <w:snapToGrid w:val="0"/>
              <w:spacing w:line="400" w:lineRule="exact"/>
              <w:jc w:val="center"/>
              <w:rPr>
                <w:rFonts w:ascii="宋体" w:hAnsi="宋体" w:eastAsia="宋体" w:cs="宋体"/>
                <w:color w:val="auto"/>
                <w:sz w:val="24"/>
              </w:rPr>
            </w:pPr>
            <w:r>
              <w:rPr>
                <w:rFonts w:hint="eastAsia" w:ascii="宋体" w:hAnsi="宋体" w:eastAsia="宋体" w:cs="宋体"/>
                <w:color w:val="auto"/>
                <w:sz w:val="24"/>
              </w:rPr>
              <w:t>合同金额</w:t>
            </w:r>
          </w:p>
          <w:p w14:paraId="1DEA1404">
            <w:pPr>
              <w:snapToGrid w:val="0"/>
              <w:spacing w:line="400" w:lineRule="exact"/>
              <w:jc w:val="center"/>
              <w:rPr>
                <w:rFonts w:ascii="宋体" w:hAnsi="宋体" w:eastAsia="宋体" w:cs="宋体"/>
                <w:color w:val="auto"/>
                <w:sz w:val="24"/>
              </w:rPr>
            </w:pPr>
            <w:r>
              <w:rPr>
                <w:rFonts w:hint="eastAsia" w:ascii="宋体" w:hAnsi="宋体" w:eastAsia="宋体" w:cs="宋体"/>
                <w:color w:val="auto"/>
                <w:sz w:val="24"/>
              </w:rPr>
              <w:t>（万元）</w:t>
            </w:r>
          </w:p>
        </w:tc>
        <w:tc>
          <w:tcPr>
            <w:tcW w:w="2856" w:type="dxa"/>
            <w:vMerge w:val="restart"/>
            <w:tcBorders>
              <w:top w:val="single" w:color="auto" w:sz="4" w:space="0"/>
              <w:left w:val="single" w:color="auto" w:sz="4" w:space="0"/>
              <w:bottom w:val="single" w:color="auto" w:sz="4" w:space="0"/>
              <w:right w:val="single" w:color="auto" w:sz="4" w:space="0"/>
            </w:tcBorders>
            <w:vAlign w:val="center"/>
          </w:tcPr>
          <w:p w14:paraId="678EC0D5">
            <w:pPr>
              <w:snapToGrid w:val="0"/>
              <w:spacing w:line="400" w:lineRule="exact"/>
              <w:jc w:val="center"/>
              <w:rPr>
                <w:rFonts w:ascii="宋体" w:hAnsi="宋体" w:eastAsia="宋体" w:cs="宋体"/>
                <w:color w:val="auto"/>
                <w:sz w:val="24"/>
              </w:rPr>
            </w:pPr>
            <w:r>
              <w:rPr>
                <w:rFonts w:hint="eastAsia" w:ascii="宋体" w:hAnsi="宋体" w:eastAsia="宋体" w:cs="宋体"/>
                <w:color w:val="auto"/>
                <w:sz w:val="24"/>
              </w:rPr>
              <w:t>采购人联系人及</w:t>
            </w:r>
          </w:p>
          <w:p w14:paraId="54BA5216">
            <w:pPr>
              <w:snapToGrid w:val="0"/>
              <w:spacing w:line="400" w:lineRule="exact"/>
              <w:jc w:val="center"/>
              <w:rPr>
                <w:rFonts w:ascii="宋体" w:hAnsi="宋体" w:eastAsia="宋体" w:cs="宋体"/>
                <w:color w:val="auto"/>
                <w:sz w:val="24"/>
              </w:rPr>
            </w:pPr>
            <w:r>
              <w:rPr>
                <w:rFonts w:hint="eastAsia" w:ascii="宋体" w:hAnsi="宋体" w:eastAsia="宋体" w:cs="宋体"/>
                <w:color w:val="auto"/>
                <w:sz w:val="24"/>
              </w:rPr>
              <w:t>联系电话</w:t>
            </w:r>
          </w:p>
        </w:tc>
      </w:tr>
      <w:tr w14:paraId="34D16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132" w:type="dxa"/>
            <w:vMerge w:val="continue"/>
            <w:tcBorders>
              <w:top w:val="single" w:color="auto" w:sz="4" w:space="0"/>
              <w:left w:val="single" w:color="auto" w:sz="4" w:space="0"/>
              <w:bottom w:val="single" w:color="auto" w:sz="4" w:space="0"/>
              <w:right w:val="single" w:color="auto" w:sz="4" w:space="0"/>
            </w:tcBorders>
            <w:vAlign w:val="center"/>
          </w:tcPr>
          <w:p w14:paraId="271AD9C1">
            <w:pPr>
              <w:jc w:val="left"/>
              <w:rPr>
                <w:rFonts w:ascii="宋体" w:hAnsi="宋体" w:eastAsia="宋体" w:cs="宋体"/>
                <w:color w:val="auto"/>
                <w:sz w:val="24"/>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014278A7">
            <w:pPr>
              <w:jc w:val="left"/>
              <w:rPr>
                <w:rFonts w:ascii="宋体" w:hAnsi="宋体" w:eastAsia="宋体" w:cs="宋体"/>
                <w:color w:val="auto"/>
                <w:sz w:val="24"/>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01DFD829">
            <w:pPr>
              <w:jc w:val="left"/>
              <w:rPr>
                <w:rFonts w:ascii="宋体" w:hAnsi="宋体" w:eastAsia="宋体" w:cs="宋体"/>
                <w:color w:val="auto"/>
                <w:sz w:val="24"/>
              </w:rPr>
            </w:pPr>
          </w:p>
        </w:tc>
        <w:tc>
          <w:tcPr>
            <w:tcW w:w="2856" w:type="dxa"/>
            <w:vMerge w:val="continue"/>
            <w:tcBorders>
              <w:top w:val="single" w:color="auto" w:sz="4" w:space="0"/>
              <w:left w:val="single" w:color="auto" w:sz="4" w:space="0"/>
              <w:bottom w:val="single" w:color="auto" w:sz="4" w:space="0"/>
              <w:right w:val="single" w:color="auto" w:sz="4" w:space="0"/>
            </w:tcBorders>
            <w:vAlign w:val="center"/>
          </w:tcPr>
          <w:p w14:paraId="32B9B57D">
            <w:pPr>
              <w:jc w:val="left"/>
              <w:rPr>
                <w:rFonts w:ascii="宋体" w:hAnsi="宋体" w:eastAsia="宋体" w:cs="宋体"/>
                <w:color w:val="auto"/>
                <w:sz w:val="24"/>
              </w:rPr>
            </w:pPr>
          </w:p>
        </w:tc>
      </w:tr>
      <w:tr w14:paraId="227B98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132" w:type="dxa"/>
            <w:tcBorders>
              <w:top w:val="single" w:color="auto" w:sz="4" w:space="0"/>
              <w:left w:val="single" w:color="auto" w:sz="4" w:space="0"/>
              <w:bottom w:val="single" w:color="auto" w:sz="4" w:space="0"/>
              <w:right w:val="single" w:color="auto" w:sz="4" w:space="0"/>
            </w:tcBorders>
          </w:tcPr>
          <w:p w14:paraId="7344E3B8">
            <w:pPr>
              <w:snapToGrid w:val="0"/>
              <w:spacing w:line="24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637DAD18">
            <w:pPr>
              <w:snapToGrid w:val="0"/>
              <w:spacing w:line="24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2DEBC2DA">
            <w:pPr>
              <w:snapToGrid w:val="0"/>
              <w:spacing w:line="240" w:lineRule="exact"/>
              <w:jc w:val="left"/>
              <w:rPr>
                <w:rFonts w:ascii="宋体" w:hAnsi="宋体" w:eastAsia="宋体" w:cs="宋体"/>
                <w:color w:val="auto"/>
                <w:sz w:val="24"/>
              </w:rPr>
            </w:pPr>
          </w:p>
        </w:tc>
        <w:tc>
          <w:tcPr>
            <w:tcW w:w="2856" w:type="dxa"/>
            <w:tcBorders>
              <w:top w:val="single" w:color="auto" w:sz="4" w:space="0"/>
              <w:left w:val="single" w:color="auto" w:sz="4" w:space="0"/>
              <w:bottom w:val="single" w:color="auto" w:sz="4" w:space="0"/>
              <w:right w:val="single" w:color="auto" w:sz="4" w:space="0"/>
            </w:tcBorders>
          </w:tcPr>
          <w:p w14:paraId="1E2A3F74">
            <w:pPr>
              <w:snapToGrid w:val="0"/>
              <w:spacing w:line="240" w:lineRule="exact"/>
              <w:jc w:val="left"/>
              <w:rPr>
                <w:rFonts w:ascii="宋体" w:hAnsi="宋体" w:eastAsia="宋体" w:cs="宋体"/>
                <w:color w:val="auto"/>
                <w:sz w:val="24"/>
              </w:rPr>
            </w:pPr>
          </w:p>
        </w:tc>
      </w:tr>
      <w:tr w14:paraId="4F4A00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tcPr>
          <w:p w14:paraId="443C304C">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4BA290EF">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05901FE0">
            <w:pPr>
              <w:snapToGrid w:val="0"/>
              <w:spacing w:before="50" w:after="120" w:afterLines="50" w:line="400" w:lineRule="exact"/>
              <w:jc w:val="left"/>
              <w:rPr>
                <w:rFonts w:ascii="宋体" w:hAnsi="宋体" w:eastAsia="宋体" w:cs="宋体"/>
                <w:color w:val="auto"/>
                <w:sz w:val="24"/>
              </w:rPr>
            </w:pPr>
          </w:p>
        </w:tc>
        <w:tc>
          <w:tcPr>
            <w:tcW w:w="2856" w:type="dxa"/>
            <w:tcBorders>
              <w:top w:val="single" w:color="auto" w:sz="4" w:space="0"/>
              <w:left w:val="single" w:color="auto" w:sz="4" w:space="0"/>
              <w:bottom w:val="single" w:color="auto" w:sz="4" w:space="0"/>
              <w:right w:val="single" w:color="auto" w:sz="4" w:space="0"/>
            </w:tcBorders>
          </w:tcPr>
          <w:p w14:paraId="486B863B">
            <w:pPr>
              <w:snapToGrid w:val="0"/>
              <w:spacing w:before="50" w:after="120" w:afterLines="50" w:line="400" w:lineRule="exact"/>
              <w:jc w:val="left"/>
              <w:rPr>
                <w:rFonts w:ascii="宋体" w:hAnsi="宋体" w:eastAsia="宋体" w:cs="宋体"/>
                <w:color w:val="auto"/>
                <w:sz w:val="24"/>
              </w:rPr>
            </w:pPr>
          </w:p>
        </w:tc>
      </w:tr>
      <w:tr w14:paraId="7DDB4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132" w:type="dxa"/>
            <w:tcBorders>
              <w:top w:val="single" w:color="auto" w:sz="4" w:space="0"/>
              <w:left w:val="single" w:color="auto" w:sz="4" w:space="0"/>
              <w:bottom w:val="single" w:color="auto" w:sz="4" w:space="0"/>
              <w:right w:val="single" w:color="auto" w:sz="4" w:space="0"/>
            </w:tcBorders>
          </w:tcPr>
          <w:p w14:paraId="33771123">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62D0EB87">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09BA9BEF">
            <w:pPr>
              <w:snapToGrid w:val="0"/>
              <w:spacing w:before="50" w:after="120" w:afterLines="50" w:line="400" w:lineRule="exact"/>
              <w:jc w:val="left"/>
              <w:rPr>
                <w:rFonts w:ascii="宋体" w:hAnsi="宋体" w:eastAsia="宋体" w:cs="宋体"/>
                <w:color w:val="auto"/>
                <w:sz w:val="24"/>
              </w:rPr>
            </w:pPr>
          </w:p>
        </w:tc>
        <w:tc>
          <w:tcPr>
            <w:tcW w:w="2856" w:type="dxa"/>
            <w:tcBorders>
              <w:top w:val="single" w:color="auto" w:sz="4" w:space="0"/>
              <w:left w:val="single" w:color="auto" w:sz="4" w:space="0"/>
              <w:bottom w:val="single" w:color="auto" w:sz="4" w:space="0"/>
              <w:right w:val="single" w:color="auto" w:sz="4" w:space="0"/>
            </w:tcBorders>
          </w:tcPr>
          <w:p w14:paraId="1EFC9E46">
            <w:pPr>
              <w:snapToGrid w:val="0"/>
              <w:spacing w:before="50" w:after="120" w:afterLines="50" w:line="400" w:lineRule="exact"/>
              <w:jc w:val="left"/>
              <w:rPr>
                <w:rFonts w:ascii="宋体" w:hAnsi="宋体" w:eastAsia="宋体" w:cs="宋体"/>
                <w:color w:val="auto"/>
                <w:sz w:val="24"/>
              </w:rPr>
            </w:pPr>
          </w:p>
        </w:tc>
      </w:tr>
      <w:tr w14:paraId="4C969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tcPr>
          <w:p w14:paraId="17BE9F53">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73398B96">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5B23EBC1">
            <w:pPr>
              <w:snapToGrid w:val="0"/>
              <w:spacing w:before="50" w:after="120" w:afterLines="50" w:line="400" w:lineRule="exact"/>
              <w:jc w:val="left"/>
              <w:rPr>
                <w:rFonts w:ascii="宋体" w:hAnsi="宋体" w:eastAsia="宋体" w:cs="宋体"/>
                <w:color w:val="auto"/>
                <w:sz w:val="24"/>
              </w:rPr>
            </w:pPr>
          </w:p>
        </w:tc>
        <w:tc>
          <w:tcPr>
            <w:tcW w:w="2856" w:type="dxa"/>
            <w:tcBorders>
              <w:top w:val="single" w:color="auto" w:sz="4" w:space="0"/>
              <w:left w:val="single" w:color="auto" w:sz="4" w:space="0"/>
              <w:bottom w:val="single" w:color="auto" w:sz="4" w:space="0"/>
              <w:right w:val="single" w:color="auto" w:sz="4" w:space="0"/>
            </w:tcBorders>
          </w:tcPr>
          <w:p w14:paraId="3D0BD4F5">
            <w:pPr>
              <w:snapToGrid w:val="0"/>
              <w:spacing w:before="50" w:after="120" w:afterLines="50" w:line="400" w:lineRule="exact"/>
              <w:jc w:val="left"/>
              <w:rPr>
                <w:rFonts w:ascii="宋体" w:hAnsi="宋体" w:eastAsia="宋体" w:cs="宋体"/>
                <w:color w:val="auto"/>
                <w:sz w:val="24"/>
              </w:rPr>
            </w:pPr>
          </w:p>
        </w:tc>
      </w:tr>
      <w:tr w14:paraId="24C52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tcPr>
          <w:p w14:paraId="1E9EB00E">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6261EAA7">
            <w:pPr>
              <w:snapToGrid w:val="0"/>
              <w:spacing w:before="50" w:after="120" w:afterLines="50" w:line="400" w:lineRule="exact"/>
              <w:jc w:val="left"/>
              <w:rPr>
                <w:rFonts w:ascii="宋体" w:hAnsi="宋体" w:eastAsia="宋体" w:cs="宋体"/>
                <w:color w:val="auto"/>
                <w:sz w:val="24"/>
              </w:rPr>
            </w:pPr>
          </w:p>
        </w:tc>
        <w:tc>
          <w:tcPr>
            <w:tcW w:w="1770" w:type="dxa"/>
            <w:tcBorders>
              <w:top w:val="single" w:color="auto" w:sz="4" w:space="0"/>
              <w:left w:val="single" w:color="auto" w:sz="4" w:space="0"/>
              <w:bottom w:val="single" w:color="auto" w:sz="4" w:space="0"/>
              <w:right w:val="single" w:color="auto" w:sz="4" w:space="0"/>
            </w:tcBorders>
          </w:tcPr>
          <w:p w14:paraId="6FD9DCE2">
            <w:pPr>
              <w:snapToGrid w:val="0"/>
              <w:spacing w:before="50" w:after="120" w:afterLines="50" w:line="400" w:lineRule="exact"/>
              <w:jc w:val="left"/>
              <w:rPr>
                <w:rFonts w:ascii="宋体" w:hAnsi="宋体" w:eastAsia="宋体" w:cs="宋体"/>
                <w:color w:val="auto"/>
                <w:sz w:val="24"/>
              </w:rPr>
            </w:pPr>
          </w:p>
        </w:tc>
        <w:tc>
          <w:tcPr>
            <w:tcW w:w="2856" w:type="dxa"/>
            <w:tcBorders>
              <w:top w:val="single" w:color="auto" w:sz="4" w:space="0"/>
              <w:left w:val="single" w:color="auto" w:sz="4" w:space="0"/>
              <w:bottom w:val="single" w:color="auto" w:sz="4" w:space="0"/>
              <w:right w:val="single" w:color="auto" w:sz="4" w:space="0"/>
            </w:tcBorders>
          </w:tcPr>
          <w:p w14:paraId="372E7A02">
            <w:pPr>
              <w:snapToGrid w:val="0"/>
              <w:spacing w:before="50" w:after="120" w:afterLines="50" w:line="400" w:lineRule="exact"/>
              <w:jc w:val="left"/>
              <w:rPr>
                <w:rFonts w:ascii="宋体" w:hAnsi="宋体" w:eastAsia="宋体" w:cs="宋体"/>
                <w:color w:val="auto"/>
                <w:sz w:val="24"/>
              </w:rPr>
            </w:pPr>
          </w:p>
        </w:tc>
      </w:tr>
    </w:tbl>
    <w:p w14:paraId="23A361E2">
      <w:pPr>
        <w:pStyle w:val="11"/>
        <w:spacing w:before="0" w:after="0" w:line="360" w:lineRule="auto"/>
        <w:contextualSpacing/>
        <w:rPr>
          <w:rFonts w:ascii="宋体" w:hAnsi="宋体" w:eastAsia="宋体" w:cs="宋体"/>
          <w:color w:val="auto"/>
          <w:sz w:val="24"/>
          <w:szCs w:val="24"/>
        </w:rPr>
      </w:pPr>
    </w:p>
    <w:p w14:paraId="5F65247C">
      <w:pPr>
        <w:pStyle w:val="11"/>
        <w:spacing w:before="0" w:after="0" w:line="360" w:lineRule="auto"/>
        <w:contextualSpacing/>
        <w:rPr>
          <w:rFonts w:ascii="宋体" w:hAnsi="宋体" w:eastAsia="宋体" w:cs="宋体"/>
          <w:color w:val="auto"/>
          <w:sz w:val="24"/>
          <w:szCs w:val="24"/>
        </w:rPr>
      </w:pPr>
      <w:r>
        <w:rPr>
          <w:rFonts w:hint="eastAsia" w:ascii="宋体" w:hAnsi="宋体" w:eastAsia="宋体" w:cs="宋体"/>
          <w:color w:val="auto"/>
          <w:sz w:val="24"/>
          <w:szCs w:val="24"/>
        </w:rPr>
        <w:t>注：投标人根据评标标准具体要求附业绩证明材料。</w:t>
      </w:r>
    </w:p>
    <w:p w14:paraId="7FC42E1F">
      <w:pPr>
        <w:pStyle w:val="11"/>
        <w:spacing w:before="0" w:after="0" w:line="360" w:lineRule="auto"/>
        <w:contextualSpacing/>
        <w:jc w:val="left"/>
        <w:rPr>
          <w:rFonts w:ascii="宋体" w:hAnsi="宋体" w:eastAsia="宋体" w:cs="宋体"/>
          <w:color w:val="auto"/>
          <w:sz w:val="24"/>
          <w:szCs w:val="24"/>
        </w:rPr>
      </w:pPr>
    </w:p>
    <w:p w14:paraId="1CD6F25F">
      <w:pPr>
        <w:pStyle w:val="11"/>
        <w:spacing w:before="0" w:after="0" w:line="360" w:lineRule="auto"/>
        <w:contextualSpacing/>
        <w:jc w:val="left"/>
        <w:rPr>
          <w:rFonts w:ascii="宋体" w:hAnsi="宋体" w:eastAsia="宋体" w:cs="宋体"/>
          <w:color w:val="auto"/>
          <w:sz w:val="24"/>
          <w:szCs w:val="24"/>
        </w:rPr>
      </w:pPr>
    </w:p>
    <w:p w14:paraId="338FBC0D">
      <w:pPr>
        <w:pStyle w:val="11"/>
        <w:spacing w:before="0" w:after="0" w:line="360" w:lineRule="auto"/>
        <w:contextualSpacing/>
        <w:jc w:val="left"/>
        <w:rPr>
          <w:rFonts w:ascii="宋体" w:hAnsi="宋体" w:eastAsia="宋体" w:cs="宋体"/>
          <w:color w:val="auto"/>
          <w:sz w:val="24"/>
          <w:szCs w:val="24"/>
        </w:rPr>
      </w:pPr>
    </w:p>
    <w:p w14:paraId="27B0D734">
      <w:pPr>
        <w:pStyle w:val="11"/>
        <w:spacing w:before="0" w:after="0" w:line="360" w:lineRule="auto"/>
        <w:contextualSpacing/>
        <w:jc w:val="left"/>
        <w:rPr>
          <w:rFonts w:ascii="宋体" w:hAnsi="宋体" w:eastAsia="宋体" w:cs="宋体"/>
          <w:color w:val="auto"/>
          <w:sz w:val="24"/>
          <w:szCs w:val="24"/>
          <w:u w:val="single"/>
        </w:rPr>
      </w:pPr>
      <w:r>
        <w:rPr>
          <w:rFonts w:hint="eastAsia" w:ascii="宋体" w:hAnsi="宋体" w:eastAsia="宋体" w:cs="宋体"/>
          <w:color w:val="auto"/>
          <w:sz w:val="24"/>
          <w:szCs w:val="24"/>
        </w:rPr>
        <w:t>法定代表人或者委托代理人（签字）：</w:t>
      </w:r>
      <w:r>
        <w:rPr>
          <w:rFonts w:hint="eastAsia" w:ascii="宋体" w:hAnsi="宋体" w:eastAsia="宋体" w:cs="宋体"/>
          <w:color w:val="auto"/>
          <w:sz w:val="24"/>
          <w:szCs w:val="24"/>
          <w:u w:val="single"/>
        </w:rPr>
        <w:t>　　　　　</w:t>
      </w:r>
    </w:p>
    <w:p w14:paraId="47540D8A">
      <w:pPr>
        <w:spacing w:line="360" w:lineRule="auto"/>
        <w:ind w:right="480"/>
        <w:contextualSpacing/>
        <w:jc w:val="left"/>
        <w:rPr>
          <w:rFonts w:ascii="宋体" w:hAnsi="宋体" w:eastAsia="宋体" w:cs="宋体"/>
          <w:color w:val="auto"/>
          <w:sz w:val="24"/>
          <w:szCs w:val="20"/>
        </w:rPr>
      </w:pPr>
      <w:r>
        <w:rPr>
          <w:rFonts w:hint="eastAsia" w:ascii="宋体" w:hAnsi="宋体" w:eastAsia="宋体" w:cs="宋体"/>
          <w:color w:val="auto"/>
          <w:sz w:val="24"/>
        </w:rPr>
        <w:t xml:space="preserve">投标人（盖公章）：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    月    日</w:t>
      </w:r>
    </w:p>
    <w:p w14:paraId="12C34F58">
      <w:pPr>
        <w:snapToGrid w:val="0"/>
        <w:spacing w:before="50"/>
        <w:ind w:firstLine="480" w:firstLineChars="200"/>
        <w:jc w:val="left"/>
        <w:rPr>
          <w:rFonts w:ascii="宋体" w:hAnsi="宋体" w:eastAsia="宋体" w:cs="宋体"/>
          <w:color w:val="auto"/>
          <w:sz w:val="24"/>
          <w:szCs w:val="20"/>
        </w:rPr>
      </w:pPr>
    </w:p>
    <w:p w14:paraId="547C548F">
      <w:pPr>
        <w:snapToGrid w:val="0"/>
        <w:spacing w:before="50"/>
        <w:jc w:val="left"/>
        <w:rPr>
          <w:rFonts w:ascii="宋体" w:hAnsi="宋体" w:eastAsia="宋体" w:cs="宋体"/>
          <w:color w:val="auto"/>
          <w:sz w:val="24"/>
        </w:rPr>
      </w:pPr>
    </w:p>
    <w:p w14:paraId="777A1EC4">
      <w:pPr>
        <w:snapToGrid w:val="0"/>
        <w:spacing w:before="120" w:beforeLines="50"/>
        <w:rPr>
          <w:rFonts w:ascii="宋体" w:hAnsi="宋体" w:eastAsia="宋体" w:cs="宋体"/>
          <w:color w:val="auto"/>
          <w:sz w:val="24"/>
          <w:szCs w:val="20"/>
        </w:rPr>
        <w:sectPr>
          <w:pgSz w:w="11906" w:h="16838"/>
          <w:pgMar w:top="1361" w:right="1361" w:bottom="1361" w:left="1361" w:header="851" w:footer="992" w:gutter="0"/>
          <w:cols w:space="720" w:num="1"/>
          <w:docGrid w:linePitch="312" w:charSpace="0"/>
        </w:sectPr>
      </w:pPr>
    </w:p>
    <w:p w14:paraId="59C5F804">
      <w:pPr>
        <w:rPr>
          <w:rFonts w:ascii="宋体" w:hAnsi="宋体" w:eastAsia="宋体" w:cs="宋体"/>
          <w:b/>
          <w:color w:val="auto"/>
          <w:sz w:val="28"/>
          <w:szCs w:val="28"/>
        </w:rPr>
      </w:pPr>
      <w:r>
        <w:rPr>
          <w:rFonts w:hint="eastAsia" w:ascii="宋体" w:hAnsi="宋体" w:eastAsia="宋体" w:cs="宋体"/>
          <w:b/>
          <w:color w:val="auto"/>
          <w:sz w:val="28"/>
          <w:szCs w:val="28"/>
        </w:rPr>
        <w:t>四、技术文件格式</w:t>
      </w:r>
    </w:p>
    <w:p w14:paraId="40D97253">
      <w:pPr>
        <w:snapToGrid w:val="0"/>
        <w:spacing w:before="120" w:beforeLines="50" w:after="50"/>
        <w:ind w:left="142"/>
        <w:jc w:val="left"/>
        <w:rPr>
          <w:rFonts w:ascii="宋体" w:hAnsi="宋体" w:eastAsia="宋体" w:cs="宋体"/>
          <w:b/>
          <w:color w:val="auto"/>
          <w:sz w:val="24"/>
        </w:rPr>
      </w:pPr>
      <w:r>
        <w:rPr>
          <w:rFonts w:hint="eastAsia" w:ascii="宋体" w:hAnsi="宋体" w:eastAsia="宋体" w:cs="宋体"/>
          <w:b/>
          <w:color w:val="auto"/>
          <w:sz w:val="24"/>
        </w:rPr>
        <w:t xml:space="preserve">技术文件封面格式： </w:t>
      </w:r>
    </w:p>
    <w:p w14:paraId="5DA089BA">
      <w:pPr>
        <w:snapToGrid w:val="0"/>
        <w:spacing w:before="120" w:beforeLines="50" w:after="50"/>
        <w:rPr>
          <w:rFonts w:ascii="宋体" w:hAnsi="宋体" w:eastAsia="宋体" w:cs="宋体"/>
          <w:b/>
          <w:bCs/>
          <w:color w:val="auto"/>
          <w:sz w:val="32"/>
          <w:szCs w:val="20"/>
        </w:rPr>
      </w:pPr>
      <w:r>
        <w:rPr>
          <w:rFonts w:hint="eastAsia" w:ascii="宋体" w:hAnsi="宋体" w:eastAsia="宋体" w:cs="宋体"/>
          <w:color w:val="auto"/>
          <w:sz w:val="24"/>
        </w:rPr>
        <w:t xml:space="preserve">                                                   </w:t>
      </w:r>
    </w:p>
    <w:p w14:paraId="31229266">
      <w:pPr>
        <w:snapToGrid w:val="0"/>
        <w:spacing w:before="120" w:beforeLines="50" w:after="50"/>
        <w:rPr>
          <w:rFonts w:ascii="宋体" w:hAnsi="宋体" w:eastAsia="宋体" w:cs="宋体"/>
          <w:color w:val="auto"/>
          <w:sz w:val="24"/>
          <w:szCs w:val="20"/>
        </w:rPr>
      </w:pPr>
    </w:p>
    <w:p w14:paraId="1BA53BCA">
      <w:pPr>
        <w:snapToGrid w:val="0"/>
        <w:spacing w:before="120" w:beforeLines="50" w:after="50"/>
        <w:rPr>
          <w:rFonts w:ascii="宋体" w:hAnsi="宋体" w:eastAsia="宋体" w:cs="宋体"/>
          <w:color w:val="auto"/>
          <w:sz w:val="24"/>
          <w:szCs w:val="20"/>
        </w:rPr>
      </w:pPr>
    </w:p>
    <w:p w14:paraId="01A55815">
      <w:pPr>
        <w:snapToGrid w:val="0"/>
        <w:spacing w:before="120" w:beforeLines="50" w:after="50"/>
        <w:jc w:val="center"/>
        <w:rPr>
          <w:rFonts w:ascii="宋体" w:hAnsi="宋体" w:eastAsia="宋体" w:cs="宋体"/>
          <w:color w:val="auto"/>
          <w:sz w:val="84"/>
          <w:szCs w:val="84"/>
        </w:rPr>
      </w:pPr>
      <w:r>
        <w:rPr>
          <w:rFonts w:hint="eastAsia" w:ascii="宋体" w:hAnsi="宋体" w:eastAsia="宋体" w:cs="宋体"/>
          <w:color w:val="auto"/>
          <w:sz w:val="84"/>
          <w:szCs w:val="84"/>
        </w:rPr>
        <w:t>投  标  文  件</w:t>
      </w:r>
    </w:p>
    <w:p w14:paraId="6177227B">
      <w:pPr>
        <w:snapToGrid w:val="0"/>
        <w:spacing w:before="120" w:beforeLines="50" w:after="50"/>
        <w:rPr>
          <w:rFonts w:ascii="宋体" w:hAnsi="宋体" w:eastAsia="宋体" w:cs="宋体"/>
          <w:color w:val="auto"/>
          <w:sz w:val="24"/>
          <w:szCs w:val="20"/>
        </w:rPr>
      </w:pPr>
    </w:p>
    <w:p w14:paraId="347E6A9D">
      <w:pPr>
        <w:snapToGrid w:val="0"/>
        <w:spacing w:before="120" w:beforeLines="50" w:after="50"/>
        <w:rPr>
          <w:rFonts w:ascii="宋体" w:hAnsi="宋体" w:eastAsia="宋体" w:cs="宋体"/>
          <w:color w:val="auto"/>
          <w:sz w:val="24"/>
          <w:szCs w:val="20"/>
        </w:rPr>
      </w:pPr>
    </w:p>
    <w:p w14:paraId="4DE393A3">
      <w:pPr>
        <w:snapToGrid w:val="0"/>
        <w:spacing w:before="120" w:beforeLines="50" w:after="50"/>
        <w:jc w:val="center"/>
        <w:rPr>
          <w:rFonts w:ascii="宋体" w:hAnsi="宋体" w:eastAsia="宋体" w:cs="宋体"/>
          <w:b/>
          <w:bCs/>
          <w:color w:val="auto"/>
          <w:sz w:val="32"/>
          <w:szCs w:val="32"/>
        </w:rPr>
      </w:pPr>
      <w:r>
        <w:rPr>
          <w:rFonts w:hint="eastAsia" w:ascii="宋体" w:hAnsi="宋体" w:eastAsia="宋体" w:cs="宋体"/>
          <w:b/>
          <w:bCs/>
          <w:color w:val="auto"/>
          <w:sz w:val="32"/>
          <w:szCs w:val="32"/>
        </w:rPr>
        <w:t>技  术  文  件</w:t>
      </w:r>
    </w:p>
    <w:p w14:paraId="147DF59F">
      <w:pPr>
        <w:snapToGrid w:val="0"/>
        <w:spacing w:before="120" w:beforeLines="50" w:after="50"/>
        <w:rPr>
          <w:rFonts w:ascii="宋体" w:hAnsi="宋体" w:eastAsia="宋体" w:cs="宋体"/>
          <w:bCs/>
          <w:color w:val="auto"/>
          <w:sz w:val="24"/>
          <w:szCs w:val="20"/>
        </w:rPr>
      </w:pPr>
    </w:p>
    <w:p w14:paraId="2B490DD1">
      <w:pPr>
        <w:snapToGrid w:val="0"/>
        <w:spacing w:before="120" w:beforeLines="50" w:after="50"/>
        <w:rPr>
          <w:rFonts w:ascii="宋体" w:hAnsi="宋体" w:eastAsia="宋体" w:cs="宋体"/>
          <w:bCs/>
          <w:color w:val="auto"/>
          <w:sz w:val="24"/>
          <w:szCs w:val="20"/>
        </w:rPr>
      </w:pPr>
    </w:p>
    <w:p w14:paraId="3A404B7F">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 xml:space="preserve">项目名称+标段： </w:t>
      </w:r>
    </w:p>
    <w:p w14:paraId="60A1199B">
      <w:pPr>
        <w:snapToGrid w:val="0"/>
        <w:spacing w:before="120" w:beforeLines="50" w:after="50" w:line="400" w:lineRule="exact"/>
        <w:ind w:firstLine="360" w:firstLineChars="150"/>
        <w:rPr>
          <w:rFonts w:ascii="宋体" w:hAnsi="宋体" w:eastAsia="宋体" w:cs="宋体"/>
          <w:bCs/>
          <w:color w:val="auto"/>
          <w:sz w:val="24"/>
          <w:szCs w:val="20"/>
        </w:rPr>
      </w:pPr>
    </w:p>
    <w:p w14:paraId="5AF8E122">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 xml:space="preserve">项目编号： </w:t>
      </w:r>
    </w:p>
    <w:p w14:paraId="7E5E058C">
      <w:pPr>
        <w:snapToGrid w:val="0"/>
        <w:spacing w:before="120" w:beforeLines="50" w:after="50" w:line="400" w:lineRule="exact"/>
        <w:ind w:firstLine="360" w:firstLineChars="150"/>
        <w:rPr>
          <w:rFonts w:ascii="宋体" w:hAnsi="宋体" w:eastAsia="宋体" w:cs="宋体"/>
          <w:bCs/>
          <w:color w:val="auto"/>
          <w:sz w:val="24"/>
        </w:rPr>
      </w:pPr>
    </w:p>
    <w:p w14:paraId="53E3A427">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所投分标：</w:t>
      </w:r>
    </w:p>
    <w:p w14:paraId="74DCE7A2">
      <w:pPr>
        <w:snapToGrid w:val="0"/>
        <w:spacing w:before="120" w:beforeLines="50" w:after="50" w:line="400" w:lineRule="exact"/>
        <w:ind w:firstLine="360" w:firstLineChars="150"/>
        <w:rPr>
          <w:rFonts w:ascii="宋体" w:hAnsi="宋体" w:eastAsia="宋体" w:cs="宋体"/>
          <w:bCs/>
          <w:color w:val="auto"/>
          <w:sz w:val="24"/>
        </w:rPr>
      </w:pPr>
    </w:p>
    <w:p w14:paraId="7CC9DAE0">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投标人名称：</w:t>
      </w:r>
    </w:p>
    <w:p w14:paraId="59580760">
      <w:pPr>
        <w:snapToGrid w:val="0"/>
        <w:spacing w:before="120" w:beforeLines="50" w:after="50" w:line="400" w:lineRule="exact"/>
        <w:ind w:firstLine="360" w:firstLineChars="150"/>
        <w:rPr>
          <w:rFonts w:ascii="宋体" w:hAnsi="宋体" w:eastAsia="宋体" w:cs="宋体"/>
          <w:bCs/>
          <w:color w:val="auto"/>
          <w:sz w:val="24"/>
        </w:rPr>
      </w:pPr>
    </w:p>
    <w:p w14:paraId="5C7E7305">
      <w:pPr>
        <w:snapToGrid w:val="0"/>
        <w:spacing w:before="120" w:beforeLines="50" w:after="50" w:line="400" w:lineRule="exact"/>
        <w:ind w:firstLine="360" w:firstLineChars="150"/>
        <w:rPr>
          <w:rFonts w:ascii="宋体" w:hAnsi="宋体" w:eastAsia="宋体" w:cs="宋体"/>
          <w:bCs/>
          <w:color w:val="auto"/>
          <w:sz w:val="24"/>
        </w:rPr>
      </w:pPr>
      <w:r>
        <w:rPr>
          <w:rFonts w:hint="eastAsia" w:ascii="宋体" w:hAnsi="宋体" w:eastAsia="宋体" w:cs="宋体"/>
          <w:bCs/>
          <w:color w:val="auto"/>
          <w:sz w:val="24"/>
        </w:rPr>
        <w:t>投标人地址：</w:t>
      </w:r>
    </w:p>
    <w:p w14:paraId="5DCB2D63">
      <w:pPr>
        <w:snapToGrid w:val="0"/>
        <w:spacing w:before="120" w:beforeLines="50" w:after="50" w:line="400" w:lineRule="exact"/>
        <w:ind w:firstLine="360" w:firstLineChars="150"/>
        <w:rPr>
          <w:rFonts w:ascii="宋体" w:hAnsi="宋体" w:eastAsia="宋体" w:cs="宋体"/>
          <w:bCs/>
          <w:color w:val="auto"/>
          <w:sz w:val="24"/>
        </w:rPr>
      </w:pPr>
    </w:p>
    <w:p w14:paraId="7F4C554A">
      <w:pPr>
        <w:snapToGrid w:val="0"/>
        <w:spacing w:before="120" w:beforeLines="50" w:after="50"/>
        <w:ind w:firstLine="645"/>
        <w:jc w:val="center"/>
        <w:rPr>
          <w:rFonts w:ascii="宋体" w:hAnsi="宋体" w:eastAsia="宋体" w:cs="宋体"/>
          <w:color w:val="auto"/>
          <w:sz w:val="24"/>
        </w:rPr>
      </w:pPr>
      <w:r>
        <w:rPr>
          <w:rFonts w:hint="eastAsia" w:ascii="宋体" w:hAnsi="宋体" w:eastAsia="宋体" w:cs="宋体"/>
          <w:color w:val="auto"/>
          <w:sz w:val="24"/>
        </w:rPr>
        <w:t xml:space="preserve">               </w:t>
      </w:r>
    </w:p>
    <w:p w14:paraId="36688C46">
      <w:pPr>
        <w:snapToGrid w:val="0"/>
        <w:spacing w:before="120" w:beforeLines="50" w:after="50"/>
        <w:ind w:firstLine="645"/>
        <w:jc w:val="center"/>
        <w:rPr>
          <w:rFonts w:ascii="宋体" w:hAnsi="宋体" w:eastAsia="宋体" w:cs="宋体"/>
          <w:color w:val="auto"/>
          <w:sz w:val="24"/>
        </w:rPr>
      </w:pPr>
    </w:p>
    <w:p w14:paraId="18912C66">
      <w:pPr>
        <w:snapToGrid w:val="0"/>
        <w:spacing w:before="120" w:beforeLines="50" w:after="50"/>
        <w:ind w:firstLine="645"/>
        <w:jc w:val="center"/>
        <w:rPr>
          <w:rFonts w:ascii="宋体" w:hAnsi="宋体" w:eastAsia="宋体" w:cs="宋体"/>
          <w:color w:val="auto"/>
          <w:sz w:val="24"/>
        </w:rPr>
      </w:pPr>
      <w:r>
        <w:rPr>
          <w:rFonts w:hint="eastAsia" w:ascii="宋体" w:hAnsi="宋体" w:eastAsia="宋体" w:cs="宋体"/>
          <w:color w:val="auto"/>
          <w:sz w:val="24"/>
        </w:rPr>
        <w:t>年    月    日</w:t>
      </w:r>
    </w:p>
    <w:p w14:paraId="58CD473F">
      <w:pPr>
        <w:snapToGrid w:val="0"/>
        <w:spacing w:before="120" w:beforeLines="50" w:after="50"/>
        <w:ind w:firstLine="645"/>
        <w:jc w:val="center"/>
        <w:rPr>
          <w:rFonts w:ascii="宋体" w:hAnsi="宋体" w:eastAsia="宋体" w:cs="宋体"/>
          <w:color w:val="auto"/>
          <w:sz w:val="24"/>
          <w:szCs w:val="20"/>
        </w:rPr>
      </w:pPr>
    </w:p>
    <w:p w14:paraId="1BC3CF54">
      <w:pPr>
        <w:snapToGrid w:val="0"/>
        <w:spacing w:before="120" w:beforeLines="50" w:after="50"/>
        <w:ind w:left="142"/>
        <w:jc w:val="center"/>
        <w:rPr>
          <w:rFonts w:ascii="宋体" w:hAnsi="宋体" w:eastAsia="宋体" w:cs="宋体"/>
          <w:b/>
          <w:bCs/>
          <w:color w:val="auto"/>
          <w:sz w:val="24"/>
        </w:rPr>
      </w:pPr>
      <w:r>
        <w:rPr>
          <w:rFonts w:hint="eastAsia" w:ascii="宋体" w:hAnsi="宋体" w:eastAsia="宋体" w:cs="宋体"/>
          <w:b/>
          <w:bCs/>
          <w:color w:val="auto"/>
          <w:sz w:val="24"/>
        </w:rPr>
        <w:br w:type="page"/>
      </w:r>
      <w:r>
        <w:rPr>
          <w:rFonts w:hint="eastAsia" w:ascii="宋体" w:hAnsi="宋体" w:eastAsia="宋体" w:cs="宋体"/>
          <w:b/>
          <w:bCs/>
          <w:color w:val="auto"/>
          <w:sz w:val="24"/>
        </w:rPr>
        <w:t>技术文件目录</w:t>
      </w:r>
    </w:p>
    <w:p w14:paraId="67A0DBA7">
      <w:pPr>
        <w:snapToGrid w:val="0"/>
        <w:spacing w:before="50" w:after="120" w:afterLines="50"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根据招标文件规定及投标人提供的材料自行编写目录。</w:t>
      </w:r>
    </w:p>
    <w:p w14:paraId="711F68BE">
      <w:pPr>
        <w:snapToGrid w:val="0"/>
        <w:spacing w:before="120" w:beforeLines="50" w:after="50"/>
        <w:jc w:val="left"/>
        <w:rPr>
          <w:rFonts w:ascii="宋体" w:hAnsi="宋体" w:eastAsia="宋体" w:cs="宋体"/>
          <w:b/>
          <w:color w:val="auto"/>
          <w:sz w:val="24"/>
        </w:rPr>
      </w:pPr>
    </w:p>
    <w:p w14:paraId="1FC6918A">
      <w:pPr>
        <w:snapToGrid w:val="0"/>
        <w:spacing w:before="120" w:beforeLines="50" w:after="50"/>
        <w:ind w:left="142"/>
        <w:jc w:val="left"/>
        <w:rPr>
          <w:rFonts w:ascii="宋体" w:hAnsi="宋体" w:eastAsia="宋体" w:cs="宋体"/>
          <w:b/>
          <w:bCs/>
          <w:color w:val="auto"/>
          <w:sz w:val="30"/>
          <w:szCs w:val="30"/>
        </w:rPr>
      </w:pPr>
      <w:r>
        <w:rPr>
          <w:rFonts w:hint="eastAsia" w:ascii="宋体" w:hAnsi="宋体" w:eastAsia="宋体" w:cs="宋体"/>
          <w:b/>
          <w:color w:val="auto"/>
          <w:sz w:val="24"/>
        </w:rPr>
        <w:br w:type="page"/>
      </w:r>
      <w:r>
        <w:rPr>
          <w:rFonts w:hint="eastAsia" w:ascii="宋体" w:hAnsi="宋体" w:eastAsia="宋体" w:cs="宋体"/>
          <w:b/>
          <w:color w:val="auto"/>
          <w:sz w:val="24"/>
        </w:rPr>
        <w:t>1.设备性能配置清单格式</w:t>
      </w:r>
    </w:p>
    <w:p w14:paraId="7428B183">
      <w:pPr>
        <w:snapToGrid w:val="0"/>
        <w:spacing w:before="120" w:beforeLines="50" w:after="50"/>
        <w:ind w:left="142"/>
        <w:jc w:val="left"/>
        <w:rPr>
          <w:rFonts w:ascii="宋体" w:hAnsi="宋体" w:eastAsia="宋体" w:cs="宋体"/>
          <w:b/>
          <w:color w:val="auto"/>
          <w:sz w:val="24"/>
        </w:rPr>
      </w:pPr>
    </w:p>
    <w:p w14:paraId="3173A8E8">
      <w:pPr>
        <w:snapToGrid w:val="0"/>
        <w:spacing w:before="120" w:beforeLines="50" w:after="50"/>
        <w:ind w:left="142"/>
        <w:jc w:val="center"/>
        <w:rPr>
          <w:rFonts w:ascii="宋体" w:hAnsi="宋体" w:eastAsia="宋体" w:cs="宋体"/>
          <w:b/>
          <w:color w:val="auto"/>
          <w:sz w:val="32"/>
          <w:szCs w:val="32"/>
        </w:rPr>
      </w:pPr>
      <w:r>
        <w:rPr>
          <w:rFonts w:hint="eastAsia" w:ascii="宋体" w:hAnsi="宋体" w:eastAsia="宋体" w:cs="宋体"/>
          <w:b/>
          <w:color w:val="auto"/>
          <w:sz w:val="32"/>
          <w:szCs w:val="32"/>
        </w:rPr>
        <w:t>设备性能配置清单</w:t>
      </w:r>
    </w:p>
    <w:p w14:paraId="13D86C9A">
      <w:pPr>
        <w:pStyle w:val="20"/>
        <w:rPr>
          <w:rFonts w:ascii="宋体" w:hAnsi="宋体" w:eastAsia="宋体" w:cs="宋体"/>
          <w:color w:val="auto"/>
          <w:sz w:val="24"/>
          <w:szCs w:val="24"/>
        </w:rPr>
      </w:pPr>
      <w:r>
        <w:rPr>
          <w:rFonts w:hint="eastAsia" w:ascii="宋体" w:hAnsi="宋体" w:eastAsia="宋体" w:cs="宋体"/>
          <w:color w:val="auto"/>
          <w:sz w:val="24"/>
          <w:szCs w:val="24"/>
        </w:rPr>
        <w:t>所投分标：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分标</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187"/>
        <w:gridCol w:w="766"/>
        <w:gridCol w:w="853"/>
        <w:gridCol w:w="1702"/>
        <w:gridCol w:w="1187"/>
        <w:gridCol w:w="703"/>
        <w:gridCol w:w="1426"/>
      </w:tblGrid>
      <w:tr w14:paraId="7C840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4EE2EB6">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序号</w:t>
            </w:r>
          </w:p>
        </w:tc>
        <w:tc>
          <w:tcPr>
            <w:tcW w:w="1187" w:type="dxa"/>
            <w:tcBorders>
              <w:top w:val="single" w:color="auto" w:sz="4" w:space="0"/>
              <w:left w:val="single" w:color="auto" w:sz="4" w:space="0"/>
              <w:bottom w:val="single" w:color="auto" w:sz="4" w:space="0"/>
              <w:right w:val="single" w:color="auto" w:sz="4" w:space="0"/>
            </w:tcBorders>
            <w:vAlign w:val="center"/>
          </w:tcPr>
          <w:p w14:paraId="36A1B551">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货物名称</w:t>
            </w:r>
          </w:p>
        </w:tc>
        <w:tc>
          <w:tcPr>
            <w:tcW w:w="766" w:type="dxa"/>
            <w:tcBorders>
              <w:top w:val="single" w:color="auto" w:sz="4" w:space="0"/>
              <w:left w:val="single" w:color="auto" w:sz="4" w:space="0"/>
              <w:bottom w:val="single" w:color="auto" w:sz="4" w:space="0"/>
              <w:right w:val="single" w:color="auto" w:sz="4" w:space="0"/>
            </w:tcBorders>
            <w:vAlign w:val="center"/>
          </w:tcPr>
          <w:p w14:paraId="3B617281">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数量及单位</w:t>
            </w:r>
          </w:p>
        </w:tc>
        <w:tc>
          <w:tcPr>
            <w:tcW w:w="853" w:type="dxa"/>
            <w:tcBorders>
              <w:top w:val="single" w:color="auto" w:sz="4" w:space="0"/>
              <w:left w:val="single" w:color="auto" w:sz="4" w:space="0"/>
              <w:bottom w:val="single" w:color="auto" w:sz="4" w:space="0"/>
              <w:right w:val="single" w:color="auto" w:sz="4" w:space="0"/>
            </w:tcBorders>
            <w:vAlign w:val="center"/>
          </w:tcPr>
          <w:p w14:paraId="154D0C8E">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品牌</w:t>
            </w:r>
          </w:p>
        </w:tc>
        <w:tc>
          <w:tcPr>
            <w:tcW w:w="1702" w:type="dxa"/>
            <w:tcBorders>
              <w:top w:val="single" w:color="auto" w:sz="4" w:space="0"/>
              <w:left w:val="single" w:color="auto" w:sz="4" w:space="0"/>
              <w:bottom w:val="single" w:color="auto" w:sz="4" w:space="0"/>
              <w:right w:val="single" w:color="auto" w:sz="4" w:space="0"/>
            </w:tcBorders>
          </w:tcPr>
          <w:p w14:paraId="77246782">
            <w:pPr>
              <w:snapToGrid w:val="0"/>
              <w:spacing w:before="50" w:after="50"/>
              <w:jc w:val="center"/>
              <w:rPr>
                <w:rFonts w:ascii="宋体" w:hAnsi="宋体" w:eastAsia="宋体" w:cs="宋体"/>
                <w:color w:val="auto"/>
                <w:sz w:val="24"/>
              </w:rPr>
            </w:pPr>
          </w:p>
          <w:p w14:paraId="38064EB7">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规格型号</w:t>
            </w:r>
          </w:p>
        </w:tc>
        <w:tc>
          <w:tcPr>
            <w:tcW w:w="1187" w:type="dxa"/>
            <w:tcBorders>
              <w:top w:val="single" w:color="auto" w:sz="4" w:space="0"/>
              <w:left w:val="single" w:color="auto" w:sz="4" w:space="0"/>
              <w:bottom w:val="single" w:color="auto" w:sz="4" w:space="0"/>
              <w:right w:val="single" w:color="auto" w:sz="4" w:space="0"/>
            </w:tcBorders>
            <w:vAlign w:val="center"/>
          </w:tcPr>
          <w:p w14:paraId="6D71D33A">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制造商</w:t>
            </w:r>
          </w:p>
        </w:tc>
        <w:tc>
          <w:tcPr>
            <w:tcW w:w="703" w:type="dxa"/>
            <w:tcBorders>
              <w:top w:val="single" w:color="auto" w:sz="4" w:space="0"/>
              <w:left w:val="single" w:color="auto" w:sz="4" w:space="0"/>
              <w:bottom w:val="single" w:color="auto" w:sz="4" w:space="0"/>
              <w:right w:val="single" w:color="auto" w:sz="4" w:space="0"/>
            </w:tcBorders>
            <w:vAlign w:val="center"/>
          </w:tcPr>
          <w:p w14:paraId="0DC117A9">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原产地</w:t>
            </w:r>
          </w:p>
        </w:tc>
        <w:tc>
          <w:tcPr>
            <w:tcW w:w="1426" w:type="dxa"/>
            <w:tcBorders>
              <w:top w:val="single" w:color="auto" w:sz="4" w:space="0"/>
              <w:left w:val="single" w:color="auto" w:sz="4" w:space="0"/>
              <w:bottom w:val="single" w:color="auto" w:sz="4" w:space="0"/>
              <w:right w:val="single" w:color="auto" w:sz="4" w:space="0"/>
            </w:tcBorders>
            <w:vAlign w:val="center"/>
          </w:tcPr>
          <w:p w14:paraId="22084636">
            <w:pPr>
              <w:snapToGrid w:val="0"/>
              <w:spacing w:before="50" w:after="50"/>
              <w:jc w:val="center"/>
              <w:rPr>
                <w:rFonts w:ascii="宋体" w:hAnsi="宋体" w:eastAsia="宋体" w:cs="宋体"/>
                <w:color w:val="auto"/>
                <w:sz w:val="24"/>
              </w:rPr>
            </w:pPr>
            <w:r>
              <w:rPr>
                <w:rFonts w:hint="eastAsia" w:ascii="宋体" w:hAnsi="宋体" w:eastAsia="宋体" w:cs="宋体"/>
                <w:color w:val="auto"/>
                <w:sz w:val="24"/>
              </w:rPr>
              <w:t>参数性能、指标及配置</w:t>
            </w:r>
          </w:p>
        </w:tc>
      </w:tr>
      <w:tr w14:paraId="03E5B0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02FD43E">
            <w:pPr>
              <w:snapToGrid w:val="0"/>
              <w:spacing w:before="50" w:after="50"/>
              <w:jc w:val="center"/>
              <w:rPr>
                <w:rFonts w:ascii="宋体" w:hAnsi="宋体" w:eastAsia="宋体" w:cs="宋体"/>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14:paraId="1526AD00">
            <w:pPr>
              <w:snapToGrid w:val="0"/>
              <w:spacing w:before="50" w:after="50"/>
              <w:jc w:val="center"/>
              <w:rPr>
                <w:rFonts w:ascii="宋体" w:hAnsi="宋体" w:eastAsia="宋体" w:cs="宋体"/>
                <w:color w:val="auto"/>
                <w:sz w:val="24"/>
              </w:rPr>
            </w:pPr>
          </w:p>
        </w:tc>
        <w:tc>
          <w:tcPr>
            <w:tcW w:w="766" w:type="dxa"/>
            <w:tcBorders>
              <w:top w:val="single" w:color="auto" w:sz="4" w:space="0"/>
              <w:left w:val="single" w:color="auto" w:sz="4" w:space="0"/>
              <w:bottom w:val="single" w:color="auto" w:sz="4" w:space="0"/>
              <w:right w:val="single" w:color="auto" w:sz="4" w:space="0"/>
            </w:tcBorders>
            <w:vAlign w:val="center"/>
          </w:tcPr>
          <w:p w14:paraId="75E87007">
            <w:pPr>
              <w:snapToGrid w:val="0"/>
              <w:spacing w:before="50" w:after="50"/>
              <w:jc w:val="center"/>
              <w:rPr>
                <w:rFonts w:ascii="宋体" w:hAnsi="宋体" w:eastAsia="宋体" w:cs="宋体"/>
                <w:color w:val="auto"/>
                <w:sz w:val="24"/>
              </w:rPr>
            </w:pPr>
          </w:p>
        </w:tc>
        <w:tc>
          <w:tcPr>
            <w:tcW w:w="853" w:type="dxa"/>
            <w:tcBorders>
              <w:top w:val="single" w:color="auto" w:sz="4" w:space="0"/>
              <w:left w:val="single" w:color="auto" w:sz="4" w:space="0"/>
              <w:bottom w:val="single" w:color="auto" w:sz="4" w:space="0"/>
              <w:right w:val="single" w:color="auto" w:sz="4" w:space="0"/>
            </w:tcBorders>
            <w:vAlign w:val="center"/>
          </w:tcPr>
          <w:p w14:paraId="6DA2FCED">
            <w:pPr>
              <w:snapToGrid w:val="0"/>
              <w:spacing w:before="50" w:after="50"/>
              <w:jc w:val="center"/>
              <w:rPr>
                <w:rFonts w:ascii="宋体" w:hAnsi="宋体" w:eastAsia="宋体" w:cs="宋体"/>
                <w:color w:val="auto"/>
                <w:sz w:val="24"/>
              </w:rPr>
            </w:pPr>
          </w:p>
        </w:tc>
        <w:tc>
          <w:tcPr>
            <w:tcW w:w="1702" w:type="dxa"/>
            <w:tcBorders>
              <w:top w:val="single" w:color="auto" w:sz="4" w:space="0"/>
              <w:left w:val="single" w:color="auto" w:sz="4" w:space="0"/>
              <w:bottom w:val="single" w:color="auto" w:sz="4" w:space="0"/>
              <w:right w:val="single" w:color="auto" w:sz="4" w:space="0"/>
            </w:tcBorders>
          </w:tcPr>
          <w:p w14:paraId="2ABD5792">
            <w:pPr>
              <w:snapToGrid w:val="0"/>
              <w:spacing w:before="50" w:after="50"/>
              <w:jc w:val="center"/>
              <w:rPr>
                <w:rFonts w:ascii="宋体" w:hAnsi="宋体" w:eastAsia="宋体" w:cs="宋体"/>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14:paraId="306F205E">
            <w:pPr>
              <w:snapToGrid w:val="0"/>
              <w:spacing w:before="50" w:after="50"/>
              <w:jc w:val="center"/>
              <w:rPr>
                <w:rFonts w:ascii="宋体" w:hAnsi="宋体" w:eastAsia="宋体" w:cs="宋体"/>
                <w:color w:val="auto"/>
                <w:sz w:val="24"/>
              </w:rPr>
            </w:pPr>
          </w:p>
        </w:tc>
        <w:tc>
          <w:tcPr>
            <w:tcW w:w="703" w:type="dxa"/>
            <w:tcBorders>
              <w:top w:val="single" w:color="auto" w:sz="4" w:space="0"/>
              <w:left w:val="single" w:color="auto" w:sz="4" w:space="0"/>
              <w:bottom w:val="single" w:color="auto" w:sz="4" w:space="0"/>
              <w:right w:val="single" w:color="auto" w:sz="4" w:space="0"/>
            </w:tcBorders>
            <w:vAlign w:val="center"/>
          </w:tcPr>
          <w:p w14:paraId="21928681">
            <w:pPr>
              <w:snapToGrid w:val="0"/>
              <w:spacing w:before="50" w:after="50"/>
              <w:jc w:val="center"/>
              <w:rPr>
                <w:rFonts w:ascii="宋体" w:hAnsi="宋体" w:eastAsia="宋体" w:cs="宋体"/>
                <w:color w:val="auto"/>
                <w:sz w:val="24"/>
              </w:rPr>
            </w:pPr>
          </w:p>
        </w:tc>
        <w:tc>
          <w:tcPr>
            <w:tcW w:w="1426" w:type="dxa"/>
            <w:tcBorders>
              <w:top w:val="single" w:color="auto" w:sz="4" w:space="0"/>
              <w:left w:val="single" w:color="auto" w:sz="4" w:space="0"/>
              <w:bottom w:val="single" w:color="auto" w:sz="4" w:space="0"/>
              <w:right w:val="single" w:color="auto" w:sz="4" w:space="0"/>
            </w:tcBorders>
            <w:vAlign w:val="center"/>
          </w:tcPr>
          <w:p w14:paraId="3DFAEA03">
            <w:pPr>
              <w:snapToGrid w:val="0"/>
              <w:spacing w:before="50" w:after="50"/>
              <w:jc w:val="center"/>
              <w:rPr>
                <w:rFonts w:ascii="宋体" w:hAnsi="宋体" w:eastAsia="宋体" w:cs="宋体"/>
                <w:color w:val="auto"/>
                <w:sz w:val="24"/>
              </w:rPr>
            </w:pPr>
          </w:p>
        </w:tc>
      </w:tr>
      <w:tr w14:paraId="51464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8576A60">
            <w:pPr>
              <w:snapToGrid w:val="0"/>
              <w:spacing w:before="50" w:after="50"/>
              <w:jc w:val="center"/>
              <w:rPr>
                <w:rFonts w:ascii="宋体" w:hAnsi="宋体" w:eastAsia="宋体" w:cs="宋体"/>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14:paraId="3AAF5B85">
            <w:pPr>
              <w:snapToGrid w:val="0"/>
              <w:spacing w:before="50" w:after="50"/>
              <w:jc w:val="center"/>
              <w:rPr>
                <w:rFonts w:ascii="宋体" w:hAnsi="宋体" w:eastAsia="宋体" w:cs="宋体"/>
                <w:color w:val="auto"/>
                <w:sz w:val="24"/>
              </w:rPr>
            </w:pPr>
          </w:p>
        </w:tc>
        <w:tc>
          <w:tcPr>
            <w:tcW w:w="766" w:type="dxa"/>
            <w:tcBorders>
              <w:top w:val="single" w:color="auto" w:sz="4" w:space="0"/>
              <w:left w:val="single" w:color="auto" w:sz="4" w:space="0"/>
              <w:bottom w:val="single" w:color="auto" w:sz="4" w:space="0"/>
              <w:right w:val="single" w:color="auto" w:sz="4" w:space="0"/>
            </w:tcBorders>
            <w:vAlign w:val="center"/>
          </w:tcPr>
          <w:p w14:paraId="1EFD8F2A">
            <w:pPr>
              <w:snapToGrid w:val="0"/>
              <w:spacing w:before="50" w:after="50"/>
              <w:jc w:val="center"/>
              <w:rPr>
                <w:rFonts w:ascii="宋体" w:hAnsi="宋体" w:eastAsia="宋体" w:cs="宋体"/>
                <w:color w:val="auto"/>
                <w:sz w:val="24"/>
              </w:rPr>
            </w:pPr>
          </w:p>
        </w:tc>
        <w:tc>
          <w:tcPr>
            <w:tcW w:w="853" w:type="dxa"/>
            <w:tcBorders>
              <w:top w:val="single" w:color="auto" w:sz="4" w:space="0"/>
              <w:left w:val="single" w:color="auto" w:sz="4" w:space="0"/>
              <w:bottom w:val="single" w:color="auto" w:sz="4" w:space="0"/>
              <w:right w:val="single" w:color="auto" w:sz="4" w:space="0"/>
            </w:tcBorders>
            <w:vAlign w:val="center"/>
          </w:tcPr>
          <w:p w14:paraId="1EDC86A4">
            <w:pPr>
              <w:snapToGrid w:val="0"/>
              <w:spacing w:before="50" w:after="50"/>
              <w:jc w:val="center"/>
              <w:rPr>
                <w:rFonts w:ascii="宋体" w:hAnsi="宋体" w:eastAsia="宋体" w:cs="宋体"/>
                <w:color w:val="auto"/>
                <w:sz w:val="24"/>
              </w:rPr>
            </w:pPr>
          </w:p>
        </w:tc>
        <w:tc>
          <w:tcPr>
            <w:tcW w:w="1702" w:type="dxa"/>
            <w:tcBorders>
              <w:top w:val="single" w:color="auto" w:sz="4" w:space="0"/>
              <w:left w:val="single" w:color="auto" w:sz="4" w:space="0"/>
              <w:bottom w:val="single" w:color="auto" w:sz="4" w:space="0"/>
              <w:right w:val="single" w:color="auto" w:sz="4" w:space="0"/>
            </w:tcBorders>
          </w:tcPr>
          <w:p w14:paraId="6FA4D70C">
            <w:pPr>
              <w:snapToGrid w:val="0"/>
              <w:spacing w:before="50" w:after="50"/>
              <w:jc w:val="center"/>
              <w:rPr>
                <w:rFonts w:ascii="宋体" w:hAnsi="宋体" w:eastAsia="宋体" w:cs="宋体"/>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14:paraId="37C14E00">
            <w:pPr>
              <w:snapToGrid w:val="0"/>
              <w:spacing w:before="50" w:after="50"/>
              <w:jc w:val="center"/>
              <w:rPr>
                <w:rFonts w:ascii="宋体" w:hAnsi="宋体" w:eastAsia="宋体" w:cs="宋体"/>
                <w:color w:val="auto"/>
                <w:sz w:val="24"/>
              </w:rPr>
            </w:pPr>
          </w:p>
        </w:tc>
        <w:tc>
          <w:tcPr>
            <w:tcW w:w="703" w:type="dxa"/>
            <w:tcBorders>
              <w:top w:val="single" w:color="auto" w:sz="4" w:space="0"/>
              <w:left w:val="single" w:color="auto" w:sz="4" w:space="0"/>
              <w:bottom w:val="single" w:color="auto" w:sz="4" w:space="0"/>
              <w:right w:val="single" w:color="auto" w:sz="4" w:space="0"/>
            </w:tcBorders>
            <w:vAlign w:val="center"/>
          </w:tcPr>
          <w:p w14:paraId="177AA8B8">
            <w:pPr>
              <w:snapToGrid w:val="0"/>
              <w:spacing w:before="50" w:after="50"/>
              <w:jc w:val="center"/>
              <w:rPr>
                <w:rFonts w:ascii="宋体" w:hAnsi="宋体" w:eastAsia="宋体" w:cs="宋体"/>
                <w:color w:val="auto"/>
                <w:sz w:val="24"/>
              </w:rPr>
            </w:pPr>
          </w:p>
        </w:tc>
        <w:tc>
          <w:tcPr>
            <w:tcW w:w="1426" w:type="dxa"/>
            <w:tcBorders>
              <w:top w:val="single" w:color="auto" w:sz="4" w:space="0"/>
              <w:left w:val="single" w:color="auto" w:sz="4" w:space="0"/>
              <w:bottom w:val="single" w:color="auto" w:sz="4" w:space="0"/>
              <w:right w:val="single" w:color="auto" w:sz="4" w:space="0"/>
            </w:tcBorders>
            <w:vAlign w:val="center"/>
          </w:tcPr>
          <w:p w14:paraId="7E73F241">
            <w:pPr>
              <w:snapToGrid w:val="0"/>
              <w:spacing w:before="50" w:after="50"/>
              <w:jc w:val="center"/>
              <w:rPr>
                <w:rFonts w:ascii="宋体" w:hAnsi="宋体" w:eastAsia="宋体" w:cs="宋体"/>
                <w:color w:val="auto"/>
                <w:sz w:val="24"/>
              </w:rPr>
            </w:pPr>
          </w:p>
        </w:tc>
      </w:tr>
      <w:tr w14:paraId="63EDA1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979C235">
            <w:pPr>
              <w:snapToGrid w:val="0"/>
              <w:spacing w:before="50" w:after="50"/>
              <w:jc w:val="center"/>
              <w:rPr>
                <w:rFonts w:ascii="宋体" w:hAnsi="宋体" w:eastAsia="宋体" w:cs="宋体"/>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14:paraId="0D318111">
            <w:pPr>
              <w:snapToGrid w:val="0"/>
              <w:spacing w:before="50" w:after="50"/>
              <w:jc w:val="center"/>
              <w:rPr>
                <w:rFonts w:ascii="宋体" w:hAnsi="宋体" w:eastAsia="宋体" w:cs="宋体"/>
                <w:color w:val="auto"/>
                <w:sz w:val="24"/>
              </w:rPr>
            </w:pPr>
          </w:p>
        </w:tc>
        <w:tc>
          <w:tcPr>
            <w:tcW w:w="766" w:type="dxa"/>
            <w:tcBorders>
              <w:top w:val="single" w:color="auto" w:sz="4" w:space="0"/>
              <w:left w:val="single" w:color="auto" w:sz="4" w:space="0"/>
              <w:bottom w:val="single" w:color="auto" w:sz="4" w:space="0"/>
              <w:right w:val="single" w:color="auto" w:sz="4" w:space="0"/>
            </w:tcBorders>
            <w:vAlign w:val="center"/>
          </w:tcPr>
          <w:p w14:paraId="33DACB4F">
            <w:pPr>
              <w:snapToGrid w:val="0"/>
              <w:spacing w:before="50" w:after="50"/>
              <w:jc w:val="center"/>
              <w:rPr>
                <w:rFonts w:ascii="宋体" w:hAnsi="宋体" w:eastAsia="宋体" w:cs="宋体"/>
                <w:color w:val="auto"/>
                <w:sz w:val="24"/>
              </w:rPr>
            </w:pPr>
          </w:p>
        </w:tc>
        <w:tc>
          <w:tcPr>
            <w:tcW w:w="853" w:type="dxa"/>
            <w:tcBorders>
              <w:top w:val="single" w:color="auto" w:sz="4" w:space="0"/>
              <w:left w:val="single" w:color="auto" w:sz="4" w:space="0"/>
              <w:bottom w:val="single" w:color="auto" w:sz="4" w:space="0"/>
              <w:right w:val="single" w:color="auto" w:sz="4" w:space="0"/>
            </w:tcBorders>
            <w:vAlign w:val="center"/>
          </w:tcPr>
          <w:p w14:paraId="1DF13262">
            <w:pPr>
              <w:snapToGrid w:val="0"/>
              <w:spacing w:before="50" w:after="50"/>
              <w:jc w:val="center"/>
              <w:rPr>
                <w:rFonts w:ascii="宋体" w:hAnsi="宋体" w:eastAsia="宋体" w:cs="宋体"/>
                <w:color w:val="auto"/>
                <w:sz w:val="24"/>
              </w:rPr>
            </w:pPr>
          </w:p>
        </w:tc>
        <w:tc>
          <w:tcPr>
            <w:tcW w:w="1702" w:type="dxa"/>
            <w:tcBorders>
              <w:top w:val="single" w:color="auto" w:sz="4" w:space="0"/>
              <w:left w:val="single" w:color="auto" w:sz="4" w:space="0"/>
              <w:bottom w:val="single" w:color="auto" w:sz="4" w:space="0"/>
              <w:right w:val="single" w:color="auto" w:sz="4" w:space="0"/>
            </w:tcBorders>
          </w:tcPr>
          <w:p w14:paraId="5DD1C7D1">
            <w:pPr>
              <w:snapToGrid w:val="0"/>
              <w:spacing w:before="50" w:after="50"/>
              <w:jc w:val="center"/>
              <w:rPr>
                <w:rFonts w:ascii="宋体" w:hAnsi="宋体" w:eastAsia="宋体" w:cs="宋体"/>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14:paraId="243DBDF4">
            <w:pPr>
              <w:snapToGrid w:val="0"/>
              <w:spacing w:before="50" w:after="50"/>
              <w:jc w:val="center"/>
              <w:rPr>
                <w:rFonts w:ascii="宋体" w:hAnsi="宋体" w:eastAsia="宋体" w:cs="宋体"/>
                <w:color w:val="auto"/>
                <w:sz w:val="24"/>
              </w:rPr>
            </w:pPr>
          </w:p>
        </w:tc>
        <w:tc>
          <w:tcPr>
            <w:tcW w:w="703" w:type="dxa"/>
            <w:tcBorders>
              <w:top w:val="single" w:color="auto" w:sz="4" w:space="0"/>
              <w:left w:val="single" w:color="auto" w:sz="4" w:space="0"/>
              <w:bottom w:val="single" w:color="auto" w:sz="4" w:space="0"/>
              <w:right w:val="single" w:color="auto" w:sz="4" w:space="0"/>
            </w:tcBorders>
            <w:vAlign w:val="center"/>
          </w:tcPr>
          <w:p w14:paraId="795377F9">
            <w:pPr>
              <w:snapToGrid w:val="0"/>
              <w:spacing w:before="50" w:after="50"/>
              <w:jc w:val="center"/>
              <w:rPr>
                <w:rFonts w:ascii="宋体" w:hAnsi="宋体" w:eastAsia="宋体" w:cs="宋体"/>
                <w:color w:val="auto"/>
                <w:sz w:val="24"/>
              </w:rPr>
            </w:pPr>
          </w:p>
        </w:tc>
        <w:tc>
          <w:tcPr>
            <w:tcW w:w="1426" w:type="dxa"/>
            <w:tcBorders>
              <w:top w:val="single" w:color="auto" w:sz="4" w:space="0"/>
              <w:left w:val="single" w:color="auto" w:sz="4" w:space="0"/>
              <w:bottom w:val="single" w:color="auto" w:sz="4" w:space="0"/>
              <w:right w:val="single" w:color="auto" w:sz="4" w:space="0"/>
            </w:tcBorders>
            <w:vAlign w:val="center"/>
          </w:tcPr>
          <w:p w14:paraId="44216493">
            <w:pPr>
              <w:snapToGrid w:val="0"/>
              <w:spacing w:before="50" w:after="50"/>
              <w:jc w:val="center"/>
              <w:rPr>
                <w:rFonts w:ascii="宋体" w:hAnsi="宋体" w:eastAsia="宋体" w:cs="宋体"/>
                <w:color w:val="auto"/>
                <w:sz w:val="24"/>
              </w:rPr>
            </w:pPr>
          </w:p>
        </w:tc>
      </w:tr>
    </w:tbl>
    <w:p w14:paraId="77157AE5">
      <w:pPr>
        <w:snapToGrid w:val="0"/>
        <w:spacing w:before="50" w:after="50"/>
        <w:rPr>
          <w:rFonts w:ascii="宋体" w:hAnsi="宋体" w:eastAsia="宋体" w:cs="宋体"/>
          <w:color w:val="auto"/>
          <w:sz w:val="24"/>
        </w:rPr>
      </w:pPr>
      <w:r>
        <w:rPr>
          <w:rFonts w:hint="eastAsia" w:ascii="宋体" w:hAnsi="宋体" w:eastAsia="宋体" w:cs="宋体"/>
          <w:color w:val="auto"/>
          <w:sz w:val="24"/>
        </w:rPr>
        <w:t>备注：</w:t>
      </w:r>
    </w:p>
    <w:p w14:paraId="70B58225">
      <w:pPr>
        <w:snapToGrid w:val="0"/>
        <w:spacing w:before="50" w:after="50"/>
        <w:rPr>
          <w:rFonts w:ascii="宋体" w:hAnsi="宋体" w:eastAsia="宋体" w:cs="宋体"/>
          <w:color w:val="auto"/>
          <w:sz w:val="24"/>
        </w:rPr>
      </w:pPr>
      <w:r>
        <w:rPr>
          <w:rFonts w:hint="eastAsia" w:ascii="宋体" w:hAnsi="宋体" w:eastAsia="宋体" w:cs="宋体"/>
          <w:color w:val="auto"/>
          <w:sz w:val="24"/>
        </w:rPr>
        <w:t>以上性能配置清单中“货物名称、数量及单位、品牌、规格型号、制造商、原产地、参数性能、指标及配置”必须如实填写完整，品牌、规格型号没有则填无，填写有缺漏</w:t>
      </w:r>
      <w:r>
        <w:rPr>
          <w:rFonts w:hint="eastAsia" w:ascii="宋体" w:hAnsi="宋体" w:eastAsia="宋体" w:cs="宋体"/>
          <w:bCs/>
          <w:color w:val="auto"/>
          <w:sz w:val="24"/>
        </w:rPr>
        <w:t>的，</w:t>
      </w:r>
      <w:r>
        <w:rPr>
          <w:rFonts w:hint="eastAsia" w:ascii="宋体" w:hAnsi="宋体" w:eastAsia="宋体" w:cs="宋体"/>
          <w:b/>
          <w:color w:val="auto"/>
          <w:sz w:val="24"/>
        </w:rPr>
        <w:t>作无效投标处理。</w:t>
      </w:r>
      <w:r>
        <w:rPr>
          <w:rFonts w:hint="eastAsia" w:ascii="宋体" w:hAnsi="宋体" w:eastAsia="宋体" w:cs="宋体"/>
          <w:color w:val="auto"/>
          <w:sz w:val="24"/>
        </w:rPr>
        <w:t>货物名称、数量及单位、品牌必须与“开标一览表”一致，</w:t>
      </w:r>
      <w:r>
        <w:rPr>
          <w:rFonts w:hint="eastAsia" w:ascii="宋体" w:hAnsi="宋体" w:eastAsia="宋体" w:cs="宋体"/>
          <w:b/>
          <w:color w:val="auto"/>
          <w:sz w:val="24"/>
        </w:rPr>
        <w:t>否则作无效投标处理。</w:t>
      </w:r>
    </w:p>
    <w:p w14:paraId="164C526A">
      <w:pPr>
        <w:snapToGrid w:val="0"/>
        <w:spacing w:before="50" w:after="50"/>
        <w:rPr>
          <w:rFonts w:ascii="宋体" w:hAnsi="宋体" w:eastAsia="宋体" w:cs="宋体"/>
          <w:color w:val="auto"/>
          <w:sz w:val="24"/>
        </w:rPr>
      </w:pPr>
    </w:p>
    <w:p w14:paraId="2E31B3F3">
      <w:pPr>
        <w:snapToGrid w:val="0"/>
        <w:spacing w:before="50" w:after="50"/>
        <w:rPr>
          <w:rFonts w:ascii="宋体" w:hAnsi="宋体" w:eastAsia="宋体" w:cs="宋体"/>
          <w:color w:val="auto"/>
          <w:sz w:val="24"/>
        </w:rPr>
      </w:pPr>
    </w:p>
    <w:p w14:paraId="429E043C">
      <w:pPr>
        <w:snapToGrid w:val="0"/>
        <w:spacing w:before="50" w:after="50" w:line="360" w:lineRule="auto"/>
        <w:rPr>
          <w:rFonts w:ascii="宋体" w:hAnsi="宋体" w:eastAsia="宋体" w:cs="宋体"/>
          <w:color w:val="auto"/>
          <w:spacing w:val="20"/>
          <w:sz w:val="24"/>
          <w:u w:val="single"/>
        </w:rPr>
      </w:pPr>
      <w:r>
        <w:rPr>
          <w:rFonts w:hint="eastAsia" w:ascii="宋体" w:hAnsi="宋体" w:eastAsia="宋体" w:cs="宋体"/>
          <w:color w:val="auto"/>
          <w:sz w:val="24"/>
        </w:rPr>
        <w:t>法定代表人或者委托代理人</w:t>
      </w:r>
      <w:r>
        <w:rPr>
          <w:rFonts w:hint="eastAsia" w:ascii="宋体" w:hAnsi="宋体" w:eastAsia="宋体" w:cs="宋体"/>
          <w:color w:val="auto"/>
          <w:spacing w:val="20"/>
          <w:sz w:val="24"/>
        </w:rPr>
        <w:t>（签字）：</w:t>
      </w:r>
      <w:r>
        <w:rPr>
          <w:rFonts w:hint="eastAsia" w:ascii="宋体" w:hAnsi="宋体" w:eastAsia="宋体" w:cs="宋体"/>
          <w:color w:val="auto"/>
          <w:spacing w:val="20"/>
          <w:sz w:val="24"/>
          <w:u w:val="single"/>
        </w:rPr>
        <w:t xml:space="preserve">        </w:t>
      </w:r>
    </w:p>
    <w:p w14:paraId="2B10A858">
      <w:pPr>
        <w:snapToGrid w:val="0"/>
        <w:spacing w:before="50" w:after="50" w:line="360" w:lineRule="auto"/>
        <w:rPr>
          <w:rFonts w:ascii="宋体" w:hAnsi="宋体" w:eastAsia="宋体" w:cs="宋体"/>
          <w:color w:val="auto"/>
          <w:spacing w:val="20"/>
          <w:sz w:val="24"/>
        </w:rPr>
      </w:pPr>
      <w:r>
        <w:rPr>
          <w:rFonts w:hint="eastAsia" w:ascii="宋体" w:hAnsi="宋体" w:eastAsia="宋体" w:cs="宋体"/>
          <w:color w:val="auto"/>
          <w:spacing w:val="20"/>
          <w:sz w:val="24"/>
        </w:rPr>
        <w:t>投标人（盖公章）：</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p>
    <w:p w14:paraId="0932A279">
      <w:pPr>
        <w:snapToGrid w:val="0"/>
        <w:spacing w:before="50" w:after="50" w:line="360" w:lineRule="auto"/>
        <w:rPr>
          <w:rFonts w:ascii="宋体" w:hAnsi="宋体" w:eastAsia="宋体" w:cs="宋体"/>
          <w:color w:val="auto"/>
          <w:sz w:val="24"/>
          <w:szCs w:val="20"/>
        </w:rPr>
      </w:pPr>
      <w:r>
        <w:rPr>
          <w:rFonts w:hint="eastAsia" w:ascii="宋体" w:hAnsi="宋体" w:eastAsia="宋体" w:cs="宋体"/>
          <w:color w:val="auto"/>
          <w:spacing w:val="20"/>
          <w:sz w:val="24"/>
        </w:rPr>
        <w:t>日 期：</w:t>
      </w:r>
      <w:r>
        <w:rPr>
          <w:rFonts w:hint="eastAsia" w:ascii="宋体" w:hAnsi="宋体" w:eastAsia="宋体" w:cs="宋体"/>
          <w:color w:val="auto"/>
          <w:spacing w:val="20"/>
          <w:sz w:val="24"/>
          <w:u w:val="single"/>
        </w:rPr>
        <w:t xml:space="preserve">        </w:t>
      </w:r>
    </w:p>
    <w:p w14:paraId="118C25CA">
      <w:pPr>
        <w:spacing w:line="500" w:lineRule="exact"/>
        <w:jc w:val="center"/>
        <w:rPr>
          <w:rFonts w:ascii="宋体" w:hAnsi="宋体" w:eastAsia="宋体" w:cs="宋体"/>
          <w:b/>
          <w:bCs/>
          <w:color w:val="auto"/>
          <w:sz w:val="30"/>
          <w:szCs w:val="30"/>
        </w:rPr>
      </w:pPr>
    </w:p>
    <w:p w14:paraId="36397657">
      <w:pPr>
        <w:snapToGrid w:val="0"/>
        <w:spacing w:before="120" w:beforeLines="50" w:after="50"/>
        <w:ind w:left="142"/>
        <w:jc w:val="left"/>
        <w:rPr>
          <w:rFonts w:ascii="宋体" w:hAnsi="宋体" w:eastAsia="宋体" w:cs="宋体"/>
          <w:b/>
          <w:color w:val="auto"/>
          <w:sz w:val="24"/>
        </w:rPr>
      </w:pPr>
      <w:r>
        <w:rPr>
          <w:rFonts w:hint="eastAsia" w:ascii="宋体" w:hAnsi="宋体" w:eastAsia="宋体" w:cs="宋体"/>
          <w:b/>
          <w:bCs/>
          <w:color w:val="auto"/>
          <w:sz w:val="30"/>
          <w:szCs w:val="30"/>
        </w:rPr>
        <w:br w:type="page"/>
      </w:r>
      <w:r>
        <w:rPr>
          <w:rFonts w:hint="eastAsia" w:ascii="宋体" w:hAnsi="宋体" w:eastAsia="宋体" w:cs="宋体"/>
          <w:b/>
          <w:color w:val="auto"/>
          <w:sz w:val="24"/>
        </w:rPr>
        <w:t>2. 技术要求偏离表格式</w:t>
      </w:r>
    </w:p>
    <w:p w14:paraId="68352FA4">
      <w:pPr>
        <w:snapToGrid w:val="0"/>
        <w:spacing w:before="120" w:beforeLines="50" w:after="50"/>
        <w:ind w:left="142"/>
        <w:jc w:val="left"/>
        <w:rPr>
          <w:rFonts w:ascii="宋体" w:hAnsi="宋体" w:eastAsia="宋体" w:cs="宋体"/>
          <w:b/>
          <w:color w:val="auto"/>
          <w:sz w:val="24"/>
        </w:rPr>
      </w:pPr>
    </w:p>
    <w:p w14:paraId="1E04E963">
      <w:pPr>
        <w:snapToGrid w:val="0"/>
        <w:spacing w:before="120" w:beforeLines="50" w:after="50"/>
        <w:ind w:left="142"/>
        <w:jc w:val="center"/>
        <w:rPr>
          <w:rFonts w:ascii="宋体" w:hAnsi="宋体" w:eastAsia="宋体" w:cs="宋体"/>
          <w:b/>
          <w:color w:val="auto"/>
          <w:sz w:val="32"/>
          <w:szCs w:val="32"/>
        </w:rPr>
      </w:pPr>
      <w:r>
        <w:rPr>
          <w:rFonts w:hint="eastAsia" w:ascii="宋体" w:hAnsi="宋体" w:eastAsia="宋体" w:cs="宋体"/>
          <w:b/>
          <w:color w:val="auto"/>
          <w:sz w:val="32"/>
          <w:szCs w:val="32"/>
        </w:rPr>
        <w:t>技术要求偏离表</w:t>
      </w:r>
    </w:p>
    <w:p w14:paraId="62A79C34">
      <w:pPr>
        <w:spacing w:line="360" w:lineRule="auto"/>
        <w:ind w:firstLine="420" w:firstLineChars="200"/>
        <w:rPr>
          <w:rFonts w:ascii="宋体" w:hAnsi="宋体" w:eastAsia="宋体" w:cs="宋体"/>
          <w:bCs/>
          <w:color w:val="auto"/>
          <w:szCs w:val="21"/>
        </w:rPr>
      </w:pPr>
      <w:r>
        <w:rPr>
          <w:rFonts w:hint="eastAsia" w:ascii="宋体" w:hAnsi="宋体" w:eastAsia="宋体" w:cs="宋体"/>
          <w:bCs/>
          <w:color w:val="auto"/>
          <w:szCs w:val="21"/>
        </w:rPr>
        <w:t>请根据所投货物的实际技术参数，</w:t>
      </w:r>
      <w:r>
        <w:rPr>
          <w:rFonts w:hint="eastAsia" w:ascii="宋体" w:hAnsi="宋体" w:eastAsia="宋体" w:cs="宋体"/>
          <w:b/>
          <w:color w:val="auto"/>
          <w:szCs w:val="21"/>
        </w:rPr>
        <w:t>逐条对应</w:t>
      </w:r>
      <w:r>
        <w:rPr>
          <w:rFonts w:hint="eastAsia" w:ascii="宋体" w:hAnsi="宋体" w:eastAsia="宋体" w:cs="宋体"/>
          <w:bCs/>
          <w:color w:val="auto"/>
          <w:szCs w:val="21"/>
        </w:rPr>
        <w:t>本项目招标文件第二章“货物需求一览表”中的</w:t>
      </w:r>
      <w:r>
        <w:rPr>
          <w:rFonts w:hint="eastAsia" w:ascii="宋体" w:hAnsi="宋体" w:eastAsia="宋体" w:cs="宋体"/>
          <w:b/>
          <w:color w:val="auto"/>
          <w:sz w:val="24"/>
        </w:rPr>
        <w:t>技术参数及性能配置要求</w:t>
      </w:r>
      <w:r>
        <w:rPr>
          <w:rFonts w:hint="eastAsia" w:ascii="宋体" w:hAnsi="宋体" w:eastAsia="宋体" w:cs="宋体"/>
          <w:bCs/>
          <w:color w:val="auto"/>
          <w:szCs w:val="21"/>
        </w:rPr>
        <w:t>填写相应的具体内容。“偏离说明”一栏应当选择“正偏离”、“负偏离”或“无偏离”进行填写。</w:t>
      </w:r>
    </w:p>
    <w:p w14:paraId="30689981">
      <w:pPr>
        <w:pStyle w:val="20"/>
        <w:rPr>
          <w:rFonts w:ascii="宋体" w:hAnsi="宋体" w:eastAsia="宋体" w:cs="宋体"/>
          <w:color w:val="auto"/>
          <w:sz w:val="24"/>
          <w:szCs w:val="24"/>
        </w:rPr>
      </w:pPr>
    </w:p>
    <w:p w14:paraId="2BFBA9A7">
      <w:pPr>
        <w:pStyle w:val="20"/>
        <w:rPr>
          <w:rFonts w:ascii="宋体" w:hAnsi="宋体" w:eastAsia="宋体" w:cs="宋体"/>
          <w:color w:val="auto"/>
          <w:sz w:val="24"/>
          <w:szCs w:val="24"/>
        </w:rPr>
      </w:pPr>
      <w:r>
        <w:rPr>
          <w:rFonts w:hint="eastAsia" w:ascii="宋体" w:hAnsi="宋体" w:eastAsia="宋体" w:cs="宋体"/>
          <w:color w:val="auto"/>
          <w:sz w:val="24"/>
          <w:szCs w:val="24"/>
        </w:rPr>
        <w:t>所投分标：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分标（如有）</w:t>
      </w:r>
    </w:p>
    <w:p w14:paraId="7FAD9866">
      <w:pPr>
        <w:pStyle w:val="10"/>
        <w:rPr>
          <w:color w:val="auto"/>
        </w:rPr>
      </w:pPr>
    </w:p>
    <w:tbl>
      <w:tblPr>
        <w:tblStyle w:val="3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28CD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30F080E3">
            <w:pPr>
              <w:pStyle w:val="20"/>
              <w:spacing w:line="400" w:lineRule="exact"/>
              <w:jc w:val="center"/>
              <w:rPr>
                <w:rFonts w:ascii="宋体" w:hAnsi="宋体" w:eastAsia="宋体" w:cs="宋体"/>
                <w:color w:val="auto"/>
                <w:sz w:val="24"/>
                <w:szCs w:val="24"/>
              </w:rPr>
            </w:pPr>
            <w:r>
              <w:rPr>
                <w:rFonts w:hint="eastAsia" w:ascii="宋体" w:hAnsi="宋体" w:eastAsia="宋体" w:cs="宋体"/>
                <w:color w:val="auto"/>
                <w:sz w:val="24"/>
                <w:szCs w:val="24"/>
              </w:rPr>
              <w:t>项号</w:t>
            </w:r>
          </w:p>
        </w:tc>
        <w:tc>
          <w:tcPr>
            <w:tcW w:w="2143" w:type="dxa"/>
            <w:vAlign w:val="center"/>
          </w:tcPr>
          <w:p w14:paraId="3B9F11FC">
            <w:pPr>
              <w:pStyle w:val="20"/>
              <w:spacing w:line="400" w:lineRule="exact"/>
              <w:jc w:val="center"/>
              <w:rPr>
                <w:rFonts w:ascii="宋体" w:hAnsi="宋体" w:eastAsia="宋体" w:cs="宋体"/>
                <w:color w:val="auto"/>
                <w:sz w:val="24"/>
                <w:szCs w:val="24"/>
              </w:rPr>
            </w:pPr>
            <w:r>
              <w:rPr>
                <w:rFonts w:hint="eastAsia" w:ascii="宋体" w:hAnsi="宋体" w:eastAsia="宋体" w:cs="宋体"/>
                <w:color w:val="auto"/>
                <w:sz w:val="24"/>
                <w:szCs w:val="24"/>
              </w:rPr>
              <w:t>货物名称</w:t>
            </w:r>
          </w:p>
        </w:tc>
        <w:tc>
          <w:tcPr>
            <w:tcW w:w="1834" w:type="dxa"/>
            <w:vAlign w:val="center"/>
          </w:tcPr>
          <w:p w14:paraId="62680F1E">
            <w:pPr>
              <w:pStyle w:val="20"/>
              <w:spacing w:line="400" w:lineRule="exact"/>
              <w:jc w:val="center"/>
              <w:rPr>
                <w:rFonts w:ascii="宋体" w:hAnsi="宋体" w:eastAsia="宋体" w:cs="宋体"/>
                <w:color w:val="auto"/>
                <w:szCs w:val="21"/>
              </w:rPr>
            </w:pPr>
            <w:r>
              <w:rPr>
                <w:rFonts w:hint="eastAsia" w:ascii="宋体" w:hAnsi="宋体" w:eastAsia="宋体" w:cs="宋体"/>
                <w:color w:val="auto"/>
                <w:szCs w:val="21"/>
              </w:rPr>
              <w:t>招标文件</w:t>
            </w:r>
          </w:p>
          <w:p w14:paraId="5730BA6F">
            <w:pPr>
              <w:pStyle w:val="20"/>
              <w:spacing w:line="400" w:lineRule="exact"/>
              <w:jc w:val="center"/>
              <w:rPr>
                <w:rFonts w:ascii="宋体" w:hAnsi="宋体" w:eastAsia="宋体" w:cs="宋体"/>
                <w:color w:val="auto"/>
                <w:sz w:val="24"/>
                <w:szCs w:val="24"/>
              </w:rPr>
            </w:pPr>
            <w:r>
              <w:rPr>
                <w:rFonts w:hint="eastAsia" w:ascii="宋体" w:hAnsi="宋体" w:eastAsia="宋体" w:cs="宋体"/>
                <w:color w:val="auto"/>
                <w:szCs w:val="21"/>
              </w:rPr>
              <w:t>货物参数</w:t>
            </w:r>
          </w:p>
        </w:tc>
        <w:tc>
          <w:tcPr>
            <w:tcW w:w="2181" w:type="dxa"/>
            <w:vAlign w:val="center"/>
          </w:tcPr>
          <w:p w14:paraId="7A3887EE">
            <w:pPr>
              <w:pStyle w:val="20"/>
              <w:spacing w:line="400" w:lineRule="exact"/>
              <w:jc w:val="center"/>
              <w:rPr>
                <w:rFonts w:ascii="宋体" w:hAnsi="宋体" w:eastAsia="宋体" w:cs="宋体"/>
                <w:color w:val="auto"/>
                <w:sz w:val="24"/>
                <w:szCs w:val="24"/>
              </w:rPr>
            </w:pPr>
            <w:r>
              <w:rPr>
                <w:rFonts w:hint="eastAsia" w:ascii="宋体" w:hAnsi="宋体" w:eastAsia="宋体" w:cs="宋体"/>
                <w:color w:val="auto"/>
                <w:sz w:val="24"/>
                <w:szCs w:val="24"/>
              </w:rPr>
              <w:t>投标响应</w:t>
            </w:r>
          </w:p>
        </w:tc>
        <w:tc>
          <w:tcPr>
            <w:tcW w:w="1934" w:type="dxa"/>
            <w:vAlign w:val="center"/>
          </w:tcPr>
          <w:p w14:paraId="4842AD1C">
            <w:pPr>
              <w:pStyle w:val="20"/>
              <w:spacing w:line="400" w:lineRule="exact"/>
              <w:jc w:val="center"/>
              <w:rPr>
                <w:rFonts w:ascii="宋体" w:hAnsi="宋体" w:eastAsia="宋体" w:cs="宋体"/>
                <w:color w:val="auto"/>
                <w:sz w:val="24"/>
                <w:szCs w:val="24"/>
              </w:rPr>
            </w:pPr>
            <w:r>
              <w:rPr>
                <w:rFonts w:hint="eastAsia" w:ascii="宋体" w:hAnsi="宋体" w:eastAsia="宋体" w:cs="宋体"/>
                <w:color w:val="auto"/>
                <w:sz w:val="24"/>
                <w:szCs w:val="24"/>
              </w:rPr>
              <w:t>偏离说明</w:t>
            </w:r>
          </w:p>
        </w:tc>
      </w:tr>
      <w:tr w14:paraId="5CF0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2325663">
            <w:pPr>
              <w:pStyle w:val="20"/>
              <w:spacing w:line="600" w:lineRule="exact"/>
              <w:jc w:val="center"/>
              <w:rPr>
                <w:rFonts w:ascii="宋体" w:hAnsi="宋体" w:eastAsia="宋体" w:cs="宋体"/>
                <w:color w:val="auto"/>
                <w:sz w:val="24"/>
                <w:szCs w:val="24"/>
              </w:rPr>
            </w:pPr>
          </w:p>
        </w:tc>
        <w:tc>
          <w:tcPr>
            <w:tcW w:w="2143" w:type="dxa"/>
            <w:vAlign w:val="center"/>
          </w:tcPr>
          <w:p w14:paraId="67CBCE97">
            <w:pPr>
              <w:pStyle w:val="20"/>
              <w:spacing w:line="600" w:lineRule="exact"/>
              <w:jc w:val="center"/>
              <w:rPr>
                <w:rFonts w:ascii="宋体" w:hAnsi="宋体" w:eastAsia="宋体" w:cs="宋体"/>
                <w:color w:val="auto"/>
                <w:sz w:val="24"/>
                <w:szCs w:val="24"/>
              </w:rPr>
            </w:pPr>
          </w:p>
        </w:tc>
        <w:tc>
          <w:tcPr>
            <w:tcW w:w="1834" w:type="dxa"/>
            <w:vAlign w:val="center"/>
          </w:tcPr>
          <w:p w14:paraId="6C1CE572">
            <w:pPr>
              <w:pStyle w:val="20"/>
              <w:spacing w:line="600" w:lineRule="exact"/>
              <w:jc w:val="center"/>
              <w:rPr>
                <w:rFonts w:ascii="宋体" w:hAnsi="宋体" w:eastAsia="宋体" w:cs="宋体"/>
                <w:color w:val="auto"/>
                <w:sz w:val="24"/>
                <w:szCs w:val="24"/>
              </w:rPr>
            </w:pPr>
          </w:p>
        </w:tc>
        <w:tc>
          <w:tcPr>
            <w:tcW w:w="2181" w:type="dxa"/>
            <w:vAlign w:val="center"/>
          </w:tcPr>
          <w:p w14:paraId="76C4FE9F">
            <w:pPr>
              <w:pStyle w:val="20"/>
              <w:spacing w:line="600" w:lineRule="exact"/>
              <w:jc w:val="center"/>
              <w:rPr>
                <w:rFonts w:ascii="宋体" w:hAnsi="宋体" w:eastAsia="宋体" w:cs="宋体"/>
                <w:color w:val="auto"/>
                <w:sz w:val="24"/>
                <w:szCs w:val="24"/>
              </w:rPr>
            </w:pPr>
          </w:p>
        </w:tc>
        <w:tc>
          <w:tcPr>
            <w:tcW w:w="1934" w:type="dxa"/>
            <w:vAlign w:val="center"/>
          </w:tcPr>
          <w:p w14:paraId="6B95EF9B">
            <w:pPr>
              <w:pStyle w:val="20"/>
              <w:spacing w:line="600" w:lineRule="exact"/>
              <w:jc w:val="center"/>
              <w:rPr>
                <w:rFonts w:ascii="宋体" w:hAnsi="宋体" w:eastAsia="宋体" w:cs="宋体"/>
                <w:color w:val="auto"/>
                <w:sz w:val="24"/>
                <w:szCs w:val="24"/>
              </w:rPr>
            </w:pPr>
            <w:r>
              <w:rPr>
                <w:rFonts w:hint="eastAsia" w:ascii="宋体" w:hAnsi="宋体" w:eastAsia="宋体" w:cs="宋体"/>
                <w:color w:val="auto"/>
                <w:szCs w:val="21"/>
              </w:rPr>
              <w:t>正偏离（负偏离或无偏离）</w:t>
            </w:r>
          </w:p>
        </w:tc>
      </w:tr>
      <w:tr w14:paraId="4C3A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C65059D">
            <w:pPr>
              <w:pStyle w:val="20"/>
              <w:spacing w:line="600" w:lineRule="exact"/>
              <w:rPr>
                <w:rFonts w:ascii="宋体" w:hAnsi="宋体" w:eastAsia="宋体" w:cs="宋体"/>
                <w:color w:val="auto"/>
                <w:sz w:val="24"/>
                <w:szCs w:val="24"/>
              </w:rPr>
            </w:pPr>
          </w:p>
        </w:tc>
        <w:tc>
          <w:tcPr>
            <w:tcW w:w="2143" w:type="dxa"/>
          </w:tcPr>
          <w:p w14:paraId="0BA8441F">
            <w:pPr>
              <w:pStyle w:val="20"/>
              <w:spacing w:line="600" w:lineRule="exact"/>
              <w:rPr>
                <w:rFonts w:ascii="宋体" w:hAnsi="宋体" w:eastAsia="宋体" w:cs="宋体"/>
                <w:color w:val="auto"/>
                <w:sz w:val="24"/>
                <w:szCs w:val="24"/>
              </w:rPr>
            </w:pPr>
          </w:p>
        </w:tc>
        <w:tc>
          <w:tcPr>
            <w:tcW w:w="1834" w:type="dxa"/>
          </w:tcPr>
          <w:p w14:paraId="6819CA79">
            <w:pPr>
              <w:pStyle w:val="20"/>
              <w:spacing w:line="600" w:lineRule="exact"/>
              <w:rPr>
                <w:rFonts w:ascii="宋体" w:hAnsi="宋体" w:eastAsia="宋体" w:cs="宋体"/>
                <w:color w:val="auto"/>
                <w:sz w:val="24"/>
                <w:szCs w:val="24"/>
              </w:rPr>
            </w:pPr>
          </w:p>
        </w:tc>
        <w:tc>
          <w:tcPr>
            <w:tcW w:w="2181" w:type="dxa"/>
          </w:tcPr>
          <w:p w14:paraId="247AA89C">
            <w:pPr>
              <w:pStyle w:val="20"/>
              <w:spacing w:line="600" w:lineRule="exact"/>
              <w:rPr>
                <w:rFonts w:ascii="宋体" w:hAnsi="宋体" w:eastAsia="宋体" w:cs="宋体"/>
                <w:color w:val="auto"/>
                <w:sz w:val="24"/>
                <w:szCs w:val="24"/>
              </w:rPr>
            </w:pPr>
          </w:p>
        </w:tc>
        <w:tc>
          <w:tcPr>
            <w:tcW w:w="1934" w:type="dxa"/>
          </w:tcPr>
          <w:p w14:paraId="74EBD28F">
            <w:pPr>
              <w:pStyle w:val="20"/>
              <w:spacing w:line="600" w:lineRule="exact"/>
              <w:jc w:val="center"/>
              <w:rPr>
                <w:rFonts w:ascii="宋体" w:hAnsi="宋体" w:eastAsia="宋体" w:cs="宋体"/>
                <w:color w:val="auto"/>
                <w:sz w:val="24"/>
                <w:szCs w:val="24"/>
              </w:rPr>
            </w:pPr>
            <w:r>
              <w:rPr>
                <w:rFonts w:hint="eastAsia" w:ascii="宋体" w:hAnsi="宋体" w:eastAsia="宋体" w:cs="宋体"/>
                <w:color w:val="auto"/>
                <w:szCs w:val="21"/>
              </w:rPr>
              <w:t>正偏离（负偏离或无偏离）</w:t>
            </w:r>
          </w:p>
        </w:tc>
      </w:tr>
      <w:tr w14:paraId="6762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A33D5C5">
            <w:pPr>
              <w:pStyle w:val="20"/>
              <w:spacing w:line="600" w:lineRule="exact"/>
              <w:rPr>
                <w:rFonts w:ascii="宋体" w:hAnsi="宋体" w:eastAsia="宋体" w:cs="宋体"/>
                <w:color w:val="auto"/>
                <w:sz w:val="24"/>
                <w:szCs w:val="24"/>
              </w:rPr>
            </w:pPr>
            <w:r>
              <w:rPr>
                <w:rFonts w:hint="eastAsia" w:ascii="宋体" w:hAnsi="宋体" w:eastAsia="宋体" w:cs="宋体"/>
                <w:color w:val="auto"/>
                <w:szCs w:val="21"/>
              </w:rPr>
              <w:t>……</w:t>
            </w:r>
          </w:p>
        </w:tc>
        <w:tc>
          <w:tcPr>
            <w:tcW w:w="2143" w:type="dxa"/>
          </w:tcPr>
          <w:p w14:paraId="4A9C5E4F">
            <w:pPr>
              <w:pStyle w:val="20"/>
              <w:spacing w:line="600" w:lineRule="exact"/>
              <w:rPr>
                <w:rFonts w:ascii="宋体" w:hAnsi="宋体" w:eastAsia="宋体" w:cs="宋体"/>
                <w:color w:val="auto"/>
                <w:sz w:val="24"/>
                <w:szCs w:val="24"/>
              </w:rPr>
            </w:pPr>
          </w:p>
        </w:tc>
        <w:tc>
          <w:tcPr>
            <w:tcW w:w="1834" w:type="dxa"/>
          </w:tcPr>
          <w:p w14:paraId="63979494">
            <w:pPr>
              <w:pStyle w:val="20"/>
              <w:spacing w:line="600" w:lineRule="exact"/>
              <w:rPr>
                <w:rFonts w:ascii="宋体" w:hAnsi="宋体" w:eastAsia="宋体" w:cs="宋体"/>
                <w:color w:val="auto"/>
                <w:sz w:val="24"/>
                <w:szCs w:val="24"/>
              </w:rPr>
            </w:pPr>
          </w:p>
        </w:tc>
        <w:tc>
          <w:tcPr>
            <w:tcW w:w="2181" w:type="dxa"/>
          </w:tcPr>
          <w:p w14:paraId="189B0EE0">
            <w:pPr>
              <w:pStyle w:val="20"/>
              <w:spacing w:line="600" w:lineRule="exact"/>
              <w:rPr>
                <w:rFonts w:ascii="宋体" w:hAnsi="宋体" w:eastAsia="宋体" w:cs="宋体"/>
                <w:color w:val="auto"/>
                <w:sz w:val="24"/>
                <w:szCs w:val="24"/>
              </w:rPr>
            </w:pPr>
          </w:p>
        </w:tc>
        <w:tc>
          <w:tcPr>
            <w:tcW w:w="1934" w:type="dxa"/>
          </w:tcPr>
          <w:p w14:paraId="1B008EBA">
            <w:pPr>
              <w:pStyle w:val="20"/>
              <w:spacing w:line="600" w:lineRule="exact"/>
              <w:jc w:val="center"/>
              <w:rPr>
                <w:rFonts w:ascii="宋体" w:hAnsi="宋体" w:eastAsia="宋体" w:cs="宋体"/>
                <w:color w:val="auto"/>
                <w:sz w:val="24"/>
                <w:szCs w:val="24"/>
              </w:rPr>
            </w:pPr>
            <w:r>
              <w:rPr>
                <w:rFonts w:hint="eastAsia" w:ascii="宋体" w:hAnsi="宋体" w:eastAsia="宋体" w:cs="宋体"/>
                <w:color w:val="auto"/>
                <w:szCs w:val="21"/>
              </w:rPr>
              <w:t>正偏离（负偏离或无偏离）</w:t>
            </w:r>
          </w:p>
        </w:tc>
      </w:tr>
      <w:tr w14:paraId="777A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3B164DB">
            <w:pPr>
              <w:pStyle w:val="20"/>
              <w:spacing w:line="600" w:lineRule="exact"/>
              <w:rPr>
                <w:rFonts w:ascii="宋体" w:hAnsi="宋体" w:eastAsia="宋体" w:cs="宋体"/>
                <w:color w:val="auto"/>
                <w:sz w:val="24"/>
                <w:szCs w:val="24"/>
              </w:rPr>
            </w:pPr>
          </w:p>
        </w:tc>
        <w:tc>
          <w:tcPr>
            <w:tcW w:w="2143" w:type="dxa"/>
          </w:tcPr>
          <w:p w14:paraId="66A470FE">
            <w:pPr>
              <w:pStyle w:val="20"/>
              <w:spacing w:line="600" w:lineRule="exact"/>
              <w:rPr>
                <w:rFonts w:ascii="宋体" w:hAnsi="宋体" w:eastAsia="宋体" w:cs="宋体"/>
                <w:color w:val="auto"/>
                <w:sz w:val="24"/>
                <w:szCs w:val="24"/>
              </w:rPr>
            </w:pPr>
          </w:p>
        </w:tc>
        <w:tc>
          <w:tcPr>
            <w:tcW w:w="1834" w:type="dxa"/>
          </w:tcPr>
          <w:p w14:paraId="358B642F">
            <w:pPr>
              <w:pStyle w:val="20"/>
              <w:spacing w:line="600" w:lineRule="exact"/>
              <w:rPr>
                <w:rFonts w:ascii="宋体" w:hAnsi="宋体" w:eastAsia="宋体" w:cs="宋体"/>
                <w:color w:val="auto"/>
                <w:sz w:val="24"/>
                <w:szCs w:val="24"/>
              </w:rPr>
            </w:pPr>
          </w:p>
        </w:tc>
        <w:tc>
          <w:tcPr>
            <w:tcW w:w="2181" w:type="dxa"/>
          </w:tcPr>
          <w:p w14:paraId="2BFE9C1D">
            <w:pPr>
              <w:pStyle w:val="20"/>
              <w:spacing w:line="600" w:lineRule="exact"/>
              <w:rPr>
                <w:rFonts w:ascii="宋体" w:hAnsi="宋体" w:eastAsia="宋体" w:cs="宋体"/>
                <w:color w:val="auto"/>
                <w:sz w:val="24"/>
                <w:szCs w:val="24"/>
              </w:rPr>
            </w:pPr>
          </w:p>
        </w:tc>
        <w:tc>
          <w:tcPr>
            <w:tcW w:w="1934" w:type="dxa"/>
          </w:tcPr>
          <w:p w14:paraId="0F266FF3">
            <w:pPr>
              <w:pStyle w:val="20"/>
              <w:spacing w:line="600" w:lineRule="exact"/>
              <w:rPr>
                <w:rFonts w:ascii="宋体" w:hAnsi="宋体" w:eastAsia="宋体" w:cs="宋体"/>
                <w:color w:val="auto"/>
                <w:sz w:val="24"/>
                <w:szCs w:val="24"/>
              </w:rPr>
            </w:pPr>
          </w:p>
        </w:tc>
      </w:tr>
    </w:tbl>
    <w:p w14:paraId="52F698FB">
      <w:pPr>
        <w:spacing w:line="360" w:lineRule="auto"/>
        <w:rPr>
          <w:rFonts w:ascii="宋体" w:hAnsi="宋体" w:eastAsia="宋体" w:cs="宋体"/>
          <w:color w:val="auto"/>
          <w:szCs w:val="21"/>
        </w:rPr>
      </w:pPr>
      <w:r>
        <w:rPr>
          <w:rFonts w:hint="eastAsia" w:ascii="宋体" w:hAnsi="宋体" w:eastAsia="宋体" w:cs="宋体"/>
          <w:color w:val="auto"/>
          <w:szCs w:val="21"/>
        </w:rPr>
        <w:t>注：</w:t>
      </w:r>
    </w:p>
    <w:p w14:paraId="23A22D52">
      <w:pPr>
        <w:spacing w:line="360" w:lineRule="auto"/>
        <w:rPr>
          <w:rFonts w:ascii="宋体" w:hAnsi="宋体" w:eastAsia="宋体" w:cs="宋体"/>
          <w:color w:val="auto"/>
          <w:szCs w:val="21"/>
        </w:rPr>
      </w:pPr>
      <w:r>
        <w:rPr>
          <w:rFonts w:hint="eastAsia" w:ascii="宋体" w:hAnsi="宋体" w:eastAsia="宋体" w:cs="宋体"/>
          <w:color w:val="auto"/>
          <w:szCs w:val="21"/>
        </w:rPr>
        <w:t>1.表格内容均需按要求填写并盖章，不得留空，</w:t>
      </w:r>
      <w:r>
        <w:rPr>
          <w:rFonts w:hint="eastAsia" w:ascii="宋体" w:hAnsi="宋体" w:eastAsia="宋体" w:cs="宋体"/>
          <w:bCs/>
          <w:color w:val="auto"/>
          <w:szCs w:val="21"/>
        </w:rPr>
        <w:t>否则按投标无效处理</w:t>
      </w:r>
      <w:r>
        <w:rPr>
          <w:rFonts w:hint="eastAsia" w:ascii="宋体" w:hAnsi="宋体" w:eastAsia="宋体" w:cs="宋体"/>
          <w:color w:val="auto"/>
          <w:szCs w:val="21"/>
        </w:rPr>
        <w:t>。</w:t>
      </w:r>
    </w:p>
    <w:p w14:paraId="2A3F5578">
      <w:pPr>
        <w:spacing w:line="360" w:lineRule="auto"/>
        <w:rPr>
          <w:rFonts w:ascii="宋体" w:hAnsi="宋体" w:eastAsia="宋体" w:cs="宋体"/>
          <w:color w:val="auto"/>
          <w:szCs w:val="21"/>
        </w:rPr>
      </w:pPr>
      <w:r>
        <w:rPr>
          <w:rFonts w:hint="eastAsia" w:ascii="宋体" w:hAnsi="宋体" w:eastAsia="宋体" w:cs="宋体"/>
          <w:bCs/>
          <w:color w:val="auto"/>
          <w:szCs w:val="21"/>
        </w:rPr>
        <w:t>2.当投标文件的货物内容低于招标文件要求时，投标人应当如实写明“负偏离”，否则视为虚假应标。</w:t>
      </w:r>
    </w:p>
    <w:p w14:paraId="0F94DDA7">
      <w:pPr>
        <w:spacing w:line="360" w:lineRule="auto"/>
        <w:rPr>
          <w:rFonts w:ascii="宋体" w:hAnsi="宋体" w:eastAsia="宋体" w:cs="宋体"/>
          <w:color w:val="auto"/>
          <w:szCs w:val="20"/>
        </w:rPr>
      </w:pPr>
      <w:r>
        <w:rPr>
          <w:rFonts w:hint="eastAsia" w:ascii="宋体" w:hAnsi="宋体" w:eastAsia="宋体" w:cs="宋体"/>
          <w:color w:val="auto"/>
          <w:szCs w:val="20"/>
        </w:rPr>
        <w:t>3.</w:t>
      </w:r>
      <w:r>
        <w:rPr>
          <w:rFonts w:hint="eastAsia" w:ascii="宋体" w:hAnsi="宋体" w:eastAsia="宋体" w:cs="宋体"/>
          <w:color w:val="auto"/>
          <w:szCs w:val="21"/>
        </w:rPr>
        <w:t>采购需求中带“▲”的条款，也要分别在本表“货物参数”、“所提供货物的内容”中标记。</w:t>
      </w:r>
    </w:p>
    <w:p w14:paraId="560648D7">
      <w:pPr>
        <w:snapToGrid w:val="0"/>
        <w:spacing w:before="50" w:after="50" w:line="360" w:lineRule="auto"/>
        <w:rPr>
          <w:rFonts w:ascii="宋体" w:hAnsi="宋体" w:eastAsia="宋体" w:cs="宋体"/>
          <w:color w:val="auto"/>
          <w:sz w:val="24"/>
        </w:rPr>
      </w:pPr>
    </w:p>
    <w:p w14:paraId="474CD1A3">
      <w:pPr>
        <w:snapToGrid w:val="0"/>
        <w:spacing w:before="50" w:after="50" w:line="360" w:lineRule="auto"/>
        <w:rPr>
          <w:rFonts w:ascii="宋体" w:hAnsi="宋体" w:eastAsia="宋体" w:cs="宋体"/>
          <w:color w:val="auto"/>
          <w:spacing w:val="20"/>
          <w:sz w:val="24"/>
          <w:u w:val="single"/>
        </w:rPr>
      </w:pPr>
      <w:r>
        <w:rPr>
          <w:rFonts w:hint="eastAsia" w:ascii="宋体" w:hAnsi="宋体" w:eastAsia="宋体" w:cs="宋体"/>
          <w:color w:val="auto"/>
          <w:sz w:val="24"/>
        </w:rPr>
        <w:t>法定代表人或者委托代理人</w:t>
      </w:r>
      <w:r>
        <w:rPr>
          <w:rFonts w:hint="eastAsia" w:ascii="宋体" w:hAnsi="宋体" w:eastAsia="宋体" w:cs="宋体"/>
          <w:color w:val="auto"/>
          <w:spacing w:val="20"/>
          <w:sz w:val="24"/>
        </w:rPr>
        <w:t>（签字）：</w:t>
      </w:r>
      <w:r>
        <w:rPr>
          <w:rFonts w:hint="eastAsia" w:ascii="宋体" w:hAnsi="宋体" w:eastAsia="宋体" w:cs="宋体"/>
          <w:color w:val="auto"/>
          <w:spacing w:val="20"/>
          <w:sz w:val="24"/>
          <w:u w:val="single"/>
        </w:rPr>
        <w:t xml:space="preserve">        </w:t>
      </w:r>
    </w:p>
    <w:p w14:paraId="4EA68F8E">
      <w:pPr>
        <w:snapToGrid w:val="0"/>
        <w:spacing w:before="50" w:after="50" w:line="360" w:lineRule="auto"/>
        <w:rPr>
          <w:rFonts w:ascii="宋体" w:hAnsi="宋体" w:eastAsia="宋体" w:cs="宋体"/>
          <w:color w:val="auto"/>
          <w:spacing w:val="20"/>
          <w:sz w:val="24"/>
        </w:rPr>
      </w:pPr>
      <w:r>
        <w:rPr>
          <w:rFonts w:hint="eastAsia" w:ascii="宋体" w:hAnsi="宋体" w:eastAsia="宋体" w:cs="宋体"/>
          <w:color w:val="auto"/>
          <w:spacing w:val="20"/>
          <w:sz w:val="24"/>
        </w:rPr>
        <w:t>投标人（盖公章）：</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p>
    <w:p w14:paraId="5DE15EB0">
      <w:pPr>
        <w:snapToGrid w:val="0"/>
        <w:spacing w:before="50" w:after="50" w:line="360" w:lineRule="auto"/>
        <w:rPr>
          <w:rFonts w:ascii="宋体" w:hAnsi="宋体" w:eastAsia="宋体" w:cs="宋体"/>
          <w:color w:val="auto"/>
          <w:sz w:val="24"/>
          <w:szCs w:val="20"/>
        </w:rPr>
      </w:pPr>
      <w:r>
        <w:rPr>
          <w:rFonts w:hint="eastAsia" w:ascii="宋体" w:hAnsi="宋体" w:eastAsia="宋体" w:cs="宋体"/>
          <w:color w:val="auto"/>
          <w:spacing w:val="20"/>
          <w:sz w:val="24"/>
        </w:rPr>
        <w:t>日 期：</w:t>
      </w:r>
      <w:r>
        <w:rPr>
          <w:rFonts w:hint="eastAsia" w:ascii="宋体" w:hAnsi="宋体" w:eastAsia="宋体" w:cs="宋体"/>
          <w:color w:val="auto"/>
          <w:spacing w:val="20"/>
          <w:sz w:val="24"/>
          <w:u w:val="single"/>
        </w:rPr>
        <w:t xml:space="preserve">        </w:t>
      </w:r>
    </w:p>
    <w:p w14:paraId="5E75B117">
      <w:pPr>
        <w:snapToGrid w:val="0"/>
        <w:spacing w:before="120" w:beforeLines="50" w:after="50"/>
        <w:ind w:left="142"/>
        <w:jc w:val="left"/>
        <w:rPr>
          <w:rFonts w:ascii="宋体" w:hAnsi="宋体" w:eastAsia="宋体" w:cs="宋体"/>
          <w:b/>
          <w:color w:val="auto"/>
          <w:sz w:val="24"/>
        </w:rPr>
      </w:pPr>
      <w:r>
        <w:rPr>
          <w:rFonts w:hint="eastAsia" w:ascii="宋体" w:hAnsi="宋体" w:eastAsia="宋体" w:cs="宋体"/>
          <w:b/>
          <w:color w:val="auto"/>
          <w:sz w:val="24"/>
        </w:rPr>
        <w:br w:type="page"/>
      </w:r>
      <w:r>
        <w:rPr>
          <w:rFonts w:hint="eastAsia" w:ascii="宋体" w:hAnsi="宋体" w:eastAsia="宋体" w:cs="宋体"/>
          <w:b/>
          <w:color w:val="auto"/>
          <w:sz w:val="24"/>
        </w:rPr>
        <w:t>3. 项目实施人员一览表格式</w:t>
      </w:r>
    </w:p>
    <w:p w14:paraId="69B2A362">
      <w:pPr>
        <w:snapToGrid w:val="0"/>
        <w:spacing w:before="120" w:beforeLines="50" w:after="50"/>
        <w:ind w:left="142"/>
        <w:jc w:val="left"/>
        <w:rPr>
          <w:rFonts w:ascii="宋体" w:hAnsi="宋体" w:eastAsia="宋体" w:cs="宋体"/>
          <w:b/>
          <w:color w:val="auto"/>
          <w:sz w:val="24"/>
        </w:rPr>
      </w:pPr>
    </w:p>
    <w:p w14:paraId="095D59ED">
      <w:pPr>
        <w:snapToGrid w:val="0"/>
        <w:spacing w:before="120" w:beforeLines="50" w:after="50"/>
        <w:ind w:left="142"/>
        <w:jc w:val="center"/>
        <w:rPr>
          <w:rFonts w:ascii="宋体" w:hAnsi="宋体" w:eastAsia="宋体" w:cs="宋体"/>
          <w:b/>
          <w:color w:val="auto"/>
          <w:sz w:val="32"/>
          <w:szCs w:val="32"/>
        </w:rPr>
      </w:pPr>
      <w:r>
        <w:rPr>
          <w:rFonts w:hint="eastAsia" w:ascii="宋体" w:hAnsi="宋体" w:eastAsia="宋体" w:cs="宋体"/>
          <w:b/>
          <w:color w:val="auto"/>
          <w:sz w:val="32"/>
          <w:szCs w:val="32"/>
        </w:rPr>
        <w:t>项目实施人员一览表</w:t>
      </w:r>
    </w:p>
    <w:p w14:paraId="6E5439F2">
      <w:pPr>
        <w:pStyle w:val="20"/>
        <w:rPr>
          <w:rFonts w:ascii="宋体" w:hAnsi="宋体" w:eastAsia="宋体" w:cs="宋体"/>
          <w:color w:val="auto"/>
          <w:sz w:val="24"/>
          <w:szCs w:val="24"/>
        </w:rPr>
      </w:pPr>
      <w:r>
        <w:rPr>
          <w:rFonts w:hint="eastAsia" w:ascii="宋体" w:hAnsi="宋体" w:eastAsia="宋体" w:cs="宋体"/>
          <w:color w:val="auto"/>
          <w:sz w:val="24"/>
          <w:szCs w:val="24"/>
        </w:rPr>
        <w:t>所投分标：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分标（如有）</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2258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7D36070">
            <w:pPr>
              <w:snapToGrid w:val="0"/>
              <w:spacing w:before="50" w:after="120" w:afterLines="50"/>
              <w:jc w:val="center"/>
              <w:rPr>
                <w:rFonts w:ascii="宋体" w:hAnsi="宋体" w:eastAsia="宋体" w:cs="宋体"/>
                <w:color w:val="auto"/>
                <w:sz w:val="24"/>
                <w:szCs w:val="20"/>
              </w:rPr>
            </w:pPr>
            <w:r>
              <w:rPr>
                <w:rFonts w:hint="eastAsia" w:ascii="宋体" w:hAnsi="宋体" w:eastAsia="宋体" w:cs="宋体"/>
                <w:color w:val="auto"/>
                <w:sz w:val="24"/>
                <w:szCs w:val="20"/>
              </w:rPr>
              <w:t>姓名</w:t>
            </w:r>
          </w:p>
        </w:tc>
        <w:tc>
          <w:tcPr>
            <w:tcW w:w="709" w:type="dxa"/>
            <w:vAlign w:val="center"/>
          </w:tcPr>
          <w:p w14:paraId="6E26A473">
            <w:pPr>
              <w:snapToGrid w:val="0"/>
              <w:spacing w:before="50" w:after="120" w:afterLines="50"/>
              <w:jc w:val="center"/>
              <w:rPr>
                <w:rFonts w:ascii="宋体" w:hAnsi="宋体" w:eastAsia="宋体" w:cs="宋体"/>
                <w:color w:val="auto"/>
                <w:sz w:val="24"/>
                <w:szCs w:val="20"/>
              </w:rPr>
            </w:pPr>
            <w:r>
              <w:rPr>
                <w:rFonts w:hint="eastAsia" w:ascii="宋体" w:hAnsi="宋体" w:eastAsia="宋体" w:cs="宋体"/>
                <w:color w:val="auto"/>
                <w:sz w:val="24"/>
                <w:szCs w:val="20"/>
              </w:rPr>
              <w:t>职务</w:t>
            </w:r>
          </w:p>
        </w:tc>
        <w:tc>
          <w:tcPr>
            <w:tcW w:w="1701" w:type="dxa"/>
            <w:vAlign w:val="center"/>
          </w:tcPr>
          <w:p w14:paraId="306CC0A8">
            <w:pPr>
              <w:snapToGrid w:val="0"/>
              <w:spacing w:before="50" w:after="120" w:afterLines="50"/>
              <w:jc w:val="center"/>
              <w:rPr>
                <w:rFonts w:ascii="宋体" w:hAnsi="宋体" w:eastAsia="宋体" w:cs="宋体"/>
                <w:color w:val="auto"/>
                <w:sz w:val="24"/>
                <w:szCs w:val="20"/>
              </w:rPr>
            </w:pPr>
            <w:r>
              <w:rPr>
                <w:rFonts w:hint="eastAsia" w:ascii="宋体" w:hAnsi="宋体" w:eastAsia="宋体" w:cs="宋体"/>
                <w:color w:val="auto"/>
                <w:sz w:val="24"/>
                <w:szCs w:val="20"/>
              </w:rPr>
              <w:t>专业技术资格（职称）或者职业资格或者执业资格证或者其他证书</w:t>
            </w:r>
          </w:p>
        </w:tc>
        <w:tc>
          <w:tcPr>
            <w:tcW w:w="1420" w:type="dxa"/>
            <w:vAlign w:val="center"/>
          </w:tcPr>
          <w:p w14:paraId="4BDA7D5A">
            <w:pPr>
              <w:snapToGrid w:val="0"/>
              <w:spacing w:before="50" w:after="120" w:afterLines="50"/>
              <w:jc w:val="center"/>
              <w:rPr>
                <w:rFonts w:ascii="宋体" w:hAnsi="宋体" w:eastAsia="宋体" w:cs="宋体"/>
                <w:color w:val="auto"/>
                <w:sz w:val="24"/>
                <w:szCs w:val="20"/>
              </w:rPr>
            </w:pPr>
            <w:r>
              <w:rPr>
                <w:rFonts w:hint="eastAsia" w:ascii="宋体" w:hAnsi="宋体" w:eastAsia="宋体" w:cs="宋体"/>
                <w:color w:val="auto"/>
                <w:sz w:val="24"/>
                <w:szCs w:val="20"/>
              </w:rPr>
              <w:t>证书编号</w:t>
            </w:r>
          </w:p>
        </w:tc>
        <w:tc>
          <w:tcPr>
            <w:tcW w:w="1698" w:type="dxa"/>
            <w:vAlign w:val="center"/>
          </w:tcPr>
          <w:p w14:paraId="4D9599E4">
            <w:pPr>
              <w:snapToGrid w:val="0"/>
              <w:spacing w:before="50" w:after="120" w:afterLines="50"/>
              <w:jc w:val="center"/>
              <w:rPr>
                <w:rFonts w:ascii="宋体" w:hAnsi="宋体" w:eastAsia="宋体" w:cs="宋体"/>
                <w:color w:val="auto"/>
                <w:sz w:val="24"/>
                <w:szCs w:val="20"/>
              </w:rPr>
            </w:pPr>
            <w:r>
              <w:rPr>
                <w:rFonts w:hint="eastAsia" w:ascii="宋体" w:hAnsi="宋体" w:eastAsia="宋体" w:cs="宋体"/>
                <w:color w:val="auto"/>
                <w:sz w:val="24"/>
                <w:szCs w:val="20"/>
              </w:rPr>
              <w:t>参加本单位</w:t>
            </w:r>
          </w:p>
          <w:p w14:paraId="0B96BA5C">
            <w:pPr>
              <w:snapToGrid w:val="0"/>
              <w:spacing w:before="50" w:after="120" w:afterLines="50"/>
              <w:jc w:val="center"/>
              <w:rPr>
                <w:rFonts w:ascii="宋体" w:hAnsi="宋体" w:eastAsia="宋体" w:cs="宋体"/>
                <w:color w:val="auto"/>
                <w:sz w:val="24"/>
                <w:szCs w:val="20"/>
              </w:rPr>
            </w:pPr>
            <w:r>
              <w:rPr>
                <w:rFonts w:hint="eastAsia" w:ascii="宋体" w:hAnsi="宋体" w:eastAsia="宋体" w:cs="宋体"/>
                <w:color w:val="auto"/>
                <w:sz w:val="24"/>
                <w:szCs w:val="20"/>
              </w:rPr>
              <w:t>工作时间</w:t>
            </w:r>
          </w:p>
        </w:tc>
        <w:tc>
          <w:tcPr>
            <w:tcW w:w="1843" w:type="dxa"/>
            <w:vAlign w:val="center"/>
          </w:tcPr>
          <w:p w14:paraId="676545F5">
            <w:pPr>
              <w:snapToGrid w:val="0"/>
              <w:spacing w:before="50" w:after="120" w:afterLines="50"/>
              <w:jc w:val="center"/>
              <w:rPr>
                <w:rFonts w:ascii="宋体" w:hAnsi="宋体" w:eastAsia="宋体" w:cs="宋体"/>
                <w:color w:val="auto"/>
                <w:sz w:val="24"/>
                <w:szCs w:val="20"/>
              </w:rPr>
            </w:pPr>
            <w:r>
              <w:rPr>
                <w:rFonts w:hint="eastAsia" w:ascii="宋体" w:hAnsi="宋体" w:eastAsia="宋体" w:cs="宋体"/>
                <w:color w:val="auto"/>
                <w:sz w:val="24"/>
                <w:szCs w:val="20"/>
              </w:rPr>
              <w:t>劳动合同编号</w:t>
            </w:r>
          </w:p>
        </w:tc>
      </w:tr>
      <w:tr w14:paraId="6F1B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A2D0AC">
            <w:pPr>
              <w:snapToGrid w:val="0"/>
              <w:spacing w:before="50" w:after="120" w:afterLines="50"/>
              <w:jc w:val="center"/>
              <w:rPr>
                <w:rFonts w:ascii="宋体" w:hAnsi="宋体" w:eastAsia="宋体" w:cs="宋体"/>
                <w:color w:val="auto"/>
                <w:sz w:val="24"/>
                <w:szCs w:val="20"/>
              </w:rPr>
            </w:pPr>
          </w:p>
        </w:tc>
        <w:tc>
          <w:tcPr>
            <w:tcW w:w="709" w:type="dxa"/>
            <w:vAlign w:val="center"/>
          </w:tcPr>
          <w:p w14:paraId="02C0C3E0">
            <w:pPr>
              <w:snapToGrid w:val="0"/>
              <w:spacing w:before="50" w:after="120" w:afterLines="50"/>
              <w:jc w:val="center"/>
              <w:rPr>
                <w:rFonts w:ascii="宋体" w:hAnsi="宋体" w:eastAsia="宋体" w:cs="宋体"/>
                <w:color w:val="auto"/>
                <w:sz w:val="24"/>
                <w:szCs w:val="20"/>
              </w:rPr>
            </w:pPr>
          </w:p>
        </w:tc>
        <w:tc>
          <w:tcPr>
            <w:tcW w:w="1701" w:type="dxa"/>
            <w:vAlign w:val="center"/>
          </w:tcPr>
          <w:p w14:paraId="335D9B61">
            <w:pPr>
              <w:snapToGrid w:val="0"/>
              <w:spacing w:before="50" w:after="120" w:afterLines="50"/>
              <w:jc w:val="center"/>
              <w:rPr>
                <w:rFonts w:ascii="宋体" w:hAnsi="宋体" w:eastAsia="宋体" w:cs="宋体"/>
                <w:color w:val="auto"/>
                <w:sz w:val="24"/>
                <w:szCs w:val="20"/>
              </w:rPr>
            </w:pPr>
          </w:p>
        </w:tc>
        <w:tc>
          <w:tcPr>
            <w:tcW w:w="1420" w:type="dxa"/>
            <w:vAlign w:val="center"/>
          </w:tcPr>
          <w:p w14:paraId="794DF6B0">
            <w:pPr>
              <w:snapToGrid w:val="0"/>
              <w:spacing w:before="50" w:after="120" w:afterLines="50"/>
              <w:jc w:val="center"/>
              <w:rPr>
                <w:rFonts w:ascii="宋体" w:hAnsi="宋体" w:eastAsia="宋体" w:cs="宋体"/>
                <w:color w:val="auto"/>
                <w:sz w:val="24"/>
                <w:szCs w:val="20"/>
              </w:rPr>
            </w:pPr>
          </w:p>
        </w:tc>
        <w:tc>
          <w:tcPr>
            <w:tcW w:w="1698" w:type="dxa"/>
            <w:vAlign w:val="center"/>
          </w:tcPr>
          <w:p w14:paraId="42EC9799">
            <w:pPr>
              <w:snapToGrid w:val="0"/>
              <w:spacing w:before="50" w:after="120" w:afterLines="50"/>
              <w:jc w:val="center"/>
              <w:rPr>
                <w:rFonts w:ascii="宋体" w:hAnsi="宋体" w:eastAsia="宋体" w:cs="宋体"/>
                <w:color w:val="auto"/>
                <w:sz w:val="24"/>
                <w:szCs w:val="20"/>
              </w:rPr>
            </w:pPr>
          </w:p>
        </w:tc>
        <w:tc>
          <w:tcPr>
            <w:tcW w:w="1843" w:type="dxa"/>
            <w:vAlign w:val="center"/>
          </w:tcPr>
          <w:p w14:paraId="79A12602">
            <w:pPr>
              <w:snapToGrid w:val="0"/>
              <w:spacing w:before="50" w:after="120" w:afterLines="50"/>
              <w:jc w:val="center"/>
              <w:rPr>
                <w:rFonts w:ascii="宋体" w:hAnsi="宋体" w:eastAsia="宋体" w:cs="宋体"/>
                <w:color w:val="auto"/>
                <w:sz w:val="24"/>
                <w:szCs w:val="20"/>
              </w:rPr>
            </w:pPr>
          </w:p>
        </w:tc>
      </w:tr>
      <w:tr w14:paraId="629C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FC5D8CD">
            <w:pPr>
              <w:snapToGrid w:val="0"/>
              <w:spacing w:before="50" w:after="120" w:afterLines="50"/>
              <w:jc w:val="center"/>
              <w:rPr>
                <w:rFonts w:ascii="宋体" w:hAnsi="宋体" w:eastAsia="宋体" w:cs="宋体"/>
                <w:color w:val="auto"/>
                <w:sz w:val="24"/>
                <w:szCs w:val="20"/>
              </w:rPr>
            </w:pPr>
          </w:p>
        </w:tc>
        <w:tc>
          <w:tcPr>
            <w:tcW w:w="709" w:type="dxa"/>
            <w:vAlign w:val="center"/>
          </w:tcPr>
          <w:p w14:paraId="7EE3E9B0">
            <w:pPr>
              <w:snapToGrid w:val="0"/>
              <w:spacing w:before="50" w:after="120" w:afterLines="50"/>
              <w:jc w:val="center"/>
              <w:rPr>
                <w:rFonts w:ascii="宋体" w:hAnsi="宋体" w:eastAsia="宋体" w:cs="宋体"/>
                <w:color w:val="auto"/>
                <w:sz w:val="24"/>
                <w:szCs w:val="20"/>
              </w:rPr>
            </w:pPr>
          </w:p>
        </w:tc>
        <w:tc>
          <w:tcPr>
            <w:tcW w:w="1701" w:type="dxa"/>
            <w:vAlign w:val="center"/>
          </w:tcPr>
          <w:p w14:paraId="000924AE">
            <w:pPr>
              <w:snapToGrid w:val="0"/>
              <w:spacing w:before="50" w:after="120" w:afterLines="50"/>
              <w:jc w:val="center"/>
              <w:rPr>
                <w:rFonts w:ascii="宋体" w:hAnsi="宋体" w:eastAsia="宋体" w:cs="宋体"/>
                <w:color w:val="auto"/>
                <w:sz w:val="24"/>
                <w:szCs w:val="20"/>
              </w:rPr>
            </w:pPr>
          </w:p>
        </w:tc>
        <w:tc>
          <w:tcPr>
            <w:tcW w:w="1420" w:type="dxa"/>
            <w:vAlign w:val="center"/>
          </w:tcPr>
          <w:p w14:paraId="08FA0AA6">
            <w:pPr>
              <w:snapToGrid w:val="0"/>
              <w:spacing w:before="50" w:after="120" w:afterLines="50"/>
              <w:jc w:val="center"/>
              <w:rPr>
                <w:rFonts w:ascii="宋体" w:hAnsi="宋体" w:eastAsia="宋体" w:cs="宋体"/>
                <w:color w:val="auto"/>
                <w:sz w:val="24"/>
                <w:szCs w:val="20"/>
              </w:rPr>
            </w:pPr>
          </w:p>
        </w:tc>
        <w:tc>
          <w:tcPr>
            <w:tcW w:w="1698" w:type="dxa"/>
            <w:vAlign w:val="center"/>
          </w:tcPr>
          <w:p w14:paraId="42FD445C">
            <w:pPr>
              <w:snapToGrid w:val="0"/>
              <w:spacing w:before="50" w:after="120" w:afterLines="50"/>
              <w:jc w:val="center"/>
              <w:rPr>
                <w:rFonts w:ascii="宋体" w:hAnsi="宋体" w:eastAsia="宋体" w:cs="宋体"/>
                <w:color w:val="auto"/>
                <w:sz w:val="24"/>
                <w:szCs w:val="20"/>
              </w:rPr>
            </w:pPr>
          </w:p>
        </w:tc>
        <w:tc>
          <w:tcPr>
            <w:tcW w:w="1843" w:type="dxa"/>
            <w:vAlign w:val="center"/>
          </w:tcPr>
          <w:p w14:paraId="47D73939">
            <w:pPr>
              <w:snapToGrid w:val="0"/>
              <w:spacing w:before="50" w:after="120" w:afterLines="50"/>
              <w:jc w:val="center"/>
              <w:rPr>
                <w:rFonts w:ascii="宋体" w:hAnsi="宋体" w:eastAsia="宋体" w:cs="宋体"/>
                <w:color w:val="auto"/>
                <w:sz w:val="24"/>
                <w:szCs w:val="20"/>
              </w:rPr>
            </w:pPr>
          </w:p>
        </w:tc>
      </w:tr>
      <w:tr w14:paraId="3228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D53CC97">
            <w:pPr>
              <w:snapToGrid w:val="0"/>
              <w:spacing w:before="50" w:after="120" w:afterLines="50"/>
              <w:jc w:val="center"/>
              <w:rPr>
                <w:rFonts w:ascii="宋体" w:hAnsi="宋体" w:eastAsia="宋体" w:cs="宋体"/>
                <w:color w:val="auto"/>
                <w:sz w:val="24"/>
                <w:szCs w:val="20"/>
              </w:rPr>
            </w:pPr>
          </w:p>
        </w:tc>
        <w:tc>
          <w:tcPr>
            <w:tcW w:w="709" w:type="dxa"/>
            <w:vAlign w:val="center"/>
          </w:tcPr>
          <w:p w14:paraId="75E52DBE">
            <w:pPr>
              <w:snapToGrid w:val="0"/>
              <w:spacing w:before="50" w:after="120" w:afterLines="50"/>
              <w:jc w:val="center"/>
              <w:rPr>
                <w:rFonts w:ascii="宋体" w:hAnsi="宋体" w:eastAsia="宋体" w:cs="宋体"/>
                <w:color w:val="auto"/>
                <w:sz w:val="24"/>
                <w:szCs w:val="20"/>
              </w:rPr>
            </w:pPr>
          </w:p>
        </w:tc>
        <w:tc>
          <w:tcPr>
            <w:tcW w:w="1701" w:type="dxa"/>
            <w:vAlign w:val="center"/>
          </w:tcPr>
          <w:p w14:paraId="3A2CBBC4">
            <w:pPr>
              <w:snapToGrid w:val="0"/>
              <w:spacing w:before="50" w:after="120" w:afterLines="50"/>
              <w:jc w:val="center"/>
              <w:rPr>
                <w:rFonts w:ascii="宋体" w:hAnsi="宋体" w:eastAsia="宋体" w:cs="宋体"/>
                <w:color w:val="auto"/>
                <w:sz w:val="24"/>
                <w:szCs w:val="20"/>
              </w:rPr>
            </w:pPr>
          </w:p>
        </w:tc>
        <w:tc>
          <w:tcPr>
            <w:tcW w:w="1420" w:type="dxa"/>
            <w:vAlign w:val="center"/>
          </w:tcPr>
          <w:p w14:paraId="194E8599">
            <w:pPr>
              <w:snapToGrid w:val="0"/>
              <w:spacing w:before="50" w:after="120" w:afterLines="50"/>
              <w:jc w:val="center"/>
              <w:rPr>
                <w:rFonts w:ascii="宋体" w:hAnsi="宋体" w:eastAsia="宋体" w:cs="宋体"/>
                <w:color w:val="auto"/>
                <w:sz w:val="24"/>
                <w:szCs w:val="20"/>
              </w:rPr>
            </w:pPr>
          </w:p>
        </w:tc>
        <w:tc>
          <w:tcPr>
            <w:tcW w:w="1698" w:type="dxa"/>
            <w:vAlign w:val="center"/>
          </w:tcPr>
          <w:p w14:paraId="12CBB7A3">
            <w:pPr>
              <w:snapToGrid w:val="0"/>
              <w:spacing w:before="50" w:after="120" w:afterLines="50"/>
              <w:jc w:val="center"/>
              <w:rPr>
                <w:rFonts w:ascii="宋体" w:hAnsi="宋体" w:eastAsia="宋体" w:cs="宋体"/>
                <w:color w:val="auto"/>
                <w:sz w:val="24"/>
                <w:szCs w:val="20"/>
              </w:rPr>
            </w:pPr>
          </w:p>
        </w:tc>
        <w:tc>
          <w:tcPr>
            <w:tcW w:w="1843" w:type="dxa"/>
            <w:vAlign w:val="center"/>
          </w:tcPr>
          <w:p w14:paraId="7D8D739B">
            <w:pPr>
              <w:snapToGrid w:val="0"/>
              <w:spacing w:before="50" w:after="120" w:afterLines="50"/>
              <w:jc w:val="center"/>
              <w:rPr>
                <w:rFonts w:ascii="宋体" w:hAnsi="宋体" w:eastAsia="宋体" w:cs="宋体"/>
                <w:color w:val="auto"/>
                <w:sz w:val="24"/>
                <w:szCs w:val="20"/>
              </w:rPr>
            </w:pPr>
          </w:p>
        </w:tc>
      </w:tr>
    </w:tbl>
    <w:p w14:paraId="3240B5B3">
      <w:pPr>
        <w:snapToGrid w:val="0"/>
        <w:spacing w:before="50" w:after="120" w:afterLines="50"/>
        <w:jc w:val="left"/>
        <w:rPr>
          <w:rFonts w:ascii="宋体" w:hAnsi="宋体" w:eastAsia="宋体" w:cs="宋体"/>
          <w:color w:val="auto"/>
          <w:sz w:val="24"/>
          <w:szCs w:val="20"/>
        </w:rPr>
      </w:pPr>
    </w:p>
    <w:p w14:paraId="79B3ED9E">
      <w:pPr>
        <w:spacing w:line="360" w:lineRule="auto"/>
        <w:contextualSpacing/>
        <w:jc w:val="left"/>
        <w:rPr>
          <w:rFonts w:ascii="宋体" w:hAnsi="宋体" w:eastAsia="宋体" w:cs="宋体"/>
          <w:color w:val="auto"/>
          <w:sz w:val="24"/>
          <w:szCs w:val="20"/>
        </w:rPr>
      </w:pPr>
      <w:r>
        <w:rPr>
          <w:rFonts w:hint="eastAsia" w:ascii="宋体" w:hAnsi="宋体" w:eastAsia="宋体" w:cs="宋体"/>
          <w:color w:val="auto"/>
          <w:sz w:val="24"/>
          <w:szCs w:val="20"/>
        </w:rPr>
        <w:t>注：</w:t>
      </w:r>
    </w:p>
    <w:p w14:paraId="086C3BB2">
      <w:pPr>
        <w:spacing w:line="360" w:lineRule="auto"/>
        <w:contextualSpacing/>
        <w:jc w:val="left"/>
        <w:rPr>
          <w:rFonts w:ascii="宋体" w:hAnsi="宋体" w:eastAsia="宋体" w:cs="宋体"/>
          <w:color w:val="auto"/>
          <w:sz w:val="24"/>
          <w:szCs w:val="20"/>
        </w:rPr>
      </w:pPr>
      <w:r>
        <w:rPr>
          <w:rFonts w:hint="eastAsia" w:ascii="宋体" w:hAnsi="宋体" w:eastAsia="宋体" w:cs="宋体"/>
          <w:color w:val="auto"/>
          <w:sz w:val="24"/>
          <w:szCs w:val="20"/>
        </w:rPr>
        <w:t>1.在填写时，如本表格不适合投标单位的实际情况，可根据本表格式自行制表填写。</w:t>
      </w:r>
    </w:p>
    <w:p w14:paraId="6C91E373">
      <w:pPr>
        <w:spacing w:line="360" w:lineRule="auto"/>
        <w:contextualSpacing/>
        <w:jc w:val="left"/>
        <w:rPr>
          <w:rFonts w:ascii="宋体" w:hAnsi="宋体" w:eastAsia="宋体" w:cs="宋体"/>
          <w:color w:val="auto"/>
          <w:sz w:val="24"/>
          <w:szCs w:val="20"/>
        </w:rPr>
      </w:pPr>
      <w:r>
        <w:rPr>
          <w:rFonts w:hint="eastAsia" w:ascii="宋体" w:hAnsi="宋体" w:eastAsia="宋体" w:cs="宋体"/>
          <w:color w:val="auto"/>
          <w:sz w:val="24"/>
          <w:szCs w:val="20"/>
        </w:rPr>
        <w:t>2.投标人应当附本表所列证书的复印件并加盖投标人公章。</w:t>
      </w:r>
    </w:p>
    <w:p w14:paraId="6BB1CB83">
      <w:pPr>
        <w:spacing w:line="360" w:lineRule="auto"/>
        <w:contextualSpacing/>
        <w:rPr>
          <w:rFonts w:ascii="宋体" w:hAnsi="宋体" w:eastAsia="宋体" w:cs="宋体"/>
          <w:color w:val="auto"/>
          <w:sz w:val="24"/>
        </w:rPr>
      </w:pPr>
    </w:p>
    <w:p w14:paraId="37F5FB1E">
      <w:pPr>
        <w:spacing w:line="360" w:lineRule="auto"/>
        <w:contextualSpacing/>
        <w:rPr>
          <w:rFonts w:ascii="宋体" w:hAnsi="宋体" w:eastAsia="宋体" w:cs="宋体"/>
          <w:color w:val="auto"/>
          <w:sz w:val="24"/>
        </w:rPr>
      </w:pPr>
    </w:p>
    <w:p w14:paraId="409AAFEF">
      <w:pPr>
        <w:spacing w:line="360" w:lineRule="auto"/>
        <w:contextualSpacing/>
        <w:rPr>
          <w:rFonts w:ascii="宋体" w:hAnsi="宋体" w:eastAsia="宋体" w:cs="宋体"/>
          <w:color w:val="auto"/>
          <w:spacing w:val="20"/>
          <w:sz w:val="24"/>
          <w:szCs w:val="20"/>
          <w:u w:val="single"/>
        </w:rPr>
      </w:pPr>
      <w:r>
        <w:rPr>
          <w:rFonts w:hint="eastAsia" w:ascii="宋体" w:hAnsi="宋体" w:eastAsia="宋体" w:cs="宋体"/>
          <w:color w:val="auto"/>
          <w:sz w:val="24"/>
        </w:rPr>
        <w:t>法定代表人或者委托代理人</w:t>
      </w:r>
      <w:r>
        <w:rPr>
          <w:rFonts w:hint="eastAsia" w:ascii="宋体" w:hAnsi="宋体" w:eastAsia="宋体" w:cs="宋体"/>
          <w:color w:val="auto"/>
          <w:spacing w:val="20"/>
          <w:sz w:val="24"/>
        </w:rPr>
        <w:t>（签字）：</w:t>
      </w:r>
      <w:r>
        <w:rPr>
          <w:rFonts w:hint="eastAsia" w:ascii="宋体" w:hAnsi="宋体" w:eastAsia="宋体" w:cs="宋体"/>
          <w:color w:val="auto"/>
          <w:spacing w:val="20"/>
          <w:sz w:val="24"/>
          <w:u w:val="single"/>
        </w:rPr>
        <w:t xml:space="preserve">        </w:t>
      </w:r>
    </w:p>
    <w:p w14:paraId="6689EA09">
      <w:pPr>
        <w:spacing w:line="360" w:lineRule="auto"/>
        <w:contextualSpacing/>
        <w:jc w:val="left"/>
        <w:rPr>
          <w:rFonts w:ascii="宋体" w:hAnsi="宋体" w:eastAsia="宋体" w:cs="宋体"/>
          <w:color w:val="auto"/>
          <w:spacing w:val="20"/>
          <w:sz w:val="24"/>
        </w:rPr>
      </w:pPr>
      <w:r>
        <w:rPr>
          <w:rFonts w:hint="eastAsia" w:ascii="宋体" w:hAnsi="宋体" w:eastAsia="宋体" w:cs="宋体"/>
          <w:color w:val="auto"/>
          <w:spacing w:val="20"/>
          <w:sz w:val="24"/>
        </w:rPr>
        <w:t>投标人（盖公章）：</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p>
    <w:p w14:paraId="5D51D80F">
      <w:pPr>
        <w:spacing w:line="360" w:lineRule="auto"/>
        <w:contextualSpacing/>
        <w:jc w:val="left"/>
        <w:rPr>
          <w:rFonts w:ascii="宋体" w:hAnsi="宋体" w:eastAsia="宋体" w:cs="宋体"/>
          <w:color w:val="auto"/>
          <w:sz w:val="24"/>
          <w:szCs w:val="20"/>
        </w:rPr>
      </w:pPr>
      <w:r>
        <w:rPr>
          <w:rFonts w:hint="eastAsia" w:ascii="宋体" w:hAnsi="宋体" w:eastAsia="宋体" w:cs="宋体"/>
          <w:color w:val="auto"/>
          <w:spacing w:val="20"/>
          <w:sz w:val="24"/>
        </w:rPr>
        <w:t>日 期：</w:t>
      </w:r>
      <w:r>
        <w:rPr>
          <w:rFonts w:hint="eastAsia" w:ascii="宋体" w:hAnsi="宋体" w:eastAsia="宋体" w:cs="宋体"/>
          <w:color w:val="auto"/>
          <w:spacing w:val="20"/>
          <w:sz w:val="24"/>
          <w:u w:val="single"/>
        </w:rPr>
        <w:t xml:space="preserve">         </w:t>
      </w:r>
    </w:p>
    <w:p w14:paraId="0FCCA133">
      <w:pPr>
        <w:snapToGrid w:val="0"/>
        <w:spacing w:before="50" w:after="120" w:afterLines="50"/>
        <w:jc w:val="left"/>
        <w:rPr>
          <w:rFonts w:ascii="宋体" w:hAnsi="宋体" w:eastAsia="宋体" w:cs="宋体"/>
          <w:color w:val="auto"/>
          <w:sz w:val="24"/>
          <w:szCs w:val="20"/>
        </w:rPr>
      </w:pPr>
    </w:p>
    <w:p w14:paraId="1290A6A5">
      <w:pPr>
        <w:snapToGrid w:val="0"/>
        <w:spacing w:before="120" w:beforeLines="50" w:after="50"/>
        <w:ind w:left="142"/>
        <w:jc w:val="left"/>
        <w:rPr>
          <w:rFonts w:ascii="宋体" w:hAnsi="宋体" w:eastAsia="宋体" w:cs="宋体"/>
          <w:b/>
          <w:color w:val="auto"/>
          <w:sz w:val="28"/>
          <w:szCs w:val="28"/>
        </w:rPr>
      </w:pPr>
      <w:r>
        <w:rPr>
          <w:rFonts w:hint="eastAsia" w:ascii="宋体" w:hAnsi="宋体" w:eastAsia="宋体" w:cs="宋体"/>
          <w:b/>
          <w:color w:val="auto"/>
          <w:sz w:val="24"/>
        </w:rPr>
        <w:br w:type="page"/>
      </w:r>
      <w:r>
        <w:rPr>
          <w:rFonts w:hint="eastAsia" w:ascii="宋体" w:hAnsi="宋体" w:eastAsia="宋体" w:cs="宋体"/>
          <w:b/>
          <w:color w:val="auto"/>
          <w:sz w:val="28"/>
          <w:szCs w:val="28"/>
        </w:rPr>
        <w:t>五、其他文书、文件格式</w:t>
      </w:r>
    </w:p>
    <w:p w14:paraId="348917F7">
      <w:pPr>
        <w:snapToGrid w:val="0"/>
        <w:spacing w:before="120" w:beforeLines="50" w:after="50"/>
        <w:ind w:left="142"/>
        <w:jc w:val="left"/>
        <w:rPr>
          <w:rFonts w:ascii="宋体" w:hAnsi="宋体" w:eastAsia="宋体" w:cs="宋体"/>
          <w:b/>
          <w:color w:val="auto"/>
          <w:spacing w:val="20"/>
          <w:sz w:val="24"/>
        </w:rPr>
      </w:pPr>
      <w:r>
        <w:rPr>
          <w:rFonts w:hint="eastAsia" w:ascii="宋体" w:hAnsi="宋体" w:eastAsia="宋体" w:cs="宋体"/>
          <w:b/>
          <w:color w:val="auto"/>
          <w:spacing w:val="20"/>
          <w:sz w:val="24"/>
        </w:rPr>
        <w:t>1.联合投标协议书格式（如有要求）</w:t>
      </w:r>
    </w:p>
    <w:p w14:paraId="1413F801">
      <w:pPr>
        <w:snapToGrid w:val="0"/>
        <w:spacing w:before="120" w:beforeLines="50" w:after="50"/>
        <w:ind w:left="142"/>
        <w:jc w:val="left"/>
        <w:rPr>
          <w:rFonts w:ascii="宋体" w:hAnsi="宋体" w:eastAsia="宋体" w:cs="宋体"/>
          <w:b/>
          <w:color w:val="auto"/>
          <w:spacing w:val="20"/>
          <w:sz w:val="24"/>
        </w:rPr>
      </w:pPr>
    </w:p>
    <w:p w14:paraId="5881E7DF">
      <w:pPr>
        <w:pStyle w:val="7"/>
        <w:overflowPunct w:val="0"/>
        <w:ind w:firstLine="0"/>
        <w:jc w:val="center"/>
        <w:rPr>
          <w:rFonts w:ascii="宋体" w:hAnsi="宋体" w:eastAsia="宋体" w:cs="宋体"/>
          <w:color w:val="auto"/>
          <w:sz w:val="44"/>
          <w:szCs w:val="44"/>
        </w:rPr>
      </w:pPr>
      <w:r>
        <w:rPr>
          <w:rFonts w:hint="eastAsia" w:ascii="宋体" w:hAnsi="宋体" w:eastAsia="宋体" w:cs="宋体"/>
          <w:color w:val="auto"/>
          <w:sz w:val="44"/>
          <w:szCs w:val="44"/>
        </w:rPr>
        <w:t>联合体协议书</w:t>
      </w:r>
    </w:p>
    <w:p w14:paraId="521F2DD3">
      <w:pPr>
        <w:pStyle w:val="7"/>
        <w:overflowPunct w:val="0"/>
        <w:rPr>
          <w:rFonts w:ascii="宋体" w:hAnsi="宋体" w:eastAsia="宋体" w:cs="宋体"/>
          <w:color w:val="auto"/>
          <w:sz w:val="24"/>
        </w:rPr>
      </w:pPr>
    </w:p>
    <w:p w14:paraId="782217C0">
      <w:pPr>
        <w:pStyle w:val="7"/>
        <w:overflowPunct w:val="0"/>
        <w:spacing w:line="360" w:lineRule="auto"/>
        <w:contextualSpacing/>
        <w:rPr>
          <w:rFonts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（所有成员单位名称）自愿组成</w:t>
      </w:r>
      <w:r>
        <w:rPr>
          <w:rFonts w:hint="eastAsia" w:ascii="宋体" w:hAnsi="宋体" w:eastAsia="宋体" w:cs="宋体"/>
          <w:color w:val="auto"/>
          <w:sz w:val="24"/>
          <w:u w:val="single"/>
        </w:rPr>
        <w:t xml:space="preserve"> </w:t>
      </w:r>
      <w:r>
        <w:rPr>
          <w:rFonts w:hint="eastAsia" w:ascii="宋体" w:hAnsi="宋体" w:eastAsia="宋体" w:cs="宋体"/>
          <w:color w:val="auto"/>
          <w:sz w:val="24"/>
        </w:rPr>
        <w:t>（联合体名称）联合体，共同参加</w:t>
      </w:r>
      <w:r>
        <w:rPr>
          <w:rFonts w:hint="eastAsia" w:ascii="宋体" w:hAnsi="宋体" w:eastAsia="宋体" w:cs="宋体"/>
          <w:color w:val="auto"/>
          <w:sz w:val="24"/>
          <w:u w:val="single"/>
        </w:rPr>
        <w:t xml:space="preserve"> （项目名称+标段</w:t>
      </w:r>
      <w:r>
        <w:rPr>
          <w:rFonts w:hint="eastAsia" w:ascii="宋体" w:hAnsi="宋体" w:eastAsia="宋体" w:cs="宋体"/>
          <w:color w:val="auto"/>
          <w:sz w:val="24"/>
        </w:rPr>
        <w:t>）采购招标项目投标。现就联合体投标事宜订立如下协议。</w:t>
      </w:r>
    </w:p>
    <w:p w14:paraId="0176DB50">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 xml:space="preserve"> </w:t>
      </w:r>
      <w:r>
        <w:rPr>
          <w:rFonts w:hint="eastAsia" w:ascii="宋体" w:hAnsi="宋体" w:eastAsia="宋体" w:cs="宋体"/>
          <w:color w:val="auto"/>
          <w:sz w:val="24"/>
        </w:rPr>
        <w:t>（某成员单位名称）为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（联合体名称）牵头人。</w:t>
      </w:r>
    </w:p>
    <w:p w14:paraId="59D48F19">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2.联合体各成员授权牵头人代表联合体参加投标活动，签署文件及对文件的盖章，提交和接收相关的资料、 信息及指示，进行合同谈判活动，负责合同实施阶段的组织和协调工作，以及处理与本招标项 目有关的一切事宜。</w:t>
      </w:r>
    </w:p>
    <w:p w14:paraId="78A81CEB">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3.联合体牵头人在本项目中签署和盖章的一切文件和处理的一切事宜，联合体各成员均予以承认。 联合体各成员将严格按照招标文件、投标文件和合同的要求全面履行义务，并向招标人承担连带责任。</w:t>
      </w:r>
    </w:p>
    <w:p w14:paraId="07446E87">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4.联合体各成员单位内部的职责分工如下：</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4016BE88">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5.本协议书自所有成员单位法定代表人或者其委托代理人签字或者盖公章之日起生效，合同履行完毕后自动失效。</w:t>
      </w:r>
    </w:p>
    <w:p w14:paraId="55A6DA59">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6.本协议书一式</w:t>
      </w:r>
      <w:r>
        <w:rPr>
          <w:rFonts w:hint="eastAsia" w:ascii="宋体" w:hAnsi="宋体" w:eastAsia="宋体" w:cs="宋体"/>
          <w:color w:val="auto"/>
          <w:sz w:val="24"/>
          <w:u w:val="single"/>
        </w:rPr>
        <w:t xml:space="preserve"> </w:t>
      </w:r>
      <w:r>
        <w:rPr>
          <w:rFonts w:hint="eastAsia" w:ascii="宋体" w:hAnsi="宋体" w:eastAsia="宋体" w:cs="宋体"/>
          <w:color w:val="auto"/>
          <w:sz w:val="24"/>
        </w:rPr>
        <w:t>份，联合体成员和招标人各执一份。</w:t>
      </w:r>
    </w:p>
    <w:p w14:paraId="2B375F54">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注：本协议书由法定代表人签字的，应附法定代表人身份证明；由委托代理人签字的，应附授权委托书。</w:t>
      </w:r>
    </w:p>
    <w:p w14:paraId="6D2ED3FC">
      <w:pPr>
        <w:pStyle w:val="7"/>
        <w:overflowPunct w:val="0"/>
        <w:spacing w:line="360" w:lineRule="auto"/>
        <w:ind w:firstLineChars="175"/>
        <w:contextualSpacing/>
        <w:rPr>
          <w:rFonts w:ascii="宋体" w:hAnsi="宋体" w:eastAsia="宋体" w:cs="宋体"/>
          <w:color w:val="auto"/>
          <w:sz w:val="24"/>
        </w:rPr>
      </w:pPr>
    </w:p>
    <w:p w14:paraId="75F5A5A8">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联合体牵头人名称（盖公章）：</w:t>
      </w:r>
    </w:p>
    <w:p w14:paraId="77B6379D">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法定代表人或者其委托代理人： （签字）</w:t>
      </w:r>
    </w:p>
    <w:p w14:paraId="669D081D">
      <w:pPr>
        <w:pStyle w:val="7"/>
        <w:overflowPunct w:val="0"/>
        <w:spacing w:line="360" w:lineRule="auto"/>
        <w:ind w:firstLineChars="175"/>
        <w:contextualSpacing/>
        <w:rPr>
          <w:rFonts w:ascii="宋体" w:hAnsi="宋体" w:eastAsia="宋体" w:cs="宋体"/>
          <w:color w:val="auto"/>
          <w:sz w:val="24"/>
        </w:rPr>
      </w:pPr>
    </w:p>
    <w:p w14:paraId="6AF93093">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联合体成员名称（盖公章）：</w:t>
      </w:r>
    </w:p>
    <w:p w14:paraId="069C4745">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法定代表人或者其委托代理人： （签字）</w:t>
      </w:r>
    </w:p>
    <w:p w14:paraId="558B2821">
      <w:pPr>
        <w:pStyle w:val="7"/>
        <w:overflowPunct w:val="0"/>
        <w:spacing w:line="360" w:lineRule="auto"/>
        <w:ind w:firstLineChars="175"/>
        <w:contextualSpacing/>
        <w:rPr>
          <w:rFonts w:ascii="宋体" w:hAnsi="宋体" w:eastAsia="宋体" w:cs="宋体"/>
          <w:color w:val="auto"/>
          <w:sz w:val="24"/>
        </w:rPr>
      </w:pPr>
      <w:r>
        <w:rPr>
          <w:rFonts w:hint="eastAsia" w:ascii="宋体" w:hAnsi="宋体" w:eastAsia="宋体" w:cs="宋体"/>
          <w:color w:val="auto"/>
          <w:sz w:val="24"/>
        </w:rPr>
        <w:t>……</w:t>
      </w:r>
    </w:p>
    <w:p w14:paraId="6FC6885D">
      <w:pPr>
        <w:pStyle w:val="7"/>
        <w:overflowPunct w:val="0"/>
        <w:spacing w:line="360" w:lineRule="auto"/>
        <w:ind w:firstLineChars="175"/>
        <w:contextualSpacing/>
        <w:rPr>
          <w:rFonts w:ascii="宋体" w:hAnsi="宋体" w:eastAsia="宋体" w:cs="宋体"/>
          <w:color w:val="auto"/>
          <w:sz w:val="24"/>
        </w:rPr>
      </w:pPr>
    </w:p>
    <w:p w14:paraId="5D4DD540">
      <w:pPr>
        <w:pStyle w:val="7"/>
        <w:overflowPunct w:val="0"/>
        <w:spacing w:line="360" w:lineRule="auto"/>
        <w:ind w:firstLineChars="175"/>
        <w:contextualSpacing/>
        <w:jc w:val="right"/>
        <w:rPr>
          <w:rFonts w:ascii="宋体" w:hAnsi="宋体" w:eastAsia="宋体" w:cs="宋体"/>
          <w:color w:val="auto"/>
          <w:sz w:val="24"/>
        </w:rPr>
      </w:pPr>
      <w:r>
        <w:rPr>
          <w:rFonts w:hint="eastAsia" w:ascii="宋体" w:hAnsi="宋体" w:eastAsia="宋体" w:cs="宋体"/>
          <w:color w:val="auto"/>
          <w:sz w:val="24"/>
        </w:rPr>
        <w:t xml:space="preserve"> 年 月 日</w:t>
      </w:r>
    </w:p>
    <w:p w14:paraId="3F7AC6CC">
      <w:pPr>
        <w:pStyle w:val="7"/>
        <w:overflowPunct w:val="0"/>
        <w:spacing w:line="360" w:lineRule="auto"/>
        <w:ind w:firstLineChars="175"/>
        <w:contextualSpacing/>
        <w:jc w:val="right"/>
        <w:rPr>
          <w:rFonts w:ascii="宋体" w:hAnsi="宋体" w:eastAsia="宋体" w:cs="宋体"/>
          <w:color w:val="auto"/>
          <w:sz w:val="24"/>
        </w:rPr>
      </w:pPr>
    </w:p>
    <w:p w14:paraId="074BC26B">
      <w:pPr>
        <w:spacing w:line="360" w:lineRule="auto"/>
        <w:jc w:val="left"/>
        <w:rPr>
          <w:rFonts w:ascii="宋体" w:hAnsi="宋体" w:eastAsia="宋体" w:cs="宋体"/>
          <w:color w:val="auto"/>
          <w:sz w:val="24"/>
        </w:rPr>
      </w:pPr>
      <w:r>
        <w:rPr>
          <w:rFonts w:hint="eastAsia" w:ascii="宋体" w:hAnsi="宋体" w:eastAsia="宋体" w:cs="宋体"/>
          <w:b/>
          <w:color w:val="auto"/>
          <w:sz w:val="24"/>
        </w:rPr>
        <w:t>2.质疑函格式</w:t>
      </w:r>
    </w:p>
    <w:p w14:paraId="40500A66">
      <w:pPr>
        <w:spacing w:line="360" w:lineRule="auto"/>
        <w:jc w:val="center"/>
        <w:rPr>
          <w:rFonts w:ascii="宋体" w:hAnsi="宋体" w:eastAsia="宋体" w:cs="宋体"/>
          <w:color w:val="auto"/>
          <w:sz w:val="44"/>
          <w:szCs w:val="44"/>
        </w:rPr>
      </w:pPr>
      <w:r>
        <w:rPr>
          <w:rFonts w:hint="eastAsia" w:ascii="宋体" w:hAnsi="宋体" w:eastAsia="宋体" w:cs="宋体"/>
          <w:color w:val="auto"/>
          <w:sz w:val="44"/>
          <w:szCs w:val="44"/>
        </w:rPr>
        <w:t>质疑函</w:t>
      </w:r>
    </w:p>
    <w:p w14:paraId="64F813D2">
      <w:pPr>
        <w:pStyle w:val="20"/>
        <w:snapToGrid w:val="0"/>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一、质疑供应商基本信息：</w:t>
      </w:r>
    </w:p>
    <w:p w14:paraId="53655559">
      <w:pPr>
        <w:pStyle w:val="20"/>
        <w:snapToGrid w:val="0"/>
        <w:spacing w:line="360" w:lineRule="auto"/>
        <w:ind w:firstLine="480" w:firstLineChars="200"/>
        <w:rPr>
          <w:rFonts w:ascii="宋体" w:hAnsi="宋体" w:eastAsia="宋体" w:cs="宋体"/>
          <w:bCs/>
          <w:color w:val="auto"/>
          <w:sz w:val="24"/>
          <w:szCs w:val="24"/>
          <w:u w:val="single"/>
        </w:rPr>
      </w:pPr>
      <w:r>
        <w:rPr>
          <w:rFonts w:hint="eastAsia" w:ascii="宋体" w:hAnsi="宋体" w:eastAsia="宋体" w:cs="宋体"/>
          <w:bCs/>
          <w:color w:val="auto"/>
          <w:sz w:val="24"/>
          <w:szCs w:val="24"/>
        </w:rPr>
        <w:t>质疑供应商：</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0DC0CEFF">
      <w:pPr>
        <w:pStyle w:val="20"/>
        <w:snapToGrid w:val="0"/>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地址：</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邮编：</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7B9F565C">
      <w:pPr>
        <w:pStyle w:val="20"/>
        <w:snapToGrid w:val="0"/>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联系人：</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联系电话：</w:t>
      </w:r>
      <w:r>
        <w:rPr>
          <w:rFonts w:hint="eastAsia" w:ascii="宋体" w:hAnsi="宋体" w:eastAsia="宋体" w:cs="宋体"/>
          <w:bCs/>
          <w:color w:val="auto"/>
          <w:sz w:val="24"/>
          <w:szCs w:val="24"/>
          <w:u w:val="single"/>
        </w:rPr>
        <w:t xml:space="preserve">                 </w:t>
      </w:r>
    </w:p>
    <w:p w14:paraId="2EC5AFAD">
      <w:pPr>
        <w:pStyle w:val="20"/>
        <w:snapToGrid w:val="0"/>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授权代表：</w:t>
      </w:r>
      <w:r>
        <w:rPr>
          <w:rFonts w:hint="eastAsia" w:ascii="宋体" w:hAnsi="宋体" w:eastAsia="宋体" w:cs="宋体"/>
          <w:bCs/>
          <w:color w:val="auto"/>
          <w:sz w:val="24"/>
          <w:szCs w:val="24"/>
          <w:u w:val="single"/>
        </w:rPr>
        <w:t xml:space="preserve">                      </w:t>
      </w:r>
    </w:p>
    <w:p w14:paraId="0779F40A">
      <w:pPr>
        <w:pStyle w:val="20"/>
        <w:snapToGrid w:val="0"/>
        <w:spacing w:line="360" w:lineRule="auto"/>
        <w:ind w:firstLine="480" w:firstLineChars="200"/>
        <w:rPr>
          <w:rFonts w:ascii="宋体" w:hAnsi="宋体" w:eastAsia="宋体" w:cs="宋体"/>
          <w:bCs/>
          <w:color w:val="auto"/>
          <w:sz w:val="24"/>
          <w:szCs w:val="24"/>
          <w:u w:val="single"/>
        </w:rPr>
      </w:pPr>
      <w:r>
        <w:rPr>
          <w:rFonts w:hint="eastAsia" w:ascii="宋体" w:hAnsi="宋体" w:eastAsia="宋体" w:cs="宋体"/>
          <w:bCs/>
          <w:color w:val="auto"/>
          <w:sz w:val="24"/>
          <w:szCs w:val="24"/>
        </w:rPr>
        <w:t>联系电话：</w:t>
      </w:r>
      <w:r>
        <w:rPr>
          <w:rFonts w:hint="eastAsia" w:ascii="宋体" w:hAnsi="宋体" w:eastAsia="宋体" w:cs="宋体"/>
          <w:bCs/>
          <w:color w:val="auto"/>
          <w:sz w:val="24"/>
          <w:szCs w:val="24"/>
          <w:u w:val="single"/>
        </w:rPr>
        <w:t xml:space="preserve">                      </w:t>
      </w:r>
    </w:p>
    <w:p w14:paraId="53E47622">
      <w:pPr>
        <w:pStyle w:val="20"/>
        <w:snapToGrid w:val="0"/>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地址：</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邮编：</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7A0CE42D">
      <w:pPr>
        <w:pStyle w:val="20"/>
        <w:snapToGrid w:val="0"/>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二、质疑项目基本情况：</w:t>
      </w:r>
    </w:p>
    <w:p w14:paraId="1AFF538A">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bCs/>
          <w:color w:val="auto"/>
          <w:sz w:val="24"/>
          <w:szCs w:val="24"/>
        </w:rPr>
        <w:t>质疑</w:t>
      </w:r>
      <w:r>
        <w:rPr>
          <w:rFonts w:hint="eastAsia" w:ascii="宋体" w:hAnsi="宋体" w:eastAsia="宋体" w:cs="宋体"/>
          <w:color w:val="auto"/>
          <w:sz w:val="24"/>
          <w:szCs w:val="24"/>
        </w:rPr>
        <w:t>项目的名称：</w:t>
      </w:r>
      <w:r>
        <w:rPr>
          <w:rFonts w:hint="eastAsia" w:ascii="宋体" w:hAnsi="宋体" w:eastAsia="宋体" w:cs="宋体"/>
          <w:bCs/>
          <w:color w:val="auto"/>
          <w:sz w:val="24"/>
          <w:szCs w:val="24"/>
          <w:u w:val="single"/>
        </w:rPr>
        <w:t xml:space="preserve">                                     </w:t>
      </w:r>
    </w:p>
    <w:p w14:paraId="2891507B">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bCs/>
          <w:color w:val="auto"/>
          <w:sz w:val="24"/>
          <w:szCs w:val="24"/>
        </w:rPr>
        <w:t>质疑</w:t>
      </w:r>
      <w:r>
        <w:rPr>
          <w:rFonts w:hint="eastAsia" w:ascii="宋体" w:hAnsi="宋体" w:eastAsia="宋体" w:cs="宋体"/>
          <w:color w:val="auto"/>
          <w:sz w:val="24"/>
          <w:szCs w:val="24"/>
        </w:rPr>
        <w:t>项目的编号：</w:t>
      </w:r>
      <w:r>
        <w:rPr>
          <w:rFonts w:hint="eastAsia" w:ascii="宋体" w:hAnsi="宋体" w:eastAsia="宋体" w:cs="宋体"/>
          <w:bCs/>
          <w:color w:val="auto"/>
          <w:sz w:val="24"/>
          <w:szCs w:val="24"/>
          <w:u w:val="single"/>
        </w:rPr>
        <w:t xml:space="preserve">                                     </w:t>
      </w:r>
    </w:p>
    <w:p w14:paraId="4B6539E8">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采购人名称：</w:t>
      </w:r>
      <w:r>
        <w:rPr>
          <w:rFonts w:hint="eastAsia" w:ascii="宋体" w:hAnsi="宋体" w:eastAsia="宋体" w:cs="宋体"/>
          <w:bCs/>
          <w:color w:val="auto"/>
          <w:sz w:val="24"/>
          <w:szCs w:val="24"/>
          <w:u w:val="single"/>
        </w:rPr>
        <w:t xml:space="preserve">                                         </w:t>
      </w:r>
    </w:p>
    <w:p w14:paraId="5E0E095F">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质疑事项：</w:t>
      </w:r>
    </w:p>
    <w:p w14:paraId="1FC0A0BF">
      <w:pPr>
        <w:pStyle w:val="20"/>
        <w:spacing w:line="360" w:lineRule="auto"/>
        <w:ind w:left="25" w:leftChars="12" w:firstLine="352" w:firstLineChars="147"/>
        <w:rPr>
          <w:rFonts w:ascii="宋体" w:hAnsi="宋体" w:eastAsia="宋体" w:cs="宋体"/>
          <w:color w:val="auto"/>
          <w:sz w:val="24"/>
          <w:szCs w:val="24"/>
        </w:rPr>
      </w:pPr>
      <w:r>
        <w:rPr>
          <w:rFonts w:hint="eastAsia" w:ascii="宋体" w:hAnsi="宋体" w:eastAsia="宋体" w:cs="宋体"/>
          <w:color w:val="auto"/>
          <w:sz w:val="24"/>
          <w:szCs w:val="24"/>
        </w:rPr>
        <w:t>□招标文件   招标文件获取日期：</w:t>
      </w:r>
      <w:r>
        <w:rPr>
          <w:rFonts w:hint="eastAsia" w:ascii="宋体" w:hAnsi="宋体" w:eastAsia="宋体" w:cs="宋体"/>
          <w:bCs/>
          <w:color w:val="auto"/>
          <w:sz w:val="24"/>
          <w:szCs w:val="24"/>
          <w:u w:val="single"/>
        </w:rPr>
        <w:t xml:space="preserve">                                   </w:t>
      </w:r>
    </w:p>
    <w:p w14:paraId="5C2B4527">
      <w:pPr>
        <w:pStyle w:val="20"/>
        <w:spacing w:line="360" w:lineRule="auto"/>
        <w:ind w:left="25" w:leftChars="12" w:firstLine="352" w:firstLineChars="147"/>
        <w:rPr>
          <w:rFonts w:ascii="宋体" w:hAnsi="宋体" w:eastAsia="宋体" w:cs="宋体"/>
          <w:color w:val="auto"/>
          <w:sz w:val="24"/>
          <w:szCs w:val="24"/>
        </w:rPr>
      </w:pPr>
      <w:r>
        <w:rPr>
          <w:rFonts w:hint="eastAsia" w:ascii="宋体" w:hAnsi="宋体" w:eastAsia="宋体" w:cs="宋体"/>
          <w:color w:val="auto"/>
          <w:sz w:val="24"/>
          <w:szCs w:val="24"/>
        </w:rPr>
        <w:t xml:space="preserve">□采购过程   </w:t>
      </w:r>
    </w:p>
    <w:p w14:paraId="1BDF6FE4">
      <w:pPr>
        <w:pStyle w:val="20"/>
        <w:spacing w:line="360" w:lineRule="auto"/>
        <w:ind w:left="25" w:leftChars="12" w:firstLine="352" w:firstLineChars="147"/>
        <w:rPr>
          <w:rFonts w:ascii="宋体" w:hAnsi="宋体" w:eastAsia="宋体" w:cs="宋体"/>
          <w:bCs/>
          <w:color w:val="auto"/>
          <w:sz w:val="24"/>
          <w:szCs w:val="24"/>
          <w:u w:val="single"/>
        </w:rPr>
      </w:pPr>
      <w:r>
        <w:rPr>
          <w:rFonts w:hint="eastAsia" w:ascii="宋体" w:hAnsi="宋体" w:eastAsia="宋体" w:cs="宋体"/>
          <w:color w:val="auto"/>
          <w:sz w:val="24"/>
          <w:szCs w:val="24"/>
        </w:rPr>
        <w:t xml:space="preserve">□中标结果   </w:t>
      </w:r>
    </w:p>
    <w:p w14:paraId="124F9D00">
      <w:pPr>
        <w:pStyle w:val="20"/>
        <w:spacing w:line="360" w:lineRule="auto"/>
        <w:ind w:left="25" w:leftChars="12" w:firstLine="472" w:firstLineChars="196"/>
        <w:rPr>
          <w:rFonts w:ascii="宋体" w:hAnsi="宋体" w:eastAsia="宋体" w:cs="宋体"/>
          <w:b/>
          <w:color w:val="auto"/>
          <w:sz w:val="24"/>
          <w:szCs w:val="24"/>
        </w:rPr>
      </w:pPr>
      <w:r>
        <w:rPr>
          <w:rFonts w:hint="eastAsia" w:ascii="宋体" w:hAnsi="宋体" w:eastAsia="宋体" w:cs="宋体"/>
          <w:b/>
          <w:color w:val="auto"/>
          <w:sz w:val="24"/>
          <w:szCs w:val="24"/>
        </w:rPr>
        <w:t>三、质疑事项具体内容</w:t>
      </w:r>
    </w:p>
    <w:p w14:paraId="6816F72B">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质疑事项1：</w:t>
      </w:r>
      <w:r>
        <w:rPr>
          <w:rFonts w:hint="eastAsia" w:ascii="宋体" w:hAnsi="宋体" w:eastAsia="宋体" w:cs="宋体"/>
          <w:bCs/>
          <w:color w:val="auto"/>
          <w:sz w:val="24"/>
          <w:szCs w:val="24"/>
          <w:u w:val="single"/>
        </w:rPr>
        <w:t xml:space="preserve">                                                                    </w:t>
      </w:r>
    </w:p>
    <w:p w14:paraId="09E1E625">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事实依据：</w:t>
      </w:r>
      <w:r>
        <w:rPr>
          <w:rFonts w:hint="eastAsia" w:ascii="宋体" w:hAnsi="宋体" w:eastAsia="宋体" w:cs="宋体"/>
          <w:bCs/>
          <w:color w:val="auto"/>
          <w:sz w:val="24"/>
          <w:szCs w:val="24"/>
          <w:u w:val="single"/>
        </w:rPr>
        <w:t xml:space="preserve">                                                                      </w:t>
      </w:r>
    </w:p>
    <w:p w14:paraId="61940DB1">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法律依据：</w:t>
      </w:r>
      <w:r>
        <w:rPr>
          <w:rFonts w:hint="eastAsia" w:ascii="宋体" w:hAnsi="宋体" w:eastAsia="宋体" w:cs="宋体"/>
          <w:color w:val="auto"/>
          <w:sz w:val="24"/>
          <w:szCs w:val="24"/>
          <w:u w:val="single"/>
        </w:rPr>
        <w:t xml:space="preserve">                                                        </w:t>
      </w:r>
      <w:r>
        <w:rPr>
          <w:rFonts w:hint="eastAsia" w:ascii="宋体" w:hAnsi="宋体" w:eastAsia="宋体" w:cs="宋体"/>
          <w:bCs/>
          <w:color w:val="auto"/>
          <w:sz w:val="24"/>
          <w:szCs w:val="24"/>
          <w:u w:val="single"/>
        </w:rPr>
        <w:t xml:space="preserve">               </w:t>
      </w:r>
    </w:p>
    <w:p w14:paraId="4B98A39C">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质疑事项2</w:t>
      </w:r>
    </w:p>
    <w:p w14:paraId="62F6A8B7">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w:t>
      </w:r>
    </w:p>
    <w:p w14:paraId="0FFCA199">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四、与质疑事项相关的质疑请求：</w:t>
      </w:r>
    </w:p>
    <w:p w14:paraId="3CC794A4">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请求：</w:t>
      </w:r>
      <w:r>
        <w:rPr>
          <w:rFonts w:hint="eastAsia" w:ascii="宋体" w:hAnsi="宋体" w:eastAsia="宋体" w:cs="宋体"/>
          <w:bCs/>
          <w:color w:val="auto"/>
          <w:sz w:val="24"/>
          <w:szCs w:val="24"/>
          <w:u w:val="single"/>
        </w:rPr>
        <w:t xml:space="preserve">                                                                </w:t>
      </w:r>
    </w:p>
    <w:p w14:paraId="662C910D">
      <w:pPr>
        <w:pStyle w:val="20"/>
        <w:spacing w:line="360" w:lineRule="auto"/>
        <w:ind w:left="25" w:leftChars="12" w:firstLine="352" w:firstLineChars="147"/>
        <w:rPr>
          <w:rFonts w:ascii="宋体" w:hAnsi="宋体" w:eastAsia="宋体" w:cs="宋体"/>
          <w:color w:val="auto"/>
          <w:sz w:val="24"/>
          <w:szCs w:val="24"/>
        </w:rPr>
      </w:pPr>
    </w:p>
    <w:p w14:paraId="30BC5DD7">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签字（签章）：                                       公章：</w:t>
      </w:r>
    </w:p>
    <w:p w14:paraId="3F50F23A">
      <w:pPr>
        <w:pStyle w:val="20"/>
        <w:spacing w:line="360" w:lineRule="auto"/>
        <w:ind w:left="25" w:leftChars="12" w:firstLine="352" w:firstLineChars="147"/>
        <w:rPr>
          <w:rFonts w:ascii="宋体" w:hAnsi="宋体" w:eastAsia="宋体" w:cs="宋体"/>
          <w:color w:val="auto"/>
          <w:sz w:val="24"/>
          <w:szCs w:val="24"/>
        </w:rPr>
      </w:pPr>
    </w:p>
    <w:p w14:paraId="23351E3F">
      <w:pPr>
        <w:pStyle w:val="20"/>
        <w:spacing w:line="360" w:lineRule="auto"/>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日期：</w:t>
      </w:r>
    </w:p>
    <w:p w14:paraId="15EF92BD">
      <w:pPr>
        <w:pStyle w:val="20"/>
        <w:snapToGrid w:val="0"/>
        <w:spacing w:line="360" w:lineRule="auto"/>
        <w:rPr>
          <w:rFonts w:ascii="宋体" w:hAnsi="宋体" w:eastAsia="宋体" w:cs="宋体"/>
          <w:b/>
          <w:color w:val="auto"/>
          <w:sz w:val="24"/>
          <w:szCs w:val="24"/>
        </w:rPr>
      </w:pPr>
    </w:p>
    <w:p w14:paraId="26770A58">
      <w:pPr>
        <w:pStyle w:val="20"/>
        <w:snapToGrid w:val="0"/>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说明：</w:t>
      </w:r>
    </w:p>
    <w:p w14:paraId="23929144">
      <w:pPr>
        <w:pStyle w:val="20"/>
        <w:spacing w:line="360" w:lineRule="auto"/>
        <w:ind w:left="25" w:leftChars="12" w:firstLine="354" w:firstLineChars="147"/>
        <w:rPr>
          <w:rFonts w:ascii="宋体" w:hAnsi="宋体" w:eastAsia="宋体" w:cs="宋体"/>
          <w:b/>
          <w:bCs/>
          <w:color w:val="auto"/>
          <w:sz w:val="24"/>
          <w:szCs w:val="24"/>
        </w:rPr>
      </w:pPr>
      <w:r>
        <w:rPr>
          <w:rFonts w:hint="eastAsia" w:ascii="宋体" w:hAnsi="宋体" w:eastAsia="宋体" w:cs="宋体"/>
          <w:b/>
          <w:color w:val="auto"/>
          <w:sz w:val="24"/>
          <w:szCs w:val="24"/>
        </w:rPr>
        <w:t>1.供应商提出质疑时，应提交质疑函和必要的证明材料</w:t>
      </w:r>
      <w:r>
        <w:rPr>
          <w:rFonts w:hint="eastAsia" w:ascii="宋体" w:hAnsi="宋体" w:eastAsia="宋体" w:cs="宋体"/>
          <w:b/>
          <w:bCs/>
          <w:color w:val="auto"/>
          <w:sz w:val="24"/>
          <w:szCs w:val="24"/>
        </w:rPr>
        <w:t>。</w:t>
      </w:r>
    </w:p>
    <w:p w14:paraId="3E116910">
      <w:pPr>
        <w:pStyle w:val="20"/>
        <w:spacing w:line="360" w:lineRule="auto"/>
        <w:ind w:left="25" w:leftChars="12" w:firstLine="354" w:firstLineChars="147"/>
        <w:rPr>
          <w:rFonts w:ascii="宋体" w:hAnsi="宋体" w:eastAsia="宋体" w:cs="宋体"/>
          <w:b/>
          <w:color w:val="auto"/>
          <w:sz w:val="24"/>
          <w:szCs w:val="24"/>
        </w:rPr>
      </w:pPr>
      <w:r>
        <w:rPr>
          <w:rFonts w:hint="eastAsia" w:ascii="宋体" w:hAnsi="宋体" w:eastAsia="宋体" w:cs="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26E8797">
      <w:pPr>
        <w:pStyle w:val="20"/>
        <w:spacing w:line="360" w:lineRule="auto"/>
        <w:ind w:left="25" w:leftChars="12" w:firstLine="354" w:firstLineChars="147"/>
        <w:rPr>
          <w:rFonts w:ascii="宋体" w:hAnsi="宋体" w:eastAsia="宋体" w:cs="宋体"/>
          <w:b/>
          <w:color w:val="auto"/>
          <w:sz w:val="24"/>
          <w:szCs w:val="24"/>
        </w:rPr>
      </w:pPr>
      <w:r>
        <w:rPr>
          <w:rFonts w:hint="eastAsia" w:ascii="宋体" w:hAnsi="宋体" w:eastAsia="宋体" w:cs="宋体"/>
          <w:b/>
          <w:color w:val="auto"/>
          <w:sz w:val="24"/>
          <w:szCs w:val="24"/>
        </w:rPr>
        <w:t>3.质疑函的质疑事项应具体、明确，并有必要的事实依据和法律依据。</w:t>
      </w:r>
    </w:p>
    <w:p w14:paraId="50B6B3A8">
      <w:pPr>
        <w:pStyle w:val="20"/>
        <w:spacing w:line="360" w:lineRule="auto"/>
        <w:ind w:left="25" w:leftChars="12" w:firstLine="354" w:firstLineChars="147"/>
        <w:rPr>
          <w:rFonts w:ascii="宋体" w:hAnsi="宋体" w:eastAsia="宋体" w:cs="宋体"/>
          <w:b/>
          <w:color w:val="auto"/>
          <w:sz w:val="24"/>
          <w:szCs w:val="24"/>
        </w:rPr>
      </w:pPr>
      <w:r>
        <w:rPr>
          <w:rFonts w:hint="eastAsia" w:ascii="宋体" w:hAnsi="宋体" w:eastAsia="宋体" w:cs="宋体"/>
          <w:b/>
          <w:color w:val="auto"/>
          <w:sz w:val="24"/>
          <w:szCs w:val="24"/>
        </w:rPr>
        <w:t>4.质疑函的质疑请求应与质疑事项相关。</w:t>
      </w:r>
    </w:p>
    <w:p w14:paraId="5D2FD837">
      <w:pPr>
        <w:pStyle w:val="20"/>
        <w:spacing w:line="360" w:lineRule="auto"/>
        <w:ind w:left="25" w:leftChars="12" w:firstLine="354" w:firstLineChars="147"/>
        <w:rPr>
          <w:rFonts w:ascii="宋体" w:hAnsi="宋体" w:eastAsia="宋体" w:cs="宋体"/>
          <w:b/>
          <w:color w:val="auto"/>
        </w:rPr>
      </w:pPr>
      <w:r>
        <w:rPr>
          <w:rFonts w:hint="eastAsia" w:ascii="宋体" w:hAnsi="宋体" w:eastAsia="宋体" w:cs="宋体"/>
          <w:b/>
          <w:color w:val="auto"/>
          <w:sz w:val="24"/>
          <w:szCs w:val="24"/>
        </w:rPr>
        <w:t>5.质疑供应商为法人或者其他组织的，质疑函应由法定代表人、主要负责人，或者其授权代表签字或者盖章，并加盖公章。</w:t>
      </w:r>
    </w:p>
    <w:p w14:paraId="27893127">
      <w:pPr>
        <w:pStyle w:val="20"/>
        <w:snapToGrid w:val="0"/>
        <w:rPr>
          <w:rFonts w:ascii="宋体" w:hAnsi="宋体" w:eastAsia="宋体" w:cs="宋体"/>
          <w:b/>
          <w:color w:val="auto"/>
          <w:sz w:val="24"/>
          <w:szCs w:val="24"/>
        </w:rPr>
      </w:pPr>
    </w:p>
    <w:p w14:paraId="78FDEF93">
      <w:pPr>
        <w:spacing w:line="360" w:lineRule="auto"/>
        <w:jc w:val="left"/>
        <w:rPr>
          <w:rFonts w:ascii="宋体" w:hAnsi="宋体" w:eastAsia="宋体" w:cs="宋体"/>
          <w:b/>
          <w:bCs/>
          <w:color w:val="auto"/>
          <w:sz w:val="32"/>
          <w:szCs w:val="32"/>
        </w:rPr>
      </w:pPr>
      <w:r>
        <w:rPr>
          <w:rFonts w:hint="eastAsia" w:ascii="宋体" w:hAnsi="宋体" w:eastAsia="宋体" w:cs="宋体"/>
          <w:color w:val="auto"/>
          <w:sz w:val="44"/>
        </w:rPr>
        <w:br w:type="page"/>
      </w:r>
      <w:r>
        <w:rPr>
          <w:rFonts w:hint="eastAsia" w:ascii="宋体" w:hAnsi="宋体" w:eastAsia="宋体" w:cs="宋体"/>
          <w:b/>
          <w:color w:val="auto"/>
          <w:sz w:val="24"/>
        </w:rPr>
        <w:t>3.投诉书格式</w:t>
      </w:r>
    </w:p>
    <w:p w14:paraId="6010D3E5">
      <w:pPr>
        <w:jc w:val="center"/>
        <w:rPr>
          <w:rFonts w:ascii="宋体" w:hAnsi="宋体" w:eastAsia="宋体" w:cs="宋体"/>
          <w:color w:val="auto"/>
          <w:sz w:val="44"/>
          <w:szCs w:val="44"/>
        </w:rPr>
      </w:pPr>
      <w:r>
        <w:rPr>
          <w:rFonts w:hint="eastAsia" w:ascii="宋体" w:hAnsi="宋体" w:eastAsia="宋体" w:cs="宋体"/>
          <w:color w:val="auto"/>
          <w:sz w:val="44"/>
          <w:szCs w:val="44"/>
        </w:rPr>
        <w:t>投诉书</w:t>
      </w:r>
    </w:p>
    <w:p w14:paraId="2DD88948">
      <w:pPr>
        <w:pStyle w:val="20"/>
        <w:snapToGrid w:val="0"/>
        <w:spacing w:line="440" w:lineRule="exact"/>
        <w:ind w:firstLine="482" w:firstLineChars="200"/>
        <w:rPr>
          <w:rFonts w:ascii="宋体" w:hAnsi="宋体" w:eastAsia="宋体" w:cs="宋体"/>
          <w:b/>
          <w:bCs/>
          <w:color w:val="auto"/>
          <w:sz w:val="24"/>
          <w:szCs w:val="24"/>
        </w:rPr>
      </w:pPr>
    </w:p>
    <w:p w14:paraId="1D108717">
      <w:pPr>
        <w:pStyle w:val="20"/>
        <w:snapToGrid w:val="0"/>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一、投诉相关主体基本情况：</w:t>
      </w:r>
    </w:p>
    <w:p w14:paraId="155F2567">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投标人：</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1A8BD4FB">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地址：</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邮编：</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6B5572DF">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法定代表人/主要负责人：</w:t>
      </w:r>
      <w:r>
        <w:rPr>
          <w:rFonts w:hint="eastAsia" w:ascii="宋体" w:hAnsi="宋体" w:eastAsia="宋体" w:cs="宋体"/>
          <w:bCs/>
          <w:color w:val="auto"/>
          <w:sz w:val="24"/>
          <w:szCs w:val="24"/>
          <w:u w:val="single"/>
        </w:rPr>
        <w:t xml:space="preserve">                                                         </w:t>
      </w:r>
    </w:p>
    <w:p w14:paraId="7EBB7FDD">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联系电话：</w:t>
      </w:r>
      <w:r>
        <w:rPr>
          <w:rFonts w:hint="eastAsia" w:ascii="宋体" w:hAnsi="宋体" w:eastAsia="宋体" w:cs="宋体"/>
          <w:bCs/>
          <w:color w:val="auto"/>
          <w:sz w:val="24"/>
          <w:szCs w:val="24"/>
          <w:u w:val="single"/>
        </w:rPr>
        <w:t xml:space="preserve">                                         </w:t>
      </w:r>
    </w:p>
    <w:p w14:paraId="2070DF1C">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授权代表：</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联系电话：</w:t>
      </w:r>
      <w:r>
        <w:rPr>
          <w:rFonts w:hint="eastAsia" w:ascii="宋体" w:hAnsi="宋体" w:eastAsia="宋体" w:cs="宋体"/>
          <w:bCs/>
          <w:color w:val="auto"/>
          <w:sz w:val="24"/>
          <w:szCs w:val="24"/>
          <w:u w:val="single"/>
        </w:rPr>
        <w:t xml:space="preserve">                   </w:t>
      </w:r>
    </w:p>
    <w:p w14:paraId="49D7E8C9">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地址：</w:t>
      </w:r>
      <w:r>
        <w:rPr>
          <w:rFonts w:hint="eastAsia" w:ascii="宋体" w:hAnsi="宋体" w:eastAsia="宋体" w:cs="宋体"/>
          <w:bCs/>
          <w:color w:val="auto"/>
          <w:sz w:val="24"/>
          <w:szCs w:val="24"/>
          <w:u w:val="single"/>
        </w:rPr>
        <w:t xml:space="preserve">                                                            </w:t>
      </w:r>
    </w:p>
    <w:p w14:paraId="0E7E5F77">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邮编：</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3607A818">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被投诉人1：</w:t>
      </w:r>
    </w:p>
    <w:p w14:paraId="42509799">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地址：</w:t>
      </w:r>
      <w:r>
        <w:rPr>
          <w:rFonts w:hint="eastAsia" w:ascii="宋体" w:hAnsi="宋体" w:eastAsia="宋体" w:cs="宋体"/>
          <w:bCs/>
          <w:color w:val="auto"/>
          <w:sz w:val="24"/>
          <w:szCs w:val="24"/>
          <w:u w:val="single"/>
        </w:rPr>
        <w:t xml:space="preserve">                                                            </w:t>
      </w:r>
    </w:p>
    <w:p w14:paraId="4258CFA4">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邮编：</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50E128ED">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联系人：</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联系电话：</w:t>
      </w:r>
      <w:r>
        <w:rPr>
          <w:rFonts w:hint="eastAsia" w:ascii="宋体" w:hAnsi="宋体" w:eastAsia="宋体" w:cs="宋体"/>
          <w:bCs/>
          <w:color w:val="auto"/>
          <w:sz w:val="24"/>
          <w:szCs w:val="24"/>
          <w:u w:val="single"/>
        </w:rPr>
        <w:t xml:space="preserve">                </w:t>
      </w:r>
    </w:p>
    <w:p w14:paraId="6391F371">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被投诉人2：</w:t>
      </w:r>
    </w:p>
    <w:p w14:paraId="30C3F109">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w:t>
      </w:r>
    </w:p>
    <w:p w14:paraId="3958DCC9">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相关供应商：</w:t>
      </w:r>
      <w:r>
        <w:rPr>
          <w:rFonts w:hint="eastAsia" w:ascii="宋体" w:hAnsi="宋体" w:eastAsia="宋体" w:cs="宋体"/>
          <w:bCs/>
          <w:color w:val="auto"/>
          <w:sz w:val="24"/>
          <w:szCs w:val="24"/>
          <w:u w:val="single"/>
        </w:rPr>
        <w:t xml:space="preserve">                                                                       </w:t>
      </w:r>
    </w:p>
    <w:p w14:paraId="2B94B00F">
      <w:pPr>
        <w:pStyle w:val="20"/>
        <w:snapToGrid w:val="0"/>
        <w:spacing w:line="440" w:lineRule="exact"/>
        <w:ind w:firstLine="480" w:firstLineChars="200"/>
        <w:jc w:val="left"/>
        <w:rPr>
          <w:rFonts w:ascii="宋体" w:hAnsi="宋体" w:eastAsia="宋体" w:cs="宋体"/>
          <w:bCs/>
          <w:color w:val="auto"/>
          <w:sz w:val="24"/>
          <w:szCs w:val="24"/>
          <w:u w:val="single"/>
        </w:rPr>
      </w:pPr>
      <w:r>
        <w:rPr>
          <w:rFonts w:hint="eastAsia" w:ascii="宋体" w:hAnsi="宋体" w:eastAsia="宋体" w:cs="宋体"/>
          <w:bCs/>
          <w:color w:val="auto"/>
          <w:sz w:val="24"/>
          <w:szCs w:val="24"/>
        </w:rPr>
        <w:t>地址：</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邮编：</w:t>
      </w:r>
      <w:r>
        <w:rPr>
          <w:rFonts w:hint="eastAsia" w:ascii="宋体" w:hAnsi="宋体" w:eastAsia="宋体" w:cs="宋体"/>
          <w:bCs/>
          <w:color w:val="auto"/>
          <w:sz w:val="24"/>
          <w:szCs w:val="24"/>
          <w:u w:val="single"/>
        </w:rPr>
        <w:t xml:space="preserve">                         </w:t>
      </w:r>
    </w:p>
    <w:p w14:paraId="2A0A240C">
      <w:pPr>
        <w:pStyle w:val="20"/>
        <w:snapToGrid w:val="0"/>
        <w:spacing w:line="440" w:lineRule="exact"/>
        <w:ind w:firstLine="480" w:firstLineChars="200"/>
        <w:jc w:val="left"/>
        <w:rPr>
          <w:rFonts w:ascii="宋体" w:hAnsi="宋体" w:eastAsia="宋体" w:cs="宋体"/>
          <w:bCs/>
          <w:color w:val="auto"/>
          <w:sz w:val="24"/>
          <w:szCs w:val="24"/>
        </w:rPr>
      </w:pPr>
      <w:r>
        <w:rPr>
          <w:rFonts w:hint="eastAsia" w:ascii="宋体" w:hAnsi="宋体" w:eastAsia="宋体" w:cs="宋体"/>
          <w:bCs/>
          <w:color w:val="auto"/>
          <w:sz w:val="24"/>
          <w:szCs w:val="24"/>
        </w:rPr>
        <w:t>联系人：</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联系电话：</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 xml:space="preserve">                </w:t>
      </w:r>
    </w:p>
    <w:p w14:paraId="3BC80891">
      <w:pPr>
        <w:pStyle w:val="20"/>
        <w:snapToGrid w:val="0"/>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二、投诉项目基本情况：</w:t>
      </w:r>
    </w:p>
    <w:p w14:paraId="44D744F0">
      <w:pPr>
        <w:pStyle w:val="20"/>
        <w:spacing w:line="440" w:lineRule="exact"/>
        <w:ind w:left="25" w:leftChars="12" w:firstLine="472" w:firstLineChars="197"/>
        <w:rPr>
          <w:rFonts w:ascii="宋体" w:hAnsi="宋体" w:eastAsia="宋体" w:cs="宋体"/>
          <w:color w:val="auto"/>
          <w:sz w:val="24"/>
          <w:szCs w:val="24"/>
        </w:rPr>
      </w:pPr>
      <w:r>
        <w:rPr>
          <w:rFonts w:hint="eastAsia" w:ascii="宋体" w:hAnsi="宋体" w:eastAsia="宋体" w:cs="宋体"/>
          <w:bCs/>
          <w:color w:val="auto"/>
          <w:sz w:val="24"/>
          <w:szCs w:val="24"/>
        </w:rPr>
        <w:t>采购</w:t>
      </w:r>
      <w:r>
        <w:rPr>
          <w:rFonts w:hint="eastAsia" w:ascii="宋体" w:hAnsi="宋体" w:eastAsia="宋体" w:cs="宋体"/>
          <w:color w:val="auto"/>
          <w:sz w:val="24"/>
          <w:szCs w:val="24"/>
        </w:rPr>
        <w:t>项目的名称：</w:t>
      </w:r>
      <w:r>
        <w:rPr>
          <w:rFonts w:hint="eastAsia" w:ascii="宋体" w:hAnsi="宋体" w:eastAsia="宋体" w:cs="宋体"/>
          <w:bCs/>
          <w:color w:val="auto"/>
          <w:sz w:val="24"/>
          <w:szCs w:val="24"/>
          <w:u w:val="single"/>
        </w:rPr>
        <w:t xml:space="preserve">                                                                   </w:t>
      </w:r>
    </w:p>
    <w:p w14:paraId="6426A737">
      <w:pPr>
        <w:pStyle w:val="20"/>
        <w:spacing w:line="440" w:lineRule="exact"/>
        <w:ind w:left="25" w:leftChars="12" w:firstLine="472" w:firstLineChars="197"/>
        <w:rPr>
          <w:rFonts w:ascii="宋体" w:hAnsi="宋体" w:eastAsia="宋体" w:cs="宋体"/>
          <w:color w:val="auto"/>
          <w:sz w:val="24"/>
          <w:szCs w:val="24"/>
        </w:rPr>
      </w:pPr>
      <w:r>
        <w:rPr>
          <w:rFonts w:hint="eastAsia" w:ascii="宋体" w:hAnsi="宋体" w:eastAsia="宋体" w:cs="宋体"/>
          <w:bCs/>
          <w:color w:val="auto"/>
          <w:sz w:val="24"/>
          <w:szCs w:val="24"/>
        </w:rPr>
        <w:t>采购</w:t>
      </w:r>
      <w:r>
        <w:rPr>
          <w:rFonts w:hint="eastAsia" w:ascii="宋体" w:hAnsi="宋体" w:eastAsia="宋体" w:cs="宋体"/>
          <w:color w:val="auto"/>
          <w:sz w:val="24"/>
          <w:szCs w:val="24"/>
        </w:rPr>
        <w:t>项目的编号：</w:t>
      </w:r>
      <w:r>
        <w:rPr>
          <w:rFonts w:hint="eastAsia" w:ascii="宋体" w:hAnsi="宋体" w:eastAsia="宋体" w:cs="宋体"/>
          <w:bCs/>
          <w:color w:val="auto"/>
          <w:sz w:val="24"/>
          <w:szCs w:val="24"/>
          <w:u w:val="single"/>
        </w:rPr>
        <w:t xml:space="preserve">                                          </w:t>
      </w:r>
    </w:p>
    <w:p w14:paraId="25B21048">
      <w:pPr>
        <w:pStyle w:val="20"/>
        <w:spacing w:line="440" w:lineRule="exact"/>
        <w:ind w:left="25" w:leftChars="12" w:firstLine="472" w:firstLineChars="197"/>
        <w:rPr>
          <w:rFonts w:ascii="宋体" w:hAnsi="宋体" w:eastAsia="宋体" w:cs="宋体"/>
          <w:bCs/>
          <w:color w:val="auto"/>
          <w:sz w:val="24"/>
          <w:szCs w:val="24"/>
          <w:u w:val="single"/>
        </w:rPr>
      </w:pPr>
      <w:r>
        <w:rPr>
          <w:rFonts w:hint="eastAsia" w:ascii="宋体" w:hAnsi="宋体" w:eastAsia="宋体" w:cs="宋体"/>
          <w:color w:val="auto"/>
          <w:sz w:val="24"/>
          <w:szCs w:val="24"/>
        </w:rPr>
        <w:t>采购人名称：</w:t>
      </w:r>
      <w:r>
        <w:rPr>
          <w:rFonts w:hint="eastAsia" w:ascii="宋体" w:hAnsi="宋体" w:eastAsia="宋体" w:cs="宋体"/>
          <w:bCs/>
          <w:color w:val="auto"/>
          <w:sz w:val="24"/>
          <w:szCs w:val="24"/>
          <w:u w:val="single"/>
        </w:rPr>
        <w:t xml:space="preserve">                                                                        </w:t>
      </w:r>
    </w:p>
    <w:p w14:paraId="0D92739F">
      <w:pPr>
        <w:pStyle w:val="20"/>
        <w:spacing w:line="440" w:lineRule="exact"/>
        <w:ind w:left="25" w:leftChars="12" w:firstLine="472" w:firstLineChars="197"/>
        <w:rPr>
          <w:rFonts w:ascii="宋体" w:hAnsi="宋体" w:eastAsia="宋体" w:cs="宋体"/>
          <w:bCs/>
          <w:color w:val="auto"/>
          <w:sz w:val="24"/>
          <w:szCs w:val="24"/>
          <w:u w:val="single"/>
        </w:rPr>
      </w:pPr>
      <w:r>
        <w:rPr>
          <w:rFonts w:hint="eastAsia" w:ascii="宋体" w:hAnsi="宋体" w:eastAsia="宋体" w:cs="宋体"/>
          <w:color w:val="auto"/>
          <w:sz w:val="24"/>
          <w:szCs w:val="24"/>
        </w:rPr>
        <w:t>代理机构名称：</w:t>
      </w:r>
      <w:r>
        <w:rPr>
          <w:rFonts w:hint="eastAsia" w:ascii="宋体" w:hAnsi="宋体" w:eastAsia="宋体" w:cs="宋体"/>
          <w:bCs/>
          <w:color w:val="auto"/>
          <w:sz w:val="24"/>
          <w:szCs w:val="24"/>
          <w:u w:val="single"/>
        </w:rPr>
        <w:t xml:space="preserve">                                                                      </w:t>
      </w:r>
    </w:p>
    <w:p w14:paraId="463EFE32">
      <w:pPr>
        <w:pStyle w:val="20"/>
        <w:spacing w:line="440" w:lineRule="exact"/>
        <w:ind w:left="25" w:leftChars="12" w:firstLine="472" w:firstLineChars="197"/>
        <w:rPr>
          <w:rFonts w:ascii="宋体" w:hAnsi="宋体" w:eastAsia="宋体" w:cs="宋体"/>
          <w:bCs/>
          <w:color w:val="auto"/>
          <w:sz w:val="24"/>
          <w:szCs w:val="24"/>
          <w:u w:val="single"/>
        </w:rPr>
      </w:pPr>
      <w:r>
        <w:rPr>
          <w:rFonts w:hint="eastAsia" w:ascii="宋体" w:hAnsi="宋体" w:eastAsia="宋体" w:cs="宋体"/>
          <w:bCs/>
          <w:color w:val="auto"/>
          <w:sz w:val="24"/>
          <w:szCs w:val="24"/>
        </w:rPr>
        <w:t>招标文件公告：</w:t>
      </w:r>
      <w:r>
        <w:rPr>
          <w:rFonts w:hint="eastAsia" w:ascii="宋体" w:hAnsi="宋体" w:eastAsia="宋体" w:cs="宋体"/>
          <w:bCs/>
          <w:color w:val="auto"/>
          <w:sz w:val="24"/>
          <w:szCs w:val="24"/>
          <w:u w:val="single"/>
        </w:rPr>
        <w:t>是/否</w:t>
      </w:r>
      <w:r>
        <w:rPr>
          <w:rFonts w:hint="eastAsia" w:ascii="宋体" w:hAnsi="宋体" w:eastAsia="宋体" w:cs="宋体"/>
          <w:bCs/>
          <w:color w:val="auto"/>
          <w:sz w:val="24"/>
          <w:szCs w:val="24"/>
        </w:rPr>
        <w:t>公告期限：</w:t>
      </w:r>
      <w:r>
        <w:rPr>
          <w:rFonts w:hint="eastAsia" w:ascii="宋体" w:hAnsi="宋体" w:eastAsia="宋体" w:cs="宋体"/>
          <w:bCs/>
          <w:color w:val="auto"/>
          <w:sz w:val="24"/>
          <w:szCs w:val="24"/>
          <w:u w:val="single"/>
        </w:rPr>
        <w:t xml:space="preserve">                                                       </w:t>
      </w:r>
    </w:p>
    <w:p w14:paraId="206952AC">
      <w:pPr>
        <w:pStyle w:val="20"/>
        <w:spacing w:line="440" w:lineRule="exact"/>
        <w:ind w:left="25" w:leftChars="12" w:firstLine="472" w:firstLineChars="197"/>
        <w:rPr>
          <w:rFonts w:ascii="宋体" w:hAnsi="宋体" w:eastAsia="宋体" w:cs="宋体"/>
          <w:b/>
          <w:color w:val="auto"/>
          <w:sz w:val="24"/>
          <w:szCs w:val="24"/>
        </w:rPr>
      </w:pPr>
      <w:r>
        <w:rPr>
          <w:rFonts w:hint="eastAsia" w:ascii="宋体" w:hAnsi="宋体" w:eastAsia="宋体" w:cs="宋体"/>
          <w:bCs/>
          <w:color w:val="auto"/>
          <w:sz w:val="24"/>
          <w:szCs w:val="24"/>
        </w:rPr>
        <w:t>采购结果公告：</w:t>
      </w:r>
      <w:r>
        <w:rPr>
          <w:rFonts w:hint="eastAsia" w:ascii="宋体" w:hAnsi="宋体" w:eastAsia="宋体" w:cs="宋体"/>
          <w:bCs/>
          <w:color w:val="auto"/>
          <w:sz w:val="24"/>
          <w:szCs w:val="24"/>
          <w:u w:val="single"/>
        </w:rPr>
        <w:t>是/否</w:t>
      </w:r>
      <w:r>
        <w:rPr>
          <w:rFonts w:hint="eastAsia" w:ascii="宋体" w:hAnsi="宋体" w:eastAsia="宋体" w:cs="宋体"/>
          <w:bCs/>
          <w:color w:val="auto"/>
          <w:sz w:val="24"/>
          <w:szCs w:val="24"/>
        </w:rPr>
        <w:t>公告期限：</w:t>
      </w:r>
      <w:r>
        <w:rPr>
          <w:rFonts w:hint="eastAsia" w:ascii="宋体" w:hAnsi="宋体" w:eastAsia="宋体" w:cs="宋体"/>
          <w:bCs/>
          <w:color w:val="auto"/>
          <w:sz w:val="24"/>
          <w:szCs w:val="24"/>
          <w:u w:val="single"/>
        </w:rPr>
        <w:t xml:space="preserve">                                                       </w:t>
      </w:r>
    </w:p>
    <w:p w14:paraId="554D0C21">
      <w:pPr>
        <w:pStyle w:val="20"/>
        <w:spacing w:line="440" w:lineRule="exact"/>
        <w:ind w:left="25" w:leftChars="12" w:firstLine="472" w:firstLineChars="196"/>
        <w:rPr>
          <w:rFonts w:ascii="宋体" w:hAnsi="宋体" w:eastAsia="宋体" w:cs="宋体"/>
          <w:b/>
          <w:color w:val="auto"/>
          <w:sz w:val="24"/>
          <w:szCs w:val="24"/>
        </w:rPr>
      </w:pPr>
      <w:r>
        <w:rPr>
          <w:rFonts w:hint="eastAsia" w:ascii="宋体" w:hAnsi="宋体" w:eastAsia="宋体" w:cs="宋体"/>
          <w:b/>
          <w:color w:val="auto"/>
          <w:sz w:val="24"/>
          <w:szCs w:val="24"/>
        </w:rPr>
        <w:t>三、质疑基本情况</w:t>
      </w:r>
    </w:p>
    <w:p w14:paraId="58F36096">
      <w:pPr>
        <w:pStyle w:val="20"/>
        <w:spacing w:line="440" w:lineRule="exact"/>
        <w:ind w:firstLine="241"/>
        <w:rPr>
          <w:rFonts w:ascii="宋体" w:hAnsi="宋体" w:eastAsia="宋体" w:cs="宋体"/>
          <w:color w:val="auto"/>
          <w:sz w:val="24"/>
          <w:szCs w:val="24"/>
        </w:rPr>
      </w:pPr>
      <w:r>
        <w:rPr>
          <w:rFonts w:hint="eastAsia" w:ascii="宋体" w:hAnsi="宋体" w:eastAsia="宋体" w:cs="宋体"/>
          <w:color w:val="auto"/>
          <w:sz w:val="24"/>
          <w:szCs w:val="24"/>
        </w:rPr>
        <w:t>投诉人于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提出质疑，质疑事项为：</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采购人/代理机构于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bCs/>
          <w:color w:val="auto"/>
          <w:sz w:val="24"/>
          <w:szCs w:val="24"/>
        </w:rPr>
        <w:t xml:space="preserve">就质疑事项作出了答复/没有在法定期限内作出答复。                                                                                             </w:t>
      </w:r>
    </w:p>
    <w:p w14:paraId="6B252821">
      <w:pPr>
        <w:pStyle w:val="20"/>
        <w:spacing w:line="440" w:lineRule="exact"/>
        <w:ind w:left="25" w:leftChars="12" w:firstLine="472" w:firstLineChars="196"/>
        <w:rPr>
          <w:rFonts w:ascii="宋体" w:hAnsi="宋体" w:eastAsia="宋体" w:cs="宋体"/>
          <w:b/>
          <w:color w:val="auto"/>
          <w:sz w:val="24"/>
          <w:szCs w:val="24"/>
        </w:rPr>
      </w:pPr>
      <w:r>
        <w:rPr>
          <w:rFonts w:hint="eastAsia" w:ascii="宋体" w:hAnsi="宋体" w:eastAsia="宋体" w:cs="宋体"/>
          <w:b/>
          <w:color w:val="auto"/>
          <w:sz w:val="24"/>
          <w:szCs w:val="24"/>
        </w:rPr>
        <w:t>四、投诉事项具体内容</w:t>
      </w:r>
    </w:p>
    <w:p w14:paraId="4960EF3C">
      <w:pPr>
        <w:pStyle w:val="20"/>
        <w:spacing w:line="440" w:lineRule="exact"/>
        <w:ind w:left="25" w:leftChars="12" w:firstLine="472" w:firstLineChars="197"/>
        <w:rPr>
          <w:rFonts w:ascii="宋体" w:hAnsi="宋体" w:eastAsia="宋体" w:cs="宋体"/>
          <w:bCs/>
          <w:color w:val="auto"/>
          <w:sz w:val="24"/>
          <w:szCs w:val="24"/>
          <w:u w:val="single"/>
        </w:rPr>
      </w:pPr>
      <w:r>
        <w:rPr>
          <w:rFonts w:hint="eastAsia" w:ascii="宋体" w:hAnsi="宋体" w:eastAsia="宋体" w:cs="宋体"/>
          <w:color w:val="auto"/>
          <w:sz w:val="24"/>
          <w:szCs w:val="24"/>
        </w:rPr>
        <w:t>投诉事项1：</w:t>
      </w:r>
      <w:r>
        <w:rPr>
          <w:rFonts w:hint="eastAsia" w:ascii="宋体" w:hAnsi="宋体" w:eastAsia="宋体" w:cs="宋体"/>
          <w:bCs/>
          <w:color w:val="auto"/>
          <w:sz w:val="24"/>
          <w:szCs w:val="24"/>
          <w:u w:val="single"/>
        </w:rPr>
        <w:t xml:space="preserve">                                                                           </w:t>
      </w:r>
    </w:p>
    <w:p w14:paraId="3FC09ED8">
      <w:pPr>
        <w:pStyle w:val="20"/>
        <w:spacing w:line="440" w:lineRule="exact"/>
        <w:ind w:firstLine="480" w:firstLineChars="200"/>
        <w:rPr>
          <w:rFonts w:ascii="宋体" w:hAnsi="宋体" w:eastAsia="宋体" w:cs="宋体"/>
          <w:bCs/>
          <w:color w:val="auto"/>
          <w:sz w:val="24"/>
          <w:szCs w:val="24"/>
          <w:u w:val="single"/>
        </w:rPr>
      </w:pPr>
      <w:r>
        <w:rPr>
          <w:rFonts w:hint="eastAsia" w:ascii="宋体" w:hAnsi="宋体" w:eastAsia="宋体" w:cs="宋体"/>
          <w:bCs/>
          <w:color w:val="auto"/>
          <w:sz w:val="24"/>
          <w:szCs w:val="24"/>
        </w:rPr>
        <w:t>事实依据：</w:t>
      </w:r>
      <w:r>
        <w:rPr>
          <w:rFonts w:hint="eastAsia" w:ascii="宋体" w:hAnsi="宋体" w:eastAsia="宋体" w:cs="宋体"/>
          <w:color w:val="auto"/>
          <w:sz w:val="24"/>
          <w:szCs w:val="24"/>
        </w:rPr>
        <w:t xml:space="preserve"> </w:t>
      </w:r>
      <w:r>
        <w:rPr>
          <w:rFonts w:hint="eastAsia" w:ascii="宋体" w:hAnsi="宋体" w:eastAsia="宋体" w:cs="宋体"/>
          <w:bCs/>
          <w:color w:val="auto"/>
          <w:sz w:val="24"/>
          <w:szCs w:val="24"/>
          <w:u w:val="single"/>
        </w:rPr>
        <w:t xml:space="preserve">                                                                                      </w:t>
      </w:r>
    </w:p>
    <w:p w14:paraId="30CEA938">
      <w:pPr>
        <w:pStyle w:val="20"/>
        <w:spacing w:line="440" w:lineRule="exact"/>
        <w:ind w:left="25" w:leftChars="12" w:firstLine="472" w:firstLineChars="197"/>
        <w:rPr>
          <w:rFonts w:ascii="宋体" w:hAnsi="宋体" w:eastAsia="宋体" w:cs="宋体"/>
          <w:color w:val="auto"/>
          <w:sz w:val="24"/>
          <w:szCs w:val="24"/>
        </w:rPr>
      </w:pPr>
      <w:r>
        <w:rPr>
          <w:rFonts w:hint="eastAsia" w:ascii="宋体" w:hAnsi="宋体" w:eastAsia="宋体" w:cs="宋体"/>
          <w:bCs/>
          <w:color w:val="auto"/>
          <w:sz w:val="24"/>
          <w:szCs w:val="24"/>
          <w:u w:val="single"/>
        </w:rPr>
        <w:t xml:space="preserve">                                                                                        </w:t>
      </w:r>
    </w:p>
    <w:p w14:paraId="1956B586">
      <w:pPr>
        <w:pStyle w:val="20"/>
        <w:spacing w:line="440" w:lineRule="exact"/>
        <w:ind w:firstLine="480" w:firstLineChars="200"/>
        <w:rPr>
          <w:rFonts w:ascii="宋体" w:hAnsi="宋体" w:eastAsia="宋体" w:cs="宋体"/>
          <w:bCs/>
          <w:color w:val="auto"/>
          <w:sz w:val="24"/>
          <w:szCs w:val="24"/>
          <w:u w:val="single"/>
        </w:rPr>
      </w:pPr>
      <w:r>
        <w:rPr>
          <w:rFonts w:hint="eastAsia" w:ascii="宋体" w:hAnsi="宋体" w:eastAsia="宋体" w:cs="宋体"/>
          <w:bCs/>
          <w:color w:val="auto"/>
          <w:sz w:val="24"/>
          <w:szCs w:val="24"/>
        </w:rPr>
        <w:t>法律依据：</w:t>
      </w:r>
      <w:r>
        <w:rPr>
          <w:rFonts w:hint="eastAsia" w:ascii="宋体" w:hAnsi="宋体" w:eastAsia="宋体" w:cs="宋体"/>
          <w:color w:val="auto"/>
          <w:sz w:val="24"/>
          <w:szCs w:val="24"/>
        </w:rPr>
        <w:t xml:space="preserve"> </w:t>
      </w:r>
      <w:r>
        <w:rPr>
          <w:rFonts w:hint="eastAsia" w:ascii="宋体" w:hAnsi="宋体" w:eastAsia="宋体" w:cs="宋体"/>
          <w:bCs/>
          <w:color w:val="auto"/>
          <w:sz w:val="24"/>
          <w:szCs w:val="24"/>
          <w:u w:val="single"/>
        </w:rPr>
        <w:t xml:space="preserve">                                                                                      </w:t>
      </w:r>
    </w:p>
    <w:p w14:paraId="569301B3">
      <w:pPr>
        <w:pStyle w:val="20"/>
        <w:spacing w:line="440" w:lineRule="exact"/>
        <w:ind w:left="25" w:leftChars="12" w:firstLine="352" w:firstLineChars="147"/>
        <w:rPr>
          <w:rFonts w:ascii="宋体" w:hAnsi="宋体" w:eastAsia="宋体" w:cs="宋体"/>
          <w:bCs/>
          <w:color w:val="auto"/>
          <w:sz w:val="24"/>
          <w:szCs w:val="24"/>
          <w:u w:val="single"/>
        </w:rPr>
      </w:pPr>
      <w:r>
        <w:rPr>
          <w:rFonts w:hint="eastAsia" w:ascii="宋体" w:hAnsi="宋体" w:eastAsia="宋体" w:cs="宋体"/>
          <w:bCs/>
          <w:color w:val="auto"/>
          <w:sz w:val="24"/>
          <w:szCs w:val="24"/>
        </w:rPr>
        <w:t xml:space="preserve"> </w:t>
      </w:r>
      <w:r>
        <w:rPr>
          <w:rFonts w:hint="eastAsia" w:ascii="宋体" w:hAnsi="宋体" w:eastAsia="宋体" w:cs="宋体"/>
          <w:bCs/>
          <w:color w:val="auto"/>
          <w:sz w:val="24"/>
          <w:szCs w:val="24"/>
          <w:u w:val="single"/>
        </w:rPr>
        <w:t xml:space="preserve">                                                                                        </w:t>
      </w:r>
    </w:p>
    <w:p w14:paraId="5706A543">
      <w:pPr>
        <w:pStyle w:val="20"/>
        <w:spacing w:line="440" w:lineRule="exact"/>
        <w:ind w:left="25" w:leftChars="12" w:firstLine="472" w:firstLineChars="197"/>
        <w:rPr>
          <w:rFonts w:ascii="宋体" w:hAnsi="宋体" w:eastAsia="宋体" w:cs="宋体"/>
          <w:bCs/>
          <w:color w:val="auto"/>
          <w:sz w:val="24"/>
          <w:szCs w:val="24"/>
        </w:rPr>
      </w:pPr>
      <w:r>
        <w:rPr>
          <w:rFonts w:hint="eastAsia" w:ascii="宋体" w:hAnsi="宋体" w:eastAsia="宋体" w:cs="宋体"/>
          <w:color w:val="auto"/>
          <w:sz w:val="24"/>
          <w:szCs w:val="24"/>
        </w:rPr>
        <w:t xml:space="preserve">投诉事项2  </w:t>
      </w:r>
      <w:r>
        <w:rPr>
          <w:rFonts w:hint="eastAsia" w:ascii="宋体" w:hAnsi="宋体" w:eastAsia="宋体" w:cs="宋体"/>
          <w:bCs/>
          <w:color w:val="auto"/>
          <w:sz w:val="24"/>
          <w:szCs w:val="24"/>
        </w:rPr>
        <w:t xml:space="preserve">   </w:t>
      </w:r>
    </w:p>
    <w:p w14:paraId="322B8171">
      <w:pPr>
        <w:pStyle w:val="20"/>
        <w:spacing w:line="440" w:lineRule="exact"/>
        <w:ind w:left="25" w:leftChars="12" w:firstLine="472" w:firstLineChars="197"/>
        <w:rPr>
          <w:rFonts w:ascii="宋体" w:hAnsi="宋体" w:eastAsia="宋体" w:cs="宋体"/>
          <w:bCs/>
          <w:color w:val="auto"/>
          <w:sz w:val="24"/>
          <w:szCs w:val="24"/>
        </w:rPr>
      </w:pPr>
      <w:r>
        <w:rPr>
          <w:rFonts w:hint="eastAsia" w:ascii="宋体" w:hAnsi="宋体" w:eastAsia="宋体" w:cs="宋体"/>
          <w:bCs/>
          <w:color w:val="auto"/>
          <w:sz w:val="24"/>
          <w:szCs w:val="24"/>
        </w:rPr>
        <w:t>……</w:t>
      </w:r>
    </w:p>
    <w:p w14:paraId="48E0D29E">
      <w:pPr>
        <w:pStyle w:val="20"/>
        <w:spacing w:line="440" w:lineRule="exact"/>
        <w:ind w:left="25" w:leftChars="12" w:firstLine="472" w:firstLineChars="196"/>
        <w:rPr>
          <w:rFonts w:ascii="宋体" w:hAnsi="宋体" w:eastAsia="宋体" w:cs="宋体"/>
          <w:b/>
          <w:color w:val="auto"/>
          <w:sz w:val="24"/>
          <w:szCs w:val="24"/>
        </w:rPr>
      </w:pPr>
      <w:r>
        <w:rPr>
          <w:rFonts w:hint="eastAsia" w:ascii="宋体" w:hAnsi="宋体" w:eastAsia="宋体" w:cs="宋体"/>
          <w:b/>
          <w:color w:val="auto"/>
          <w:sz w:val="24"/>
          <w:szCs w:val="24"/>
        </w:rPr>
        <w:t>五、与投诉事项相关的投诉请求：</w:t>
      </w:r>
    </w:p>
    <w:p w14:paraId="01E3F32D">
      <w:pPr>
        <w:pStyle w:val="20"/>
        <w:spacing w:line="440" w:lineRule="exact"/>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请求：</w:t>
      </w:r>
      <w:r>
        <w:rPr>
          <w:rFonts w:hint="eastAsia" w:ascii="宋体" w:hAnsi="宋体" w:eastAsia="宋体" w:cs="宋体"/>
          <w:bCs/>
          <w:color w:val="auto"/>
          <w:sz w:val="24"/>
          <w:szCs w:val="24"/>
          <w:u w:val="single"/>
        </w:rPr>
        <w:t xml:space="preserve">                                                                                 </w:t>
      </w:r>
    </w:p>
    <w:p w14:paraId="6E0E37E8">
      <w:pPr>
        <w:pStyle w:val="20"/>
        <w:spacing w:line="440" w:lineRule="exact"/>
        <w:ind w:left="25" w:leftChars="12" w:firstLine="352" w:firstLineChars="147"/>
        <w:rPr>
          <w:rFonts w:ascii="宋体" w:hAnsi="宋体" w:eastAsia="宋体" w:cs="宋体"/>
          <w:color w:val="auto"/>
          <w:sz w:val="24"/>
          <w:szCs w:val="24"/>
        </w:rPr>
      </w:pPr>
    </w:p>
    <w:p w14:paraId="3EFB3382">
      <w:pPr>
        <w:pStyle w:val="20"/>
        <w:spacing w:line="440" w:lineRule="exact"/>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签字（签章）：                                       公章：</w:t>
      </w:r>
    </w:p>
    <w:p w14:paraId="282ACF31">
      <w:pPr>
        <w:pStyle w:val="20"/>
        <w:spacing w:line="440" w:lineRule="exact"/>
        <w:ind w:left="25" w:leftChars="12" w:firstLine="352" w:firstLineChars="147"/>
        <w:rPr>
          <w:rFonts w:ascii="宋体" w:hAnsi="宋体" w:eastAsia="宋体" w:cs="宋体"/>
          <w:color w:val="auto"/>
          <w:sz w:val="24"/>
          <w:szCs w:val="24"/>
        </w:rPr>
      </w:pPr>
    </w:p>
    <w:p w14:paraId="3BEE0157">
      <w:pPr>
        <w:pStyle w:val="20"/>
        <w:spacing w:line="440" w:lineRule="exact"/>
        <w:ind w:left="25" w:leftChars="12" w:firstLine="472" w:firstLineChars="197"/>
        <w:rPr>
          <w:rFonts w:ascii="宋体" w:hAnsi="宋体" w:eastAsia="宋体" w:cs="宋体"/>
          <w:color w:val="auto"/>
          <w:sz w:val="24"/>
          <w:szCs w:val="24"/>
        </w:rPr>
      </w:pPr>
      <w:r>
        <w:rPr>
          <w:rFonts w:hint="eastAsia" w:ascii="宋体" w:hAnsi="宋体" w:eastAsia="宋体" w:cs="宋体"/>
          <w:color w:val="auto"/>
          <w:sz w:val="24"/>
          <w:szCs w:val="24"/>
        </w:rPr>
        <w:t>日期：</w:t>
      </w:r>
    </w:p>
    <w:p w14:paraId="2869318A">
      <w:pPr>
        <w:pStyle w:val="20"/>
        <w:spacing w:line="440" w:lineRule="exact"/>
        <w:ind w:left="25" w:leftChars="12" w:firstLine="472" w:firstLineChars="197"/>
        <w:rPr>
          <w:rFonts w:ascii="宋体" w:hAnsi="宋体" w:eastAsia="宋体" w:cs="宋体"/>
          <w:color w:val="auto"/>
          <w:sz w:val="24"/>
          <w:szCs w:val="24"/>
        </w:rPr>
      </w:pPr>
      <w:r>
        <w:rPr>
          <w:rFonts w:hint="eastAsia" w:ascii="宋体" w:hAnsi="宋体" w:eastAsia="宋体" w:cs="宋体"/>
          <w:bCs/>
          <w:color w:val="auto"/>
          <w:sz w:val="24"/>
          <w:szCs w:val="24"/>
        </w:rPr>
        <w:t xml:space="preserve">                                                                              </w:t>
      </w:r>
    </w:p>
    <w:p w14:paraId="1F1121EB">
      <w:pPr>
        <w:pStyle w:val="20"/>
        <w:snapToGrid w:val="0"/>
        <w:spacing w:line="440" w:lineRule="exact"/>
        <w:rPr>
          <w:rFonts w:ascii="宋体" w:hAnsi="宋体" w:eastAsia="宋体" w:cs="宋体"/>
          <w:b/>
          <w:color w:val="auto"/>
          <w:sz w:val="24"/>
          <w:szCs w:val="24"/>
        </w:rPr>
      </w:pPr>
      <w:r>
        <w:rPr>
          <w:rFonts w:hint="eastAsia" w:ascii="宋体" w:hAnsi="宋体" w:eastAsia="宋体" w:cs="宋体"/>
          <w:b/>
          <w:color w:val="auto"/>
          <w:sz w:val="24"/>
          <w:szCs w:val="24"/>
        </w:rPr>
        <w:t>说明：</w:t>
      </w:r>
    </w:p>
    <w:p w14:paraId="42DE251F">
      <w:pPr>
        <w:pStyle w:val="20"/>
        <w:spacing w:line="440" w:lineRule="exact"/>
        <w:ind w:left="25" w:leftChars="12" w:firstLine="354" w:firstLineChars="147"/>
        <w:rPr>
          <w:rFonts w:ascii="宋体" w:hAnsi="宋体" w:eastAsia="宋体" w:cs="宋体"/>
          <w:b/>
          <w:bCs/>
          <w:color w:val="auto"/>
          <w:sz w:val="24"/>
          <w:szCs w:val="24"/>
        </w:rPr>
      </w:pPr>
      <w:r>
        <w:rPr>
          <w:rFonts w:hint="eastAsia" w:ascii="宋体" w:hAnsi="宋体" w:eastAsia="宋体" w:cs="宋体"/>
          <w:b/>
          <w:color w:val="auto"/>
          <w:sz w:val="24"/>
          <w:szCs w:val="24"/>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rPr>
        <w:t>。</w:t>
      </w:r>
    </w:p>
    <w:p w14:paraId="64A58190">
      <w:pPr>
        <w:pStyle w:val="20"/>
        <w:spacing w:line="440" w:lineRule="exact"/>
        <w:ind w:left="25" w:leftChars="12" w:firstLine="354" w:firstLineChars="147"/>
        <w:rPr>
          <w:rFonts w:ascii="宋体" w:hAnsi="宋体" w:eastAsia="宋体" w:cs="宋体"/>
          <w:b/>
          <w:color w:val="auto"/>
          <w:sz w:val="24"/>
          <w:szCs w:val="24"/>
        </w:rPr>
      </w:pPr>
      <w:r>
        <w:rPr>
          <w:rFonts w:hint="eastAsia" w:ascii="宋体" w:hAnsi="宋体" w:eastAsia="宋体" w:cs="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2B5617E">
      <w:pPr>
        <w:pStyle w:val="20"/>
        <w:spacing w:line="440" w:lineRule="exact"/>
        <w:ind w:left="25" w:leftChars="12" w:firstLine="354" w:firstLineChars="147"/>
        <w:rPr>
          <w:rFonts w:ascii="宋体" w:hAnsi="宋体" w:eastAsia="宋体" w:cs="宋体"/>
          <w:b/>
          <w:color w:val="auto"/>
          <w:sz w:val="24"/>
          <w:szCs w:val="24"/>
        </w:rPr>
      </w:pPr>
      <w:r>
        <w:rPr>
          <w:rFonts w:hint="eastAsia" w:ascii="宋体" w:hAnsi="宋体" w:eastAsia="宋体" w:cs="宋体"/>
          <w:b/>
          <w:color w:val="auto"/>
          <w:sz w:val="24"/>
          <w:szCs w:val="24"/>
        </w:rPr>
        <w:t>3.投诉书应简要列明质疑事项，质疑函、质疑答复等作为附件材料提供。</w:t>
      </w:r>
    </w:p>
    <w:p w14:paraId="6ACAD159">
      <w:pPr>
        <w:pStyle w:val="20"/>
        <w:spacing w:line="440" w:lineRule="exact"/>
        <w:ind w:left="25" w:leftChars="12" w:firstLine="354" w:firstLineChars="147"/>
        <w:rPr>
          <w:rFonts w:ascii="宋体" w:hAnsi="宋体" w:eastAsia="宋体" w:cs="宋体"/>
          <w:b/>
          <w:color w:val="auto"/>
          <w:sz w:val="24"/>
          <w:szCs w:val="24"/>
        </w:rPr>
      </w:pPr>
      <w:r>
        <w:rPr>
          <w:rFonts w:hint="eastAsia" w:ascii="宋体" w:hAnsi="宋体" w:eastAsia="宋体" w:cs="宋体"/>
          <w:b/>
          <w:color w:val="auto"/>
          <w:sz w:val="24"/>
          <w:szCs w:val="24"/>
        </w:rPr>
        <w:t>4.投诉书的投诉事项应具体、明确，并有必要的事实依据和法律依据。</w:t>
      </w:r>
    </w:p>
    <w:p w14:paraId="6EBFA437">
      <w:pPr>
        <w:pStyle w:val="20"/>
        <w:spacing w:line="440" w:lineRule="exact"/>
        <w:ind w:left="25" w:leftChars="12" w:firstLine="354" w:firstLineChars="147"/>
        <w:rPr>
          <w:rFonts w:ascii="宋体" w:hAnsi="宋体" w:eastAsia="宋体" w:cs="宋体"/>
          <w:b/>
          <w:color w:val="auto"/>
          <w:sz w:val="24"/>
          <w:szCs w:val="24"/>
        </w:rPr>
      </w:pPr>
      <w:r>
        <w:rPr>
          <w:rFonts w:hint="eastAsia" w:ascii="宋体" w:hAnsi="宋体" w:eastAsia="宋体" w:cs="宋体"/>
          <w:b/>
          <w:color w:val="auto"/>
          <w:sz w:val="24"/>
          <w:szCs w:val="24"/>
        </w:rPr>
        <w:t>5.投诉书的投诉请求应与投诉事项相关。</w:t>
      </w:r>
    </w:p>
    <w:p w14:paraId="68F2055C">
      <w:pPr>
        <w:pStyle w:val="20"/>
        <w:spacing w:line="440" w:lineRule="exact"/>
        <w:ind w:left="25" w:leftChars="12" w:firstLine="354" w:firstLineChars="147"/>
        <w:rPr>
          <w:rFonts w:ascii="宋体" w:hAnsi="宋体" w:eastAsia="宋体" w:cs="宋体"/>
          <w:b/>
          <w:color w:val="auto"/>
        </w:rPr>
      </w:pPr>
      <w:r>
        <w:rPr>
          <w:rFonts w:hint="eastAsia" w:ascii="宋体" w:hAnsi="宋体" w:eastAsia="宋体" w:cs="宋体"/>
          <w:b/>
          <w:color w:val="auto"/>
          <w:sz w:val="24"/>
          <w:szCs w:val="24"/>
        </w:rPr>
        <w:t>6.投诉人为法人或者其他组织的，投诉书应由法定代表人、主要负责人，或者其授权代表签字或者盖章，并加盖公章。</w:t>
      </w:r>
    </w:p>
    <w:p w14:paraId="5B21AB7A">
      <w:pPr>
        <w:snapToGrid w:val="0"/>
        <w:spacing w:before="50" w:after="120" w:afterLines="50" w:line="360" w:lineRule="auto"/>
        <w:ind w:firstLine="480" w:firstLineChars="200"/>
        <w:jc w:val="left"/>
        <w:rPr>
          <w:rFonts w:ascii="宋体" w:hAnsi="宋体" w:eastAsia="宋体" w:cs="宋体"/>
          <w:color w:val="auto"/>
          <w:sz w:val="24"/>
        </w:rPr>
      </w:pPr>
    </w:p>
    <w:p w14:paraId="592B7C64">
      <w:pPr>
        <w:rPr>
          <w:color w:val="auto"/>
        </w:rPr>
      </w:pPr>
    </w:p>
    <w:p w14:paraId="06A97FA5">
      <w:pPr>
        <w:rPr>
          <w:color w:val="auto"/>
        </w:rPr>
      </w:pPr>
    </w:p>
    <w:p w14:paraId="126E5C91">
      <w:pPr>
        <w:rPr>
          <w:color w:val="auto"/>
        </w:rPr>
      </w:pPr>
    </w:p>
    <w:p w14:paraId="3949C127">
      <w:pPr>
        <w:rPr>
          <w:color w:val="auto"/>
        </w:rPr>
      </w:pPr>
    </w:p>
    <w:p w14:paraId="21FD71BF">
      <w:pPr>
        <w:rPr>
          <w:color w:val="auto"/>
        </w:rPr>
      </w:pPr>
    </w:p>
    <w:p w14:paraId="2B8AB9A5">
      <w:pPr>
        <w:rPr>
          <w:color w:val="auto"/>
        </w:rPr>
      </w:pPr>
    </w:p>
    <w:p w14:paraId="14597BA3">
      <w:pPr>
        <w:rPr>
          <w:rFonts w:hint="eastAsia" w:eastAsia="等线"/>
          <w:color w:val="auto"/>
          <w:lang w:eastAsia="zh-CN"/>
        </w:rPr>
      </w:pPr>
    </w:p>
    <w:sectPr>
      <w:footerReference r:id="rId22" w:type="first"/>
      <w:headerReference r:id="rId19" w:type="default"/>
      <w:footerReference r:id="rId20" w:type="default"/>
      <w:footerReference r:id="rId21" w:type="even"/>
      <w:pgSz w:w="11906" w:h="16838"/>
      <w:pgMar w:top="1361" w:right="1361" w:bottom="1361" w:left="136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7DAB7">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0DF07">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B10DF07">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9915C">
    <w:pPr>
      <w:pStyle w:val="25"/>
      <w:framePr w:wrap="around" w:vAnchor="text" w:hAnchor="margin" w:xAlign="center" w:y="1"/>
      <w:rPr>
        <w:rStyle w:val="40"/>
      </w:rPr>
    </w:pPr>
    <w:r>
      <w:fldChar w:fldCharType="begin"/>
    </w:r>
    <w:r>
      <w:rPr>
        <w:rStyle w:val="40"/>
      </w:rPr>
      <w:instrText xml:space="preserve">PAGE  </w:instrText>
    </w:r>
    <w:r>
      <w:fldChar w:fldCharType="end"/>
    </w:r>
  </w:p>
  <w:p w14:paraId="49157DA5">
    <w:pPr>
      <w:pStyle w:val="2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9EE8C">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EC2C6">
                          <w:pPr>
                            <w:pStyle w:val="2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F0EC2C6">
                    <w:pPr>
                      <w:pStyle w:val="25"/>
                    </w:pPr>
                    <w:r>
                      <w:fldChar w:fldCharType="begin"/>
                    </w:r>
                    <w:r>
                      <w:instrText xml:space="preserve"> PAGE  \* MERGEFORMAT </w:instrText>
                    </w:r>
                    <w:r>
                      <w:fldChar w:fldCharType="separate"/>
                    </w:r>
                    <w:r>
                      <w:t>66</w:t>
                    </w:r>
                    <w:r>
                      <w:fldChar w:fldCharType="end"/>
                    </w:r>
                  </w:p>
                </w:txbxContent>
              </v:textbox>
            </v:shape>
          </w:pict>
        </mc:Fallback>
      </mc:AlternateContent>
    </w:r>
  </w:p>
  <w:p w14:paraId="02136227">
    <w:pPr>
      <w:pStyle w:val="25"/>
      <w:ind w:right="360"/>
      <w:jc w:val="both"/>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CB46D">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7E188">
                          <w:pPr>
                            <w:pStyle w:val="2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277E188">
                    <w:pPr>
                      <w:pStyle w:val="25"/>
                    </w:pPr>
                    <w:r>
                      <w:fldChar w:fldCharType="begin"/>
                    </w:r>
                    <w:r>
                      <w:instrText xml:space="preserve"> PAGE  \* MERGEFORMAT </w:instrText>
                    </w:r>
                    <w:r>
                      <w:fldChar w:fldCharType="separate"/>
                    </w:r>
                    <w:r>
                      <w:t>87</w:t>
                    </w:r>
                    <w:r>
                      <w:fldChar w:fldCharType="end"/>
                    </w:r>
                  </w:p>
                </w:txbxContent>
              </v:textbox>
            </v:shape>
          </w:pict>
        </mc:Fallback>
      </mc:AlternateContent>
    </w:r>
  </w:p>
  <w:p w14:paraId="4FA81875">
    <w:pPr>
      <w:pStyle w:val="2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69FE7">
    <w:pPr>
      <w:pStyle w:val="25"/>
      <w:framePr w:wrap="around" w:vAnchor="text" w:hAnchor="margin" w:xAlign="center" w:y="1"/>
      <w:rPr>
        <w:rStyle w:val="40"/>
      </w:rPr>
    </w:pPr>
    <w:r>
      <w:fldChar w:fldCharType="begin"/>
    </w:r>
    <w:r>
      <w:rPr>
        <w:rStyle w:val="40"/>
      </w:rPr>
      <w:instrText xml:space="preserve">PAGE  </w:instrText>
    </w:r>
    <w:r>
      <w:fldChar w:fldCharType="end"/>
    </w:r>
  </w:p>
  <w:p w14:paraId="383069E6">
    <w:pPr>
      <w:pStyle w:val="2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F464F">
    <w:pPr>
      <w:pStyle w:val="25"/>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81DA">
    <w:pPr>
      <w:pStyle w:val="25"/>
      <w:framePr w:wrap="around" w:vAnchor="text" w:hAnchor="margin" w:xAlign="center" w:y="1"/>
      <w:rPr>
        <w:rStyle w:val="40"/>
        <w:sz w:val="21"/>
      </w:rPr>
    </w:pPr>
    <w:r>
      <w:rPr>
        <w:sz w:val="21"/>
      </w:rPr>
      <w:fldChar w:fldCharType="begin"/>
    </w:r>
    <w:r>
      <w:rPr>
        <w:rStyle w:val="40"/>
        <w:sz w:val="21"/>
      </w:rPr>
      <w:instrText xml:space="preserve">PAGE  </w:instrText>
    </w:r>
    <w:r>
      <w:rPr>
        <w:sz w:val="21"/>
      </w:rPr>
      <w:fldChar w:fldCharType="separate"/>
    </w:r>
    <w:r>
      <w:rPr>
        <w:rStyle w:val="40"/>
        <w:sz w:val="21"/>
      </w:rPr>
      <w:t>0</w:t>
    </w:r>
    <w:r>
      <w:rPr>
        <w:sz w:val="21"/>
      </w:rPr>
      <w:fldChar w:fldCharType="end"/>
    </w:r>
  </w:p>
  <w:p w14:paraId="19142119">
    <w:pPr>
      <w:pStyle w:val="25"/>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145B9">
    <w:pPr>
      <w:pStyle w:val="25"/>
      <w:ind w:left="560" w:hanging="5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836A0">
                          <w:pPr>
                            <w:pStyle w:val="2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89836A0">
                    <w:pPr>
                      <w:pStyle w:val="25"/>
                    </w:pPr>
                    <w:r>
                      <w:fldChar w:fldCharType="begin"/>
                    </w:r>
                    <w:r>
                      <w:instrText xml:space="preserve"> PAGE  \* MERGEFORMAT </w:instrText>
                    </w:r>
                    <w:r>
                      <w:fldChar w:fldCharType="separate"/>
                    </w:r>
                    <w:r>
                      <w:t>7</w:t>
                    </w:r>
                    <w:r>
                      <w:fldChar w:fldCharType="end"/>
                    </w:r>
                  </w:p>
                </w:txbxContent>
              </v:textbox>
            </v:shape>
          </w:pict>
        </mc:Fallback>
      </mc:AlternateContent>
    </w:r>
  </w:p>
  <w:p w14:paraId="00892A45">
    <w:pPr>
      <w:pStyle w:val="25"/>
      <w:ind w:left="560" w:hanging="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ACC7">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44BF9">
                          <w:pPr>
                            <w:pStyle w:val="2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A544BF9">
                    <w:pPr>
                      <w:pStyle w:val="25"/>
                    </w:pPr>
                    <w:r>
                      <w:fldChar w:fldCharType="begin"/>
                    </w:r>
                    <w:r>
                      <w:instrText xml:space="preserve"> PAGE  \* MERGEFORMAT </w:instrText>
                    </w:r>
                    <w:r>
                      <w:fldChar w:fldCharType="separate"/>
                    </w:r>
                    <w:r>
                      <w:t>8</w:t>
                    </w:r>
                    <w:r>
                      <w:fldChar w:fldCharType="end"/>
                    </w:r>
                  </w:p>
                </w:txbxContent>
              </v:textbox>
            </v:shape>
          </w:pict>
        </mc:Fallback>
      </mc:AlternateContent>
    </w:r>
  </w:p>
  <w:p w14:paraId="49B97EEA">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6E9B0">
    <w:pPr>
      <w:spacing w:line="176" w:lineRule="auto"/>
      <w:ind w:left="48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D3F53">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E3D3F53">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C67E3">
    <w:pPr>
      <w:pStyle w:val="15"/>
      <w:spacing w:line="448" w:lineRule="auto"/>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D7A30">
                          <w:pPr>
                            <w:pStyle w:val="2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4FD7A30">
                    <w:pPr>
                      <w:pStyle w:val="25"/>
                    </w:pPr>
                    <w:r>
                      <w:fldChar w:fldCharType="begin"/>
                    </w:r>
                    <w:r>
                      <w:instrText xml:space="preserve"> PAGE  \* MERGEFORMAT </w:instrText>
                    </w:r>
                    <w:r>
                      <w:fldChar w:fldCharType="separate"/>
                    </w:r>
                    <w:r>
                      <w:t>54</w:t>
                    </w:r>
                    <w:r>
                      <w:fldChar w:fldCharType="end"/>
                    </w:r>
                  </w:p>
                </w:txbxContent>
              </v:textbox>
            </v:shape>
          </w:pict>
        </mc:Fallback>
      </mc:AlternateContent>
    </w:r>
    <w:r>
      <mc:AlternateContent>
        <mc:Choice Requires="wps">
          <w:drawing>
            <wp:anchor distT="0" distB="0" distL="114300" distR="114300" simplePos="0" relativeHeight="251660288" behindDoc="0" locked="0" layoutInCell="0" allowOverlap="1">
              <wp:simplePos x="0" y="0"/>
              <wp:positionH relativeFrom="page">
                <wp:posOffset>718820</wp:posOffset>
              </wp:positionH>
              <wp:positionV relativeFrom="page">
                <wp:posOffset>9638030</wp:posOffset>
              </wp:positionV>
              <wp:extent cx="6120765" cy="7620"/>
              <wp:effectExtent l="0" t="0" r="0" b="0"/>
              <wp:wrapNone/>
              <wp:docPr id="2" name="任意多边形 2"/>
              <wp:cNvGraphicFramePr/>
              <a:graphic xmlns:a="http://schemas.openxmlformats.org/drawingml/2006/main">
                <a:graphicData uri="http://schemas.microsoft.com/office/word/2010/wordprocessingShape">
                  <wps:wsp>
                    <wps:cNvSpPr/>
                    <wps:spPr>
                      <a:xfrm>
                        <a:off x="0" y="0"/>
                        <a:ext cx="6120765" cy="7620"/>
                      </a:xfrm>
                      <a:custGeom>
                        <a:avLst/>
                        <a:gdLst/>
                        <a:ahLst/>
                        <a:cxnLst/>
                        <a:rect l="0" t="0" r="0" b="0"/>
                        <a:pathLst>
                          <a:path w="9639" h="12">
                            <a:moveTo>
                              <a:pt x="0" y="5"/>
                            </a:moveTo>
                            <a:lnTo>
                              <a:pt x="9638"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56.6pt;margin-top:758.9pt;height:0.6pt;width:481.95pt;mso-position-horizontal-relative:page;mso-position-vertical-relative:page;z-index:251660288;mso-width-relative:page;mso-height-relative:page;" filled="f" stroked="t" coordsize="9639,12" o:allowincell="f" o:gfxdata="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VPDh2QAAAA4BAAAPAAAAAAAAAAEAIAAAACIA&#10;AABkcnMvZG93bnJldi54bWxQSwECFAAUAAAACACHTuJAZFazWEECAAC3BAAADgAAAAAAAAABACAA&#10;AAAoAQAAZHJzL2Uyb0RvYy54bWxQSwUGAAAAAAYABgBZAQAA2wUAAAAA&#10;" path="m0,5l9638,5e">
              <v:fill on="f" focussize="0,0"/>
              <v:stroke weight="0.6pt" color="#000000" joinstyle="bevel"/>
              <v:imagedata o:title=""/>
              <o:lock v:ext="edit" aspectratio="f"/>
            </v:shape>
          </w:pict>
        </mc:Fallback>
      </mc:AlternateContent>
    </w:r>
  </w:p>
  <w:p w14:paraId="59A2AFC7">
    <w:pPr>
      <w:spacing w:before="52" w:line="177" w:lineRule="auto"/>
      <w:ind w:left="4738"/>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9816">
    <w:pPr>
      <w:spacing w:line="176" w:lineRule="auto"/>
      <w:ind w:left="47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D357B">
                          <w:pPr>
                            <w:pStyle w:val="2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0FD357B">
                    <w:pPr>
                      <w:pStyle w:val="2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E6CC3">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FF597">
                          <w:pPr>
                            <w:pStyle w:val="2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8AFF597">
                    <w:pPr>
                      <w:pStyle w:val="25"/>
                    </w:pPr>
                    <w:r>
                      <w:fldChar w:fldCharType="begin"/>
                    </w:r>
                    <w:r>
                      <w:instrText xml:space="preserve"> PAGE  \* MERGEFORMAT </w:instrText>
                    </w:r>
                    <w:r>
                      <w:fldChar w:fldCharType="separate"/>
                    </w:r>
                    <w:r>
                      <w:t>62</w:t>
                    </w:r>
                    <w:r>
                      <w:fldChar w:fldCharType="end"/>
                    </w:r>
                  </w:p>
                </w:txbxContent>
              </v:textbox>
            </v:shape>
          </w:pict>
        </mc:Fallback>
      </mc:AlternateContent>
    </w:r>
  </w:p>
  <w:p w14:paraId="4D2B5AF0">
    <w:pPr>
      <w:pStyle w:val="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433DC">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A0842">
                          <w:pPr>
                            <w:pStyle w:val="2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05A0842">
                    <w:pPr>
                      <w:pStyle w:val="25"/>
                    </w:pPr>
                    <w:r>
                      <w:fldChar w:fldCharType="begin"/>
                    </w:r>
                    <w:r>
                      <w:instrText xml:space="preserve"> PAGE  \* MERGEFORMAT </w:instrText>
                    </w:r>
                    <w:r>
                      <w:fldChar w:fldCharType="separate"/>
                    </w:r>
                    <w:r>
                      <w:t>67</w:t>
                    </w:r>
                    <w:r>
                      <w:fldChar w:fldCharType="end"/>
                    </w:r>
                  </w:p>
                </w:txbxContent>
              </v:textbox>
            </v:shape>
          </w:pict>
        </mc:Fallback>
      </mc:AlternateContent>
    </w:r>
  </w:p>
  <w:p w14:paraId="03FD7FA6">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56A54">
    <w:pPr>
      <w:pStyle w:val="26"/>
      <w:tabs>
        <w:tab w:val="center" w:pos="0"/>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F11B8">
    <w:pPr>
      <w:pStyle w:val="15"/>
      <w:spacing w:line="46"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D2CA9">
    <w:pPr>
      <w:pStyle w:val="15"/>
      <w:spacing w:line="46"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ECF92">
    <w:pPr>
      <w:pStyle w:val="15"/>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F5053">
    <w:pPr>
      <w:pStyle w:val="26"/>
      <w:tabs>
        <w:tab w:val="center" w:pos="0"/>
        <w:tab w:val="left" w:pos="8306"/>
        <w:tab w:val="clear" w:pos="4153"/>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B88BD">
    <w:pPr>
      <w:pStyle w:val="26"/>
      <w:tabs>
        <w:tab w:val="center" w:pos="0"/>
        <w:tab w:val="left" w:pos="8306"/>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decimal"/>
      <w:lvlText w:val="%1."/>
      <w:lvlJc w:val="left"/>
      <w:pPr>
        <w:tabs>
          <w:tab w:val="left" w:pos="312"/>
        </w:tabs>
        <w:ind w:left="840" w:firstLine="0"/>
      </w:pPr>
    </w:lvl>
  </w:abstractNum>
  <w:abstractNum w:abstractNumId="1">
    <w:nsid w:val="00000003"/>
    <w:multiLevelType w:val="multilevel"/>
    <w:tmpl w:val="00000003"/>
    <w:lvl w:ilvl="0" w:tentative="0">
      <w:start w:val="5"/>
      <w:numFmt w:val="japaneseCounting"/>
      <w:pStyle w:val="124"/>
      <w:lvlText w:val="第%1条、"/>
      <w:lvlJc w:val="left"/>
      <w:pPr>
        <w:tabs>
          <w:tab w:val="left" w:pos="1560"/>
        </w:tabs>
        <w:ind w:left="1560" w:hanging="1080"/>
      </w:pPr>
      <w:rPr>
        <w:rFonts w:hint="eastAsia"/>
      </w:r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1680"/>
        </w:tabs>
        <w:ind w:left="1680" w:hanging="360"/>
      </w:pPr>
      <w:rPr>
        <w:rFonts w:hint="eastAsia"/>
        <w:color w:val="000000"/>
      </w:r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00000004"/>
    <w:multiLevelType w:val="singleLevel"/>
    <w:tmpl w:val="00000004"/>
    <w:lvl w:ilvl="0" w:tentative="0">
      <w:start w:val="1"/>
      <w:numFmt w:val="decimal"/>
      <w:suff w:val="nothing"/>
      <w:lvlText w:val="（%1）"/>
      <w:lvlJc w:val="left"/>
      <w:pPr>
        <w:ind w:left="-2"/>
      </w:pPr>
    </w:lvl>
  </w:abstractNum>
  <w:abstractNum w:abstractNumId="3">
    <w:nsid w:val="00000005"/>
    <w:multiLevelType w:val="singleLevel"/>
    <w:tmpl w:val="00000005"/>
    <w:lvl w:ilvl="0" w:tentative="0">
      <w:start w:val="1"/>
      <w:numFmt w:val="decimal"/>
      <w:suff w:val="nothing"/>
      <w:lvlText w:val="（%1）"/>
      <w:lvlJc w:val="left"/>
    </w:lvl>
  </w:abstractNum>
  <w:abstractNum w:abstractNumId="4">
    <w:nsid w:val="00000006"/>
    <w:multiLevelType w:val="multilevel"/>
    <w:tmpl w:val="00000006"/>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5">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num w:numId="1">
    <w:abstractNumId w:val="1"/>
  </w:num>
  <w:num w:numId="2">
    <w:abstractNumId w:val="2"/>
  </w:num>
  <w:num w:numId="3">
    <w:abstractNumId w:val="3"/>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hideSpellingErrors/>
  <w:documentProtection w:edit="forms" w:enforcement="1" w:cryptProviderType="rsaFull" w:cryptAlgorithmClass="hash" w:cryptAlgorithmType="typeAny" w:cryptAlgorithmSid="4" w:cryptSpinCount="0" w:hash="7kzhd11PRQVli2quzWXiIwOWJmo=" w:salt="6J/2Htuj6SRbbyI8z26g6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kZWU4MzQ0ODg3Yzc0MWZlMjZhZGQxZjU1ZjI4ZmEifQ=="/>
  </w:docVars>
  <w:rsids>
    <w:rsidRoot w:val="002B51AA"/>
    <w:rsid w:val="00047B26"/>
    <w:rsid w:val="002B51AA"/>
    <w:rsid w:val="00304BAD"/>
    <w:rsid w:val="00394AB4"/>
    <w:rsid w:val="00394E2D"/>
    <w:rsid w:val="00560613"/>
    <w:rsid w:val="00582388"/>
    <w:rsid w:val="00592AE1"/>
    <w:rsid w:val="006D507A"/>
    <w:rsid w:val="00787716"/>
    <w:rsid w:val="00792E8A"/>
    <w:rsid w:val="0098388D"/>
    <w:rsid w:val="009E682A"/>
    <w:rsid w:val="00A96E12"/>
    <w:rsid w:val="016A4EA7"/>
    <w:rsid w:val="017A4A7A"/>
    <w:rsid w:val="01CD68C5"/>
    <w:rsid w:val="02497934"/>
    <w:rsid w:val="029662B0"/>
    <w:rsid w:val="03B804CE"/>
    <w:rsid w:val="03EC461B"/>
    <w:rsid w:val="047618BE"/>
    <w:rsid w:val="048B6EB5"/>
    <w:rsid w:val="04DA0918"/>
    <w:rsid w:val="04F5109F"/>
    <w:rsid w:val="04F5345C"/>
    <w:rsid w:val="051931EE"/>
    <w:rsid w:val="05533CBE"/>
    <w:rsid w:val="05846AC5"/>
    <w:rsid w:val="059C6184"/>
    <w:rsid w:val="06204C78"/>
    <w:rsid w:val="06281223"/>
    <w:rsid w:val="072E7AA7"/>
    <w:rsid w:val="073504C7"/>
    <w:rsid w:val="074472C5"/>
    <w:rsid w:val="0778608B"/>
    <w:rsid w:val="07DE5FA7"/>
    <w:rsid w:val="08101A9B"/>
    <w:rsid w:val="08361F3A"/>
    <w:rsid w:val="087C26A8"/>
    <w:rsid w:val="09972CBF"/>
    <w:rsid w:val="0A0D2343"/>
    <w:rsid w:val="0A2148F3"/>
    <w:rsid w:val="0A423D6B"/>
    <w:rsid w:val="0AC34961"/>
    <w:rsid w:val="0B1366D2"/>
    <w:rsid w:val="0B2E72C7"/>
    <w:rsid w:val="0B422D73"/>
    <w:rsid w:val="0BF65328"/>
    <w:rsid w:val="0CAF748F"/>
    <w:rsid w:val="0CDF5B42"/>
    <w:rsid w:val="0D1D09CE"/>
    <w:rsid w:val="0D5E4347"/>
    <w:rsid w:val="0D743EDF"/>
    <w:rsid w:val="0DC42F42"/>
    <w:rsid w:val="0DDD0D34"/>
    <w:rsid w:val="0E4A44F1"/>
    <w:rsid w:val="0FA34F87"/>
    <w:rsid w:val="10790FE5"/>
    <w:rsid w:val="108B22CA"/>
    <w:rsid w:val="10A05F03"/>
    <w:rsid w:val="11231868"/>
    <w:rsid w:val="11525989"/>
    <w:rsid w:val="115C1BFC"/>
    <w:rsid w:val="11BC6404"/>
    <w:rsid w:val="12E142ED"/>
    <w:rsid w:val="132F5A0F"/>
    <w:rsid w:val="13824654"/>
    <w:rsid w:val="139B4E22"/>
    <w:rsid w:val="13C33EA5"/>
    <w:rsid w:val="14036F6F"/>
    <w:rsid w:val="14151024"/>
    <w:rsid w:val="144E2788"/>
    <w:rsid w:val="147162FD"/>
    <w:rsid w:val="153271A1"/>
    <w:rsid w:val="153876C0"/>
    <w:rsid w:val="155C2286"/>
    <w:rsid w:val="15E849A3"/>
    <w:rsid w:val="161F262E"/>
    <w:rsid w:val="16696E4E"/>
    <w:rsid w:val="16BD4506"/>
    <w:rsid w:val="16E178E4"/>
    <w:rsid w:val="16EB79DB"/>
    <w:rsid w:val="171B4A05"/>
    <w:rsid w:val="177421AB"/>
    <w:rsid w:val="17C2498F"/>
    <w:rsid w:val="17C51B12"/>
    <w:rsid w:val="18681D0E"/>
    <w:rsid w:val="189C6E2C"/>
    <w:rsid w:val="18A7254E"/>
    <w:rsid w:val="18B73EA1"/>
    <w:rsid w:val="192341E3"/>
    <w:rsid w:val="19422A02"/>
    <w:rsid w:val="19D5052A"/>
    <w:rsid w:val="1A217BC8"/>
    <w:rsid w:val="1A8011C2"/>
    <w:rsid w:val="1B341875"/>
    <w:rsid w:val="1E3968B9"/>
    <w:rsid w:val="1EA23DFC"/>
    <w:rsid w:val="1EC21DA9"/>
    <w:rsid w:val="1EFC05A1"/>
    <w:rsid w:val="1F252A30"/>
    <w:rsid w:val="1F5A5233"/>
    <w:rsid w:val="1F904362"/>
    <w:rsid w:val="1FB321FF"/>
    <w:rsid w:val="202B1EDC"/>
    <w:rsid w:val="202D695E"/>
    <w:rsid w:val="205D6442"/>
    <w:rsid w:val="20686980"/>
    <w:rsid w:val="20BF10BD"/>
    <w:rsid w:val="212F435F"/>
    <w:rsid w:val="21DB30F2"/>
    <w:rsid w:val="22D44787"/>
    <w:rsid w:val="23702C93"/>
    <w:rsid w:val="237D2DF3"/>
    <w:rsid w:val="23BD4DE5"/>
    <w:rsid w:val="240370EB"/>
    <w:rsid w:val="243B4A71"/>
    <w:rsid w:val="24594F5D"/>
    <w:rsid w:val="24C04B81"/>
    <w:rsid w:val="24E814A9"/>
    <w:rsid w:val="24ED5E33"/>
    <w:rsid w:val="25145328"/>
    <w:rsid w:val="2534157A"/>
    <w:rsid w:val="2535162A"/>
    <w:rsid w:val="2536704D"/>
    <w:rsid w:val="25E841B1"/>
    <w:rsid w:val="262670C1"/>
    <w:rsid w:val="26717AD7"/>
    <w:rsid w:val="26725B01"/>
    <w:rsid w:val="26AD2EBB"/>
    <w:rsid w:val="26D60AE7"/>
    <w:rsid w:val="26D61BFC"/>
    <w:rsid w:val="27813424"/>
    <w:rsid w:val="27AB5926"/>
    <w:rsid w:val="28034FD9"/>
    <w:rsid w:val="280544B0"/>
    <w:rsid w:val="283F090E"/>
    <w:rsid w:val="28485A15"/>
    <w:rsid w:val="289B1546"/>
    <w:rsid w:val="289E5635"/>
    <w:rsid w:val="290004C6"/>
    <w:rsid w:val="291122AA"/>
    <w:rsid w:val="292559B5"/>
    <w:rsid w:val="29940529"/>
    <w:rsid w:val="29B50E88"/>
    <w:rsid w:val="2A6579D5"/>
    <w:rsid w:val="2A857FB9"/>
    <w:rsid w:val="2AB53AEA"/>
    <w:rsid w:val="2AD01CF1"/>
    <w:rsid w:val="2ADC0696"/>
    <w:rsid w:val="2B0842D8"/>
    <w:rsid w:val="2B2B6F28"/>
    <w:rsid w:val="2B9C3C6C"/>
    <w:rsid w:val="2C21070C"/>
    <w:rsid w:val="2C867DBF"/>
    <w:rsid w:val="2CA567FD"/>
    <w:rsid w:val="2D393B7E"/>
    <w:rsid w:val="2D757A63"/>
    <w:rsid w:val="2D7824C8"/>
    <w:rsid w:val="2DB806C6"/>
    <w:rsid w:val="2E020414"/>
    <w:rsid w:val="2E544B59"/>
    <w:rsid w:val="2E896720"/>
    <w:rsid w:val="2F2F5238"/>
    <w:rsid w:val="2FC23CCE"/>
    <w:rsid w:val="2FE67DCE"/>
    <w:rsid w:val="2FF6440E"/>
    <w:rsid w:val="311B6769"/>
    <w:rsid w:val="313F7193"/>
    <w:rsid w:val="321A5501"/>
    <w:rsid w:val="323703CC"/>
    <w:rsid w:val="324134B2"/>
    <w:rsid w:val="32476D3D"/>
    <w:rsid w:val="32523834"/>
    <w:rsid w:val="327E6D49"/>
    <w:rsid w:val="327F0285"/>
    <w:rsid w:val="32DA195F"/>
    <w:rsid w:val="333C6176"/>
    <w:rsid w:val="333E16CD"/>
    <w:rsid w:val="33622EA0"/>
    <w:rsid w:val="33C92032"/>
    <w:rsid w:val="33EF7DBE"/>
    <w:rsid w:val="34425A0E"/>
    <w:rsid w:val="346A0A9B"/>
    <w:rsid w:val="34CE1050"/>
    <w:rsid w:val="35303417"/>
    <w:rsid w:val="355A666C"/>
    <w:rsid w:val="356509EA"/>
    <w:rsid w:val="367F46EA"/>
    <w:rsid w:val="36934125"/>
    <w:rsid w:val="36F812D7"/>
    <w:rsid w:val="37080591"/>
    <w:rsid w:val="370C62A9"/>
    <w:rsid w:val="378A37D3"/>
    <w:rsid w:val="37CA5B07"/>
    <w:rsid w:val="388233F6"/>
    <w:rsid w:val="38EF48E8"/>
    <w:rsid w:val="38F1355F"/>
    <w:rsid w:val="3902576C"/>
    <w:rsid w:val="3942200C"/>
    <w:rsid w:val="398C2242"/>
    <w:rsid w:val="39CB3DB0"/>
    <w:rsid w:val="3A105D21"/>
    <w:rsid w:val="3A571DAD"/>
    <w:rsid w:val="3A9071D2"/>
    <w:rsid w:val="3C325D4E"/>
    <w:rsid w:val="3C580299"/>
    <w:rsid w:val="3CC701F0"/>
    <w:rsid w:val="3D585FB4"/>
    <w:rsid w:val="3D69390B"/>
    <w:rsid w:val="3D766728"/>
    <w:rsid w:val="3D851305"/>
    <w:rsid w:val="3E015BB8"/>
    <w:rsid w:val="3F286E52"/>
    <w:rsid w:val="3F3D5750"/>
    <w:rsid w:val="3FA05CDE"/>
    <w:rsid w:val="3FA7706D"/>
    <w:rsid w:val="40503261"/>
    <w:rsid w:val="405B018A"/>
    <w:rsid w:val="4094084B"/>
    <w:rsid w:val="40B35801"/>
    <w:rsid w:val="40BA710F"/>
    <w:rsid w:val="40D15261"/>
    <w:rsid w:val="40E165AE"/>
    <w:rsid w:val="41E20005"/>
    <w:rsid w:val="42073727"/>
    <w:rsid w:val="42521512"/>
    <w:rsid w:val="42594B98"/>
    <w:rsid w:val="42C5274B"/>
    <w:rsid w:val="43774A94"/>
    <w:rsid w:val="43C56FC1"/>
    <w:rsid w:val="43E6034A"/>
    <w:rsid w:val="44BE145B"/>
    <w:rsid w:val="44C05ABF"/>
    <w:rsid w:val="44C96F5B"/>
    <w:rsid w:val="44EF1A75"/>
    <w:rsid w:val="4585112D"/>
    <w:rsid w:val="46164604"/>
    <w:rsid w:val="464B659D"/>
    <w:rsid w:val="46AA2F9F"/>
    <w:rsid w:val="46B11CD5"/>
    <w:rsid w:val="46D73F5E"/>
    <w:rsid w:val="46EA730E"/>
    <w:rsid w:val="47B00D9D"/>
    <w:rsid w:val="47F10B31"/>
    <w:rsid w:val="48190373"/>
    <w:rsid w:val="48CA2A2A"/>
    <w:rsid w:val="49861796"/>
    <w:rsid w:val="49B272EA"/>
    <w:rsid w:val="4A486A48"/>
    <w:rsid w:val="4A5C695E"/>
    <w:rsid w:val="4A6D0E1C"/>
    <w:rsid w:val="4A7D10F6"/>
    <w:rsid w:val="4AE23675"/>
    <w:rsid w:val="4AF377AE"/>
    <w:rsid w:val="4B2556C2"/>
    <w:rsid w:val="4B3F1FEF"/>
    <w:rsid w:val="4B4669A6"/>
    <w:rsid w:val="4B5E0F27"/>
    <w:rsid w:val="4B9F5CDE"/>
    <w:rsid w:val="4C1E7043"/>
    <w:rsid w:val="4C392DFB"/>
    <w:rsid w:val="4C733B5C"/>
    <w:rsid w:val="4CC256F3"/>
    <w:rsid w:val="4CF07121"/>
    <w:rsid w:val="4D1E009E"/>
    <w:rsid w:val="4DBC3CE3"/>
    <w:rsid w:val="4E8C3E3B"/>
    <w:rsid w:val="4F0A2117"/>
    <w:rsid w:val="4F503C07"/>
    <w:rsid w:val="4F530677"/>
    <w:rsid w:val="4FD03064"/>
    <w:rsid w:val="4FDC49CE"/>
    <w:rsid w:val="50031D86"/>
    <w:rsid w:val="50DA7442"/>
    <w:rsid w:val="50F6416E"/>
    <w:rsid w:val="514B6BD0"/>
    <w:rsid w:val="515801C7"/>
    <w:rsid w:val="516C6EB5"/>
    <w:rsid w:val="51A56A99"/>
    <w:rsid w:val="51AE428B"/>
    <w:rsid w:val="51E25CE3"/>
    <w:rsid w:val="520E10F5"/>
    <w:rsid w:val="521D6D1B"/>
    <w:rsid w:val="523C1897"/>
    <w:rsid w:val="528D5C4E"/>
    <w:rsid w:val="52E53838"/>
    <w:rsid w:val="53545650"/>
    <w:rsid w:val="540C7047"/>
    <w:rsid w:val="54200502"/>
    <w:rsid w:val="54372316"/>
    <w:rsid w:val="54D264E2"/>
    <w:rsid w:val="551E4F44"/>
    <w:rsid w:val="554F1BA1"/>
    <w:rsid w:val="55D70749"/>
    <w:rsid w:val="569C6DA8"/>
    <w:rsid w:val="56C20C07"/>
    <w:rsid w:val="56C667D8"/>
    <w:rsid w:val="56DA342C"/>
    <w:rsid w:val="571C1C97"/>
    <w:rsid w:val="576C0528"/>
    <w:rsid w:val="5778045A"/>
    <w:rsid w:val="57EC1669"/>
    <w:rsid w:val="57EF6734"/>
    <w:rsid w:val="583C0B8D"/>
    <w:rsid w:val="586403D5"/>
    <w:rsid w:val="586E6522"/>
    <w:rsid w:val="58933898"/>
    <w:rsid w:val="58CD75D8"/>
    <w:rsid w:val="59A815C0"/>
    <w:rsid w:val="59B241EC"/>
    <w:rsid w:val="59E82DF2"/>
    <w:rsid w:val="5A5028F2"/>
    <w:rsid w:val="5A693551"/>
    <w:rsid w:val="5AA355AA"/>
    <w:rsid w:val="5AC16DDD"/>
    <w:rsid w:val="5B077802"/>
    <w:rsid w:val="5B1A64ED"/>
    <w:rsid w:val="5B3E6680"/>
    <w:rsid w:val="5B703FAB"/>
    <w:rsid w:val="5BAB100D"/>
    <w:rsid w:val="5BDC26FC"/>
    <w:rsid w:val="5C0A5BF3"/>
    <w:rsid w:val="5C9A78E6"/>
    <w:rsid w:val="5D0A2B3D"/>
    <w:rsid w:val="5D4D4958"/>
    <w:rsid w:val="5E2E40A2"/>
    <w:rsid w:val="5E474CCC"/>
    <w:rsid w:val="5E59557E"/>
    <w:rsid w:val="5ECB42A9"/>
    <w:rsid w:val="5F69195F"/>
    <w:rsid w:val="602240F9"/>
    <w:rsid w:val="607F3344"/>
    <w:rsid w:val="61273712"/>
    <w:rsid w:val="61AC1296"/>
    <w:rsid w:val="61D4389A"/>
    <w:rsid w:val="62B7747D"/>
    <w:rsid w:val="62E92787"/>
    <w:rsid w:val="62EE6294"/>
    <w:rsid w:val="62F835B8"/>
    <w:rsid w:val="630F7539"/>
    <w:rsid w:val="631E435E"/>
    <w:rsid w:val="63314DB4"/>
    <w:rsid w:val="63A00350"/>
    <w:rsid w:val="63BF7C32"/>
    <w:rsid w:val="6409341D"/>
    <w:rsid w:val="64515AA0"/>
    <w:rsid w:val="648F4F70"/>
    <w:rsid w:val="64D85EFD"/>
    <w:rsid w:val="64F11B22"/>
    <w:rsid w:val="651438AB"/>
    <w:rsid w:val="65F067C8"/>
    <w:rsid w:val="661509DE"/>
    <w:rsid w:val="6639534B"/>
    <w:rsid w:val="667C7355"/>
    <w:rsid w:val="668B4BF2"/>
    <w:rsid w:val="66A81479"/>
    <w:rsid w:val="675B29A9"/>
    <w:rsid w:val="67CE228E"/>
    <w:rsid w:val="68556DB7"/>
    <w:rsid w:val="688F051A"/>
    <w:rsid w:val="68CE249F"/>
    <w:rsid w:val="690B56C7"/>
    <w:rsid w:val="691C5983"/>
    <w:rsid w:val="69723F63"/>
    <w:rsid w:val="6A18009C"/>
    <w:rsid w:val="6A7F555D"/>
    <w:rsid w:val="6A8A53CB"/>
    <w:rsid w:val="6AC91F57"/>
    <w:rsid w:val="6B785296"/>
    <w:rsid w:val="6BAB40A1"/>
    <w:rsid w:val="6BDD77EF"/>
    <w:rsid w:val="6C025808"/>
    <w:rsid w:val="6D317EC4"/>
    <w:rsid w:val="6D4473CB"/>
    <w:rsid w:val="6D5A6BDF"/>
    <w:rsid w:val="6D8E6720"/>
    <w:rsid w:val="6D9640F9"/>
    <w:rsid w:val="6DC347C2"/>
    <w:rsid w:val="6DC41C0E"/>
    <w:rsid w:val="6DF16BE7"/>
    <w:rsid w:val="6E2039C3"/>
    <w:rsid w:val="6E254DD5"/>
    <w:rsid w:val="6E2711F5"/>
    <w:rsid w:val="6E55366C"/>
    <w:rsid w:val="6EC111D9"/>
    <w:rsid w:val="6ECC6B81"/>
    <w:rsid w:val="6EE5451A"/>
    <w:rsid w:val="6F156220"/>
    <w:rsid w:val="6F4334F7"/>
    <w:rsid w:val="6F8C5863"/>
    <w:rsid w:val="70464C24"/>
    <w:rsid w:val="7053600D"/>
    <w:rsid w:val="70552E8F"/>
    <w:rsid w:val="721321D4"/>
    <w:rsid w:val="724B7FCF"/>
    <w:rsid w:val="72EB7DB1"/>
    <w:rsid w:val="733523F0"/>
    <w:rsid w:val="74056CCD"/>
    <w:rsid w:val="747D56CB"/>
    <w:rsid w:val="74D04D8D"/>
    <w:rsid w:val="74DD616A"/>
    <w:rsid w:val="75063FFB"/>
    <w:rsid w:val="759B26F9"/>
    <w:rsid w:val="760C479A"/>
    <w:rsid w:val="76133B2A"/>
    <w:rsid w:val="76206C56"/>
    <w:rsid w:val="765D6045"/>
    <w:rsid w:val="76B4739E"/>
    <w:rsid w:val="770553EE"/>
    <w:rsid w:val="775F6EEC"/>
    <w:rsid w:val="779C67B0"/>
    <w:rsid w:val="782F504E"/>
    <w:rsid w:val="78526E6F"/>
    <w:rsid w:val="785901FD"/>
    <w:rsid w:val="78BA6337"/>
    <w:rsid w:val="79BC7EAB"/>
    <w:rsid w:val="7A9316D9"/>
    <w:rsid w:val="7AF366E7"/>
    <w:rsid w:val="7B602578"/>
    <w:rsid w:val="7B7C4440"/>
    <w:rsid w:val="7C2E6448"/>
    <w:rsid w:val="7C9A7532"/>
    <w:rsid w:val="7CA51CE4"/>
    <w:rsid w:val="7CAE1345"/>
    <w:rsid w:val="7DF13E26"/>
    <w:rsid w:val="7E123328"/>
    <w:rsid w:val="7EAC0D28"/>
    <w:rsid w:val="7ED72E9F"/>
    <w:rsid w:val="7F0D1AE4"/>
    <w:rsid w:val="7F150158"/>
    <w:rsid w:val="7F3D4217"/>
    <w:rsid w:val="7F673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ahoma" w:hAnsi="Tahoma" w:eastAsia="等线" w:cs="Tahoma"/>
      <w:kern w:val="2"/>
      <w:sz w:val="21"/>
      <w:szCs w:val="24"/>
      <w:lang w:val="en-US" w:eastAsia="zh-CN" w:bidi="ar-SA"/>
    </w:rPr>
  </w:style>
  <w:style w:type="paragraph" w:styleId="2">
    <w:name w:val="heading 1"/>
    <w:basedOn w:val="1"/>
    <w:next w:val="1"/>
    <w:link w:val="55"/>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56"/>
    <w:qFormat/>
    <w:uiPriority w:val="0"/>
    <w:pPr>
      <w:keepNext/>
      <w:keepLines/>
      <w:spacing w:before="260" w:after="260" w:line="413" w:lineRule="auto"/>
      <w:outlineLvl w:val="1"/>
    </w:pPr>
    <w:rPr>
      <w:rFonts w:ascii="等线 Light" w:hAnsi="等线 Light" w:eastAsia="仿宋_GB2312"/>
      <w:b/>
      <w:bCs/>
      <w:sz w:val="32"/>
      <w:szCs w:val="32"/>
    </w:rPr>
  </w:style>
  <w:style w:type="paragraph" w:styleId="4">
    <w:name w:val="heading 3"/>
    <w:basedOn w:val="1"/>
    <w:next w:val="1"/>
    <w:link w:val="57"/>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58"/>
    <w:qFormat/>
    <w:uiPriority w:val="0"/>
    <w:pPr>
      <w:tabs>
        <w:tab w:val="left" w:pos="2155"/>
      </w:tabs>
      <w:adjustRightInd w:val="0"/>
      <w:spacing w:before="120" w:line="360" w:lineRule="auto"/>
      <w:ind w:left="2155" w:hanging="1078"/>
      <w:textAlignment w:val="baseline"/>
      <w:outlineLvl w:val="3"/>
    </w:pPr>
    <w:rPr>
      <w:rFonts w:ascii="等线 Light" w:eastAsia="仿宋_GB2312"/>
      <w:kern w:val="0"/>
      <w:sz w:val="28"/>
      <w:szCs w:val="20"/>
    </w:rPr>
  </w:style>
  <w:style w:type="paragraph" w:styleId="6">
    <w:name w:val="heading 5"/>
    <w:basedOn w:val="1"/>
    <w:next w:val="7"/>
    <w:link w:val="59"/>
    <w:qFormat/>
    <w:uiPriority w:val="0"/>
    <w:pPr>
      <w:keepNext/>
      <w:keepLines/>
      <w:spacing w:before="280" w:after="290" w:line="376" w:lineRule="auto"/>
      <w:outlineLvl w:val="4"/>
    </w:pPr>
    <w:rPr>
      <w:b/>
      <w:bCs/>
      <w:sz w:val="28"/>
      <w:szCs w:val="28"/>
    </w:rPr>
  </w:style>
  <w:style w:type="paragraph" w:styleId="8">
    <w:name w:val="heading 6"/>
    <w:basedOn w:val="1"/>
    <w:next w:val="1"/>
    <w:link w:val="60"/>
    <w:qFormat/>
    <w:uiPriority w:val="0"/>
    <w:pPr>
      <w:keepNext/>
      <w:keepLines/>
      <w:spacing w:before="240" w:after="64" w:line="320" w:lineRule="auto"/>
      <w:outlineLvl w:val="5"/>
    </w:pPr>
    <w:rPr>
      <w:rFonts w:ascii="Arial Unicode MS" w:hAnsi="Arial Unicode MS" w:eastAsia="Wingdings 2"/>
      <w:b/>
      <w:bCs/>
      <w:sz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rFonts w:eastAsia="Wingdings 2"/>
      <w:szCs w:val="20"/>
    </w:rPr>
  </w:style>
  <w:style w:type="paragraph" w:styleId="9">
    <w:name w:val="toc 7"/>
    <w:basedOn w:val="1"/>
    <w:next w:val="1"/>
    <w:qFormat/>
    <w:uiPriority w:val="0"/>
    <w:pPr>
      <w:jc w:val="left"/>
    </w:pPr>
    <w:rPr>
      <w:rFonts w:ascii="微软雅黑" w:hAnsi="微软雅黑" w:eastAsia="Wingdings 2"/>
      <w:sz w:val="22"/>
      <w:szCs w:val="22"/>
    </w:rPr>
  </w:style>
  <w:style w:type="paragraph" w:styleId="10">
    <w:name w:val="index 8"/>
    <w:basedOn w:val="1"/>
    <w:next w:val="1"/>
    <w:qFormat/>
    <w:uiPriority w:val="0"/>
    <w:pPr>
      <w:ind w:left="2940"/>
    </w:pPr>
    <w:rPr>
      <w:rFonts w:eastAsia="Wingdings 2"/>
    </w:rPr>
  </w:style>
  <w:style w:type="paragraph" w:styleId="11">
    <w:name w:val="caption"/>
    <w:basedOn w:val="1"/>
    <w:next w:val="1"/>
    <w:qFormat/>
    <w:uiPriority w:val="0"/>
    <w:pPr>
      <w:spacing w:before="152" w:after="160"/>
    </w:pPr>
    <w:rPr>
      <w:rFonts w:ascii="等线 Light" w:hAnsi="等线 Light" w:eastAsia="仿宋_GB2312" w:cs="等线 Light"/>
      <w:sz w:val="20"/>
      <w:szCs w:val="20"/>
    </w:rPr>
  </w:style>
  <w:style w:type="paragraph" w:styleId="12">
    <w:name w:val="Document Map"/>
    <w:basedOn w:val="1"/>
    <w:link w:val="61"/>
    <w:qFormat/>
    <w:uiPriority w:val="0"/>
    <w:rPr>
      <w:rFonts w:ascii="Wingdings 2"/>
      <w:sz w:val="18"/>
      <w:szCs w:val="18"/>
    </w:rPr>
  </w:style>
  <w:style w:type="paragraph" w:styleId="13">
    <w:name w:val="annotation text"/>
    <w:basedOn w:val="1"/>
    <w:link w:val="62"/>
    <w:qFormat/>
    <w:uiPriority w:val="0"/>
    <w:pPr>
      <w:jc w:val="left"/>
    </w:pPr>
  </w:style>
  <w:style w:type="paragraph" w:styleId="14">
    <w:name w:val="Body Text 3"/>
    <w:basedOn w:val="1"/>
    <w:link w:val="63"/>
    <w:qFormat/>
    <w:uiPriority w:val="0"/>
    <w:pPr>
      <w:spacing w:after="120"/>
    </w:pPr>
    <w:rPr>
      <w:sz w:val="16"/>
      <w:szCs w:val="16"/>
    </w:rPr>
  </w:style>
  <w:style w:type="paragraph" w:styleId="15">
    <w:name w:val="Body Text"/>
    <w:basedOn w:val="1"/>
    <w:next w:val="16"/>
    <w:link w:val="64"/>
    <w:qFormat/>
    <w:uiPriority w:val="0"/>
    <w:pPr>
      <w:spacing w:after="120"/>
    </w:pPr>
  </w:style>
  <w:style w:type="paragraph" w:styleId="16">
    <w:name w:val="toc 2"/>
    <w:basedOn w:val="1"/>
    <w:next w:val="1"/>
    <w:qFormat/>
    <w:uiPriority w:val="0"/>
    <w:pPr>
      <w:jc w:val="left"/>
    </w:pPr>
    <w:rPr>
      <w:rFonts w:ascii="微软雅黑" w:hAnsi="微软雅黑" w:eastAsia="Wingdings 2"/>
      <w:b/>
      <w:bCs/>
      <w:smallCaps/>
      <w:sz w:val="22"/>
      <w:szCs w:val="22"/>
    </w:rPr>
  </w:style>
  <w:style w:type="paragraph" w:styleId="17">
    <w:name w:val="Body Text Indent"/>
    <w:basedOn w:val="1"/>
    <w:link w:val="65"/>
    <w:qFormat/>
    <w:uiPriority w:val="0"/>
    <w:pPr>
      <w:spacing w:line="200" w:lineRule="exact"/>
      <w:ind w:firstLine="301"/>
    </w:pPr>
    <w:rPr>
      <w:rFonts w:ascii="Wingdings 2" w:hAnsi="MingLiU"/>
      <w:spacing w:val="-4"/>
      <w:sz w:val="18"/>
      <w:szCs w:val="20"/>
    </w:rPr>
  </w:style>
  <w:style w:type="paragraph" w:styleId="18">
    <w:name w:val="toc 5"/>
    <w:basedOn w:val="1"/>
    <w:next w:val="1"/>
    <w:qFormat/>
    <w:uiPriority w:val="0"/>
    <w:pPr>
      <w:jc w:val="left"/>
    </w:pPr>
    <w:rPr>
      <w:rFonts w:ascii="微软雅黑" w:hAnsi="微软雅黑" w:eastAsia="Wingdings 2"/>
      <w:sz w:val="22"/>
      <w:szCs w:val="22"/>
    </w:rPr>
  </w:style>
  <w:style w:type="paragraph" w:styleId="19">
    <w:name w:val="toc 3"/>
    <w:basedOn w:val="1"/>
    <w:next w:val="1"/>
    <w:qFormat/>
    <w:uiPriority w:val="0"/>
    <w:pPr>
      <w:jc w:val="left"/>
    </w:pPr>
    <w:rPr>
      <w:rFonts w:ascii="微软雅黑" w:hAnsi="微软雅黑" w:eastAsia="Wingdings 2"/>
      <w:smallCaps/>
      <w:sz w:val="22"/>
      <w:szCs w:val="22"/>
    </w:rPr>
  </w:style>
  <w:style w:type="paragraph" w:styleId="20">
    <w:name w:val="Plain Text"/>
    <w:basedOn w:val="1"/>
    <w:next w:val="10"/>
    <w:link w:val="66"/>
    <w:qFormat/>
    <w:uiPriority w:val="0"/>
    <w:rPr>
      <w:rFonts w:ascii="Wingdings 2" w:hAnsi="MingLiU"/>
      <w:szCs w:val="20"/>
    </w:rPr>
  </w:style>
  <w:style w:type="paragraph" w:styleId="21">
    <w:name w:val="toc 8"/>
    <w:basedOn w:val="1"/>
    <w:next w:val="1"/>
    <w:qFormat/>
    <w:uiPriority w:val="0"/>
    <w:pPr>
      <w:jc w:val="left"/>
    </w:pPr>
    <w:rPr>
      <w:rFonts w:ascii="微软雅黑" w:hAnsi="微软雅黑" w:eastAsia="Wingdings 2"/>
      <w:sz w:val="22"/>
      <w:szCs w:val="22"/>
    </w:rPr>
  </w:style>
  <w:style w:type="paragraph" w:styleId="22">
    <w:name w:val="Date"/>
    <w:basedOn w:val="1"/>
    <w:next w:val="1"/>
    <w:link w:val="67"/>
    <w:qFormat/>
    <w:uiPriority w:val="0"/>
    <w:pPr>
      <w:ind w:left="100" w:leftChars="2500"/>
    </w:pPr>
  </w:style>
  <w:style w:type="paragraph" w:styleId="23">
    <w:name w:val="Body Text Indent 2"/>
    <w:basedOn w:val="1"/>
    <w:link w:val="68"/>
    <w:qFormat/>
    <w:uiPriority w:val="0"/>
    <w:pPr>
      <w:spacing w:after="120" w:line="480" w:lineRule="auto"/>
      <w:ind w:left="420" w:leftChars="200"/>
    </w:pPr>
  </w:style>
  <w:style w:type="paragraph" w:styleId="24">
    <w:name w:val="Balloon Text"/>
    <w:basedOn w:val="1"/>
    <w:link w:val="69"/>
    <w:qFormat/>
    <w:uiPriority w:val="0"/>
    <w:rPr>
      <w:sz w:val="18"/>
      <w:szCs w:val="18"/>
    </w:rPr>
  </w:style>
  <w:style w:type="paragraph" w:styleId="25">
    <w:name w:val="footer"/>
    <w:basedOn w:val="1"/>
    <w:link w:val="54"/>
    <w:unhideWhenUsed/>
    <w:qFormat/>
    <w:uiPriority w:val="0"/>
    <w:pPr>
      <w:tabs>
        <w:tab w:val="center" w:pos="4153"/>
        <w:tab w:val="right" w:pos="8306"/>
      </w:tabs>
      <w:snapToGrid w:val="0"/>
      <w:jc w:val="left"/>
    </w:pPr>
    <w:rPr>
      <w:sz w:val="18"/>
      <w:szCs w:val="18"/>
    </w:rPr>
  </w:style>
  <w:style w:type="paragraph" w:styleId="26">
    <w:name w:val="header"/>
    <w:basedOn w:val="1"/>
    <w:link w:val="53"/>
    <w:unhideWhenUsed/>
    <w:qFormat/>
    <w:uiPriority w:val="0"/>
    <w:pPr>
      <w:tabs>
        <w:tab w:val="center" w:pos="4153"/>
        <w:tab w:val="right" w:pos="8306"/>
      </w:tabs>
      <w:snapToGrid w:val="0"/>
      <w:jc w:val="center"/>
    </w:pPr>
    <w:rPr>
      <w:sz w:val="18"/>
      <w:szCs w:val="18"/>
    </w:rPr>
  </w:style>
  <w:style w:type="paragraph" w:styleId="27">
    <w:name w:val="toc 1"/>
    <w:basedOn w:val="1"/>
    <w:next w:val="1"/>
    <w:qFormat/>
    <w:uiPriority w:val="0"/>
    <w:pPr>
      <w:spacing w:before="360" w:after="360"/>
      <w:jc w:val="left"/>
    </w:pPr>
    <w:rPr>
      <w:rFonts w:ascii="微软雅黑" w:hAnsi="微软雅黑" w:eastAsia="Wingdings 2"/>
      <w:b/>
      <w:bCs/>
      <w:caps/>
      <w:sz w:val="22"/>
      <w:szCs w:val="22"/>
      <w:u w:val="single"/>
    </w:rPr>
  </w:style>
  <w:style w:type="paragraph" w:styleId="28">
    <w:name w:val="toc 4"/>
    <w:basedOn w:val="1"/>
    <w:next w:val="1"/>
    <w:qFormat/>
    <w:uiPriority w:val="0"/>
    <w:pPr>
      <w:jc w:val="left"/>
    </w:pPr>
    <w:rPr>
      <w:rFonts w:ascii="微软雅黑" w:hAnsi="微软雅黑" w:eastAsia="Wingdings 2"/>
      <w:sz w:val="22"/>
      <w:szCs w:val="22"/>
    </w:rPr>
  </w:style>
  <w:style w:type="paragraph" w:styleId="29">
    <w:name w:val="List"/>
    <w:basedOn w:val="1"/>
    <w:qFormat/>
    <w:uiPriority w:val="0"/>
    <w:pPr>
      <w:ind w:left="200" w:hanging="200" w:hangingChars="200"/>
    </w:pPr>
    <w:rPr>
      <w:rFonts w:eastAsia="Wingdings 2"/>
      <w:sz w:val="28"/>
    </w:rPr>
  </w:style>
  <w:style w:type="paragraph" w:styleId="30">
    <w:name w:val="toc 6"/>
    <w:basedOn w:val="1"/>
    <w:next w:val="1"/>
    <w:qFormat/>
    <w:uiPriority w:val="0"/>
    <w:pPr>
      <w:jc w:val="left"/>
    </w:pPr>
    <w:rPr>
      <w:rFonts w:ascii="微软雅黑" w:hAnsi="微软雅黑" w:eastAsia="Wingdings 2"/>
      <w:sz w:val="22"/>
      <w:szCs w:val="22"/>
    </w:rPr>
  </w:style>
  <w:style w:type="paragraph" w:styleId="31">
    <w:name w:val="Body Text Indent 3"/>
    <w:basedOn w:val="1"/>
    <w:link w:val="72"/>
    <w:qFormat/>
    <w:uiPriority w:val="0"/>
    <w:pPr>
      <w:spacing w:after="120"/>
      <w:ind w:left="200" w:leftChars="200"/>
    </w:pPr>
    <w:rPr>
      <w:rFonts w:eastAsia="Wingdings 2"/>
      <w:sz w:val="16"/>
      <w:szCs w:val="16"/>
    </w:rPr>
  </w:style>
  <w:style w:type="paragraph" w:styleId="32">
    <w:name w:val="toc 9"/>
    <w:basedOn w:val="1"/>
    <w:next w:val="1"/>
    <w:qFormat/>
    <w:uiPriority w:val="0"/>
    <w:pPr>
      <w:jc w:val="left"/>
    </w:pPr>
    <w:rPr>
      <w:rFonts w:ascii="微软雅黑" w:hAnsi="微软雅黑" w:eastAsia="Wingdings 2"/>
      <w:sz w:val="22"/>
      <w:szCs w:val="22"/>
    </w:rPr>
  </w:style>
  <w:style w:type="paragraph" w:styleId="3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4">
    <w:name w:val="Normal (Web)"/>
    <w:basedOn w:val="1"/>
    <w:qFormat/>
    <w:uiPriority w:val="0"/>
    <w:pPr>
      <w:widowControl/>
      <w:spacing w:before="100" w:beforeAutospacing="1" w:after="100" w:afterAutospacing="1"/>
      <w:jc w:val="left"/>
    </w:pPr>
    <w:rPr>
      <w:rFonts w:ascii="Wingdings 2" w:hAnsi="Wingdings 2" w:eastAsia="Wingdings 2" w:cs="Wingdings 2"/>
      <w:kern w:val="0"/>
      <w:sz w:val="24"/>
    </w:rPr>
  </w:style>
  <w:style w:type="paragraph" w:styleId="35">
    <w:name w:val="annotation subject"/>
    <w:basedOn w:val="13"/>
    <w:next w:val="13"/>
    <w:link w:val="73"/>
    <w:qFormat/>
    <w:uiPriority w:val="0"/>
    <w:rPr>
      <w:b/>
      <w:bCs/>
    </w:rPr>
  </w:style>
  <w:style w:type="paragraph" w:styleId="36">
    <w:name w:val="Body Text First Indent 2"/>
    <w:basedOn w:val="1"/>
    <w:qFormat/>
    <w:uiPriority w:val="0"/>
    <w:pPr>
      <w:spacing w:after="120"/>
      <w:ind w:left="420" w:leftChars="200" w:firstLine="420" w:firstLineChars="200"/>
    </w:pPr>
  </w:style>
  <w:style w:type="table" w:styleId="38">
    <w:name w:val="Table Grid"/>
    <w:basedOn w:val="37"/>
    <w:qFormat/>
    <w:uiPriority w:val="0"/>
    <w:pPr>
      <w:widowControl w:val="0"/>
      <w:jc w:val="both"/>
    </w:pPr>
    <w:rPr>
      <w:rFonts w:ascii="Tahoma" w:hAnsi="Tahoma" w:eastAsia="Wingdings 2" w:cs="Tahom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page number"/>
    <w:qFormat/>
    <w:uiPriority w:val="0"/>
    <w:rPr>
      <w:rFonts w:ascii="Tahoma" w:hAnsi="Tahoma" w:eastAsia="Wingdings 2" w:cs="Tahoma"/>
    </w:rPr>
  </w:style>
  <w:style w:type="character" w:styleId="41">
    <w:name w:val="FollowedHyperlink"/>
    <w:qFormat/>
    <w:uiPriority w:val="0"/>
    <w:rPr>
      <w:rFonts w:ascii="Tahoma" w:hAnsi="Tahoma" w:eastAsia="Wingdings 2" w:cs="Tahoma"/>
      <w:color w:val="800080"/>
      <w:u w:val="none"/>
    </w:rPr>
  </w:style>
  <w:style w:type="character" w:styleId="42">
    <w:name w:val="Emphasis"/>
    <w:qFormat/>
    <w:uiPriority w:val="0"/>
    <w:rPr>
      <w:rFonts w:ascii="Tahoma" w:hAnsi="Tahoma" w:eastAsia="Wingdings 2" w:cs="Tahoma"/>
    </w:rPr>
  </w:style>
  <w:style w:type="character" w:styleId="43">
    <w:name w:val="HTML Definition"/>
    <w:qFormat/>
    <w:uiPriority w:val="0"/>
    <w:rPr>
      <w:rFonts w:ascii="Tahoma" w:hAnsi="Tahoma" w:eastAsia="Wingdings 2" w:cs="Tahoma"/>
    </w:rPr>
  </w:style>
  <w:style w:type="character" w:styleId="44">
    <w:name w:val="HTML Typewriter"/>
    <w:qFormat/>
    <w:uiPriority w:val="0"/>
    <w:rPr>
      <w:rFonts w:hint="default" w:ascii="隶书" w:hAnsi="隶书" w:eastAsia="隶书" w:cs="隶书"/>
      <w:sz w:val="20"/>
    </w:rPr>
  </w:style>
  <w:style w:type="character" w:styleId="45">
    <w:name w:val="HTML Acronym"/>
    <w:qFormat/>
    <w:uiPriority w:val="0"/>
    <w:rPr>
      <w:rFonts w:ascii="Tahoma" w:hAnsi="Tahoma" w:eastAsia="Wingdings 2" w:cs="Tahoma"/>
    </w:rPr>
  </w:style>
  <w:style w:type="character" w:styleId="46">
    <w:name w:val="HTML Variable"/>
    <w:qFormat/>
    <w:uiPriority w:val="0"/>
    <w:rPr>
      <w:rFonts w:ascii="Tahoma" w:hAnsi="Tahoma" w:eastAsia="Wingdings 2" w:cs="Tahoma"/>
    </w:rPr>
  </w:style>
  <w:style w:type="character" w:styleId="47">
    <w:name w:val="Hyperlink"/>
    <w:qFormat/>
    <w:uiPriority w:val="0"/>
    <w:rPr>
      <w:rFonts w:ascii="Tahoma" w:hAnsi="Tahoma" w:eastAsia="Wingdings 2" w:cs="Tahoma"/>
      <w:color w:val="0000FF"/>
      <w:u w:val="none"/>
    </w:rPr>
  </w:style>
  <w:style w:type="character" w:styleId="48">
    <w:name w:val="HTML Code"/>
    <w:qFormat/>
    <w:uiPriority w:val="0"/>
    <w:rPr>
      <w:rFonts w:hint="default" w:ascii="隶书" w:hAnsi="隶书" w:eastAsia="隶书" w:cs="隶书"/>
      <w:sz w:val="20"/>
    </w:rPr>
  </w:style>
  <w:style w:type="character" w:styleId="49">
    <w:name w:val="annotation reference"/>
    <w:qFormat/>
    <w:uiPriority w:val="0"/>
    <w:rPr>
      <w:rFonts w:ascii="Tahoma" w:hAnsi="Tahoma" w:eastAsia="Wingdings 2" w:cs="Tahoma"/>
      <w:sz w:val="21"/>
      <w:szCs w:val="21"/>
    </w:rPr>
  </w:style>
  <w:style w:type="character" w:styleId="50">
    <w:name w:val="HTML Cite"/>
    <w:qFormat/>
    <w:uiPriority w:val="0"/>
    <w:rPr>
      <w:rFonts w:ascii="Tahoma" w:hAnsi="Tahoma" w:eastAsia="Wingdings 2" w:cs="Tahoma"/>
    </w:rPr>
  </w:style>
  <w:style w:type="character" w:styleId="51">
    <w:name w:val="HTML Keyboard"/>
    <w:qFormat/>
    <w:uiPriority w:val="0"/>
    <w:rPr>
      <w:rFonts w:ascii="隶书" w:hAnsi="隶书" w:eastAsia="隶书" w:cs="隶书"/>
      <w:sz w:val="20"/>
    </w:rPr>
  </w:style>
  <w:style w:type="character" w:styleId="52">
    <w:name w:val="HTML Sample"/>
    <w:qFormat/>
    <w:uiPriority w:val="0"/>
    <w:rPr>
      <w:rFonts w:hint="default" w:ascii="隶书" w:hAnsi="隶书" w:eastAsia="隶书" w:cs="隶书"/>
    </w:rPr>
  </w:style>
  <w:style w:type="character" w:customStyle="1" w:styleId="53">
    <w:name w:val="页眉 字符"/>
    <w:basedOn w:val="39"/>
    <w:link w:val="26"/>
    <w:qFormat/>
    <w:uiPriority w:val="0"/>
    <w:rPr>
      <w:sz w:val="18"/>
      <w:szCs w:val="18"/>
    </w:rPr>
  </w:style>
  <w:style w:type="character" w:customStyle="1" w:styleId="54">
    <w:name w:val="页脚 字符"/>
    <w:basedOn w:val="39"/>
    <w:link w:val="25"/>
    <w:qFormat/>
    <w:uiPriority w:val="0"/>
    <w:rPr>
      <w:sz w:val="18"/>
      <w:szCs w:val="18"/>
    </w:rPr>
  </w:style>
  <w:style w:type="character" w:customStyle="1" w:styleId="55">
    <w:name w:val="标题 1 字符"/>
    <w:basedOn w:val="39"/>
    <w:link w:val="2"/>
    <w:qFormat/>
    <w:uiPriority w:val="0"/>
    <w:rPr>
      <w:rFonts w:ascii="Tahoma" w:hAnsi="Tahoma" w:eastAsia="等线" w:cs="Tahoma"/>
      <w:b/>
      <w:bCs/>
      <w:kern w:val="44"/>
      <w:sz w:val="44"/>
      <w:szCs w:val="44"/>
    </w:rPr>
  </w:style>
  <w:style w:type="character" w:customStyle="1" w:styleId="56">
    <w:name w:val="标题 2 字符"/>
    <w:basedOn w:val="39"/>
    <w:link w:val="3"/>
    <w:qFormat/>
    <w:uiPriority w:val="0"/>
    <w:rPr>
      <w:rFonts w:ascii="等线 Light" w:hAnsi="等线 Light" w:eastAsia="仿宋_GB2312" w:cs="Tahoma"/>
      <w:b/>
      <w:bCs/>
      <w:sz w:val="32"/>
      <w:szCs w:val="32"/>
    </w:rPr>
  </w:style>
  <w:style w:type="character" w:customStyle="1" w:styleId="57">
    <w:name w:val="标题 3 字符"/>
    <w:basedOn w:val="39"/>
    <w:link w:val="4"/>
    <w:qFormat/>
    <w:uiPriority w:val="0"/>
    <w:rPr>
      <w:rFonts w:ascii="Tahoma" w:hAnsi="Tahoma" w:eastAsia="等线" w:cs="Tahoma"/>
      <w:b/>
      <w:bCs/>
      <w:sz w:val="32"/>
      <w:szCs w:val="32"/>
    </w:rPr>
  </w:style>
  <w:style w:type="character" w:customStyle="1" w:styleId="58">
    <w:name w:val="标题 4 字符"/>
    <w:basedOn w:val="39"/>
    <w:link w:val="5"/>
    <w:qFormat/>
    <w:uiPriority w:val="0"/>
    <w:rPr>
      <w:rFonts w:ascii="等线 Light" w:hAnsi="Tahoma" w:eastAsia="仿宋_GB2312" w:cs="Tahoma"/>
      <w:kern w:val="0"/>
      <w:sz w:val="28"/>
      <w:szCs w:val="20"/>
    </w:rPr>
  </w:style>
  <w:style w:type="character" w:customStyle="1" w:styleId="59">
    <w:name w:val="标题 5 字符"/>
    <w:basedOn w:val="39"/>
    <w:link w:val="6"/>
    <w:qFormat/>
    <w:uiPriority w:val="0"/>
    <w:rPr>
      <w:rFonts w:ascii="Tahoma" w:hAnsi="Tahoma" w:eastAsia="等线" w:cs="Tahoma"/>
      <w:b/>
      <w:bCs/>
      <w:sz w:val="28"/>
      <w:szCs w:val="28"/>
    </w:rPr>
  </w:style>
  <w:style w:type="character" w:customStyle="1" w:styleId="60">
    <w:name w:val="标题 6 字符"/>
    <w:basedOn w:val="39"/>
    <w:link w:val="8"/>
    <w:qFormat/>
    <w:uiPriority w:val="0"/>
    <w:rPr>
      <w:rFonts w:ascii="Arial Unicode MS" w:hAnsi="Arial Unicode MS" w:eastAsia="Wingdings 2" w:cs="Tahoma"/>
      <w:b/>
      <w:bCs/>
      <w:sz w:val="24"/>
      <w:szCs w:val="24"/>
    </w:rPr>
  </w:style>
  <w:style w:type="character" w:customStyle="1" w:styleId="61">
    <w:name w:val="文档结构图 字符"/>
    <w:basedOn w:val="39"/>
    <w:link w:val="12"/>
    <w:qFormat/>
    <w:uiPriority w:val="0"/>
    <w:rPr>
      <w:rFonts w:ascii="Wingdings 2" w:hAnsi="Tahoma" w:eastAsia="等线" w:cs="Tahoma"/>
      <w:sz w:val="18"/>
      <w:szCs w:val="18"/>
    </w:rPr>
  </w:style>
  <w:style w:type="character" w:customStyle="1" w:styleId="62">
    <w:name w:val="批注文字 字符"/>
    <w:basedOn w:val="39"/>
    <w:link w:val="13"/>
    <w:qFormat/>
    <w:uiPriority w:val="0"/>
    <w:rPr>
      <w:rFonts w:ascii="Tahoma" w:hAnsi="Tahoma" w:eastAsia="等线" w:cs="Tahoma"/>
      <w:szCs w:val="24"/>
    </w:rPr>
  </w:style>
  <w:style w:type="character" w:customStyle="1" w:styleId="63">
    <w:name w:val="正文文本 3 字符"/>
    <w:basedOn w:val="39"/>
    <w:link w:val="14"/>
    <w:qFormat/>
    <w:uiPriority w:val="0"/>
    <w:rPr>
      <w:rFonts w:ascii="Tahoma" w:hAnsi="Tahoma" w:eastAsia="等线" w:cs="Tahoma"/>
      <w:sz w:val="16"/>
      <w:szCs w:val="16"/>
    </w:rPr>
  </w:style>
  <w:style w:type="character" w:customStyle="1" w:styleId="64">
    <w:name w:val="正文文本 字符"/>
    <w:basedOn w:val="39"/>
    <w:link w:val="15"/>
    <w:qFormat/>
    <w:uiPriority w:val="0"/>
    <w:rPr>
      <w:rFonts w:ascii="Tahoma" w:hAnsi="Tahoma" w:eastAsia="等线" w:cs="Tahoma"/>
      <w:szCs w:val="24"/>
    </w:rPr>
  </w:style>
  <w:style w:type="character" w:customStyle="1" w:styleId="65">
    <w:name w:val="正文文本缩进 字符"/>
    <w:basedOn w:val="39"/>
    <w:link w:val="17"/>
    <w:qFormat/>
    <w:uiPriority w:val="0"/>
    <w:rPr>
      <w:rFonts w:ascii="Wingdings 2" w:hAnsi="MingLiU" w:eastAsia="等线" w:cs="Tahoma"/>
      <w:spacing w:val="-4"/>
      <w:sz w:val="18"/>
      <w:szCs w:val="20"/>
    </w:rPr>
  </w:style>
  <w:style w:type="character" w:customStyle="1" w:styleId="66">
    <w:name w:val="纯文本 字符"/>
    <w:basedOn w:val="39"/>
    <w:link w:val="20"/>
    <w:qFormat/>
    <w:uiPriority w:val="0"/>
    <w:rPr>
      <w:rFonts w:ascii="Wingdings 2" w:hAnsi="MingLiU" w:eastAsia="等线" w:cs="Tahoma"/>
      <w:szCs w:val="20"/>
    </w:rPr>
  </w:style>
  <w:style w:type="character" w:customStyle="1" w:styleId="67">
    <w:name w:val="日期 字符"/>
    <w:basedOn w:val="39"/>
    <w:link w:val="22"/>
    <w:qFormat/>
    <w:uiPriority w:val="0"/>
    <w:rPr>
      <w:rFonts w:ascii="Tahoma" w:hAnsi="Tahoma" w:eastAsia="等线" w:cs="Tahoma"/>
      <w:szCs w:val="24"/>
    </w:rPr>
  </w:style>
  <w:style w:type="character" w:customStyle="1" w:styleId="68">
    <w:name w:val="正文文本缩进 2 字符"/>
    <w:basedOn w:val="39"/>
    <w:link w:val="23"/>
    <w:qFormat/>
    <w:uiPriority w:val="0"/>
    <w:rPr>
      <w:rFonts w:ascii="Tahoma" w:hAnsi="Tahoma" w:eastAsia="等线" w:cs="Tahoma"/>
      <w:szCs w:val="24"/>
    </w:rPr>
  </w:style>
  <w:style w:type="character" w:customStyle="1" w:styleId="69">
    <w:name w:val="批注框文本 字符"/>
    <w:basedOn w:val="39"/>
    <w:link w:val="24"/>
    <w:qFormat/>
    <w:uiPriority w:val="0"/>
    <w:rPr>
      <w:rFonts w:ascii="Tahoma" w:hAnsi="Tahoma" w:eastAsia="等线" w:cs="Tahoma"/>
      <w:sz w:val="18"/>
      <w:szCs w:val="18"/>
    </w:rPr>
  </w:style>
  <w:style w:type="character" w:customStyle="1" w:styleId="70">
    <w:name w:val="页脚 字符1"/>
    <w:qFormat/>
    <w:uiPriority w:val="0"/>
    <w:rPr>
      <w:rFonts w:ascii="Tahoma" w:hAnsi="Tahoma" w:eastAsia="Wingdings 2" w:cs="Tahoma"/>
      <w:kern w:val="2"/>
      <w:sz w:val="18"/>
      <w:szCs w:val="18"/>
    </w:rPr>
  </w:style>
  <w:style w:type="character" w:customStyle="1" w:styleId="71">
    <w:name w:val="页眉 字符1"/>
    <w:qFormat/>
    <w:uiPriority w:val="0"/>
    <w:rPr>
      <w:rFonts w:ascii="Tahoma" w:hAnsi="Tahoma" w:eastAsia="Wingdings 2" w:cs="Tahoma"/>
      <w:kern w:val="2"/>
      <w:sz w:val="18"/>
      <w:szCs w:val="18"/>
    </w:rPr>
  </w:style>
  <w:style w:type="character" w:customStyle="1" w:styleId="72">
    <w:name w:val="正文文本缩进 3 字符"/>
    <w:basedOn w:val="39"/>
    <w:link w:val="31"/>
    <w:qFormat/>
    <w:uiPriority w:val="0"/>
    <w:rPr>
      <w:rFonts w:ascii="Tahoma" w:hAnsi="Tahoma" w:eastAsia="Wingdings 2" w:cs="Tahoma"/>
      <w:sz w:val="16"/>
      <w:szCs w:val="16"/>
    </w:rPr>
  </w:style>
  <w:style w:type="character" w:customStyle="1" w:styleId="73">
    <w:name w:val="批注主题 字符"/>
    <w:basedOn w:val="62"/>
    <w:link w:val="35"/>
    <w:qFormat/>
    <w:uiPriority w:val="0"/>
    <w:rPr>
      <w:rFonts w:ascii="Tahoma" w:hAnsi="Tahoma" w:eastAsia="等线" w:cs="Tahoma"/>
      <w:b/>
      <w:bCs/>
      <w:szCs w:val="24"/>
    </w:rPr>
  </w:style>
  <w:style w:type="paragraph" w:customStyle="1" w:styleId="74">
    <w:name w:val="Default"/>
    <w:qFormat/>
    <w:uiPriority w:val="0"/>
    <w:pPr>
      <w:widowControl w:val="0"/>
      <w:autoSpaceDE w:val="0"/>
      <w:autoSpaceDN w:val="0"/>
      <w:adjustRightInd w:val="0"/>
    </w:pPr>
    <w:rPr>
      <w:rFonts w:ascii="Wingdings 2" w:hAnsi="Tahoma" w:eastAsia="等线" w:cs="Wingdings 2"/>
      <w:color w:val="000000"/>
      <w:sz w:val="24"/>
      <w:szCs w:val="24"/>
      <w:lang w:val="en-US" w:eastAsia="zh-CN" w:bidi="ar-SA"/>
    </w:rPr>
  </w:style>
  <w:style w:type="paragraph" w:customStyle="1" w:styleId="75">
    <w:name w:val="Table Paragraph"/>
    <w:basedOn w:val="1"/>
    <w:qFormat/>
    <w:uiPriority w:val="0"/>
    <w:pPr>
      <w:jc w:val="left"/>
    </w:pPr>
    <w:rPr>
      <w:rFonts w:ascii="微软雅黑" w:hAnsi="微软雅黑" w:eastAsia="Wingdings 2"/>
      <w:kern w:val="0"/>
      <w:sz w:val="22"/>
      <w:szCs w:val="22"/>
      <w:lang w:eastAsia="en-US"/>
    </w:rPr>
  </w:style>
  <w:style w:type="character" w:customStyle="1" w:styleId="76">
    <w:name w:val="font91"/>
    <w:qFormat/>
    <w:uiPriority w:val="0"/>
    <w:rPr>
      <w:rFonts w:hint="eastAsia" w:ascii="Wingdings 2" w:hAnsi="Wingdings 2" w:eastAsia="Wingdings 2" w:cs="Wingdings 2"/>
      <w:color w:val="FF0000"/>
      <w:sz w:val="18"/>
      <w:szCs w:val="18"/>
      <w:u w:val="none"/>
    </w:rPr>
  </w:style>
  <w:style w:type="character" w:customStyle="1" w:styleId="77">
    <w:name w:val="font11"/>
    <w:basedOn w:val="39"/>
    <w:qFormat/>
    <w:uiPriority w:val="0"/>
    <w:rPr>
      <w:rFonts w:hint="eastAsia" w:ascii="Wingdings 2" w:hAnsi="Wingdings 2" w:eastAsia="Wingdings 2" w:cs="Wingdings 2"/>
      <w:color w:val="000000"/>
      <w:sz w:val="18"/>
      <w:szCs w:val="18"/>
      <w:u w:val="none"/>
    </w:rPr>
  </w:style>
  <w:style w:type="character" w:customStyle="1" w:styleId="78">
    <w:name w:val="批注文字 Char1"/>
    <w:qFormat/>
    <w:uiPriority w:val="0"/>
    <w:rPr>
      <w:rFonts w:ascii="Tahoma" w:hAnsi="Tahoma" w:eastAsia="Wingdings 2" w:cs="Tahoma"/>
      <w:kern w:val="2"/>
      <w:sz w:val="21"/>
      <w:szCs w:val="24"/>
    </w:rPr>
  </w:style>
  <w:style w:type="character" w:customStyle="1" w:styleId="79">
    <w:name w:val="font31"/>
    <w:basedOn w:val="39"/>
    <w:qFormat/>
    <w:uiPriority w:val="0"/>
    <w:rPr>
      <w:rFonts w:ascii="黑体" w:hAnsi="黑体" w:eastAsia="黑体" w:cs="黑体"/>
      <w:color w:val="000000"/>
      <w:sz w:val="18"/>
      <w:szCs w:val="18"/>
      <w:u w:val="none"/>
    </w:rPr>
  </w:style>
  <w:style w:type="character" w:customStyle="1" w:styleId="80">
    <w:name w:val="正文文本 + 10 pt"/>
    <w:qFormat/>
    <w:uiPriority w:val="0"/>
    <w:rPr>
      <w:rFonts w:ascii="Cambria" w:hAnsi="Cambria" w:eastAsia="Cambria" w:cs="Cambria"/>
      <w:color w:val="000000"/>
      <w:spacing w:val="8"/>
      <w:w w:val="100"/>
      <w:position w:val="0"/>
      <w:sz w:val="20"/>
      <w:szCs w:val="20"/>
      <w:shd w:val="clear" w:color="auto" w:fill="FFFFFF"/>
      <w:lang w:val="zh-TW"/>
    </w:rPr>
  </w:style>
  <w:style w:type="paragraph" w:customStyle="1" w:styleId="81">
    <w:name w:val="纯文本_0_0"/>
    <w:basedOn w:val="1"/>
    <w:link w:val="82"/>
    <w:qFormat/>
    <w:uiPriority w:val="0"/>
    <w:rPr>
      <w:rFonts w:ascii="Wingdings 2" w:hAnsi="MingLiU"/>
      <w:szCs w:val="21"/>
    </w:rPr>
  </w:style>
  <w:style w:type="character" w:customStyle="1" w:styleId="82">
    <w:name w:val="纯文本 Char_0"/>
    <w:link w:val="81"/>
    <w:qFormat/>
    <w:uiPriority w:val="0"/>
    <w:rPr>
      <w:rFonts w:ascii="Wingdings 2" w:hAnsi="MingLiU" w:eastAsia="等线" w:cs="Tahoma"/>
      <w:szCs w:val="21"/>
      <w:lang w:val="en-US" w:eastAsia="zh-CN"/>
    </w:rPr>
  </w:style>
  <w:style w:type="character" w:customStyle="1" w:styleId="83">
    <w:name w:val="first-child"/>
    <w:qFormat/>
    <w:uiPriority w:val="0"/>
    <w:rPr>
      <w:rFonts w:ascii="Tahoma" w:hAnsi="Tahoma" w:eastAsia="Wingdings 2" w:cs="Tahoma"/>
    </w:rPr>
  </w:style>
  <w:style w:type="paragraph" w:customStyle="1" w:styleId="84">
    <w:name w:val="正文2"/>
    <w:basedOn w:val="1"/>
    <w:link w:val="85"/>
    <w:qFormat/>
    <w:uiPriority w:val="0"/>
    <w:pPr>
      <w:adjustRightInd w:val="0"/>
      <w:spacing w:before="156" w:line="360" w:lineRule="auto"/>
      <w:ind w:firstLine="510" w:firstLineChars="200"/>
    </w:pPr>
    <w:rPr>
      <w:sz w:val="24"/>
      <w:szCs w:val="20"/>
    </w:rPr>
  </w:style>
  <w:style w:type="character" w:customStyle="1" w:styleId="85">
    <w:name w:val="正文2 Char Char"/>
    <w:link w:val="84"/>
    <w:qFormat/>
    <w:uiPriority w:val="0"/>
    <w:rPr>
      <w:rFonts w:ascii="Tahoma" w:hAnsi="Tahoma" w:eastAsia="等线" w:cs="Tahoma"/>
      <w:sz w:val="24"/>
      <w:szCs w:val="20"/>
    </w:rPr>
  </w:style>
  <w:style w:type="paragraph" w:customStyle="1" w:styleId="86">
    <w:name w:val="纯文本1"/>
    <w:basedOn w:val="1"/>
    <w:link w:val="87"/>
    <w:qFormat/>
    <w:uiPriority w:val="0"/>
    <w:rPr>
      <w:rFonts w:ascii="Wingdings 2" w:hAnsi="MingLiU"/>
      <w:szCs w:val="20"/>
    </w:rPr>
  </w:style>
  <w:style w:type="character" w:customStyle="1" w:styleId="87">
    <w:name w:val="纯文本 Char1"/>
    <w:link w:val="86"/>
    <w:qFormat/>
    <w:uiPriority w:val="0"/>
    <w:rPr>
      <w:rFonts w:ascii="Wingdings 2" w:hAnsi="MingLiU" w:eastAsia="等线" w:cs="Tahoma"/>
      <w:szCs w:val="20"/>
    </w:rPr>
  </w:style>
  <w:style w:type="character" w:customStyle="1" w:styleId="88">
    <w:name w:val="font01"/>
    <w:qFormat/>
    <w:uiPriority w:val="0"/>
    <w:rPr>
      <w:rFonts w:hint="eastAsia" w:ascii="Wingdings 2" w:hAnsi="Wingdings 2" w:eastAsia="Wingdings 2" w:cs="Wingdings 2"/>
      <w:color w:val="000000"/>
      <w:sz w:val="20"/>
      <w:szCs w:val="20"/>
      <w:u w:val="none"/>
    </w:rPr>
  </w:style>
  <w:style w:type="character" w:customStyle="1" w:styleId="89">
    <w:name w:val="Char Char1"/>
    <w:qFormat/>
    <w:uiPriority w:val="0"/>
    <w:rPr>
      <w:rFonts w:ascii="Wingdings 2" w:hAnsi="MingLiU" w:eastAsia="Wingdings 2" w:cs="Tahoma"/>
      <w:kern w:val="2"/>
      <w:sz w:val="21"/>
      <w:lang w:val="en-US" w:eastAsia="zh-CN" w:bidi="ar-SA"/>
    </w:rPr>
  </w:style>
  <w:style w:type="character" w:customStyle="1" w:styleId="90">
    <w:name w:val="正文文本 (26) + 间距 0 pt"/>
    <w:qFormat/>
    <w:uiPriority w:val="0"/>
    <w:rPr>
      <w:rFonts w:ascii="Wingdings 2" w:hAnsi="Wingdings 2" w:eastAsia="Wingdings 2" w:cs="Wingdings 2"/>
      <w:color w:val="000000"/>
      <w:spacing w:val="0"/>
      <w:w w:val="100"/>
      <w:position w:val="0"/>
      <w:sz w:val="22"/>
      <w:szCs w:val="22"/>
      <w:u w:val="none"/>
      <w:lang w:val="zh-CN" w:eastAsia="zh-CN" w:bidi="zh-CN"/>
    </w:rPr>
  </w:style>
  <w:style w:type="character" w:customStyle="1" w:styleId="91">
    <w:name w:val="font101"/>
    <w:qFormat/>
    <w:uiPriority w:val="0"/>
    <w:rPr>
      <w:rFonts w:hint="eastAsia" w:ascii="Wingdings 2" w:hAnsi="Wingdings 2" w:eastAsia="Wingdings 2" w:cs="Wingdings 2"/>
      <w:color w:val="000000"/>
      <w:sz w:val="20"/>
      <w:szCs w:val="20"/>
      <w:u w:val="none"/>
    </w:rPr>
  </w:style>
  <w:style w:type="character" w:customStyle="1" w:styleId="92">
    <w:name w:val="纯文本 字符2"/>
    <w:qFormat/>
    <w:uiPriority w:val="0"/>
    <w:rPr>
      <w:rFonts w:ascii="Wingdings 2" w:hAnsi="MingLiU" w:eastAsia="Wingdings 2" w:cs="MingLiU"/>
      <w:szCs w:val="21"/>
    </w:rPr>
  </w:style>
  <w:style w:type="paragraph" w:customStyle="1" w:styleId="93">
    <w:name w:val="正文文本1"/>
    <w:basedOn w:val="1"/>
    <w:link w:val="94"/>
    <w:qFormat/>
    <w:uiPriority w:val="0"/>
    <w:pPr>
      <w:shd w:val="clear" w:color="auto" w:fill="FFFFFF"/>
      <w:spacing w:line="302" w:lineRule="exact"/>
      <w:ind w:firstLine="460"/>
      <w:jc w:val="left"/>
    </w:pPr>
    <w:rPr>
      <w:rFonts w:ascii="Cambria" w:hAnsi="Cambria" w:eastAsia="Cambria"/>
      <w:spacing w:val="9"/>
      <w:kern w:val="0"/>
      <w:sz w:val="19"/>
      <w:szCs w:val="19"/>
    </w:rPr>
  </w:style>
  <w:style w:type="character" w:customStyle="1" w:styleId="94">
    <w:name w:val="正文文本_"/>
    <w:link w:val="93"/>
    <w:qFormat/>
    <w:uiPriority w:val="0"/>
    <w:rPr>
      <w:rFonts w:ascii="Cambria" w:hAnsi="Cambria" w:eastAsia="Cambria" w:cs="Tahoma"/>
      <w:spacing w:val="9"/>
      <w:kern w:val="0"/>
      <w:sz w:val="19"/>
      <w:szCs w:val="19"/>
      <w:shd w:val="clear" w:color="auto" w:fill="FFFFFF"/>
    </w:rPr>
  </w:style>
  <w:style w:type="character" w:customStyle="1" w:styleId="95">
    <w:name w:val="font41"/>
    <w:basedOn w:val="39"/>
    <w:qFormat/>
    <w:uiPriority w:val="0"/>
    <w:rPr>
      <w:rFonts w:hint="eastAsia" w:ascii="Wingdings 2" w:hAnsi="Wingdings 2" w:eastAsia="Wingdings 2" w:cs="Wingdings 2"/>
      <w:color w:val="000000"/>
      <w:sz w:val="20"/>
      <w:szCs w:val="20"/>
      <w:u w:val="none"/>
    </w:rPr>
  </w:style>
  <w:style w:type="character" w:customStyle="1" w:styleId="96">
    <w:name w:val="font61"/>
    <w:qFormat/>
    <w:uiPriority w:val="0"/>
    <w:rPr>
      <w:rFonts w:hint="eastAsia" w:ascii="Wingdings 2" w:hAnsi="Wingdings 2" w:eastAsia="Wingdings 2" w:cs="Wingdings 2"/>
      <w:color w:val="000000"/>
      <w:sz w:val="24"/>
      <w:szCs w:val="24"/>
      <w:u w:val="none"/>
    </w:rPr>
  </w:style>
  <w:style w:type="character" w:customStyle="1" w:styleId="97">
    <w:name w:val="批注文字 字符1"/>
    <w:qFormat/>
    <w:uiPriority w:val="0"/>
    <w:rPr>
      <w:rFonts w:ascii="Tahoma" w:hAnsi="Tahoma" w:eastAsia="Wingdings 2" w:cs="Tahoma"/>
      <w:kern w:val="2"/>
      <w:sz w:val="21"/>
      <w:szCs w:val="24"/>
    </w:rPr>
  </w:style>
  <w:style w:type="character" w:customStyle="1" w:styleId="98">
    <w:name w:val="layui-layer-tabnow"/>
    <w:qFormat/>
    <w:uiPriority w:val="0"/>
    <w:rPr>
      <w:rFonts w:ascii="Tahoma" w:hAnsi="Tahoma" w:eastAsia="Wingdings 2" w:cs="Tahoma"/>
      <w:bdr w:val="single" w:color="CCCCCC" w:sz="6" w:space="0"/>
      <w:shd w:val="clear" w:color="auto" w:fill="FFFFFF"/>
    </w:rPr>
  </w:style>
  <w:style w:type="paragraph" w:customStyle="1" w:styleId="99">
    <w:name w:val="Char Char Char Char Char Char Char Char Char Char Char Char"/>
    <w:basedOn w:val="1"/>
    <w:qFormat/>
    <w:uiPriority w:val="0"/>
    <w:pPr>
      <w:widowControl/>
      <w:spacing w:after="160" w:line="240" w:lineRule="exact"/>
      <w:jc w:val="left"/>
    </w:pPr>
    <w:rPr>
      <w:rFonts w:eastAsia="Wingdings 2"/>
    </w:rPr>
  </w:style>
  <w:style w:type="paragraph" w:customStyle="1" w:styleId="100">
    <w:name w:val="列出段落1"/>
    <w:basedOn w:val="1"/>
    <w:qFormat/>
    <w:uiPriority w:val="0"/>
    <w:pPr>
      <w:spacing w:before="100" w:beforeAutospacing="1" w:after="100" w:afterAutospacing="1" w:line="360" w:lineRule="auto"/>
      <w:ind w:firstLine="420" w:firstLineChars="200"/>
    </w:pPr>
    <w:rPr>
      <w:rFonts w:eastAsia="Wingdings 2"/>
    </w:rPr>
  </w:style>
  <w:style w:type="paragraph" w:customStyle="1" w:styleId="101">
    <w:name w:val="p0"/>
    <w:basedOn w:val="1"/>
    <w:qFormat/>
    <w:uiPriority w:val="0"/>
    <w:pPr>
      <w:widowControl/>
    </w:pPr>
    <w:rPr>
      <w:rFonts w:eastAsia="Wingdings 2"/>
      <w:kern w:val="0"/>
      <w:szCs w:val="21"/>
    </w:rPr>
  </w:style>
  <w:style w:type="paragraph" w:customStyle="1" w:styleId="102">
    <w:name w:val="Body text|1"/>
    <w:basedOn w:val="1"/>
    <w:qFormat/>
    <w:uiPriority w:val="0"/>
    <w:pPr>
      <w:spacing w:line="403" w:lineRule="auto"/>
    </w:pPr>
    <w:rPr>
      <w:rFonts w:ascii="Cambria" w:hAnsi="Cambria" w:eastAsia="Cambria" w:cs="Cambria"/>
      <w:sz w:val="19"/>
      <w:szCs w:val="19"/>
      <w:u w:val="single"/>
      <w:lang w:val="zh-TW" w:eastAsia="zh-TW" w:bidi="zh-TW"/>
    </w:rPr>
  </w:style>
  <w:style w:type="paragraph" w:customStyle="1" w:styleId="103">
    <w:name w:val="Char"/>
    <w:basedOn w:val="1"/>
    <w:qFormat/>
    <w:uiPriority w:val="0"/>
    <w:rPr>
      <w:rFonts w:eastAsia="Wingdings 2"/>
      <w:szCs w:val="21"/>
    </w:rPr>
  </w:style>
  <w:style w:type="paragraph" w:customStyle="1" w:styleId="104">
    <w:name w:val="Char Char Char Char"/>
    <w:basedOn w:val="1"/>
    <w:qFormat/>
    <w:uiPriority w:val="0"/>
    <w:pPr>
      <w:widowControl/>
      <w:spacing w:after="160" w:line="240" w:lineRule="exact"/>
      <w:jc w:val="left"/>
    </w:pPr>
    <w:rPr>
      <w:rFonts w:eastAsia="Wingdings 2"/>
    </w:rPr>
  </w:style>
  <w:style w:type="paragraph" w:customStyle="1" w:styleId="105">
    <w:name w:val="TOC 标题1"/>
    <w:basedOn w:val="2"/>
    <w:next w:val="1"/>
    <w:qFormat/>
    <w:uiPriority w:val="0"/>
    <w:pPr>
      <w:widowControl/>
      <w:spacing w:before="480" w:after="0" w:line="276" w:lineRule="auto"/>
      <w:jc w:val="left"/>
      <w:outlineLvl w:val="9"/>
    </w:pPr>
    <w:rPr>
      <w:rFonts w:ascii="Arial Unicode MS" w:hAnsi="Arial Unicode MS" w:eastAsia="Wingdings 2"/>
      <w:color w:val="365F91"/>
      <w:kern w:val="0"/>
      <w:sz w:val="28"/>
      <w:szCs w:val="28"/>
    </w:rPr>
  </w:style>
  <w:style w:type="paragraph" w:customStyle="1" w:styleId="106">
    <w:name w:val="Char Char Char Char Char Char Char Char Char Char Char Char1"/>
    <w:basedOn w:val="1"/>
    <w:qFormat/>
    <w:uiPriority w:val="0"/>
    <w:pPr>
      <w:widowControl/>
      <w:spacing w:after="160" w:line="240" w:lineRule="exact"/>
      <w:jc w:val="left"/>
    </w:pPr>
    <w:rPr>
      <w:rFonts w:eastAsia="Wingdings 2"/>
    </w:rPr>
  </w:style>
  <w:style w:type="paragraph" w:styleId="107">
    <w:name w:val="List Paragraph"/>
    <w:basedOn w:val="1"/>
    <w:qFormat/>
    <w:uiPriority w:val="0"/>
    <w:pPr>
      <w:ind w:firstLine="420" w:firstLineChars="200"/>
    </w:pPr>
    <w:rPr>
      <w:rFonts w:eastAsia="Wingdings 2"/>
    </w:rPr>
  </w:style>
  <w:style w:type="paragraph" w:customStyle="1" w:styleId="108">
    <w:name w:val="默认段落字体 Para Char Char Char Char Char Char Char Char Char1 Char Char Char Char"/>
    <w:basedOn w:val="1"/>
    <w:qFormat/>
    <w:uiPriority w:val="0"/>
    <w:rPr>
      <w:rFonts w:ascii="Calibri" w:hAnsi="Calibri" w:eastAsia="Wingdings 2"/>
      <w:sz w:val="24"/>
      <w:szCs w:val="20"/>
    </w:rPr>
  </w:style>
  <w:style w:type="paragraph" w:customStyle="1" w:styleId="109">
    <w:name w:val="Char Char Char"/>
    <w:basedOn w:val="1"/>
    <w:qFormat/>
    <w:uiPriority w:val="0"/>
    <w:rPr>
      <w:rFonts w:eastAsia="Wingdings 2"/>
      <w:szCs w:val="20"/>
    </w:rPr>
  </w:style>
  <w:style w:type="paragraph" w:customStyle="1" w:styleId="110">
    <w:name w:val="样式 标题 2 + 非加粗 首行缩进:  2 字符"/>
    <w:basedOn w:val="3"/>
    <w:qFormat/>
    <w:uiPriority w:val="0"/>
    <w:pPr>
      <w:spacing w:before="0" w:after="0" w:line="600" w:lineRule="exact"/>
      <w:ind w:firstLine="640" w:firstLineChars="200"/>
      <w:jc w:val="left"/>
    </w:pPr>
    <w:rPr>
      <w:rFonts w:ascii="Tahoma" w:hAnsi="Tahoma" w:eastAsia="Wingdings 2" w:cs="Wingdings 2"/>
      <w:b w:val="0"/>
      <w:bCs w:val="0"/>
      <w:szCs w:val="20"/>
    </w:rPr>
  </w:style>
  <w:style w:type="paragraph" w:customStyle="1" w:styleId="111">
    <w:name w:val="样式5"/>
    <w:basedOn w:val="1"/>
    <w:qFormat/>
    <w:uiPriority w:val="0"/>
    <w:pPr>
      <w:adjustRightInd w:val="0"/>
      <w:spacing w:line="440" w:lineRule="exact"/>
      <w:ind w:left="2" w:firstLine="480" w:firstLineChars="200"/>
    </w:pPr>
    <w:rPr>
      <w:rFonts w:ascii="仿宋" w:hAnsi="Calibri Light" w:eastAsia="仿宋"/>
      <w:sz w:val="24"/>
    </w:rPr>
  </w:style>
  <w:style w:type="paragraph" w:customStyle="1" w:styleId="112">
    <w:name w:val="修订1"/>
    <w:qFormat/>
    <w:uiPriority w:val="0"/>
    <w:rPr>
      <w:rFonts w:ascii="Tahoma" w:hAnsi="Tahoma" w:eastAsia="等线" w:cs="Tahoma"/>
      <w:kern w:val="2"/>
      <w:sz w:val="21"/>
      <w:szCs w:val="24"/>
      <w:lang w:val="en-US" w:eastAsia="zh-CN" w:bidi="ar-SA"/>
    </w:rPr>
  </w:style>
  <w:style w:type="paragraph" w:customStyle="1" w:styleId="113">
    <w:name w:val="正文缩进1"/>
    <w:basedOn w:val="1"/>
    <w:next w:val="17"/>
    <w:qFormat/>
    <w:uiPriority w:val="0"/>
    <w:pPr>
      <w:autoSpaceDE w:val="0"/>
      <w:autoSpaceDN w:val="0"/>
      <w:adjustRightInd w:val="0"/>
      <w:snapToGrid w:val="0"/>
      <w:spacing w:after="120" w:line="360" w:lineRule="auto"/>
      <w:ind w:left="420" w:leftChars="200" w:firstLine="480" w:firstLineChars="200"/>
    </w:pPr>
    <w:rPr>
      <w:rFonts w:eastAsia="Wingdings 2"/>
      <w:sz w:val="24"/>
      <w:szCs w:val="21"/>
    </w:rPr>
  </w:style>
  <w:style w:type="paragraph" w:customStyle="1" w:styleId="114">
    <w:name w:val="标题样式"/>
    <w:basedOn w:val="1"/>
    <w:next w:val="1"/>
    <w:qFormat/>
    <w:uiPriority w:val="0"/>
    <w:pPr>
      <w:spacing w:before="240" w:after="60"/>
      <w:jc w:val="center"/>
    </w:pPr>
    <w:rPr>
      <w:rFonts w:ascii="Arial Unicode MS" w:hAnsi="Arial Unicode MS" w:eastAsia="Wingdings 2" w:cs="Arial Unicode MS"/>
      <w:b/>
      <w:bCs/>
      <w:sz w:val="32"/>
      <w:szCs w:val="32"/>
    </w:rPr>
  </w:style>
  <w:style w:type="paragraph" w:customStyle="1" w:styleId="115">
    <w:name w:val="样式 标题 1 + 居中 段前: 0 磅 段后: 0 磅 行距: 固定值 30 磅"/>
    <w:basedOn w:val="2"/>
    <w:qFormat/>
    <w:uiPriority w:val="0"/>
    <w:pPr>
      <w:spacing w:before="0" w:after="0" w:line="600" w:lineRule="exact"/>
      <w:jc w:val="center"/>
    </w:pPr>
    <w:rPr>
      <w:rFonts w:eastAsia="Wingdings 2" w:cs="Wingdings 2"/>
      <w:szCs w:val="20"/>
    </w:rPr>
  </w:style>
  <w:style w:type="paragraph" w:customStyle="1" w:styleId="116">
    <w:name w:val="Char Char Char1 Char Char Char Char Char Char Char"/>
    <w:basedOn w:val="1"/>
    <w:qFormat/>
    <w:uiPriority w:val="0"/>
    <w:rPr>
      <w:rFonts w:eastAsia="Wingdings 2"/>
    </w:rPr>
  </w:style>
  <w:style w:type="paragraph" w:customStyle="1" w:styleId="117">
    <w:name w:val="Char Char Char Char Char Char Char"/>
    <w:basedOn w:val="1"/>
    <w:qFormat/>
    <w:uiPriority w:val="0"/>
    <w:rPr>
      <w:rFonts w:eastAsia="Wingdings 2"/>
    </w:rPr>
  </w:style>
  <w:style w:type="paragraph" w:customStyle="1" w:styleId="118">
    <w:name w:val="表格文字"/>
    <w:basedOn w:val="1"/>
    <w:qFormat/>
    <w:uiPriority w:val="0"/>
    <w:pPr>
      <w:adjustRightInd w:val="0"/>
      <w:spacing w:line="420" w:lineRule="atLeast"/>
      <w:jc w:val="left"/>
      <w:textAlignment w:val="baseline"/>
    </w:pPr>
    <w:rPr>
      <w:rFonts w:eastAsia="Wingdings 2"/>
      <w:kern w:val="0"/>
    </w:rPr>
  </w:style>
  <w:style w:type="paragraph" w:customStyle="1" w:styleId="119">
    <w:name w:val="Char Char Char Char1"/>
    <w:basedOn w:val="1"/>
    <w:qFormat/>
    <w:uiPriority w:val="0"/>
    <w:pPr>
      <w:widowControl/>
      <w:spacing w:after="160" w:line="240" w:lineRule="exact"/>
      <w:jc w:val="left"/>
    </w:pPr>
    <w:rPr>
      <w:rFonts w:eastAsia="Wingdings 2"/>
    </w:rPr>
  </w:style>
  <w:style w:type="paragraph" w:customStyle="1" w:styleId="120">
    <w:name w:val="正文段"/>
    <w:basedOn w:val="1"/>
    <w:qFormat/>
    <w:uiPriority w:val="0"/>
    <w:pPr>
      <w:widowControl/>
      <w:snapToGrid w:val="0"/>
      <w:spacing w:after="156" w:afterLines="50"/>
      <w:ind w:firstLine="200" w:firstLineChars="200"/>
    </w:pPr>
    <w:rPr>
      <w:rFonts w:eastAsia="Wingdings 2"/>
      <w:kern w:val="0"/>
      <w:sz w:val="24"/>
      <w:szCs w:val="20"/>
    </w:rPr>
  </w:style>
  <w:style w:type="paragraph" w:customStyle="1" w:styleId="121">
    <w:name w:val="Char Char Char Char Char Char Char1"/>
    <w:basedOn w:val="1"/>
    <w:qFormat/>
    <w:uiPriority w:val="0"/>
    <w:rPr>
      <w:rFonts w:eastAsia="Wingdings 2"/>
    </w:rPr>
  </w:style>
  <w:style w:type="paragraph" w:customStyle="1" w:styleId="122">
    <w:name w:val="Char1"/>
    <w:basedOn w:val="1"/>
    <w:qFormat/>
    <w:uiPriority w:val="0"/>
    <w:rPr>
      <w:rFonts w:eastAsia="Wingdings 2"/>
    </w:rPr>
  </w:style>
  <w:style w:type="paragraph" w:customStyle="1" w:styleId="123">
    <w:name w:val="Title1"/>
    <w:basedOn w:val="1"/>
    <w:next w:val="1"/>
    <w:qFormat/>
    <w:uiPriority w:val="0"/>
    <w:pPr>
      <w:jc w:val="center"/>
      <w:outlineLvl w:val="0"/>
    </w:pPr>
    <w:rPr>
      <w:rFonts w:ascii="monospace" w:hAnsi="monospace" w:eastAsia="Arial"/>
      <w:b/>
    </w:rPr>
  </w:style>
  <w:style w:type="paragraph" w:customStyle="1" w:styleId="124">
    <w:name w:val="正文1"/>
    <w:basedOn w:val="1"/>
    <w:qFormat/>
    <w:uiPriority w:val="0"/>
    <w:pPr>
      <w:widowControl/>
      <w:numPr>
        <w:ilvl w:val="0"/>
        <w:numId w:val="1"/>
      </w:numPr>
      <w:tabs>
        <w:tab w:val="left" w:pos="562"/>
        <w:tab w:val="left" w:pos="1800"/>
      </w:tabs>
      <w:wordWrap w:val="0"/>
      <w:spacing w:line="360" w:lineRule="auto"/>
    </w:pPr>
    <w:rPr>
      <w:rFonts w:ascii="Wingdings 2" w:hAnsi="Wingdings 2" w:eastAsia="Wingdings 2" w:cs="等线 Light"/>
      <w:kern w:val="0"/>
      <w:sz w:val="20"/>
      <w:szCs w:val="21"/>
    </w:rPr>
  </w:style>
  <w:style w:type="table" w:customStyle="1" w:styleId="125">
    <w:name w:val="Table Normal"/>
    <w:qFormat/>
    <w:uiPriority w:val="0"/>
    <w:rPr>
      <w:rFonts w:ascii="Tahoma" w:hAnsi="Tahoma" w:eastAsia="等线" w:cs="Tahoma"/>
    </w:rPr>
    <w:tblPr>
      <w:tblCellMar>
        <w:top w:w="0" w:type="dxa"/>
        <w:left w:w="0" w:type="dxa"/>
        <w:bottom w:w="0" w:type="dxa"/>
        <w:right w:w="0" w:type="dxa"/>
      </w:tblCellMar>
    </w:tblPr>
  </w:style>
  <w:style w:type="paragraph" w:customStyle="1" w:styleId="126">
    <w:name w:val="WPSOffice手动目录 1"/>
    <w:qFormat/>
    <w:uiPriority w:val="0"/>
    <w:rPr>
      <w:rFonts w:ascii="Tahoma" w:hAnsi="Tahoma" w:eastAsia="等线" w:cs="Tahoma"/>
      <w:lang w:val="en-US" w:eastAsia="zh-CN" w:bidi="ar-SA"/>
    </w:rPr>
  </w:style>
  <w:style w:type="paragraph" w:customStyle="1" w:styleId="127">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28">
    <w:name w:val="pa-1_file_131"/>
    <w:basedOn w:val="129"/>
    <w:qFormat/>
    <w:uiPriority w:val="0"/>
    <w:pPr>
      <w:widowControl/>
      <w:spacing w:line="280" w:lineRule="atLeast"/>
    </w:pPr>
    <w:rPr>
      <w:rFonts w:ascii="宋体" w:hAnsi="宋体" w:cs="宋体"/>
      <w:kern w:val="0"/>
      <w:sz w:val="24"/>
    </w:rPr>
  </w:style>
  <w:style w:type="paragraph" w:customStyle="1" w:styleId="129">
    <w:name w:val="Normal_file_131"/>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Table Text"/>
    <w:basedOn w:val="1"/>
    <w:semiHidden/>
    <w:qFormat/>
    <w:uiPriority w:val="0"/>
    <w:rPr>
      <w:rFonts w:ascii="宋体" w:hAnsi="宋体" w:eastAsia="宋体" w:cs="宋体"/>
      <w:sz w:val="22"/>
      <w:szCs w:val="22"/>
      <w:lang w:eastAsia="en-US"/>
    </w:rPr>
  </w:style>
  <w:style w:type="character" w:customStyle="1" w:styleId="131">
    <w:name w:val="font21"/>
    <w:basedOn w:val="39"/>
    <w:qFormat/>
    <w:uiPriority w:val="0"/>
    <w:rPr>
      <w:rFonts w:hint="eastAsia" w:ascii="宋体" w:hAnsi="宋体" w:eastAsia="宋体" w:cs="宋体"/>
      <w:color w:val="FF0000"/>
      <w:sz w:val="22"/>
      <w:szCs w:val="22"/>
      <w:u w:val="none"/>
    </w:rPr>
  </w:style>
  <w:style w:type="paragraph" w:customStyle="1" w:styleId="132">
    <w:name w:val="UserStyle_0"/>
    <w:basedOn w:val="1"/>
    <w:qFormat/>
    <w:uiPriority w:val="0"/>
    <w:pPr>
      <w:widowControl/>
      <w:snapToGrid w:val="0"/>
      <w:spacing w:line="400" w:lineRule="atLeast"/>
      <w:ind w:firstLine="482"/>
      <w:jc w:val="both"/>
      <w:textAlignment w:val="baseline"/>
    </w:pPr>
    <w:rPr>
      <w:rFonts w:ascii="Times New Roman" w:hAnsi="Times New Roman" w:eastAsia="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jpe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footer" Target="footer3.xml"/><Relationship Id="rId59" Type="http://schemas.openxmlformats.org/officeDocument/2006/relationships/image" Target="media/image35.png"/><Relationship Id="rId58" Type="http://schemas.openxmlformats.org/officeDocument/2006/relationships/image" Target="NULL" TargetMode="External"/><Relationship Id="rId57" Type="http://schemas.openxmlformats.org/officeDocument/2006/relationships/image" Target="media/image34.jpe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jpeg"/><Relationship Id="rId53" Type="http://schemas.openxmlformats.org/officeDocument/2006/relationships/image" Target="media/image30.pn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png"/><Relationship Id="rId5" Type="http://schemas.openxmlformats.org/officeDocument/2006/relationships/footer" Target="footer2.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jpe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png"/><Relationship Id="rId41" Type="http://schemas.openxmlformats.org/officeDocument/2006/relationships/image" Target="media/image18.jpeg"/><Relationship Id="rId40" Type="http://schemas.openxmlformats.org/officeDocument/2006/relationships/image" Target="media/image17.png"/><Relationship Id="rId4" Type="http://schemas.openxmlformats.org/officeDocument/2006/relationships/footer" Target="footer1.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488</Pages>
  <Words>3532</Words>
  <Characters>4222</Characters>
  <Lines>623</Lines>
  <Paragraphs>175</Paragraphs>
  <TotalTime>14</TotalTime>
  <ScaleCrop>false</ScaleCrop>
  <LinksUpToDate>false</LinksUpToDate>
  <CharactersWithSpaces>4394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2023-11-03T09:12:00Z</dcterms:created>
  <dc:creator>Administrator</dc:creator>
  <cp:lastModifiedBy>Strulle</cp:lastModifiedBy>
  <cp:lastPrinted>2025-07-05T08:21:00Z</cp:lastPrinted>
  <dcterms:modified xsi:type="dcterms:W3CDTF">2025-07-11T08:59:18Z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F7E2F461430E4A51870AC0D2FC9775A2</vt:lpwstr>
  </property>
  <property fmtid="{D5CDD505-2E9C-101B-9397-08002B2CF9AE}" pid="4" name="KSOTemplateDocerSaveRecord">
    <vt:lpwstr>eyJoZGlkIjoiMWUyNDFmNGU1ZWIwNzQyZTQ2YjhjYjg4ZmZmYzkzZDEiLCJ1c2VySWQiOiI0MjkwMTM3MjUifQ==</vt:lpwstr>
  </property>
</Properties>
</file>