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94AA7">
      <w:pPr>
        <w:pStyle w:val="26"/>
        <w:jc w:val="center"/>
        <w:rPr>
          <w:rFonts w:hint="eastAsia" w:ascii="宋体" w:hAnsi="宋体" w:eastAsia="宋体" w:cs="宋体"/>
          <w:b/>
          <w:bCs/>
          <w:color w:val="auto"/>
          <w:spacing w:val="30"/>
          <w:kern w:val="52"/>
          <w:sz w:val="64"/>
          <w:szCs w:val="64"/>
          <w:highlight w:val="none"/>
          <w:lang w:eastAsia="zh-CN"/>
        </w:rPr>
      </w:pPr>
      <w:r>
        <w:rPr>
          <w:rFonts w:hint="eastAsia" w:ascii="宋体" w:hAnsi="宋体" w:eastAsia="宋体" w:cs="宋体"/>
          <w:b/>
          <w:bCs/>
          <w:color w:val="auto"/>
          <w:spacing w:val="30"/>
          <w:kern w:val="52"/>
          <w:sz w:val="64"/>
          <w:szCs w:val="64"/>
          <w:highlight w:val="none"/>
          <w:lang w:eastAsia="zh-CN"/>
        </w:rPr>
        <w:t>广西睿翼工程咨询有限公司</w:t>
      </w:r>
    </w:p>
    <w:p w14:paraId="226CBCF4">
      <w:pPr>
        <w:pStyle w:val="26"/>
        <w:jc w:val="center"/>
        <w:rPr>
          <w:rFonts w:hint="eastAsia" w:ascii="宋体" w:hAnsi="宋体" w:eastAsia="宋体" w:cs="宋体"/>
          <w:color w:val="auto"/>
          <w:spacing w:val="28"/>
          <w:sz w:val="64"/>
          <w:szCs w:val="64"/>
          <w:highlight w:val="none"/>
        </w:rPr>
      </w:pPr>
    </w:p>
    <w:p w14:paraId="29F2AF0A">
      <w:pPr>
        <w:pStyle w:val="2"/>
        <w:rPr>
          <w:rFonts w:hint="eastAsia"/>
          <w:color w:val="auto"/>
          <w:highlight w:val="none"/>
        </w:rPr>
      </w:pPr>
    </w:p>
    <w:p w14:paraId="33A26032">
      <w:pPr>
        <w:keepNext w:val="0"/>
        <w:keepLines w:val="0"/>
        <w:pageBreakBefore w:val="0"/>
        <w:widowControl w:val="0"/>
        <w:kinsoku/>
        <w:wordWrap/>
        <w:overflowPunct/>
        <w:topLinePunct w:val="0"/>
        <w:autoSpaceDE/>
        <w:autoSpaceDN/>
        <w:bidi w:val="0"/>
        <w:adjustRightInd/>
        <w:snapToGrid w:val="0"/>
        <w:spacing w:before="165" w:beforeLines="50" w:line="1000" w:lineRule="exact"/>
        <w:jc w:val="center"/>
        <w:textAlignment w:val="auto"/>
        <w:rPr>
          <w:rFonts w:hint="eastAsia" w:ascii="华文新魏" w:hAnsi="宋体" w:eastAsia="华文新魏" w:cs="Times New Roman"/>
          <w:b/>
          <w:color w:val="auto"/>
          <w:sz w:val="112"/>
          <w:szCs w:val="112"/>
          <w:highlight w:val="none"/>
        </w:rPr>
      </w:pPr>
    </w:p>
    <w:p w14:paraId="6DC1CC6E">
      <w:pPr>
        <w:keepNext w:val="0"/>
        <w:keepLines w:val="0"/>
        <w:pageBreakBefore w:val="0"/>
        <w:widowControl w:val="0"/>
        <w:kinsoku/>
        <w:wordWrap/>
        <w:overflowPunct/>
        <w:topLinePunct w:val="0"/>
        <w:autoSpaceDE/>
        <w:autoSpaceDN/>
        <w:bidi w:val="0"/>
        <w:adjustRightInd/>
        <w:snapToGrid w:val="0"/>
        <w:spacing w:before="165" w:beforeLines="50" w:line="1000" w:lineRule="exact"/>
        <w:jc w:val="center"/>
        <w:textAlignment w:val="auto"/>
        <w:rPr>
          <w:rFonts w:hint="eastAsia" w:ascii="华文新魏" w:hAnsi="宋体" w:eastAsia="华文新魏" w:cs="Times New Roman"/>
          <w:b/>
          <w:color w:val="auto"/>
          <w:sz w:val="112"/>
          <w:szCs w:val="112"/>
          <w:highlight w:val="none"/>
        </w:rPr>
      </w:pPr>
      <w:r>
        <w:rPr>
          <w:rFonts w:hint="eastAsia" w:ascii="华文新魏" w:hAnsi="宋体" w:eastAsia="华文新魏" w:cs="Times New Roman"/>
          <w:b/>
          <w:color w:val="auto"/>
          <w:sz w:val="112"/>
          <w:szCs w:val="112"/>
          <w:highlight w:val="none"/>
        </w:rPr>
        <w:t>招标文件</w:t>
      </w:r>
    </w:p>
    <w:p w14:paraId="2AF5ED82">
      <w:pPr>
        <w:spacing w:beforeLines="100" w:afterLines="50" w:line="360" w:lineRule="auto"/>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（全流程电子化评标）</w:t>
      </w:r>
    </w:p>
    <w:p w14:paraId="0AA4B6AE">
      <w:pPr>
        <w:pStyle w:val="26"/>
        <w:snapToGrid w:val="0"/>
        <w:spacing w:line="360" w:lineRule="auto"/>
        <w:ind w:firstLine="1977" w:firstLineChars="691"/>
        <w:rPr>
          <w:rFonts w:hint="eastAsia" w:ascii="宋体" w:hAnsi="宋体" w:eastAsia="宋体" w:cs="宋体"/>
          <w:b/>
          <w:bCs/>
          <w:color w:val="auto"/>
          <w:w w:val="95"/>
          <w:sz w:val="30"/>
          <w:szCs w:val="30"/>
          <w:highlight w:val="none"/>
        </w:rPr>
      </w:pPr>
    </w:p>
    <w:p w14:paraId="64FE45D8">
      <w:pPr>
        <w:pStyle w:val="26"/>
        <w:snapToGrid w:val="0"/>
        <w:spacing w:line="360" w:lineRule="auto"/>
        <w:ind w:firstLine="1977" w:firstLineChars="691"/>
        <w:rPr>
          <w:rFonts w:hint="eastAsia" w:ascii="宋体" w:hAnsi="宋体" w:eastAsia="宋体" w:cs="宋体"/>
          <w:b/>
          <w:bCs/>
          <w:color w:val="auto"/>
          <w:w w:val="95"/>
          <w:sz w:val="30"/>
          <w:szCs w:val="30"/>
          <w:highlight w:val="none"/>
        </w:rPr>
      </w:pPr>
    </w:p>
    <w:p w14:paraId="0A00173E">
      <w:pPr>
        <w:pStyle w:val="26"/>
        <w:snapToGrid w:val="0"/>
        <w:spacing w:line="360" w:lineRule="auto"/>
        <w:ind w:left="596" w:leftChars="284" w:firstLine="1145" w:firstLineChars="4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项目名称：</w:t>
      </w:r>
      <w:r>
        <w:rPr>
          <w:rFonts w:hint="eastAsia" w:ascii="宋体" w:hAnsi="宋体" w:eastAsia="宋体" w:cs="宋体"/>
          <w:b/>
          <w:bCs/>
          <w:color w:val="auto"/>
          <w:w w:val="95"/>
          <w:sz w:val="30"/>
          <w:szCs w:val="30"/>
          <w:highlight w:val="none"/>
          <w:lang w:eastAsia="zh-CN"/>
        </w:rPr>
        <w:t>2025年林业森林防火物资采购项目</w:t>
      </w:r>
    </w:p>
    <w:p w14:paraId="5B58C9D6">
      <w:pPr>
        <w:pStyle w:val="26"/>
        <w:snapToGrid w:val="0"/>
        <w:spacing w:line="360" w:lineRule="auto"/>
        <w:ind w:firstLine="1717" w:firstLineChars="6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项目编号：GXZC2025-G1-001591-GXRY</w:t>
      </w:r>
      <w:r>
        <w:rPr>
          <w:rFonts w:hint="eastAsia" w:ascii="宋体" w:hAnsi="宋体" w:eastAsia="宋体" w:cs="宋体"/>
          <w:b/>
          <w:bCs/>
          <w:color w:val="auto"/>
          <w:w w:val="95"/>
          <w:sz w:val="30"/>
          <w:szCs w:val="30"/>
          <w:highlight w:val="none"/>
          <w:lang w:val="en-US" w:eastAsia="zh-CN"/>
        </w:rPr>
        <w:t xml:space="preserve"> </w:t>
      </w:r>
    </w:p>
    <w:p w14:paraId="7CD7E89D">
      <w:pPr>
        <w:pStyle w:val="26"/>
        <w:snapToGrid w:val="0"/>
        <w:spacing w:line="360" w:lineRule="auto"/>
        <w:ind w:firstLine="1977" w:firstLineChars="691"/>
        <w:rPr>
          <w:rFonts w:hint="eastAsia" w:ascii="宋体" w:hAnsi="宋体" w:eastAsia="宋体" w:cs="宋体"/>
          <w:b/>
          <w:bCs/>
          <w:color w:val="auto"/>
          <w:w w:val="95"/>
          <w:sz w:val="30"/>
          <w:szCs w:val="30"/>
          <w:highlight w:val="none"/>
        </w:rPr>
      </w:pPr>
    </w:p>
    <w:p w14:paraId="2EEFDDF0">
      <w:pPr>
        <w:pStyle w:val="26"/>
        <w:snapToGrid w:val="0"/>
        <w:spacing w:line="360" w:lineRule="auto"/>
        <w:ind w:firstLine="1977" w:firstLineChars="691"/>
        <w:rPr>
          <w:rFonts w:hint="eastAsia" w:ascii="宋体" w:hAnsi="宋体" w:eastAsia="宋体" w:cs="宋体"/>
          <w:b/>
          <w:bCs/>
          <w:color w:val="auto"/>
          <w:w w:val="95"/>
          <w:sz w:val="30"/>
          <w:szCs w:val="30"/>
          <w:highlight w:val="none"/>
        </w:rPr>
      </w:pPr>
    </w:p>
    <w:p w14:paraId="3F4CD02A">
      <w:pPr>
        <w:pStyle w:val="26"/>
        <w:snapToGrid w:val="0"/>
        <w:spacing w:line="360" w:lineRule="auto"/>
        <w:ind w:firstLine="1977" w:firstLineChars="691"/>
        <w:rPr>
          <w:rFonts w:hint="eastAsia" w:ascii="宋体" w:hAnsi="宋体" w:eastAsia="宋体" w:cs="宋体"/>
          <w:b/>
          <w:bCs/>
          <w:color w:val="auto"/>
          <w:w w:val="95"/>
          <w:sz w:val="30"/>
          <w:szCs w:val="30"/>
          <w:highlight w:val="none"/>
        </w:rPr>
      </w:pPr>
    </w:p>
    <w:p w14:paraId="259EBD3E">
      <w:pPr>
        <w:pStyle w:val="26"/>
        <w:snapToGrid w:val="0"/>
        <w:spacing w:line="360" w:lineRule="auto"/>
        <w:ind w:firstLine="1977" w:firstLineChars="691"/>
        <w:rPr>
          <w:rFonts w:hint="eastAsia" w:ascii="宋体" w:hAnsi="宋体" w:eastAsia="宋体" w:cs="宋体"/>
          <w:b/>
          <w:bCs/>
          <w:color w:val="auto"/>
          <w:w w:val="95"/>
          <w:sz w:val="30"/>
          <w:szCs w:val="30"/>
          <w:highlight w:val="none"/>
        </w:rPr>
      </w:pPr>
    </w:p>
    <w:p w14:paraId="64B477C6">
      <w:pPr>
        <w:pStyle w:val="26"/>
        <w:snapToGrid w:val="0"/>
        <w:spacing w:line="360" w:lineRule="auto"/>
        <w:ind w:firstLine="1977" w:firstLineChars="691"/>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 购 人：广西壮族自治区林业局</w:t>
      </w:r>
    </w:p>
    <w:p w14:paraId="3C0D0F7D">
      <w:pPr>
        <w:pStyle w:val="26"/>
        <w:snapToGrid w:val="0"/>
        <w:spacing w:line="360" w:lineRule="auto"/>
        <w:ind w:firstLine="1977" w:firstLineChars="691"/>
        <w:rPr>
          <w:rFonts w:hint="eastAsia" w:ascii="宋体" w:hAnsi="宋体" w:eastAsia="宋体" w:cs="宋体"/>
          <w:b/>
          <w:bCs/>
          <w:color w:val="auto"/>
          <w:w w:val="95"/>
          <w:sz w:val="30"/>
          <w:szCs w:val="30"/>
          <w:highlight w:val="none"/>
        </w:rPr>
      </w:pPr>
    </w:p>
    <w:p w14:paraId="019179B4">
      <w:pPr>
        <w:pStyle w:val="26"/>
        <w:snapToGrid w:val="0"/>
        <w:spacing w:line="360" w:lineRule="auto"/>
        <w:ind w:firstLine="1977" w:firstLineChars="691"/>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lang w:eastAsia="zh-CN"/>
        </w:rPr>
        <w:t>广西睿翼工程咨询有限公司</w:t>
      </w:r>
    </w:p>
    <w:p w14:paraId="24CB09FC">
      <w:pPr>
        <w:pStyle w:val="26"/>
        <w:snapToGrid w:val="0"/>
        <w:spacing w:line="360" w:lineRule="auto"/>
        <w:ind w:firstLine="1125" w:firstLineChars="393"/>
        <w:rPr>
          <w:rFonts w:hint="eastAsia" w:ascii="宋体" w:hAnsi="宋体" w:eastAsia="宋体" w:cs="宋体"/>
          <w:b/>
          <w:bCs/>
          <w:color w:val="auto"/>
          <w:w w:val="95"/>
          <w:sz w:val="30"/>
          <w:szCs w:val="30"/>
          <w:highlight w:val="none"/>
        </w:rPr>
      </w:pPr>
    </w:p>
    <w:p w14:paraId="225F7BF1">
      <w:pPr>
        <w:pStyle w:val="26"/>
        <w:snapToGrid w:val="0"/>
        <w:spacing w:line="360" w:lineRule="auto"/>
        <w:jc w:val="center"/>
        <w:rPr>
          <w:rFonts w:hint="eastAsia" w:ascii="宋体" w:hAnsi="宋体" w:eastAsia="宋体" w:cs="宋体"/>
          <w:color w:val="auto"/>
          <w:sz w:val="40"/>
          <w:highlight w:val="none"/>
        </w:rPr>
        <w:sectPr>
          <w:footerReference r:id="rId5" w:type="first"/>
          <w:headerReference r:id="rId3" w:type="default"/>
          <w:footerReference r:id="rId4" w:type="default"/>
          <w:pgSz w:w="11906" w:h="16838"/>
          <w:pgMar w:top="1361" w:right="1361" w:bottom="1361" w:left="1361" w:header="851" w:footer="567" w:gutter="0"/>
          <w:pgNumType w:fmt="decimal" w:start="1"/>
          <w:cols w:space="0" w:num="1"/>
          <w:rtlGutter w:val="0"/>
          <w:docGrid w:linePitch="312" w:charSpace="0"/>
        </w:sectPr>
      </w:pPr>
      <w:r>
        <w:rPr>
          <w:rFonts w:hint="eastAsia" w:ascii="宋体" w:hAnsi="宋体" w:eastAsia="宋体" w:cs="宋体"/>
          <w:b/>
          <w:bCs/>
          <w:color w:val="auto"/>
          <w:w w:val="95"/>
          <w:sz w:val="30"/>
          <w:szCs w:val="30"/>
          <w:highlight w:val="none"/>
        </w:rPr>
        <w:t>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ascii="宋体" w:hAnsi="宋体" w:eastAsia="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月</w:t>
      </w:r>
      <w:r>
        <w:rPr>
          <w:rFonts w:hint="eastAsia" w:ascii="宋体" w:hAnsi="宋体" w:eastAsia="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日</w:t>
      </w:r>
    </w:p>
    <w:sdt>
      <w:sdtPr>
        <w:rPr>
          <w:rFonts w:hint="eastAsia" w:ascii="宋体" w:hAnsi="宋体" w:eastAsia="宋体" w:cs="宋体"/>
          <w:b/>
          <w:color w:val="auto"/>
          <w:sz w:val="44"/>
          <w:szCs w:val="44"/>
          <w:highlight w:val="none"/>
          <w:lang w:val="en-US" w:eastAsia="zh-CN"/>
        </w:rPr>
        <w:id w:val="147452744"/>
        <w15:color w:val="DBDBDB"/>
        <w:docPartObj>
          <w:docPartGallery w:val="Table of Contents"/>
          <w:docPartUnique/>
        </w:docPartObj>
      </w:sdtPr>
      <w:sdtEndPr>
        <w:rPr>
          <w:rFonts w:hint="eastAsia" w:ascii="宋体" w:hAnsi="宋体" w:eastAsia="宋体" w:cs="宋体"/>
          <w:b/>
          <w:color w:val="auto"/>
          <w:kern w:val="2"/>
          <w:sz w:val="21"/>
          <w:szCs w:val="24"/>
          <w:highlight w:val="none"/>
          <w:lang w:val="en-US" w:eastAsia="zh-CN" w:bidi="ar-SA"/>
        </w:rPr>
      </w:sdtEndPr>
      <w:sdtContent>
        <w:p w14:paraId="6DDACF0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7D084E49">
          <w:pPr>
            <w:pStyle w:val="34"/>
            <w:tabs>
              <w:tab w:val="right" w:leader="dot" w:pos="9638"/>
              <w:tab w:val="clear" w:pos="8398"/>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_Toc25744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_Toc25744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4FA825C">
          <w:pPr>
            <w:pStyle w:val="34"/>
            <w:tabs>
              <w:tab w:val="right" w:leader="dot" w:pos="9638"/>
              <w:tab w:val="clear" w:pos="8398"/>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_Toc21885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_Toc21885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CBC826">
          <w:pPr>
            <w:pStyle w:val="34"/>
            <w:tabs>
              <w:tab w:val="right" w:leader="dot" w:pos="9638"/>
              <w:tab w:val="clear" w:pos="8398"/>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_Toc18455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_Toc18455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633F7E">
          <w:pPr>
            <w:pStyle w:val="34"/>
            <w:tabs>
              <w:tab w:val="right" w:leader="dot" w:pos="9638"/>
              <w:tab w:val="clear" w:pos="8398"/>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_Toc6057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评标方法及评标标准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_Toc6057 \h </w:instrText>
          </w:r>
          <w:r>
            <w:rPr>
              <w:color w:val="auto"/>
              <w:sz w:val="28"/>
              <w:szCs w:val="28"/>
              <w:highlight w:val="none"/>
            </w:rPr>
            <w:fldChar w:fldCharType="separate"/>
          </w:r>
          <w:r>
            <w:rPr>
              <w:color w:val="auto"/>
              <w:sz w:val="28"/>
              <w:szCs w:val="28"/>
              <w:highlight w:val="none"/>
            </w:rPr>
            <w:t>59</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425D805">
          <w:pPr>
            <w:pStyle w:val="34"/>
            <w:tabs>
              <w:tab w:val="right" w:leader="dot" w:pos="9638"/>
              <w:tab w:val="clear" w:pos="8398"/>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_Toc1071 \h </w:instrText>
          </w:r>
          <w:r>
            <w:rPr>
              <w:color w:val="auto"/>
              <w:sz w:val="28"/>
              <w:szCs w:val="28"/>
              <w:highlight w:val="none"/>
            </w:rPr>
            <w:fldChar w:fldCharType="separate"/>
          </w:r>
          <w:r>
            <w:rPr>
              <w:color w:val="auto"/>
              <w:sz w:val="28"/>
              <w:szCs w:val="28"/>
              <w:highlight w:val="none"/>
            </w:rPr>
            <w:t>66</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56F851">
          <w:pPr>
            <w:pStyle w:val="34"/>
            <w:tabs>
              <w:tab w:val="right" w:leader="dot" w:pos="9638"/>
              <w:tab w:val="clear" w:pos="8398"/>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_Toc10032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_Toc10032 \h </w:instrText>
          </w:r>
          <w:r>
            <w:rPr>
              <w:color w:val="auto"/>
              <w:sz w:val="28"/>
              <w:szCs w:val="28"/>
              <w:highlight w:val="none"/>
            </w:rPr>
            <w:fldChar w:fldCharType="separate"/>
          </w:r>
          <w:r>
            <w:rPr>
              <w:color w:val="auto"/>
              <w:sz w:val="28"/>
              <w:szCs w:val="28"/>
              <w:highlight w:val="none"/>
            </w:rPr>
            <w:t>73</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8FD2EB">
          <w:pPr>
            <w:spacing w:beforeLines="50" w:line="48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8"/>
              <w:szCs w:val="28"/>
              <w:highlight w:val="none"/>
            </w:rPr>
            <w:fldChar w:fldCharType="end"/>
          </w:r>
        </w:p>
      </w:sdtContent>
    </w:sdt>
    <w:p w14:paraId="1D7421EA">
      <w:pPr>
        <w:spacing w:beforeLines="50" w:line="480" w:lineRule="exact"/>
        <w:rPr>
          <w:rFonts w:hint="eastAsia" w:ascii="宋体" w:hAnsi="宋体" w:eastAsia="宋体" w:cs="宋体"/>
          <w:color w:val="auto"/>
          <w:kern w:val="2"/>
          <w:sz w:val="21"/>
          <w:szCs w:val="24"/>
          <w:highlight w:val="none"/>
          <w:lang w:val="en-US" w:eastAsia="zh-CN" w:bidi="ar-SA"/>
        </w:rPr>
      </w:pPr>
    </w:p>
    <w:p w14:paraId="2BF27740">
      <w:pPr>
        <w:spacing w:beforeLines="50" w:line="480" w:lineRule="exact"/>
        <w:rPr>
          <w:rFonts w:hint="eastAsia" w:ascii="宋体" w:hAnsi="宋体" w:eastAsia="宋体" w:cs="宋体"/>
          <w:color w:val="auto"/>
          <w:sz w:val="30"/>
          <w:highlight w:val="none"/>
        </w:rPr>
      </w:pPr>
    </w:p>
    <w:p w14:paraId="38E34C86">
      <w:pPr>
        <w:rPr>
          <w:rFonts w:hint="eastAsia" w:ascii="宋体" w:hAnsi="宋体" w:eastAsia="宋体" w:cs="宋体"/>
          <w:color w:val="auto"/>
          <w:highlight w:val="none"/>
        </w:rPr>
      </w:pPr>
    </w:p>
    <w:p w14:paraId="6F8B3F22">
      <w:pPr>
        <w:spacing w:beforeLines="50" w:line="480" w:lineRule="exact"/>
        <w:rPr>
          <w:rFonts w:hint="eastAsia" w:ascii="宋体" w:hAnsi="宋体" w:eastAsia="宋体" w:cs="宋体"/>
          <w:color w:val="auto"/>
          <w:sz w:val="30"/>
          <w:highlight w:val="none"/>
        </w:rPr>
      </w:pPr>
    </w:p>
    <w:p w14:paraId="388714EE">
      <w:pPr>
        <w:spacing w:beforeLines="50" w:line="480" w:lineRule="exact"/>
        <w:rPr>
          <w:rFonts w:hint="eastAsia" w:ascii="宋体" w:hAnsi="宋体" w:eastAsia="宋体" w:cs="宋体"/>
          <w:color w:val="auto"/>
          <w:sz w:val="30"/>
          <w:highlight w:val="none"/>
        </w:rPr>
      </w:pPr>
    </w:p>
    <w:p w14:paraId="349ACD2A">
      <w:pPr>
        <w:pStyle w:val="19"/>
        <w:rPr>
          <w:rFonts w:hint="eastAsia" w:ascii="宋体" w:hAnsi="宋体" w:eastAsia="宋体" w:cs="宋体"/>
          <w:b/>
          <w:bCs/>
          <w:color w:val="auto"/>
          <w:highlight w:val="none"/>
        </w:rPr>
      </w:pPr>
      <w:bookmarkStart w:id="0" w:name="_Toc254970489"/>
      <w:bookmarkStart w:id="1" w:name="_Toc254970630"/>
    </w:p>
    <w:p w14:paraId="24B0A9A2">
      <w:pPr>
        <w:pStyle w:val="4"/>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b w:val="0"/>
          <w:bCs w:val="0"/>
          <w:color w:val="auto"/>
          <w:highlight w:val="none"/>
        </w:rPr>
        <w:br w:type="page"/>
      </w:r>
      <w:bookmarkStart w:id="2" w:name="_Toc25174"/>
      <w:bookmarkStart w:id="3" w:name="_Toc25744"/>
      <w:r>
        <w:rPr>
          <w:rFonts w:hint="eastAsia" w:ascii="宋体" w:hAnsi="宋体" w:eastAsia="宋体" w:cs="宋体"/>
          <w:color w:val="auto"/>
          <w:sz w:val="40"/>
          <w:szCs w:val="40"/>
          <w:highlight w:val="none"/>
        </w:rPr>
        <w:t>第一章</w:t>
      </w:r>
      <w:bookmarkEnd w:id="0"/>
      <w:bookmarkEnd w:id="1"/>
      <w:bookmarkStart w:id="4" w:name="_Toc28359001"/>
      <w:bookmarkStart w:id="5" w:name="_Toc35393789"/>
      <w:r>
        <w:rPr>
          <w:rFonts w:hint="eastAsia" w:ascii="宋体" w:hAnsi="宋体" w:eastAsia="宋体" w:cs="宋体"/>
          <w:color w:val="auto"/>
          <w:sz w:val="40"/>
          <w:szCs w:val="40"/>
          <w:highlight w:val="none"/>
        </w:rPr>
        <w:t xml:space="preserve"> 招标公告</w:t>
      </w:r>
      <w:bookmarkEnd w:id="2"/>
      <w:bookmarkEnd w:id="3"/>
      <w:bookmarkEnd w:id="4"/>
      <w:bookmarkEnd w:id="5"/>
    </w:p>
    <w:p w14:paraId="3A1E5EC4">
      <w:pPr>
        <w:pStyle w:val="4"/>
        <w:tabs>
          <w:tab w:val="left" w:pos="0"/>
          <w:tab w:val="left" w:pos="3165"/>
          <w:tab w:val="center" w:pos="4153"/>
        </w:tabs>
        <w:autoSpaceDE w:val="0"/>
        <w:autoSpaceDN w:val="0"/>
        <w:adjustRightInd w:val="0"/>
        <w:spacing w:before="0" w:after="0" w:line="500" w:lineRule="exact"/>
        <w:jc w:val="center"/>
        <w:rPr>
          <w:rFonts w:hint="eastAsia" w:ascii="宋体" w:hAnsi="宋体" w:eastAsia="宋体" w:cs="宋体"/>
          <w:color w:val="auto"/>
          <w:sz w:val="36"/>
          <w:szCs w:val="21"/>
          <w:highlight w:val="none"/>
        </w:rPr>
      </w:pPr>
      <w:bookmarkStart w:id="6" w:name="_Toc32424"/>
      <w:bookmarkStart w:id="7" w:name="_Toc4263"/>
      <w:r>
        <w:rPr>
          <w:rFonts w:hint="eastAsia" w:ascii="宋体" w:hAnsi="宋体" w:eastAsia="宋体" w:cs="宋体"/>
          <w:bCs w:val="0"/>
          <w:color w:val="auto"/>
          <w:kern w:val="2"/>
          <w:sz w:val="28"/>
          <w:szCs w:val="36"/>
          <w:highlight w:val="none"/>
          <w:lang w:eastAsia="zh-CN"/>
        </w:rPr>
        <w:t>广西睿翼工程咨询有限公司</w:t>
      </w:r>
      <w:r>
        <w:rPr>
          <w:rFonts w:hint="eastAsia" w:ascii="宋体" w:hAnsi="宋体" w:eastAsia="宋体" w:cs="宋体"/>
          <w:bCs w:val="0"/>
          <w:color w:val="auto"/>
          <w:kern w:val="2"/>
          <w:sz w:val="28"/>
          <w:szCs w:val="36"/>
          <w:highlight w:val="none"/>
        </w:rPr>
        <w:t>关于</w:t>
      </w:r>
      <w:r>
        <w:rPr>
          <w:rFonts w:hint="eastAsia" w:ascii="宋体" w:hAnsi="宋体" w:eastAsia="宋体" w:cs="宋体"/>
          <w:bCs w:val="0"/>
          <w:color w:val="auto"/>
          <w:kern w:val="2"/>
          <w:sz w:val="28"/>
          <w:szCs w:val="36"/>
          <w:highlight w:val="none"/>
          <w:lang w:eastAsia="zh-CN"/>
        </w:rPr>
        <w:t>2025年林业森林防火物资采购项目</w:t>
      </w:r>
      <w:r>
        <w:rPr>
          <w:rFonts w:hint="eastAsia" w:ascii="宋体" w:hAnsi="宋体" w:eastAsia="宋体" w:cs="宋体"/>
          <w:bCs w:val="0"/>
          <w:color w:val="auto"/>
          <w:kern w:val="2"/>
          <w:sz w:val="28"/>
          <w:szCs w:val="36"/>
          <w:highlight w:val="none"/>
        </w:rPr>
        <w:t>（</w:t>
      </w:r>
      <w:r>
        <w:rPr>
          <w:rFonts w:hint="eastAsia" w:ascii="宋体" w:hAnsi="宋体" w:cs="宋体"/>
          <w:bCs w:val="0"/>
          <w:color w:val="auto"/>
          <w:kern w:val="2"/>
          <w:sz w:val="28"/>
          <w:szCs w:val="36"/>
          <w:highlight w:val="none"/>
          <w:lang w:val="en-US" w:eastAsia="zh-CN"/>
        </w:rPr>
        <w:t>项目编号：GXZC2025-G1-001591-GXRY</w:t>
      </w:r>
      <w:r>
        <w:rPr>
          <w:rFonts w:hint="eastAsia" w:ascii="宋体" w:hAnsi="宋体" w:eastAsia="宋体" w:cs="宋体"/>
          <w:bCs w:val="0"/>
          <w:color w:val="auto"/>
          <w:kern w:val="2"/>
          <w:sz w:val="28"/>
          <w:szCs w:val="36"/>
          <w:highlight w:val="none"/>
        </w:rPr>
        <w:t>）的公开招标公告</w:t>
      </w:r>
      <w:bookmarkEnd w:id="6"/>
      <w:bookmarkEnd w:id="7"/>
    </w:p>
    <w:p w14:paraId="3A706C20">
      <w:pPr>
        <w:spacing w:line="360" w:lineRule="auto"/>
        <w:rPr>
          <w:rFonts w:hint="eastAsia" w:ascii="宋体" w:hAnsi="宋体" w:eastAsia="宋体" w:cs="宋体"/>
          <w:color w:val="auto"/>
          <w:szCs w:val="21"/>
          <w:highlight w:val="none"/>
        </w:rPr>
      </w:pPr>
    </w:p>
    <w:p w14:paraId="7DC5D0D1">
      <w:pPr>
        <w:pBdr>
          <w:top w:val="single" w:color="auto" w:sz="4" w:space="1"/>
          <w:left w:val="single" w:color="auto" w:sz="4" w:space="4"/>
          <w:bottom w:val="single" w:color="auto" w:sz="4" w:space="1"/>
          <w:right w:val="single" w:color="auto" w:sz="4" w:space="14"/>
        </w:pBd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09E01487">
      <w:pPr>
        <w:pBdr>
          <w:top w:val="single" w:color="auto" w:sz="4" w:space="1"/>
          <w:left w:val="single" w:color="auto" w:sz="4" w:space="4"/>
          <w:bottom w:val="single" w:color="auto" w:sz="4" w:space="1"/>
          <w:right w:val="single" w:color="auto" w:sz="4" w:space="14"/>
        </w:pBd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2025年林业森林防火物资采购项目</w:t>
      </w:r>
      <w:r>
        <w:rPr>
          <w:rFonts w:hint="eastAsia" w:ascii="宋体" w:hAnsi="宋体" w:eastAsia="宋体" w:cs="宋体"/>
          <w:color w:val="auto"/>
          <w:szCs w:val="21"/>
          <w:highlight w:val="none"/>
        </w:rPr>
        <w:t>项目的潜在供应商应在广西政府采购云平台（https://www.gcy.zfcg.gxzf.gov.cn/）获取(下载)招标文件，并于</w:t>
      </w:r>
      <w:r>
        <w:rPr>
          <w:rFonts w:hint="eastAsia" w:ascii="宋体" w:hAnsi="宋体" w:eastAsia="宋体" w:cs="宋体"/>
          <w:color w:val="auto"/>
          <w:szCs w:val="21"/>
          <w:highlight w:val="none"/>
          <w:u w:val="single"/>
          <w:lang w:eastAsia="zh-CN"/>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日9点30分</w:t>
      </w:r>
      <w:r>
        <w:rPr>
          <w:rFonts w:hint="eastAsia" w:ascii="宋体" w:hAnsi="宋体" w:eastAsia="宋体" w:cs="宋体"/>
          <w:color w:val="auto"/>
          <w:szCs w:val="21"/>
          <w:highlight w:val="none"/>
        </w:rPr>
        <w:t>（北京时间）前提交投标文件。</w:t>
      </w:r>
    </w:p>
    <w:p w14:paraId="274233F8">
      <w:pPr>
        <w:spacing w:line="360" w:lineRule="exact"/>
        <w:rPr>
          <w:rFonts w:hint="eastAsia" w:ascii="宋体" w:hAnsi="宋体" w:eastAsia="宋体" w:cs="宋体"/>
          <w:b/>
          <w:bCs/>
          <w:color w:val="auto"/>
          <w:szCs w:val="21"/>
          <w:highlight w:val="none"/>
        </w:rPr>
      </w:pPr>
      <w:bookmarkStart w:id="8" w:name="_Toc35393790"/>
      <w:bookmarkStart w:id="9" w:name="_Toc35393621"/>
      <w:bookmarkStart w:id="10" w:name="_Toc28359079"/>
      <w:bookmarkStart w:id="11" w:name="_Toc28359002"/>
      <w:bookmarkStart w:id="12" w:name="_Hlk24379207"/>
      <w:r>
        <w:rPr>
          <w:rFonts w:hint="eastAsia" w:ascii="宋体" w:hAnsi="宋体" w:eastAsia="宋体" w:cs="宋体"/>
          <w:b/>
          <w:bCs/>
          <w:color w:val="auto"/>
          <w:szCs w:val="21"/>
          <w:highlight w:val="none"/>
        </w:rPr>
        <w:t>一、项目基本情况</w:t>
      </w:r>
      <w:bookmarkEnd w:id="8"/>
      <w:bookmarkEnd w:id="9"/>
      <w:bookmarkEnd w:id="10"/>
      <w:bookmarkEnd w:id="11"/>
    </w:p>
    <w:p w14:paraId="6FC5B7ED">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项目编号：GXZC2025-G1-001591-GXRY</w:t>
      </w:r>
      <w:r>
        <w:rPr>
          <w:rFonts w:hint="eastAsia" w:ascii="宋体" w:hAnsi="宋体" w:eastAsia="宋体" w:cs="宋体"/>
          <w:color w:val="auto"/>
          <w:szCs w:val="21"/>
          <w:highlight w:val="none"/>
          <w:lang w:val="en-US" w:eastAsia="zh-CN"/>
        </w:rPr>
        <w:t xml:space="preserve"> </w:t>
      </w:r>
    </w:p>
    <w:p w14:paraId="2D66E8C0">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bCs/>
          <w:color w:val="auto"/>
          <w:szCs w:val="21"/>
          <w:highlight w:val="none"/>
          <w:lang w:eastAsia="zh-CN"/>
        </w:rPr>
        <w:t>2025年林业森林防火物资采购项目</w:t>
      </w:r>
    </w:p>
    <w:bookmarkEnd w:id="12"/>
    <w:p w14:paraId="10C10647">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预算金额：总金额</w:t>
      </w:r>
      <w:r>
        <w:rPr>
          <w:rFonts w:hint="eastAsia" w:ascii="宋体" w:hAnsi="宋体" w:eastAsia="宋体" w:cs="宋体"/>
          <w:color w:val="auto"/>
          <w:szCs w:val="21"/>
          <w:highlight w:val="none"/>
          <w:lang w:val="en-US" w:eastAsia="zh-CN"/>
        </w:rPr>
        <w:t>1505</w:t>
      </w:r>
      <w:r>
        <w:rPr>
          <w:rFonts w:hint="eastAsia" w:ascii="宋体" w:hAnsi="宋体" w:eastAsia="宋体" w:cs="宋体"/>
          <w:color w:val="auto"/>
          <w:szCs w:val="21"/>
          <w:highlight w:val="none"/>
        </w:rPr>
        <w:t xml:space="preserve"> 万元（其中1分标为640万元，2分标为349万元，3分标为166万元，4分标为350万元）</w:t>
      </w:r>
    </w:p>
    <w:p w14:paraId="770CAC2E">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最高限价：总金额</w:t>
      </w:r>
      <w:r>
        <w:rPr>
          <w:rFonts w:hint="eastAsia" w:ascii="宋体" w:hAnsi="宋体" w:eastAsia="宋体" w:cs="宋体"/>
          <w:color w:val="auto"/>
          <w:szCs w:val="21"/>
          <w:highlight w:val="none"/>
          <w:lang w:val="en-US" w:eastAsia="zh-CN"/>
        </w:rPr>
        <w:t>1505</w:t>
      </w:r>
      <w:r>
        <w:rPr>
          <w:rFonts w:hint="eastAsia" w:ascii="宋体" w:hAnsi="宋体" w:eastAsia="宋体" w:cs="宋体"/>
          <w:color w:val="auto"/>
          <w:szCs w:val="21"/>
          <w:highlight w:val="none"/>
        </w:rPr>
        <w:t xml:space="preserve"> 万元（其中1分标为640万元，2分标为349万元，3分标为166万元，4分标为350万元）</w:t>
      </w:r>
    </w:p>
    <w:p w14:paraId="57690CFC">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tbl>
      <w:tblPr>
        <w:tblStyle w:val="48"/>
        <w:tblpPr w:leftFromText="180" w:rightFromText="180" w:vertAnchor="text" w:horzAnchor="page" w:tblpX="1609" w:tblpY="353"/>
        <w:tblOverlap w:val="never"/>
        <w:tblW w:w="88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2148"/>
        <w:gridCol w:w="977"/>
        <w:gridCol w:w="973"/>
        <w:gridCol w:w="3808"/>
      </w:tblGrid>
      <w:tr w14:paraId="6D657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62" w:type="dxa"/>
            <w:vAlign w:val="center"/>
          </w:tcPr>
          <w:p w14:paraId="6FBD74AA">
            <w:pPr>
              <w:tabs>
                <w:tab w:val="left" w:pos="180"/>
                <w:tab w:val="left" w:pos="1620"/>
              </w:tabs>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48" w:type="dxa"/>
            <w:vAlign w:val="center"/>
          </w:tcPr>
          <w:p w14:paraId="32A757F2">
            <w:pPr>
              <w:tabs>
                <w:tab w:val="left" w:pos="180"/>
                <w:tab w:val="left" w:pos="1620"/>
              </w:tabs>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标的的名称</w:t>
            </w:r>
          </w:p>
        </w:tc>
        <w:tc>
          <w:tcPr>
            <w:tcW w:w="977" w:type="dxa"/>
            <w:vAlign w:val="center"/>
          </w:tcPr>
          <w:p w14:paraId="1BA07CB1">
            <w:pPr>
              <w:tabs>
                <w:tab w:val="left" w:pos="180"/>
                <w:tab w:val="left" w:pos="1620"/>
              </w:tabs>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73" w:type="dxa"/>
            <w:vAlign w:val="center"/>
          </w:tcPr>
          <w:p w14:paraId="23819C84">
            <w:pPr>
              <w:tabs>
                <w:tab w:val="left" w:pos="180"/>
                <w:tab w:val="left" w:pos="1620"/>
              </w:tabs>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3808" w:type="dxa"/>
            <w:vAlign w:val="center"/>
          </w:tcPr>
          <w:p w14:paraId="113096AA">
            <w:pPr>
              <w:tabs>
                <w:tab w:val="left" w:pos="180"/>
                <w:tab w:val="left" w:pos="1620"/>
              </w:tabs>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简要技术需求或者服务要求</w:t>
            </w:r>
          </w:p>
        </w:tc>
      </w:tr>
      <w:tr w14:paraId="55DC9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962" w:type="dxa"/>
            <w:vAlign w:val="center"/>
          </w:tcPr>
          <w:p w14:paraId="24559E52">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1分标</w:t>
            </w:r>
          </w:p>
        </w:tc>
        <w:tc>
          <w:tcPr>
            <w:tcW w:w="2148" w:type="dxa"/>
            <w:vAlign w:val="center"/>
          </w:tcPr>
          <w:p w14:paraId="23B2E337">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便携式风力灭火机</w:t>
            </w:r>
          </w:p>
        </w:tc>
        <w:tc>
          <w:tcPr>
            <w:tcW w:w="977" w:type="dxa"/>
            <w:vAlign w:val="center"/>
          </w:tcPr>
          <w:p w14:paraId="3B603FA4">
            <w:pPr>
              <w:tabs>
                <w:tab w:val="left" w:pos="180"/>
                <w:tab w:val="left" w:pos="162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w:t>
            </w:r>
          </w:p>
        </w:tc>
        <w:tc>
          <w:tcPr>
            <w:tcW w:w="973" w:type="dxa"/>
            <w:vAlign w:val="center"/>
          </w:tcPr>
          <w:p w14:paraId="166FF439">
            <w:pPr>
              <w:tabs>
                <w:tab w:val="left" w:pos="180"/>
                <w:tab w:val="left" w:pos="162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3808" w:type="dxa"/>
            <w:vAlign w:val="center"/>
          </w:tcPr>
          <w:p w14:paraId="63868BCA">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▲1、有效风力灭火距离：≥2.2m；</w:t>
            </w:r>
          </w:p>
          <w:p w14:paraId="09446E5A">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2、发动机功率：≥4kw/7000rpm；      具体详见采购文件第二章 采购需求</w:t>
            </w:r>
          </w:p>
        </w:tc>
      </w:tr>
      <w:tr w14:paraId="35631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restart"/>
            <w:vAlign w:val="center"/>
          </w:tcPr>
          <w:p w14:paraId="2033F150">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2分标</w:t>
            </w:r>
          </w:p>
        </w:tc>
        <w:tc>
          <w:tcPr>
            <w:tcW w:w="2148" w:type="dxa"/>
            <w:vAlign w:val="center"/>
          </w:tcPr>
          <w:p w14:paraId="528178D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扑火战斗套装</w:t>
            </w:r>
            <w:r>
              <w:rPr>
                <w:rFonts w:hint="eastAsia" w:ascii="宋体" w:hAnsi="宋体" w:cs="宋体"/>
                <w:i w:val="0"/>
                <w:iCs w:val="0"/>
                <w:color w:val="auto"/>
                <w:kern w:val="0"/>
                <w:sz w:val="21"/>
                <w:szCs w:val="21"/>
                <w:highlight w:val="none"/>
                <w:u w:val="none"/>
                <w:lang w:val="en-US" w:eastAsia="zh-CN" w:bidi="ar"/>
              </w:rPr>
              <w:t xml:space="preserve">       （含扑火战斗服及腰带、扑火头盔及头套、扑火靴、扑火手套等）</w:t>
            </w:r>
          </w:p>
        </w:tc>
        <w:tc>
          <w:tcPr>
            <w:tcW w:w="977" w:type="dxa"/>
            <w:vAlign w:val="center"/>
          </w:tcPr>
          <w:p w14:paraId="746608C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73" w:type="dxa"/>
            <w:vAlign w:val="center"/>
          </w:tcPr>
          <w:p w14:paraId="4089FEE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808" w:type="dxa"/>
            <w:vAlign w:val="center"/>
          </w:tcPr>
          <w:p w14:paraId="5A652803">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扑火服：1、颜色:桔红色,色号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16-1462TPx(国际潘通色卡),色差△E≤3.5；</w:t>
            </w:r>
          </w:p>
          <w:p w14:paraId="3C699C9D">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具体详见采购文件第二章 采购需求</w:t>
            </w:r>
          </w:p>
        </w:tc>
      </w:tr>
      <w:tr w14:paraId="201B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5FD589C7">
            <w:pPr>
              <w:tabs>
                <w:tab w:val="left" w:pos="180"/>
                <w:tab w:val="left" w:pos="1620"/>
              </w:tabs>
              <w:rPr>
                <w:rFonts w:hint="eastAsia" w:ascii="宋体" w:hAnsi="宋体" w:eastAsia="宋体" w:cs="宋体"/>
                <w:color w:val="auto"/>
                <w:sz w:val="21"/>
                <w:szCs w:val="21"/>
                <w:highlight w:val="none"/>
              </w:rPr>
            </w:pPr>
          </w:p>
        </w:tc>
        <w:tc>
          <w:tcPr>
            <w:tcW w:w="2148" w:type="dxa"/>
            <w:shd w:val="clear" w:color="auto" w:fill="auto"/>
            <w:vAlign w:val="center"/>
          </w:tcPr>
          <w:p w14:paraId="2303FE62">
            <w:pPr>
              <w:tabs>
                <w:tab w:val="left" w:pos="180"/>
                <w:tab w:val="left" w:pos="1620"/>
              </w:tabs>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背负式双动力      高压灭火水枪</w:t>
            </w:r>
          </w:p>
        </w:tc>
        <w:tc>
          <w:tcPr>
            <w:tcW w:w="977" w:type="dxa"/>
            <w:shd w:val="clear" w:color="auto" w:fill="auto"/>
            <w:vAlign w:val="center"/>
          </w:tcPr>
          <w:p w14:paraId="10260A26">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420</w:t>
            </w:r>
          </w:p>
        </w:tc>
        <w:tc>
          <w:tcPr>
            <w:tcW w:w="973" w:type="dxa"/>
            <w:shd w:val="clear" w:color="auto" w:fill="auto"/>
            <w:vAlign w:val="center"/>
          </w:tcPr>
          <w:p w14:paraId="13FE98C5">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3808" w:type="dxa"/>
            <w:shd w:val="clear" w:color="auto" w:fill="auto"/>
            <w:vAlign w:val="center"/>
          </w:tcPr>
          <w:p w14:paraId="076959F8">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桶装背负电动作业一体式，由电动铅酸蓄电池、枪体、连接管、水箱等部件组成；电池与电动水泵应均匀分布在水桶下面，安装有过滤网，背带应具有调节功能;</w:t>
            </w:r>
          </w:p>
          <w:p w14:paraId="256B2D65">
            <w:pPr>
              <w:tabs>
                <w:tab w:val="left" w:pos="180"/>
                <w:tab w:val="left" w:pos="1620"/>
              </w:tabs>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具体详见采购文件第二章 采购需求</w:t>
            </w:r>
          </w:p>
        </w:tc>
      </w:tr>
      <w:tr w14:paraId="010AE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55AECD37">
            <w:pPr>
              <w:tabs>
                <w:tab w:val="left" w:pos="180"/>
                <w:tab w:val="left" w:pos="1620"/>
              </w:tabs>
              <w:rPr>
                <w:rFonts w:hint="eastAsia" w:ascii="宋体" w:hAnsi="宋体" w:eastAsia="宋体" w:cs="宋体"/>
                <w:color w:val="auto"/>
                <w:sz w:val="21"/>
                <w:szCs w:val="21"/>
                <w:highlight w:val="none"/>
              </w:rPr>
            </w:pPr>
          </w:p>
        </w:tc>
        <w:tc>
          <w:tcPr>
            <w:tcW w:w="2148" w:type="dxa"/>
            <w:vAlign w:val="center"/>
          </w:tcPr>
          <w:p w14:paraId="140CAB5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二号工具</w:t>
            </w:r>
          </w:p>
        </w:tc>
        <w:tc>
          <w:tcPr>
            <w:tcW w:w="977" w:type="dxa"/>
            <w:vAlign w:val="center"/>
          </w:tcPr>
          <w:p w14:paraId="1E38676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9120</w:t>
            </w:r>
          </w:p>
        </w:tc>
        <w:tc>
          <w:tcPr>
            <w:tcW w:w="973" w:type="dxa"/>
            <w:vAlign w:val="center"/>
          </w:tcPr>
          <w:p w14:paraId="08201EC8">
            <w:pPr>
              <w:tabs>
                <w:tab w:val="left" w:pos="180"/>
                <w:tab w:val="left" w:pos="162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c>
          <w:tcPr>
            <w:tcW w:w="3808" w:type="dxa"/>
            <w:vAlign w:val="center"/>
          </w:tcPr>
          <w:p w14:paraId="5F8AA6C9">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手柄长度：1.5米   重量：1.25KG 手柄材质：直径约0.35cm；</w:t>
            </w:r>
          </w:p>
          <w:p w14:paraId="526542F7">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具体详见采购文件第二章 采购需求</w:t>
            </w:r>
          </w:p>
        </w:tc>
      </w:tr>
      <w:tr w14:paraId="617D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1E989988">
            <w:pPr>
              <w:tabs>
                <w:tab w:val="left" w:pos="180"/>
                <w:tab w:val="left" w:pos="1620"/>
              </w:tabs>
              <w:rPr>
                <w:rFonts w:hint="eastAsia" w:ascii="宋体" w:hAnsi="宋体" w:eastAsia="宋体" w:cs="宋体"/>
                <w:color w:val="auto"/>
                <w:sz w:val="21"/>
                <w:szCs w:val="21"/>
                <w:highlight w:val="none"/>
              </w:rPr>
            </w:pPr>
          </w:p>
        </w:tc>
        <w:tc>
          <w:tcPr>
            <w:tcW w:w="2148" w:type="dxa"/>
            <w:vAlign w:val="center"/>
          </w:tcPr>
          <w:p w14:paraId="155EA1C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三号工具</w:t>
            </w:r>
          </w:p>
        </w:tc>
        <w:tc>
          <w:tcPr>
            <w:tcW w:w="977" w:type="dxa"/>
            <w:vAlign w:val="center"/>
          </w:tcPr>
          <w:p w14:paraId="347849E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73" w:type="dxa"/>
            <w:vAlign w:val="center"/>
          </w:tcPr>
          <w:p w14:paraId="3B2F11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3808" w:type="dxa"/>
            <w:vAlign w:val="center"/>
          </w:tcPr>
          <w:p w14:paraId="53BFCE71">
            <w:pPr>
              <w:widowControl/>
              <w:spacing w:line="360" w:lineRule="exact"/>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1、名称：便携式三号工具</w:t>
            </w:r>
          </w:p>
          <w:p w14:paraId="0A2409FB">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2、用途：</w:t>
            </w:r>
            <w:r>
              <w:rPr>
                <w:rFonts w:hint="eastAsia" w:ascii="宋体" w:hAnsi="宋体" w:eastAsia="宋体" w:cs="宋体"/>
                <w:color w:val="auto"/>
                <w:szCs w:val="21"/>
                <w:highlight w:val="none"/>
              </w:rPr>
              <w:t>野外拍打灭火。</w:t>
            </w:r>
          </w:p>
          <w:p w14:paraId="78EB95F1">
            <w:pPr>
              <w:tabs>
                <w:tab w:val="left" w:pos="180"/>
                <w:tab w:val="left" w:pos="1620"/>
              </w:tabs>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灭火拍:在长杆外壁套接有滑套，</w:t>
            </w:r>
          </w:p>
          <w:p w14:paraId="5CE345A0">
            <w:pPr>
              <w:tabs>
                <w:tab w:val="left" w:pos="180"/>
                <w:tab w:val="left" w:pos="1620"/>
              </w:tabs>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具体详见采购文件第二章 采购需求</w:t>
            </w:r>
          </w:p>
        </w:tc>
      </w:tr>
      <w:tr w14:paraId="071BD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31314118">
            <w:pPr>
              <w:tabs>
                <w:tab w:val="left" w:pos="180"/>
                <w:tab w:val="left" w:pos="1620"/>
              </w:tabs>
              <w:rPr>
                <w:rFonts w:hint="eastAsia" w:ascii="宋体" w:hAnsi="宋体" w:eastAsia="宋体" w:cs="宋体"/>
                <w:color w:val="auto"/>
                <w:sz w:val="21"/>
                <w:szCs w:val="21"/>
                <w:highlight w:val="none"/>
              </w:rPr>
            </w:pPr>
          </w:p>
        </w:tc>
        <w:tc>
          <w:tcPr>
            <w:tcW w:w="2148" w:type="dxa"/>
            <w:vAlign w:val="center"/>
          </w:tcPr>
          <w:p w14:paraId="276158D5">
            <w:pPr>
              <w:tabs>
                <w:tab w:val="left" w:pos="180"/>
                <w:tab w:val="left" w:pos="1620"/>
              </w:tabs>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接力水泵</w:t>
            </w:r>
            <w:r>
              <w:rPr>
                <w:rFonts w:hint="eastAsia" w:ascii="宋体" w:hAnsi="宋体" w:eastAsia="宋体" w:cs="宋体"/>
                <w:color w:val="auto"/>
                <w:sz w:val="21"/>
                <w:szCs w:val="21"/>
                <w:highlight w:val="none"/>
                <w:lang w:val="en-US" w:eastAsia="zh-CN"/>
              </w:rPr>
              <w:t xml:space="preserve">        （配水管、移动水池）</w:t>
            </w:r>
          </w:p>
        </w:tc>
        <w:tc>
          <w:tcPr>
            <w:tcW w:w="977" w:type="dxa"/>
            <w:vAlign w:val="center"/>
          </w:tcPr>
          <w:p w14:paraId="7E5107FB">
            <w:pPr>
              <w:tabs>
                <w:tab w:val="left" w:pos="180"/>
                <w:tab w:val="left" w:pos="1620"/>
              </w:tabs>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27</w:t>
            </w:r>
          </w:p>
        </w:tc>
        <w:tc>
          <w:tcPr>
            <w:tcW w:w="973" w:type="dxa"/>
            <w:vAlign w:val="center"/>
          </w:tcPr>
          <w:p w14:paraId="61FF2A84">
            <w:pPr>
              <w:tabs>
                <w:tab w:val="left" w:pos="180"/>
                <w:tab w:val="left" w:pos="1620"/>
              </w:tabs>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台</w:t>
            </w:r>
          </w:p>
        </w:tc>
        <w:tc>
          <w:tcPr>
            <w:tcW w:w="3808" w:type="dxa"/>
            <w:vAlign w:val="center"/>
          </w:tcPr>
          <w:p w14:paraId="326B866B">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1.发动机：二冲程水冷与空气</w:t>
            </w:r>
            <w:r>
              <w:rPr>
                <w:rFonts w:hint="eastAsia" w:ascii="宋体" w:hAnsi="宋体" w:cs="宋体"/>
                <w:color w:val="auto"/>
                <w:sz w:val="21"/>
                <w:szCs w:val="21"/>
                <w:highlight w:val="none"/>
                <w:lang w:eastAsia="zh-CN"/>
              </w:rPr>
              <w:t>复合</w:t>
            </w:r>
            <w:r>
              <w:rPr>
                <w:rFonts w:hint="eastAsia" w:ascii="宋体" w:hAnsi="宋体" w:eastAsia="宋体" w:cs="宋体"/>
                <w:color w:val="auto"/>
                <w:sz w:val="21"/>
                <w:szCs w:val="21"/>
                <w:highlight w:val="none"/>
              </w:rPr>
              <w:t>冷却汽油发动机，发动机排量≥110cc；</w:t>
            </w:r>
          </w:p>
          <w:p w14:paraId="6740687B">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2.整机净质量≤12kg；</w:t>
            </w:r>
          </w:p>
          <w:p w14:paraId="4DDEEDC4">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具体详见采购文件第二章 采购需求; </w:t>
            </w:r>
          </w:p>
        </w:tc>
      </w:tr>
      <w:tr w14:paraId="5E1F9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962" w:type="dxa"/>
            <w:vMerge w:val="restart"/>
            <w:vAlign w:val="center"/>
          </w:tcPr>
          <w:p w14:paraId="4EFD3384">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3分标</w:t>
            </w:r>
          </w:p>
        </w:tc>
        <w:tc>
          <w:tcPr>
            <w:tcW w:w="2148" w:type="dxa"/>
            <w:vAlign w:val="center"/>
          </w:tcPr>
          <w:p w14:paraId="214C5BE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中型灭火无人机</w:t>
            </w:r>
            <w:r>
              <w:rPr>
                <w:rFonts w:hint="eastAsia" w:ascii="宋体" w:hAnsi="宋体" w:cs="宋体"/>
                <w:i w:val="0"/>
                <w:iCs w:val="0"/>
                <w:color w:val="auto"/>
                <w:kern w:val="0"/>
                <w:sz w:val="21"/>
                <w:szCs w:val="21"/>
                <w:highlight w:val="none"/>
                <w:u w:val="none"/>
                <w:lang w:val="en-US" w:eastAsia="zh-CN" w:bidi="ar"/>
              </w:rPr>
              <w:t xml:space="preserve">  （含无人机、吊装和灭火模块）</w:t>
            </w:r>
          </w:p>
        </w:tc>
        <w:tc>
          <w:tcPr>
            <w:tcW w:w="977" w:type="dxa"/>
            <w:vAlign w:val="center"/>
          </w:tcPr>
          <w:p w14:paraId="4C2C55D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3" w:type="dxa"/>
            <w:vAlign w:val="center"/>
          </w:tcPr>
          <w:p w14:paraId="1F6909D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808" w:type="dxa"/>
            <w:vAlign w:val="center"/>
          </w:tcPr>
          <w:p w14:paraId="012773C7">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一、无人机整机</w:t>
            </w:r>
          </w:p>
          <w:p w14:paraId="74CB81DD">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1、整机重量：≤65kg（装配吊运系统)</w:t>
            </w:r>
          </w:p>
          <w:p w14:paraId="248F9EDD">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▲2、最大起飞重量：≤150 kg（装配吊运系统)</w:t>
            </w:r>
          </w:p>
          <w:p w14:paraId="7B811EE2">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具体详见采购文件第二章 采购需求</w:t>
            </w:r>
            <w:r>
              <w:rPr>
                <w:rFonts w:hint="eastAsia" w:ascii="仿宋" w:hAnsi="仿宋" w:eastAsia="仿宋" w:cs="仿宋"/>
                <w:color w:val="auto"/>
                <w:sz w:val="24"/>
                <w:highlight w:val="none"/>
              </w:rPr>
              <w:t>;</w:t>
            </w:r>
          </w:p>
        </w:tc>
      </w:tr>
      <w:tr w14:paraId="7FEB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962" w:type="dxa"/>
            <w:vMerge w:val="continue"/>
            <w:vAlign w:val="center"/>
          </w:tcPr>
          <w:p w14:paraId="360BE9EC">
            <w:pPr>
              <w:tabs>
                <w:tab w:val="left" w:pos="180"/>
                <w:tab w:val="left" w:pos="1620"/>
              </w:tabs>
              <w:rPr>
                <w:rFonts w:hint="eastAsia" w:ascii="宋体" w:hAnsi="宋体" w:eastAsia="宋体" w:cs="宋体"/>
                <w:color w:val="auto"/>
                <w:sz w:val="21"/>
                <w:szCs w:val="21"/>
                <w:highlight w:val="none"/>
              </w:rPr>
            </w:pPr>
          </w:p>
        </w:tc>
        <w:tc>
          <w:tcPr>
            <w:tcW w:w="2148" w:type="dxa"/>
            <w:vAlign w:val="center"/>
          </w:tcPr>
          <w:p w14:paraId="204E9AC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巡护无人机</w:t>
            </w:r>
            <w:r>
              <w:rPr>
                <w:rFonts w:hint="eastAsia" w:ascii="宋体" w:hAnsi="宋体" w:cs="宋体"/>
                <w:i w:val="0"/>
                <w:iCs w:val="0"/>
                <w:color w:val="auto"/>
                <w:kern w:val="0"/>
                <w:sz w:val="21"/>
                <w:szCs w:val="21"/>
                <w:highlight w:val="none"/>
                <w:u w:val="none"/>
                <w:lang w:val="en-US" w:eastAsia="zh-CN" w:bidi="ar"/>
              </w:rPr>
              <w:t xml:space="preserve">           （配备喊话器）</w:t>
            </w:r>
          </w:p>
        </w:tc>
        <w:tc>
          <w:tcPr>
            <w:tcW w:w="977" w:type="dxa"/>
            <w:vAlign w:val="center"/>
          </w:tcPr>
          <w:p w14:paraId="5DB7646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73" w:type="dxa"/>
            <w:vAlign w:val="center"/>
          </w:tcPr>
          <w:p w14:paraId="4D0FB3A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808" w:type="dxa"/>
            <w:vAlign w:val="center"/>
          </w:tcPr>
          <w:p w14:paraId="7A5F78B2">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一、飞行器</w:t>
            </w:r>
          </w:p>
          <w:p w14:paraId="697C5200">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▲1、起飞重量：≤ 1065 克</w:t>
            </w:r>
          </w:p>
          <w:p w14:paraId="57E467EA">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▲2、最大起飞重量：≤ 1265 克（机身安装桨叶保护罩、增强图传模块 3 及 microSD 卡）</w:t>
            </w:r>
          </w:p>
          <w:p w14:paraId="7C22EC3E">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具体详见采购文件第二章 采购需求</w:t>
            </w:r>
            <w:r>
              <w:rPr>
                <w:rFonts w:hint="eastAsia" w:ascii="仿宋" w:hAnsi="仿宋" w:eastAsia="仿宋" w:cs="仿宋"/>
                <w:color w:val="auto"/>
                <w:sz w:val="24"/>
                <w:highlight w:val="none"/>
              </w:rPr>
              <w:t>;</w:t>
            </w:r>
          </w:p>
        </w:tc>
      </w:tr>
      <w:tr w14:paraId="3191F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962" w:type="dxa"/>
            <w:shd w:val="clear" w:color="auto" w:fill="auto"/>
            <w:vAlign w:val="center"/>
          </w:tcPr>
          <w:p w14:paraId="15A6D095">
            <w:pPr>
              <w:tabs>
                <w:tab w:val="left" w:pos="180"/>
                <w:tab w:val="left" w:pos="1620"/>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4分标</w:t>
            </w:r>
          </w:p>
        </w:tc>
        <w:tc>
          <w:tcPr>
            <w:tcW w:w="2148" w:type="dxa"/>
            <w:shd w:val="clear" w:color="auto" w:fill="auto"/>
            <w:vAlign w:val="center"/>
          </w:tcPr>
          <w:p w14:paraId="7D58E742">
            <w:pPr>
              <w:tabs>
                <w:tab w:val="left" w:pos="180"/>
                <w:tab w:val="left" w:pos="1620"/>
              </w:tabs>
              <w:spacing w:line="38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szCs w:val="21"/>
                <w:highlight w:val="none"/>
                <w:lang w:val="en-US" w:eastAsia="zh-CN"/>
              </w:rPr>
              <w:t>日常巡护套装</w:t>
            </w:r>
            <w:r>
              <w:rPr>
                <w:rFonts w:hint="eastAsia" w:ascii="宋体" w:hAnsi="宋体" w:cs="宋体"/>
                <w:color w:val="auto"/>
                <w:szCs w:val="21"/>
                <w:highlight w:val="none"/>
                <w:lang w:val="en-US" w:eastAsia="zh-CN"/>
              </w:rPr>
              <w:t xml:space="preserve">              （含芳纶阻燃服、帽子、迷彩鞋、挎包等）</w:t>
            </w:r>
          </w:p>
        </w:tc>
        <w:tc>
          <w:tcPr>
            <w:tcW w:w="977" w:type="dxa"/>
            <w:shd w:val="clear" w:color="auto" w:fill="auto"/>
            <w:vAlign w:val="center"/>
          </w:tcPr>
          <w:p w14:paraId="55ACAB8A">
            <w:pPr>
              <w:tabs>
                <w:tab w:val="left" w:pos="180"/>
                <w:tab w:val="left" w:pos="1620"/>
              </w:tabs>
              <w:spacing w:line="38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szCs w:val="21"/>
                <w:highlight w:val="none"/>
                <w:lang w:val="en-US" w:eastAsia="zh-CN"/>
              </w:rPr>
              <w:t>3500</w:t>
            </w:r>
          </w:p>
        </w:tc>
        <w:tc>
          <w:tcPr>
            <w:tcW w:w="973" w:type="dxa"/>
            <w:shd w:val="clear" w:color="auto" w:fill="auto"/>
            <w:vAlign w:val="center"/>
          </w:tcPr>
          <w:p w14:paraId="343F52C8">
            <w:pPr>
              <w:tabs>
                <w:tab w:val="left" w:pos="180"/>
                <w:tab w:val="left" w:pos="1620"/>
              </w:tabs>
              <w:spacing w:line="38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szCs w:val="21"/>
                <w:highlight w:val="none"/>
                <w:lang w:val="en-US" w:eastAsia="zh-CN"/>
              </w:rPr>
              <w:t>套</w:t>
            </w:r>
          </w:p>
        </w:tc>
        <w:tc>
          <w:tcPr>
            <w:tcW w:w="3808" w:type="dxa"/>
            <w:vAlign w:val="center"/>
          </w:tcPr>
          <w:p w14:paraId="769CDBF2">
            <w:pPr>
              <w:tabs>
                <w:tab w:val="left" w:pos="180"/>
                <w:tab w:val="left" w:pos="1620"/>
              </w:tabs>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芳纶阻燃服</w:t>
            </w:r>
          </w:p>
          <w:p w14:paraId="7B975BE5">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1、颜色：桔红色，色号：16-1462TPx（国际潘通色卡），色差△E≤3.5；防火服面料采用100%芳纶纤维方格面料，具有阻燃、防静电、防火、防水、耐磨性能。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具体详见采购文件第二章 采购需求; </w:t>
            </w:r>
          </w:p>
        </w:tc>
      </w:tr>
    </w:tbl>
    <w:p w14:paraId="159CF4F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w:t>
      </w:r>
      <w:r>
        <w:rPr>
          <w:rFonts w:hint="eastAsia" w:ascii="宋体" w:hAnsi="宋体" w:eastAsia="宋体" w:cs="宋体"/>
          <w:color w:val="auto"/>
          <w:szCs w:val="21"/>
          <w:highlight w:val="none"/>
        </w:rPr>
        <w:t>期限：1分标、</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4分标自合同签订之日起60天内</w:t>
      </w:r>
      <w:r>
        <w:rPr>
          <w:rFonts w:hint="eastAsia" w:ascii="宋体" w:hAnsi="宋体" w:eastAsia="宋体" w:cs="宋体"/>
          <w:color w:val="auto"/>
          <w:kern w:val="0"/>
          <w:szCs w:val="21"/>
          <w:highlight w:val="none"/>
        </w:rPr>
        <w:t>交付使用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分标自合同签订之日起30天内</w:t>
      </w:r>
      <w:r>
        <w:rPr>
          <w:rFonts w:hint="eastAsia" w:ascii="宋体" w:hAnsi="宋体" w:eastAsia="宋体" w:cs="宋体"/>
          <w:color w:val="auto"/>
          <w:kern w:val="0"/>
          <w:szCs w:val="21"/>
          <w:highlight w:val="none"/>
        </w:rPr>
        <w:t>交付使用</w:t>
      </w:r>
      <w:r>
        <w:rPr>
          <w:rFonts w:hint="eastAsia" w:ascii="宋体" w:hAnsi="宋体" w:eastAsia="宋体" w:cs="宋体"/>
          <w:color w:val="auto"/>
          <w:szCs w:val="21"/>
          <w:highlight w:val="none"/>
        </w:rPr>
        <w:t>。</w:t>
      </w:r>
    </w:p>
    <w:p w14:paraId="1F7DA194">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本标项（否）接受联合体投标。</w:t>
      </w:r>
    </w:p>
    <w:p w14:paraId="395FA796">
      <w:pPr>
        <w:spacing w:line="360" w:lineRule="exact"/>
        <w:rPr>
          <w:rFonts w:hint="eastAsia" w:ascii="宋体" w:hAnsi="宋体" w:eastAsia="宋体" w:cs="宋体"/>
          <w:b/>
          <w:bCs/>
          <w:color w:val="auto"/>
          <w:szCs w:val="21"/>
          <w:highlight w:val="none"/>
        </w:rPr>
      </w:pPr>
      <w:bookmarkStart w:id="13" w:name="_Toc28359003"/>
      <w:bookmarkStart w:id="14" w:name="_Toc35393622"/>
      <w:bookmarkStart w:id="15" w:name="_Toc35393791"/>
      <w:bookmarkStart w:id="16" w:name="_Toc28359080"/>
      <w:r>
        <w:rPr>
          <w:rFonts w:hint="eastAsia" w:ascii="宋体" w:hAnsi="宋体" w:eastAsia="宋体" w:cs="宋体"/>
          <w:b/>
          <w:bCs/>
          <w:color w:val="auto"/>
          <w:szCs w:val="21"/>
          <w:highlight w:val="none"/>
        </w:rPr>
        <w:t>二、申请人的资格要求：</w:t>
      </w:r>
      <w:bookmarkEnd w:id="13"/>
      <w:bookmarkEnd w:id="14"/>
      <w:bookmarkEnd w:id="15"/>
      <w:bookmarkEnd w:id="16"/>
    </w:p>
    <w:p w14:paraId="52150739">
      <w:pPr>
        <w:spacing w:line="360" w:lineRule="exact"/>
        <w:ind w:firstLine="420" w:firstLineChars="200"/>
        <w:rPr>
          <w:rFonts w:hint="eastAsia" w:ascii="宋体" w:hAnsi="宋体" w:eastAsia="宋体" w:cs="宋体"/>
          <w:color w:val="auto"/>
          <w:szCs w:val="21"/>
          <w:highlight w:val="none"/>
        </w:rPr>
      </w:pPr>
      <w:bookmarkStart w:id="17" w:name="_Hlk51746371"/>
      <w:r>
        <w:rPr>
          <w:rFonts w:hint="eastAsia" w:ascii="宋体" w:hAnsi="宋体" w:eastAsia="宋体" w:cs="宋体"/>
          <w:color w:val="auto"/>
          <w:szCs w:val="21"/>
          <w:highlight w:val="none"/>
        </w:rPr>
        <w:t>1、满足《中华人民共和国政府采购法》第二十二条规定；</w:t>
      </w:r>
    </w:p>
    <w:p w14:paraId="5C508978">
      <w:pPr>
        <w:spacing w:line="360" w:lineRule="exact"/>
        <w:ind w:firstLine="420" w:firstLineChars="200"/>
        <w:rPr>
          <w:rFonts w:hint="eastAsia" w:ascii="宋体" w:hAnsi="宋体" w:eastAsia="宋体" w:cs="宋体"/>
          <w:color w:val="auto"/>
          <w:szCs w:val="21"/>
          <w:highlight w:val="none"/>
        </w:rPr>
      </w:pPr>
      <w:bookmarkStart w:id="18" w:name="_Toc28359081"/>
      <w:bookmarkStart w:id="19" w:name="_Toc28359004"/>
      <w:r>
        <w:rPr>
          <w:rFonts w:hint="eastAsia" w:ascii="宋体" w:hAnsi="宋体" w:eastAsia="宋体" w:cs="宋体"/>
          <w:color w:val="auto"/>
          <w:szCs w:val="21"/>
          <w:highlight w:val="none"/>
        </w:rPr>
        <w:t>2、落实政府采购政策需满足的资格要求：</w:t>
      </w:r>
    </w:p>
    <w:p w14:paraId="0F883D06">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1分标、2分标、4分标专门面向中小企业采购（供应商应为中小微企业或监狱企业或残疾人福利性单位)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分标</w:t>
      </w:r>
      <w:r>
        <w:rPr>
          <w:rFonts w:hint="eastAsia" w:ascii="宋体" w:hAnsi="宋体" w:cs="宋体"/>
          <w:color w:val="auto"/>
          <w:szCs w:val="21"/>
          <w:highlight w:val="none"/>
          <w:lang w:val="en-US" w:eastAsia="zh-CN"/>
        </w:rPr>
        <w:t>非</w:t>
      </w:r>
      <w:r>
        <w:rPr>
          <w:rFonts w:hint="eastAsia" w:ascii="宋体" w:hAnsi="宋体" w:eastAsia="宋体" w:cs="宋体"/>
          <w:color w:val="auto"/>
          <w:szCs w:val="21"/>
          <w:highlight w:val="none"/>
        </w:rPr>
        <w:t>专门面向中小企业采购</w:t>
      </w:r>
      <w:r>
        <w:rPr>
          <w:rFonts w:hint="eastAsia" w:ascii="宋体" w:hAnsi="宋体" w:cs="宋体"/>
          <w:color w:val="auto"/>
          <w:szCs w:val="21"/>
          <w:highlight w:val="none"/>
          <w:lang w:eastAsia="zh-CN"/>
        </w:rPr>
        <w:t>。</w:t>
      </w:r>
    </w:p>
    <w:p w14:paraId="46666379">
      <w:pPr>
        <w:spacing w:line="360" w:lineRule="exact"/>
        <w:ind w:firstLine="420" w:firstLineChars="200"/>
        <w:rPr>
          <w:rFonts w:hint="eastAsia" w:ascii="宋体" w:hAnsi="宋体" w:eastAsia="宋体" w:cs="宋体"/>
          <w:iCs/>
          <w:color w:val="auto"/>
          <w:szCs w:val="21"/>
          <w:highlight w:val="none"/>
          <w:u w:val="single"/>
        </w:rPr>
      </w:pPr>
      <w:r>
        <w:rPr>
          <w:rFonts w:hint="eastAsia" w:ascii="宋体" w:hAnsi="宋体" w:eastAsia="宋体" w:cs="宋体"/>
          <w:color w:val="auto"/>
          <w:szCs w:val="21"/>
          <w:highlight w:val="none"/>
        </w:rPr>
        <w:t>3、本项目的特定资格要求：</w:t>
      </w:r>
      <w:bookmarkEnd w:id="17"/>
      <w:bookmarkStart w:id="20" w:name="_Toc35393792"/>
      <w:bookmarkStart w:id="21" w:name="_Toc35393623"/>
      <w:r>
        <w:rPr>
          <w:rFonts w:hint="eastAsia" w:ascii="宋体" w:hAnsi="宋体" w:eastAsia="宋体" w:cs="宋体"/>
          <w:bCs/>
          <w:color w:val="auto"/>
          <w:kern w:val="0"/>
          <w:szCs w:val="21"/>
          <w:highlight w:val="none"/>
        </w:rPr>
        <w:t>无。 </w:t>
      </w:r>
    </w:p>
    <w:p w14:paraId="3CAA5C49">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三、获取招标文件</w:t>
      </w:r>
      <w:bookmarkEnd w:id="18"/>
      <w:bookmarkEnd w:id="19"/>
      <w:bookmarkEnd w:id="20"/>
      <w:bookmarkEnd w:id="21"/>
    </w:p>
    <w:p w14:paraId="07EC9BEB">
      <w:pPr>
        <w:spacing w:line="360" w:lineRule="exact"/>
        <w:ind w:firstLine="420" w:firstLineChars="200"/>
        <w:rPr>
          <w:rFonts w:hint="eastAsia" w:ascii="宋体" w:hAnsi="宋体" w:eastAsia="宋体" w:cs="宋体"/>
          <w:bCs/>
          <w:color w:val="auto"/>
          <w:kern w:val="0"/>
          <w:szCs w:val="21"/>
          <w:highlight w:val="none"/>
        </w:rPr>
      </w:pPr>
      <w:bookmarkStart w:id="22" w:name="_Toc28359005"/>
      <w:bookmarkStart w:id="23" w:name="_Toc28359082"/>
      <w:bookmarkStart w:id="24" w:name="_Toc35393624"/>
      <w:bookmarkStart w:id="25" w:name="_Toc35393793"/>
      <w:r>
        <w:rPr>
          <w:rFonts w:hint="eastAsia" w:ascii="宋体" w:hAnsi="宋体" w:eastAsia="宋体" w:cs="宋体"/>
          <w:bCs/>
          <w:color w:val="auto"/>
          <w:kern w:val="0"/>
          <w:szCs w:val="21"/>
          <w:highlight w:val="none"/>
        </w:rPr>
        <w:t>时间：</w:t>
      </w:r>
      <w:r>
        <w:rPr>
          <w:rFonts w:hint="eastAsia" w:ascii="宋体" w:hAnsi="宋体" w:eastAsia="宋体" w:cs="宋体"/>
          <w:color w:val="auto"/>
          <w:highlight w:val="none"/>
          <w:lang w:eastAsia="zh-CN"/>
        </w:rPr>
        <w:t>自本公告发布之日起至202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日</w:t>
      </w:r>
      <w:r>
        <w:rPr>
          <w:rFonts w:hint="eastAsia" w:ascii="宋体" w:hAnsi="宋体" w:eastAsia="宋体" w:cs="宋体"/>
          <w:color w:val="auto"/>
          <w:szCs w:val="21"/>
          <w:highlight w:val="none"/>
        </w:rPr>
        <w:t>，每天上午00:00-12:00；下午1</w:t>
      </w:r>
      <w:r>
        <w:rPr>
          <w:rFonts w:hint="eastAsia" w:ascii="宋体" w:hAnsi="宋体" w:eastAsia="宋体" w:cs="宋体"/>
          <w:color w:val="auto"/>
          <w:highlight w:val="none"/>
        </w:rPr>
        <w:t>2</w:t>
      </w:r>
      <w:r>
        <w:rPr>
          <w:rFonts w:hint="eastAsia" w:ascii="宋体" w:hAnsi="宋体" w:eastAsia="宋体" w:cs="宋体"/>
          <w:color w:val="auto"/>
          <w:szCs w:val="21"/>
          <w:highlight w:val="none"/>
        </w:rPr>
        <w:t>:</w:t>
      </w:r>
      <w:r>
        <w:rPr>
          <w:rFonts w:hint="eastAsia" w:ascii="宋体" w:hAnsi="宋体" w:eastAsia="宋体" w:cs="宋体"/>
          <w:color w:val="auto"/>
          <w:highlight w:val="none"/>
        </w:rPr>
        <w:t>00</w:t>
      </w:r>
      <w:r>
        <w:rPr>
          <w:rFonts w:hint="eastAsia" w:ascii="宋体" w:hAnsi="宋体" w:eastAsia="宋体" w:cs="宋体"/>
          <w:color w:val="auto"/>
          <w:szCs w:val="21"/>
          <w:highlight w:val="none"/>
        </w:rPr>
        <w:t>-23:</w:t>
      </w:r>
      <w:r>
        <w:rPr>
          <w:rFonts w:hint="eastAsia" w:ascii="宋体" w:hAnsi="宋体" w:eastAsia="宋体" w:cs="宋体"/>
          <w:color w:val="auto"/>
          <w:highlight w:val="none"/>
        </w:rPr>
        <w:t>59</w:t>
      </w:r>
      <w:r>
        <w:rPr>
          <w:rFonts w:hint="eastAsia" w:ascii="宋体" w:hAnsi="宋体" w:eastAsia="宋体" w:cs="宋体"/>
          <w:color w:val="auto"/>
          <w:szCs w:val="21"/>
          <w:highlight w:val="none"/>
        </w:rPr>
        <w:t>（北京时间）</w:t>
      </w:r>
    </w:p>
    <w:p w14:paraId="264B896D">
      <w:pPr>
        <w:spacing w:line="36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地点：广西政府采购云平台（https://www.gcy.zfcg.gxzf.gov.cn/）</w:t>
      </w:r>
    </w:p>
    <w:p w14:paraId="4B6D985A">
      <w:pPr>
        <w:spacing w:line="36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方式：网上下载。本项目不发放纸质文件，供应商应自行在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r>
        <w:rPr>
          <w:rFonts w:hint="eastAsia" w:ascii="宋体" w:hAnsi="宋体" w:eastAsia="宋体" w:cs="宋体"/>
          <w:bCs/>
          <w:color w:val="auto"/>
          <w:kern w:val="0"/>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3825226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售价：0元。</w:t>
      </w:r>
    </w:p>
    <w:p w14:paraId="7A8EB8A0">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四、提交投标文件</w:t>
      </w:r>
      <w:bookmarkEnd w:id="22"/>
      <w:bookmarkEnd w:id="23"/>
      <w:r>
        <w:rPr>
          <w:rFonts w:hint="eastAsia" w:ascii="宋体" w:hAnsi="宋体" w:eastAsia="宋体" w:cs="宋体"/>
          <w:b/>
          <w:bCs/>
          <w:color w:val="auto"/>
          <w:szCs w:val="21"/>
          <w:highlight w:val="none"/>
        </w:rPr>
        <w:t>截止时间、开标时间和地点</w:t>
      </w:r>
      <w:bookmarkEnd w:id="24"/>
      <w:bookmarkEnd w:id="25"/>
    </w:p>
    <w:p w14:paraId="39B48688">
      <w:pPr>
        <w:spacing w:line="360" w:lineRule="exact"/>
        <w:ind w:firstLine="420" w:firstLineChars="200"/>
        <w:rPr>
          <w:rFonts w:hint="eastAsia" w:ascii="宋体" w:hAnsi="宋体" w:eastAsia="宋体" w:cs="宋体"/>
          <w:bCs/>
          <w:color w:val="auto"/>
          <w:kern w:val="0"/>
          <w:szCs w:val="21"/>
          <w:highlight w:val="none"/>
        </w:rPr>
      </w:pPr>
      <w:bookmarkStart w:id="26" w:name="_Toc28359007"/>
      <w:bookmarkStart w:id="27" w:name="_Toc28359084"/>
      <w:bookmarkStart w:id="28" w:name="_Toc35393794"/>
      <w:bookmarkStart w:id="29" w:name="_Toc35393625"/>
      <w:r>
        <w:rPr>
          <w:rFonts w:hint="eastAsia" w:ascii="宋体" w:hAnsi="宋体" w:eastAsia="宋体" w:cs="宋体"/>
          <w:bCs/>
          <w:color w:val="auto"/>
          <w:kern w:val="0"/>
          <w:szCs w:val="21"/>
          <w:highlight w:val="none"/>
        </w:rPr>
        <w:t>提交投标文件截止时间：2025年</w:t>
      </w:r>
      <w:r>
        <w:rPr>
          <w:rFonts w:hint="eastAsia" w:ascii="宋体" w:hAnsi="宋体" w:eastAsia="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日 09:30（北京时间）</w:t>
      </w:r>
    </w:p>
    <w:p w14:paraId="0489D837">
      <w:pPr>
        <w:spacing w:line="36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投标地点（网址）：本项目为全流程电子化政府采购项目，没有现场递交投标文件及现场开标环节，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 </w:t>
      </w:r>
    </w:p>
    <w:p w14:paraId="7251B1CD">
      <w:pPr>
        <w:spacing w:line="36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开标时间：2025年</w:t>
      </w:r>
      <w:r>
        <w:rPr>
          <w:rFonts w:hint="eastAsia" w:ascii="宋体" w:hAnsi="宋体" w:eastAsia="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 xml:space="preserve">  </w:t>
      </w:r>
      <w:r>
        <w:rPr>
          <w:rFonts w:hint="eastAsia" w:ascii="宋体" w:hAnsi="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rPr>
        <w:t xml:space="preserve">日 09:30 </w:t>
      </w:r>
    </w:p>
    <w:p w14:paraId="1BA324EA">
      <w:pPr>
        <w:spacing w:line="36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开标地点：本项目将在广西政府采购云平台（https://www.gcy.zfcg.gxzf.gov.cn/）电子开标大厅解密、开标。 </w:t>
      </w:r>
    </w:p>
    <w:p w14:paraId="6284E471">
      <w:pPr>
        <w:spacing w:line="360" w:lineRule="exact"/>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五、公告期限</w:t>
      </w:r>
      <w:bookmarkEnd w:id="26"/>
      <w:bookmarkEnd w:id="27"/>
      <w:bookmarkEnd w:id="28"/>
      <w:bookmarkEnd w:id="29"/>
    </w:p>
    <w:p w14:paraId="0E2974F9">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01E0094">
      <w:pPr>
        <w:spacing w:line="360" w:lineRule="exact"/>
        <w:rPr>
          <w:rFonts w:hint="eastAsia" w:ascii="宋体" w:hAnsi="宋体" w:eastAsia="宋体" w:cs="宋体"/>
          <w:b/>
          <w:bCs/>
          <w:color w:val="auto"/>
          <w:szCs w:val="21"/>
          <w:highlight w:val="none"/>
        </w:rPr>
      </w:pPr>
      <w:bookmarkStart w:id="30" w:name="_Toc35393795"/>
      <w:bookmarkStart w:id="31" w:name="_Toc35393626"/>
      <w:r>
        <w:rPr>
          <w:rFonts w:hint="eastAsia" w:ascii="宋体" w:hAnsi="宋体" w:eastAsia="宋体" w:cs="宋体"/>
          <w:b/>
          <w:bCs/>
          <w:color w:val="auto"/>
          <w:szCs w:val="21"/>
          <w:highlight w:val="none"/>
        </w:rPr>
        <w:t>六、其他补充事宜</w:t>
      </w:r>
      <w:bookmarkEnd w:id="30"/>
      <w:bookmarkEnd w:id="31"/>
    </w:p>
    <w:p w14:paraId="7ECDA4F0">
      <w:pPr>
        <w:spacing w:line="360" w:lineRule="exact"/>
        <w:rPr>
          <w:rFonts w:hint="eastAsia" w:ascii="宋体" w:hAnsi="宋体" w:eastAsia="宋体" w:cs="宋体"/>
          <w:color w:val="auto"/>
          <w:kern w:val="0"/>
          <w:szCs w:val="21"/>
          <w:highlight w:val="none"/>
          <w:lang w:eastAsia="zh-CN"/>
        </w:rPr>
      </w:pPr>
      <w:bookmarkStart w:id="32" w:name="_Hlk37429674"/>
      <w:bookmarkStart w:id="33" w:name="_Toc28359085"/>
      <w:bookmarkStart w:id="34" w:name="_Toc28359008"/>
      <w:bookmarkStart w:id="35" w:name="_Toc35393627"/>
      <w:bookmarkStart w:id="36" w:name="_Toc35393796"/>
      <w:r>
        <w:rPr>
          <w:rFonts w:hint="eastAsia" w:ascii="宋体" w:hAnsi="宋体" w:eastAsia="宋体" w:cs="宋体"/>
          <w:color w:val="auto"/>
          <w:kern w:val="0"/>
          <w:szCs w:val="21"/>
          <w:highlight w:val="none"/>
        </w:rPr>
        <w:t>1、投标保证金（人民币）：</w:t>
      </w:r>
      <w:r>
        <w:rPr>
          <w:rFonts w:hint="eastAsia" w:ascii="宋体" w:hAnsi="宋体" w:eastAsia="宋体" w:cs="宋体"/>
          <w:color w:val="auto"/>
          <w:szCs w:val="21"/>
          <w:highlight w:val="none"/>
        </w:rPr>
        <w:t>1分标：</w:t>
      </w:r>
      <w:r>
        <w:rPr>
          <w:rFonts w:hint="eastAsia" w:ascii="宋体" w:hAnsi="宋体" w:eastAsia="宋体" w:cs="宋体"/>
          <w:color w:val="auto"/>
          <w:szCs w:val="21"/>
          <w:highlight w:val="none"/>
          <w:lang w:val="en-US" w:eastAsia="zh-CN"/>
        </w:rPr>
        <w:t>6.4</w:t>
      </w:r>
      <w:r>
        <w:rPr>
          <w:rFonts w:hint="eastAsia" w:ascii="宋体" w:hAnsi="宋体" w:eastAsia="宋体" w:cs="宋体"/>
          <w:color w:val="auto"/>
          <w:szCs w:val="21"/>
          <w:highlight w:val="none"/>
        </w:rPr>
        <w:t>万元；2分标：</w:t>
      </w:r>
      <w:r>
        <w:rPr>
          <w:rFonts w:hint="eastAsia" w:ascii="宋体" w:hAnsi="宋体" w:eastAsia="宋体" w:cs="宋体"/>
          <w:color w:val="auto"/>
          <w:szCs w:val="21"/>
          <w:highlight w:val="none"/>
          <w:lang w:val="en-US" w:eastAsia="zh-CN"/>
        </w:rPr>
        <w:t>3.49</w:t>
      </w:r>
      <w:r>
        <w:rPr>
          <w:rFonts w:hint="eastAsia" w:ascii="宋体" w:hAnsi="宋体" w:eastAsia="宋体" w:cs="宋体"/>
          <w:color w:val="auto"/>
          <w:szCs w:val="21"/>
          <w:highlight w:val="none"/>
        </w:rPr>
        <w:t>万元；3分标：</w:t>
      </w:r>
      <w:r>
        <w:rPr>
          <w:rFonts w:hint="eastAsia" w:ascii="宋体" w:hAnsi="宋体" w:eastAsia="宋体" w:cs="宋体"/>
          <w:color w:val="auto"/>
          <w:szCs w:val="21"/>
          <w:highlight w:val="none"/>
          <w:lang w:val="en-US" w:eastAsia="zh-CN"/>
        </w:rPr>
        <w:t>1.66</w:t>
      </w:r>
      <w:r>
        <w:rPr>
          <w:rFonts w:hint="eastAsia" w:ascii="宋体" w:hAnsi="宋体" w:eastAsia="宋体" w:cs="宋体"/>
          <w:color w:val="auto"/>
          <w:szCs w:val="21"/>
          <w:highlight w:val="none"/>
        </w:rPr>
        <w:t>万元；4分标：</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万元</w:t>
      </w:r>
      <w:r>
        <w:rPr>
          <w:rFonts w:hint="eastAsia" w:ascii="宋体" w:hAnsi="宋体" w:eastAsia="宋体" w:cs="宋体"/>
          <w:color w:val="auto"/>
          <w:kern w:val="0"/>
          <w:szCs w:val="21"/>
          <w:highlight w:val="none"/>
          <w:lang w:eastAsia="zh-CN"/>
        </w:rPr>
        <w:t>。投标保证金的缴纳方式：以银行转账、支票、汇票、本票或者金融机构、担保机构出具的保函等非现金形式提交。采用银行转账方式的，在投标截止时间前交至采购代理机构指定账户并且到账并备注XXX项目X分标（如有）投标保证金。缴纳投标保证金指定账户的信息：</w:t>
      </w:r>
    </w:p>
    <w:p w14:paraId="70D5940C">
      <w:pPr>
        <w:pStyle w:val="26"/>
        <w:snapToGrid w:val="0"/>
        <w:spacing w:line="360" w:lineRule="exact"/>
        <w:ind w:firstLine="400" w:firstLineChars="200"/>
        <w:jc w:val="left"/>
        <w:rPr>
          <w:rFonts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lang w:eastAsia="zh-CN"/>
        </w:rPr>
        <w:t>广西睿翼工程咨询有限公司南宁分公司</w:t>
      </w:r>
    </w:p>
    <w:p w14:paraId="252C098C">
      <w:pPr>
        <w:pStyle w:val="26"/>
        <w:snapToGrid w:val="0"/>
        <w:spacing w:line="360" w:lineRule="exact"/>
        <w:ind w:firstLine="400" w:firstLineChars="200"/>
        <w:jc w:val="left"/>
        <w:rPr>
          <w:rFonts w:hint="eastAsia" w:hAnsi="宋体" w:eastAsia="宋体" w:cs="宋体"/>
          <w:color w:val="auto"/>
          <w:szCs w:val="21"/>
          <w:highlight w:val="none"/>
          <w:lang w:eastAsia="zh-CN"/>
        </w:rPr>
      </w:pPr>
      <w:r>
        <w:rPr>
          <w:rFonts w:hint="eastAsia" w:hAnsi="宋体" w:cs="宋体"/>
          <w:color w:val="auto"/>
          <w:szCs w:val="21"/>
          <w:highlight w:val="none"/>
        </w:rPr>
        <w:t>开户银行：</w:t>
      </w:r>
      <w:r>
        <w:rPr>
          <w:rFonts w:hint="eastAsia" w:hAnsi="宋体" w:cs="宋体"/>
          <w:color w:val="auto"/>
          <w:szCs w:val="21"/>
          <w:highlight w:val="none"/>
          <w:lang w:eastAsia="zh-CN"/>
        </w:rPr>
        <w:t>华夏银行股份有限公司南宁青秀支行</w:t>
      </w:r>
    </w:p>
    <w:p w14:paraId="1518F272">
      <w:pPr>
        <w:pStyle w:val="26"/>
        <w:snapToGrid w:val="0"/>
        <w:spacing w:line="360" w:lineRule="exact"/>
        <w:ind w:firstLine="400" w:firstLineChars="200"/>
        <w:jc w:val="left"/>
        <w:rPr>
          <w:rFonts w:hint="eastAsia" w:hAnsi="宋体" w:eastAsia="宋体" w:cs="宋体"/>
          <w:color w:val="auto"/>
          <w:szCs w:val="21"/>
          <w:highlight w:val="none"/>
          <w:lang w:eastAsia="zh-CN"/>
        </w:rPr>
      </w:pPr>
      <w:r>
        <w:rPr>
          <w:rFonts w:hint="eastAsia" w:hAnsi="宋体" w:cs="宋体"/>
          <w:color w:val="auto"/>
          <w:szCs w:val="21"/>
          <w:highlight w:val="none"/>
        </w:rPr>
        <w:t>银行账户：</w:t>
      </w:r>
      <w:r>
        <w:rPr>
          <w:rFonts w:hint="eastAsia" w:hAnsi="宋体" w:cs="宋体"/>
          <w:color w:val="auto"/>
          <w:szCs w:val="21"/>
          <w:highlight w:val="none"/>
          <w:lang w:eastAsia="zh-CN"/>
        </w:rPr>
        <w:t>13053000000217831</w:t>
      </w:r>
    </w:p>
    <w:p w14:paraId="1B2FEE10">
      <w:pPr>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2、采购意向公开链接：http://www.ccgp-guangxi.gov.cn/site/detail?parentId=66601&amp;articleId=gYYbNRZoy5InLNWgAx2PgA==</w:t>
      </w:r>
    </w:p>
    <w:p w14:paraId="21F185E6">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3AB7AB8">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D4C9EEB">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、网上查询地址：中国政府采购网（http://www.ccgp.gov.cn/）、广西壮族自治区政府采购网(http://zfcg.gxzf.gov.cn)、广西壮族自治区公共资源交易中心（http://gxggzy.gxzf.gov.cn/）</w:t>
      </w:r>
    </w:p>
    <w:p w14:paraId="00C5E6A4">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、本项目需要落实的政府采购政策：</w:t>
      </w:r>
    </w:p>
    <w:p w14:paraId="224F5672">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（1）政府采购促进中小企业发展; </w:t>
      </w:r>
    </w:p>
    <w:p w14:paraId="301071A5">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（2）政府采购支持采用本国产品的政策; </w:t>
      </w:r>
    </w:p>
    <w:p w14:paraId="106FDB71">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0F970D20">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292608ED">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3814ECC3">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（6）扶持不发达地区和少数民族地区政策。</w:t>
      </w:r>
    </w:p>
    <w:p w14:paraId="7AD9557F">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、投标注意事项：</w:t>
      </w:r>
    </w:p>
    <w:p w14:paraId="17B0EA41">
      <w:pPr>
        <w:widowControl/>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eastAsia="宋体" w:cs="宋体"/>
          <w:b/>
          <w:color w:val="auto"/>
          <w:szCs w:val="21"/>
          <w:highlight w:val="none"/>
        </w:rPr>
        <w:t>供应商在广西政府采购云平台提交电子版投标文件时，请填写参加远程开标活动经办人联系方式。</w:t>
      </w:r>
    </w:p>
    <w:p w14:paraId="27CB5356">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（2）供应商应及时熟悉掌握电子标系统操作指南（见广西政府采购云平台电子卖场首页右上角—服务中心—帮助文档—项目采购）：</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 \l "/knowledges/tree?tag=AG1DtGwBFdiHxlNdhY0r"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https://service.zcygov.cn/#/knowledges/tree?tag=AG1DtGwBFdiHxlNdhY0r</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；及时完成CA申领和绑定（见广西壮族自治区政府采购网—办事服务—下载专区-政采云CA证书办理操作指南）。</w:t>
      </w:r>
    </w:p>
    <w:p w14:paraId="5DE10962">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5日左右，投标人只需办理其中一家CA数字证书及签章，建议各投标人抓紧时间办理。</w:t>
      </w:r>
    </w:p>
    <w:p w14:paraId="2907F88A">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14:paraId="448583CD">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321184D">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CA证书在线解密：供应商投标时，需携带制作投标文件时用来加密的有效数字证书（CA认证）登录广西政府采购云平台电子开标大厅现场按规定时间对加密的投标文件进行解密，否则后果自负。</w:t>
      </w:r>
    </w:p>
    <w:p w14:paraId="2FD65553">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32"/>
    <w:p w14:paraId="1215AAAD">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七、对本次招标提出询问，请按以下方式联系。</w:t>
      </w:r>
      <w:bookmarkEnd w:id="33"/>
      <w:bookmarkEnd w:id="34"/>
      <w:bookmarkEnd w:id="35"/>
      <w:bookmarkEnd w:id="36"/>
    </w:p>
    <w:p w14:paraId="19A8F23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29251D8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名称：广西壮族自治区林业局</w:t>
      </w:r>
    </w:p>
    <w:p w14:paraId="52D415B9">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地址：广西南宁市青秀区云景路21号</w:t>
      </w:r>
    </w:p>
    <w:p w14:paraId="7A81CEBB">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项目联系人：李贤隽</w:t>
      </w:r>
    </w:p>
    <w:p w14:paraId="43352CA3">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联系电话：0771-6783552</w:t>
      </w:r>
    </w:p>
    <w:p w14:paraId="70BCC1FD">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0677F935">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广西睿翼工程咨询有限公司</w:t>
      </w:r>
      <w:r>
        <w:rPr>
          <w:rFonts w:hint="eastAsia" w:ascii="宋体" w:hAnsi="宋体" w:cs="宋体"/>
          <w:color w:val="auto"/>
          <w:kern w:val="0"/>
          <w:szCs w:val="21"/>
          <w:highlight w:val="none"/>
        </w:rPr>
        <w:t>　　　　　　　　　　　　</w:t>
      </w:r>
    </w:p>
    <w:p w14:paraId="7E22E2A4">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南宁市青秀区民族大道32号宜尚酒店停车场内一楼</w:t>
      </w:r>
      <w:r>
        <w:rPr>
          <w:rFonts w:hint="eastAsia" w:ascii="宋体" w:hAnsi="宋体" w:cs="宋体"/>
          <w:color w:val="auto"/>
          <w:kern w:val="0"/>
          <w:szCs w:val="21"/>
          <w:highlight w:val="none"/>
        </w:rPr>
        <w:t>　　　　　　　　　　　　</w:t>
      </w:r>
    </w:p>
    <w:p w14:paraId="5CA54796">
      <w:pPr>
        <w:spacing w:line="360" w:lineRule="exact"/>
        <w:ind w:firstLine="315" w:firstLineChars="1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olor w:val="auto"/>
          <w:szCs w:val="21"/>
          <w:highlight w:val="none"/>
          <w:lang w:eastAsia="zh-CN"/>
        </w:rPr>
        <w:t>万永凤</w:t>
      </w:r>
    </w:p>
    <w:p w14:paraId="7A2B18A9">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联系电话：0771-</w:t>
      </w:r>
      <w:r>
        <w:rPr>
          <w:rFonts w:hint="eastAsia" w:ascii="宋体" w:hAnsi="宋体" w:cs="宋体"/>
          <w:color w:val="auto"/>
          <w:kern w:val="0"/>
          <w:szCs w:val="21"/>
          <w:highlight w:val="none"/>
          <w:lang w:val="en-US" w:eastAsia="zh-CN"/>
        </w:rPr>
        <w:t>5349283</w:t>
      </w:r>
      <w:r>
        <w:rPr>
          <w:rFonts w:hint="eastAsia" w:ascii="宋体" w:hAnsi="宋体" w:cs="宋体"/>
          <w:color w:val="auto"/>
          <w:kern w:val="0"/>
          <w:szCs w:val="21"/>
          <w:highlight w:val="none"/>
        </w:rPr>
        <w:t>　　　　　　　　　</w:t>
      </w:r>
    </w:p>
    <w:p w14:paraId="330DE6C2">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3、政府采购监督管理部门：广西壮族自治区财政厅政府采购监督管理处</w:t>
      </w:r>
    </w:p>
    <w:p w14:paraId="17144766">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话：0771-5331544 　　</w:t>
      </w:r>
    </w:p>
    <w:p w14:paraId="7531FDDE">
      <w:pPr>
        <w:spacing w:line="380" w:lineRule="exact"/>
        <w:ind w:firstLine="6405" w:firstLineChars="3050"/>
        <w:rPr>
          <w:rFonts w:hint="eastAsia" w:ascii="宋体" w:hAnsi="宋体" w:eastAsia="宋体" w:cs="宋体"/>
          <w:color w:val="auto"/>
          <w:szCs w:val="21"/>
          <w:highlight w:val="none"/>
          <w:lang w:eastAsia="zh-CN"/>
        </w:rPr>
      </w:pPr>
    </w:p>
    <w:p w14:paraId="6D958EFB">
      <w:pPr>
        <w:spacing w:line="380" w:lineRule="exact"/>
        <w:ind w:firstLine="6405" w:firstLineChars="3050"/>
        <w:rPr>
          <w:rFonts w:hint="eastAsia" w:ascii="宋体" w:hAnsi="宋体" w:eastAsia="宋体" w:cs="宋体"/>
          <w:color w:val="auto"/>
          <w:szCs w:val="21"/>
          <w:highlight w:val="none"/>
          <w:lang w:eastAsia="zh-CN"/>
        </w:rPr>
      </w:pPr>
    </w:p>
    <w:p w14:paraId="7A505EB6">
      <w:pPr>
        <w:spacing w:line="380" w:lineRule="exact"/>
        <w:ind w:firstLine="6405" w:firstLineChars="30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广西睿翼工程咨询有限公司</w:t>
      </w:r>
    </w:p>
    <w:p w14:paraId="7EA1F37E">
      <w:pPr>
        <w:snapToGrid w:val="0"/>
        <w:spacing w:line="380" w:lineRule="exact"/>
        <w:ind w:right="420" w:firstLine="6825" w:firstLineChars="3250"/>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58B9FE3E">
      <w:pPr>
        <w:snapToGrid w:val="0"/>
        <w:spacing w:line="32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6FB13EB0">
      <w:pPr>
        <w:pStyle w:val="4"/>
        <w:jc w:val="center"/>
        <w:rPr>
          <w:rFonts w:hint="eastAsia" w:ascii="宋体" w:hAnsi="宋体" w:eastAsia="宋体" w:cs="宋体"/>
          <w:color w:val="auto"/>
          <w:sz w:val="40"/>
          <w:szCs w:val="40"/>
          <w:highlight w:val="none"/>
        </w:rPr>
      </w:pPr>
      <w:bookmarkStart w:id="37" w:name="_Toc21885"/>
      <w:bookmarkStart w:id="38" w:name="_Toc30322"/>
      <w:r>
        <w:rPr>
          <w:rFonts w:hint="eastAsia" w:ascii="宋体" w:hAnsi="宋体" w:eastAsia="宋体" w:cs="宋体"/>
          <w:color w:val="auto"/>
          <w:sz w:val="40"/>
          <w:szCs w:val="40"/>
          <w:highlight w:val="none"/>
        </w:rPr>
        <w:t>第二章  采购需求</w:t>
      </w:r>
      <w:bookmarkEnd w:id="37"/>
      <w:bookmarkEnd w:id="38"/>
    </w:p>
    <w:p w14:paraId="760F2CF3">
      <w:pPr>
        <w:spacing w:line="360" w:lineRule="auto"/>
        <w:jc w:val="left"/>
        <w:rPr>
          <w:rFonts w:hint="eastAsia" w:ascii="宋体" w:hAnsi="宋体" w:eastAsia="宋体" w:cs="宋体"/>
          <w:b/>
          <w:color w:val="auto"/>
          <w:szCs w:val="21"/>
          <w:highlight w:val="none"/>
        </w:rPr>
      </w:pPr>
      <w:bookmarkStart w:id="39" w:name="_Toc254970631"/>
      <w:bookmarkStart w:id="40" w:name="_Toc254970490"/>
      <w:r>
        <w:rPr>
          <w:rFonts w:hint="eastAsia" w:ascii="宋体" w:hAnsi="宋体" w:eastAsia="宋体" w:cs="宋体"/>
          <w:b/>
          <w:color w:val="auto"/>
          <w:szCs w:val="21"/>
          <w:highlight w:val="none"/>
        </w:rPr>
        <w:t>说明：</w:t>
      </w:r>
    </w:p>
    <w:p w14:paraId="1CFB197D">
      <w:pPr>
        <w:spacing w:line="360" w:lineRule="exact"/>
        <w:ind w:left="-10" w:leftChars="-5" w:right="2" w:rightChars="1"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14:paraId="53B60CE2">
      <w:pPr>
        <w:spacing w:line="360" w:lineRule="exact"/>
        <w:ind w:left="-10" w:leftChars="-5" w:right="2" w:rightChars="1"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2、凡在“技术要求”中表述为“标配”或“标准配置”的设备，投标人应在投标设备性能配置清单中将其标配参数详细列明。</w:t>
      </w:r>
    </w:p>
    <w:p w14:paraId="5FBD92E6">
      <w:pPr>
        <w:spacing w:line="360" w:lineRule="exact"/>
        <w:ind w:left="-10" w:leftChars="-5" w:right="2" w:rightChars="1"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如本项目包含的货物属于品目清单内非标注“★”的产品时，应优先采购，具体详见“第四章 评标方法和评标标准”。</w:t>
      </w:r>
    </w:p>
    <w:p w14:paraId="044B1023">
      <w:pPr>
        <w:spacing w:line="360" w:lineRule="exact"/>
        <w:ind w:left="-10" w:leftChars="-5" w:right="2" w:rightChars="1"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4、如投标人投标产品存在侵犯他人的知识产权或者专利成果行为的，由投标人自行承担相应法律责任。</w:t>
      </w:r>
    </w:p>
    <w:p w14:paraId="5BA226F5">
      <w:pPr>
        <w:spacing w:line="360" w:lineRule="exact"/>
        <w:ind w:left="-10" w:leftChars="-5" w:right="2" w:rightChars="1"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5、“实质性要求”是指招标文件中已经指明不满足则投标无效的条款，或者不能负偏离的条款，或者采购需求中带“▲”的条款。</w:t>
      </w:r>
    </w:p>
    <w:p w14:paraId="0320C3D8">
      <w:pPr>
        <w:spacing w:line="360" w:lineRule="exact"/>
        <w:ind w:left="-10" w:leftChars="-5" w:right="2" w:rightChars="1"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6、采购需求中涉及的国家标准规范如有最新版的按最新版执行。</w:t>
      </w:r>
    </w:p>
    <w:p w14:paraId="2EEAC04B">
      <w:pPr>
        <w:spacing w:line="360" w:lineRule="exact"/>
        <w:ind w:left="-10" w:leftChars="-5" w:right="2" w:rightChars="1"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7、本项目中小微企业划型标准所属行业：工业。</w:t>
      </w:r>
    </w:p>
    <w:p w14:paraId="3E8F97D3">
      <w:pPr>
        <w:spacing w:line="360" w:lineRule="exact"/>
        <w:ind w:left="-10" w:leftChars="-5" w:right="2" w:rightChars="1" w:firstLine="422" w:firstLineChars="200"/>
        <w:rPr>
          <w:rFonts w:hint="eastAsia" w:ascii="宋体" w:hAnsi="宋体" w:eastAsia="宋体" w:cs="宋体"/>
          <w:b/>
          <w:bCs/>
          <w:color w:val="auto"/>
          <w:highlight w:val="none"/>
        </w:rPr>
      </w:pPr>
    </w:p>
    <w:p w14:paraId="1AE31026">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1分标：</w:t>
      </w:r>
    </w:p>
    <w:bookmarkEnd w:id="39"/>
    <w:bookmarkEnd w:id="40"/>
    <w:tbl>
      <w:tblPr>
        <w:tblStyle w:val="48"/>
        <w:tblW w:w="9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237"/>
        <w:gridCol w:w="1095"/>
      </w:tblGrid>
      <w:tr w14:paraId="7D5B9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564" w:type="dxa"/>
            <w:gridSpan w:val="7"/>
            <w:noWrap w:val="0"/>
            <w:vAlign w:val="center"/>
          </w:tcPr>
          <w:p w14:paraId="10C7466F">
            <w:pPr>
              <w:tabs>
                <w:tab w:val="left" w:pos="180"/>
                <w:tab w:val="left" w:pos="1620"/>
              </w:tabs>
              <w:spacing w:line="36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第一部分 技术要求</w:t>
            </w:r>
          </w:p>
        </w:tc>
      </w:tr>
      <w:tr w14:paraId="6E04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752716DA">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82" w:type="dxa"/>
            <w:noWrap w:val="0"/>
            <w:vAlign w:val="center"/>
          </w:tcPr>
          <w:p w14:paraId="02A570C6">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标的的名称</w:t>
            </w:r>
          </w:p>
        </w:tc>
        <w:tc>
          <w:tcPr>
            <w:tcW w:w="675" w:type="dxa"/>
            <w:gridSpan w:val="2"/>
            <w:noWrap w:val="0"/>
            <w:vAlign w:val="center"/>
          </w:tcPr>
          <w:p w14:paraId="435F7F2B">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7" w:type="dxa"/>
            <w:noWrap w:val="0"/>
            <w:vAlign w:val="center"/>
          </w:tcPr>
          <w:p w14:paraId="2A36D8A5">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5237" w:type="dxa"/>
            <w:tcBorders>
              <w:right w:val="single" w:color="auto" w:sz="4" w:space="0"/>
            </w:tcBorders>
            <w:noWrap w:val="0"/>
            <w:vAlign w:val="center"/>
          </w:tcPr>
          <w:p w14:paraId="3498F64C">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c>
          <w:tcPr>
            <w:tcW w:w="1095" w:type="dxa"/>
            <w:tcBorders>
              <w:left w:val="single" w:color="auto" w:sz="4" w:space="0"/>
            </w:tcBorders>
            <w:noWrap w:val="0"/>
            <w:vAlign w:val="center"/>
          </w:tcPr>
          <w:p w14:paraId="1BFBE96F">
            <w:pPr>
              <w:tabs>
                <w:tab w:val="left" w:pos="180"/>
                <w:tab w:val="left" w:pos="1620"/>
              </w:tabs>
              <w:spacing w:line="360" w:lineRule="exact"/>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控制单价（元）</w:t>
            </w:r>
          </w:p>
        </w:tc>
      </w:tr>
      <w:tr w14:paraId="7D17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18ADA390">
            <w:pPr>
              <w:tabs>
                <w:tab w:val="left" w:pos="180"/>
                <w:tab w:val="left" w:pos="1620"/>
              </w:tabs>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82" w:type="dxa"/>
            <w:noWrap w:val="0"/>
            <w:vAlign w:val="center"/>
          </w:tcPr>
          <w:p w14:paraId="69AB50E8">
            <w:pPr>
              <w:tabs>
                <w:tab w:val="left" w:pos="180"/>
                <w:tab w:val="left" w:pos="1620"/>
              </w:tabs>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便携式风力灭火机</w:t>
            </w:r>
          </w:p>
        </w:tc>
        <w:tc>
          <w:tcPr>
            <w:tcW w:w="675" w:type="dxa"/>
            <w:gridSpan w:val="2"/>
            <w:noWrap w:val="0"/>
            <w:vAlign w:val="center"/>
          </w:tcPr>
          <w:p w14:paraId="708567B0">
            <w:pPr>
              <w:tabs>
                <w:tab w:val="left" w:pos="180"/>
                <w:tab w:val="left" w:pos="1620"/>
              </w:tabs>
              <w:spacing w:line="380" w:lineRule="exact"/>
              <w:jc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4000</w:t>
            </w:r>
          </w:p>
        </w:tc>
        <w:tc>
          <w:tcPr>
            <w:tcW w:w="707" w:type="dxa"/>
            <w:noWrap w:val="0"/>
            <w:vAlign w:val="center"/>
          </w:tcPr>
          <w:p w14:paraId="006D13B8">
            <w:pPr>
              <w:tabs>
                <w:tab w:val="left" w:pos="180"/>
                <w:tab w:val="left" w:pos="1620"/>
              </w:tabs>
              <w:spacing w:line="380" w:lineRule="exact"/>
              <w:jc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台</w:t>
            </w:r>
          </w:p>
        </w:tc>
        <w:tc>
          <w:tcPr>
            <w:tcW w:w="5237" w:type="dxa"/>
            <w:tcBorders>
              <w:right w:val="single" w:color="auto" w:sz="4" w:space="0"/>
            </w:tcBorders>
            <w:noWrap w:val="0"/>
            <w:vAlign w:val="center"/>
          </w:tcPr>
          <w:p w14:paraId="4CBA89B6">
            <w:pPr>
              <w:spacing w:line="360" w:lineRule="exact"/>
              <w:rPr>
                <w:rFonts w:hint="eastAsia" w:ascii="宋体" w:hAnsi="宋体" w:eastAsia="宋体" w:cs="宋体"/>
                <w:color w:val="auto"/>
                <w:kern w:val="0"/>
                <w:szCs w:val="21"/>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Cs w:val="21"/>
                <w:highlight w:val="none"/>
              </w:rPr>
              <w:t>1、有效风力灭火距离：≥2.2m；</w:t>
            </w:r>
          </w:p>
          <w:p w14:paraId="23372661">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2、发动机功率：≥4kw/7000rpm； </w:t>
            </w:r>
          </w:p>
          <w:p w14:paraId="25F45D5B">
            <w:pPr>
              <w:spacing w:line="360" w:lineRule="exact"/>
              <w:rPr>
                <w:rFonts w:hint="eastAsia" w:ascii="宋体" w:hAnsi="宋体" w:eastAsia="宋体" w:cs="宋体"/>
                <w:color w:val="auto"/>
                <w:kern w:val="0"/>
                <w:szCs w:val="21"/>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Cs w:val="21"/>
                <w:highlight w:val="none"/>
              </w:rPr>
              <w:t>3、常温启动时间：≤3s；</w:t>
            </w:r>
          </w:p>
          <w:p w14:paraId="0A13298E">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4、标定转速下出口风量：≥0.5m3/s；</w:t>
            </w:r>
          </w:p>
          <w:p w14:paraId="002C398C">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5、一次加油连续工作时间：≥35min；</w:t>
            </w:r>
          </w:p>
          <w:p w14:paraId="13F1F94D">
            <w:pPr>
              <w:spacing w:line="360" w:lineRule="exact"/>
              <w:rPr>
                <w:rFonts w:hint="eastAsia" w:ascii="宋体" w:hAnsi="宋体" w:eastAsia="宋体" w:cs="宋体"/>
                <w:color w:val="auto"/>
                <w:kern w:val="0"/>
                <w:szCs w:val="21"/>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Cs w:val="21"/>
                <w:highlight w:val="none"/>
              </w:rPr>
              <w:t>6、灭火机净量：≤7.5kg；</w:t>
            </w:r>
          </w:p>
          <w:p w14:paraId="4C451432">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7、启动方式：手启；</w:t>
            </w:r>
          </w:p>
          <w:p w14:paraId="6E4F4D7B">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8、运转稳定性：在标定转速下连续运转5h未出故障，转速下降小于标定转速5%时，二次启动后正常工作；</w:t>
            </w:r>
          </w:p>
          <w:p w14:paraId="2C272735">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9、翻转性能：标定转速下，自水平位置向前、后、左、右倾斜90度各一次且停留时间大于10s均能正常工作；</w:t>
            </w:r>
          </w:p>
          <w:p w14:paraId="0334B871">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10、耳旁噪声≤105dB（A）；</w:t>
            </w:r>
          </w:p>
          <w:p w14:paraId="5BA11C76">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11、手感振动≤18m/s2；</w:t>
            </w:r>
          </w:p>
          <w:p w14:paraId="47C6AD5D">
            <w:pPr>
              <w:spacing w:line="360" w:lineRule="exact"/>
              <w:rPr>
                <w:rFonts w:hint="eastAsia" w:ascii="宋体" w:hAnsi="宋体" w:eastAsia="宋体" w:cs="宋体"/>
                <w:color w:val="auto"/>
                <w:kern w:val="0"/>
                <w:szCs w:val="21"/>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Cs w:val="21"/>
                <w:highlight w:val="none"/>
              </w:rPr>
              <w:t>12、风机蜗壳及前端吹风管采用耐高温工程塑料，末端吹风管采用金属材质；风机网罩和风机蜗壳一体式。</w:t>
            </w:r>
          </w:p>
          <w:p w14:paraId="67216D28">
            <w:pPr>
              <w:spacing w:line="360" w:lineRule="exact"/>
              <w:rPr>
                <w:rFonts w:hint="eastAsia" w:ascii="宋体" w:hAnsi="宋体" w:eastAsia="宋体" w:cs="宋体"/>
                <w:color w:val="auto"/>
                <w:kern w:val="0"/>
                <w:szCs w:val="21"/>
                <w:highlight w:val="none"/>
              </w:rPr>
            </w:pPr>
            <w:r>
              <w:rPr>
                <w:rFonts w:hint="eastAsia" w:ascii="宋体" w:hAnsi="宋体" w:eastAsia="宋体" w:cs="宋体"/>
                <w:b/>
                <w:bCs/>
                <w:color w:val="auto"/>
                <w:highlight w:val="none"/>
              </w:rPr>
              <w:t>▲</w:t>
            </w:r>
            <w:r>
              <w:rPr>
                <w:rFonts w:hint="eastAsia" w:ascii="宋体" w:hAnsi="宋体" w:eastAsia="宋体" w:cs="宋体"/>
                <w:color w:val="auto"/>
                <w:kern w:val="0"/>
                <w:szCs w:val="21"/>
                <w:highlight w:val="none"/>
              </w:rPr>
              <w:t xml:space="preserve">13、叶轮型式：塑料闭式叶轮，子母型叶片。 </w:t>
            </w:r>
          </w:p>
          <w:p w14:paraId="132F77F6">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14、背带型式：配备两套背带，作业背带和行军背带。 </w:t>
            </w:r>
          </w:p>
          <w:p w14:paraId="63A05B28">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15、油门手柄：可以实现无极调速，固定在任意转速，又可随时控制转速。 </w:t>
            </w:r>
          </w:p>
          <w:p w14:paraId="52F5F0A4">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16、后手把组合：减震手把，三点橡胶柱减震，有效降低震动。 </w:t>
            </w:r>
          </w:p>
          <w:p w14:paraId="4AD88770">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17、发动机形式：二冲程环保发动机，具有型式核准证书。</w:t>
            </w:r>
          </w:p>
          <w:p w14:paraId="338CE10B">
            <w:pPr>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18、提供国家便携式林业机械质量监督检测中心出具的检测报告</w:t>
            </w:r>
            <w:r>
              <w:rPr>
                <w:rFonts w:hint="eastAsia" w:ascii="宋体" w:hAnsi="宋体" w:cs="宋体"/>
                <w:color w:val="auto"/>
                <w:kern w:val="0"/>
                <w:szCs w:val="21"/>
                <w:highlight w:val="none"/>
                <w:lang w:eastAsia="zh-CN"/>
              </w:rPr>
              <w:t>。</w:t>
            </w:r>
          </w:p>
        </w:tc>
        <w:tc>
          <w:tcPr>
            <w:tcW w:w="1095" w:type="dxa"/>
            <w:tcBorders>
              <w:left w:val="single" w:color="auto" w:sz="4" w:space="0"/>
            </w:tcBorders>
            <w:noWrap w:val="0"/>
            <w:vAlign w:val="center"/>
          </w:tcPr>
          <w:p w14:paraId="53B086E5">
            <w:pPr>
              <w:spacing w:line="36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1600</w:t>
            </w:r>
          </w:p>
        </w:tc>
      </w:tr>
      <w:tr w14:paraId="267AF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center"/>
          </w:tcPr>
          <w:p w14:paraId="2CDEEF15">
            <w:pPr>
              <w:spacing w:line="360" w:lineRule="exact"/>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第二部分 商务要求</w:t>
            </w:r>
          </w:p>
        </w:tc>
      </w:tr>
      <w:tr w14:paraId="6C064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344724D">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合同签订时间</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36D8908E">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自中标通知书发出之日起25日内。</w:t>
            </w:r>
          </w:p>
        </w:tc>
      </w:tr>
      <w:tr w14:paraId="4D2AB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3EBD81E">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▲交付的时间和地点</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0B7101C7">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交货时间：自合同签订之日起 60 天内安装合格交付使用。</w:t>
            </w:r>
          </w:p>
          <w:p w14:paraId="0FF45BAD">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地点：广西区内采购人指定地点。</w:t>
            </w:r>
          </w:p>
        </w:tc>
      </w:tr>
      <w:tr w14:paraId="482A6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7682773">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▲付款条件</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60DF1F94">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auto"/>
                <w:kern w:val="0"/>
                <w:szCs w:val="21"/>
                <w:highlight w:val="none"/>
                <w:lang w:eastAsia="zh-CN"/>
              </w:rPr>
              <w:t>采购人收到发票之日起10个工作日内向中标人一次性支付项目全部费用</w:t>
            </w:r>
            <w:r>
              <w:rPr>
                <w:rFonts w:hint="eastAsia" w:ascii="宋体" w:hAnsi="宋体" w:eastAsia="宋体" w:cs="宋体"/>
                <w:color w:val="auto"/>
                <w:kern w:val="0"/>
                <w:szCs w:val="21"/>
                <w:highlight w:val="none"/>
              </w:rPr>
              <w:t>。</w:t>
            </w:r>
          </w:p>
          <w:p w14:paraId="1DBF441A">
            <w:pPr>
              <w:pStyle w:val="2"/>
              <w:rPr>
                <w:rFonts w:hint="eastAsia" w:ascii="宋体" w:hAnsi="宋体" w:eastAsia="宋体" w:cs="宋体"/>
                <w:color w:val="auto"/>
                <w:highlight w:val="none"/>
              </w:rPr>
            </w:pPr>
            <w:r>
              <w:rPr>
                <w:rFonts w:hint="eastAsia" w:ascii="宋体" w:hAnsi="宋体" w:eastAsia="宋体" w:cs="宋体"/>
                <w:color w:val="auto"/>
                <w:sz w:val="21"/>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7175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1982EE6">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▲质保期 </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0F5490C9">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装备质保期</w:t>
            </w:r>
            <w:r>
              <w:rPr>
                <w:rFonts w:hint="eastAsia" w:ascii="宋体" w:hAnsi="宋体" w:eastAsia="宋体" w:cs="宋体"/>
                <w:color w:val="auto"/>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20A6C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1A4F272">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▲售后服务</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6A7996CE">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043605DE">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2、免费培训：中标人负责免费培训使用人员和维护人员，内容包括设备及软件系统操作、日常维护，确保熟练掌握全部功能为止。</w:t>
            </w:r>
          </w:p>
          <w:p w14:paraId="17871355">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3、免费安装调试：中标人负责本项目所有货物的安装、调试及项目整体测试、联调和开通，并在试运行结束后由中标人整理验收材料提交采购人验收。</w:t>
            </w:r>
          </w:p>
          <w:p w14:paraId="2677A49B">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4、技术支持与服务：</w:t>
            </w:r>
          </w:p>
          <w:p w14:paraId="07FA44C3">
            <w:pPr>
              <w:widowControl/>
              <w:spacing w:line="3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63E26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5504E7C">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▲投标报价要求</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2A8C403B">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01BF2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70DE7847">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▲验收标准、验收方法及方案</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2AD83B61">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1AB21596">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65AEC088">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3、招标人组织验收，中标人必须到场配合，验收合格后双方签署验收合格凭证。</w:t>
            </w:r>
          </w:p>
          <w:p w14:paraId="391F3AF9">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43BE7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3EA4AFD">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其他要求</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661E00E6">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rPr>
              <w:t>、投标人投标文件中必须提供本标项所投产品的公开彩页（体现参数指标）或技术说明书（对于同一参数，彩页或技术说明书标明的参数与投标人的响应不一致的，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130F7611">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452CC9A9">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▲3、其余按第五章《政府采购合同文本》要求。</w:t>
            </w:r>
          </w:p>
          <w:p w14:paraId="55D10F37">
            <w:pPr>
              <w:widowControl/>
              <w:spacing w:line="360" w:lineRule="exact"/>
              <w:jc w:val="left"/>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4、</w:t>
            </w:r>
            <w:r>
              <w:rPr>
                <w:rFonts w:hint="eastAsia" w:ascii="宋体" w:hAnsi="宋体" w:cs="宋体"/>
                <w:b/>
                <w:bCs/>
                <w:color w:val="auto"/>
                <w:kern w:val="0"/>
                <w:szCs w:val="21"/>
                <w:highlight w:val="none"/>
                <w:lang w:val="en-US" w:eastAsia="zh-CN"/>
              </w:rPr>
              <w:t>供货时“便携式风力灭火机”产品均需贴上标识，标识采用PVC塑片防水标签，标签内容至少有招标人名称、项目名称、项目编号、产品名称、供货年月日等信息。</w:t>
            </w:r>
          </w:p>
          <w:p w14:paraId="6D67C0A6">
            <w:pPr>
              <w:widowControl/>
              <w:spacing w:line="360" w:lineRule="exact"/>
              <w:jc w:val="left"/>
              <w:textAlignment w:val="center"/>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、供应商可根据招标文件及评分办法的要求，在投标文件中提供产品性能、项目实施方案、售后服务方案、信誉分、人员配备等证明材料。</w:t>
            </w:r>
          </w:p>
        </w:tc>
      </w:tr>
      <w:tr w14:paraId="5A96C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21F46084">
            <w:pPr>
              <w:spacing w:line="360" w:lineRule="exac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第三部分 进口产品说明</w:t>
            </w:r>
          </w:p>
        </w:tc>
      </w:tr>
      <w:tr w14:paraId="629CE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28CE1AB3">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本分标中所有产品均不接受进口产品投标。</w:t>
            </w:r>
            <w:r>
              <w:rPr>
                <w:rFonts w:hint="eastAsia" w:ascii="宋体" w:hAnsi="宋体" w:eastAsia="宋体" w:cs="宋体"/>
                <w:b/>
                <w:bCs/>
                <w:color w:val="auto"/>
                <w:szCs w:val="21"/>
                <w:highlight w:val="none"/>
              </w:rPr>
              <w:t>进口产品投标的，投标无效。</w:t>
            </w:r>
          </w:p>
        </w:tc>
      </w:tr>
      <w:tr w14:paraId="6E05A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49E89D39">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第四部分 核心产品</w:t>
            </w:r>
          </w:p>
        </w:tc>
      </w:tr>
      <w:tr w14:paraId="44243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38986973">
            <w:pPr>
              <w:tabs>
                <w:tab w:val="left" w:pos="9660"/>
              </w:tabs>
              <w:spacing w:line="360" w:lineRule="exact"/>
              <w:ind w:right="97" w:rightChars="46"/>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本分标核心产品为第1项产品“</w:t>
            </w:r>
            <w:r>
              <w:rPr>
                <w:rFonts w:hint="eastAsia" w:ascii="宋体" w:hAnsi="宋体" w:eastAsia="宋体" w:cs="宋体"/>
                <w:bCs/>
                <w:color w:val="auto"/>
                <w:szCs w:val="21"/>
                <w:highlight w:val="none"/>
                <w:u w:val="single"/>
              </w:rPr>
              <w:t>便携式风力灭火机</w:t>
            </w:r>
            <w:r>
              <w:rPr>
                <w:rFonts w:hint="eastAsia" w:ascii="宋体" w:hAnsi="宋体" w:eastAsia="宋体" w:cs="宋体"/>
                <w:bCs/>
                <w:color w:val="auto"/>
                <w:szCs w:val="21"/>
                <w:highlight w:val="none"/>
              </w:rPr>
              <w:t>”，核心产品品牌相同的，视为提供同品牌产品。</w:t>
            </w:r>
          </w:p>
          <w:p w14:paraId="5DAFAA4C">
            <w:pPr>
              <w:tabs>
                <w:tab w:val="left" w:pos="9660"/>
              </w:tabs>
              <w:spacing w:line="360" w:lineRule="exact"/>
              <w:ind w:right="-10" w:rightChars="-5"/>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17C917A9">
      <w:pPr>
        <w:spacing w:line="360" w:lineRule="auto"/>
        <w:ind w:firstLine="308" w:firstLineChars="147"/>
        <w:jc w:val="left"/>
        <w:rPr>
          <w:rFonts w:hint="eastAsia" w:ascii="宋体" w:hAnsi="宋体" w:eastAsia="宋体" w:cs="宋体"/>
          <w:bCs/>
          <w:color w:val="auto"/>
          <w:szCs w:val="21"/>
          <w:highlight w:val="none"/>
          <w:u w:val="single"/>
        </w:rPr>
      </w:pPr>
    </w:p>
    <w:p w14:paraId="1A2DEEF8">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618"/>
        <w:gridCol w:w="5"/>
        <w:gridCol w:w="5"/>
        <w:gridCol w:w="5"/>
        <w:gridCol w:w="1000"/>
      </w:tblGrid>
      <w:tr w14:paraId="2D80D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10"/>
            <w:noWrap w:val="0"/>
            <w:vAlign w:val="center"/>
          </w:tcPr>
          <w:p w14:paraId="26527511">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第一部分 技术要求</w:t>
            </w:r>
          </w:p>
        </w:tc>
      </w:tr>
      <w:tr w14:paraId="6C143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0E742605">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82" w:type="dxa"/>
            <w:noWrap w:val="0"/>
            <w:vAlign w:val="center"/>
          </w:tcPr>
          <w:p w14:paraId="2CC79F3E">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标的的名称</w:t>
            </w:r>
          </w:p>
        </w:tc>
        <w:tc>
          <w:tcPr>
            <w:tcW w:w="675" w:type="dxa"/>
            <w:gridSpan w:val="2"/>
            <w:noWrap w:val="0"/>
            <w:vAlign w:val="center"/>
          </w:tcPr>
          <w:p w14:paraId="1897EB99">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7" w:type="dxa"/>
            <w:noWrap w:val="0"/>
            <w:vAlign w:val="center"/>
          </w:tcPr>
          <w:p w14:paraId="70832C71">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5618" w:type="dxa"/>
            <w:tcBorders>
              <w:right w:val="single" w:color="auto" w:sz="4" w:space="0"/>
            </w:tcBorders>
            <w:noWrap w:val="0"/>
            <w:vAlign w:val="center"/>
          </w:tcPr>
          <w:p w14:paraId="21916D1A">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c>
          <w:tcPr>
            <w:tcW w:w="1015" w:type="dxa"/>
            <w:gridSpan w:val="4"/>
            <w:tcBorders>
              <w:left w:val="single" w:color="auto" w:sz="4" w:space="0"/>
            </w:tcBorders>
            <w:noWrap w:val="0"/>
            <w:vAlign w:val="center"/>
          </w:tcPr>
          <w:p w14:paraId="0E886F68">
            <w:pPr>
              <w:tabs>
                <w:tab w:val="left" w:pos="180"/>
                <w:tab w:val="left" w:pos="1620"/>
              </w:tabs>
              <w:spacing w:line="360" w:lineRule="exact"/>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控制单价（元）</w:t>
            </w:r>
          </w:p>
        </w:tc>
      </w:tr>
      <w:tr w14:paraId="0DD37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3DF49E58">
            <w:pPr>
              <w:tabs>
                <w:tab w:val="left" w:pos="180"/>
                <w:tab w:val="left" w:pos="1620"/>
              </w:tabs>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82" w:type="dxa"/>
            <w:noWrap w:val="0"/>
            <w:vAlign w:val="center"/>
          </w:tcPr>
          <w:p w14:paraId="49C9DFA2">
            <w:pPr>
              <w:tabs>
                <w:tab w:val="left" w:pos="180"/>
                <w:tab w:val="left" w:pos="1620"/>
              </w:tabs>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扑</w:t>
            </w:r>
            <w:r>
              <w:rPr>
                <w:rFonts w:hint="eastAsia" w:ascii="宋体" w:hAnsi="宋体" w:eastAsia="宋体" w:cs="宋体"/>
                <w:color w:val="auto"/>
                <w:szCs w:val="21"/>
                <w:highlight w:val="none"/>
              </w:rPr>
              <w:t>火战斗套装</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（含扑火战斗服及腰带、扑火头盔及头套、扑火靴、扑火手套等）</w:t>
            </w:r>
          </w:p>
        </w:tc>
        <w:tc>
          <w:tcPr>
            <w:tcW w:w="675" w:type="dxa"/>
            <w:gridSpan w:val="2"/>
            <w:noWrap w:val="0"/>
            <w:vAlign w:val="center"/>
          </w:tcPr>
          <w:p w14:paraId="548F32CE">
            <w:pPr>
              <w:tabs>
                <w:tab w:val="left" w:pos="180"/>
                <w:tab w:val="left" w:pos="1620"/>
              </w:tabs>
              <w:spacing w:line="380" w:lineRule="exact"/>
              <w:jc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300</w:t>
            </w:r>
          </w:p>
        </w:tc>
        <w:tc>
          <w:tcPr>
            <w:tcW w:w="707" w:type="dxa"/>
            <w:noWrap w:val="0"/>
            <w:vAlign w:val="center"/>
          </w:tcPr>
          <w:p w14:paraId="184CF5FC">
            <w:pPr>
              <w:tabs>
                <w:tab w:val="left" w:pos="180"/>
                <w:tab w:val="left" w:pos="1620"/>
              </w:tabs>
              <w:spacing w:line="380" w:lineRule="exact"/>
              <w:jc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套</w:t>
            </w:r>
          </w:p>
        </w:tc>
        <w:tc>
          <w:tcPr>
            <w:tcW w:w="5618" w:type="dxa"/>
            <w:tcBorders>
              <w:right w:val="single" w:color="auto" w:sz="4" w:space="0"/>
            </w:tcBorders>
            <w:noWrap w:val="0"/>
            <w:vAlign w:val="center"/>
          </w:tcPr>
          <w:p w14:paraId="1D30E9CB">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一、扑火服：1、颜色:桔红色,色号;16-1462TPx(国际潘通色卡),色差△E≤3.5。</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2、面料材质;采用永久阻燃100%芳纶纤维方格布料，具有防静电、防水、阻燃性能。</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3、检验判定依据：GB/T33536-2017《防护服装 森林防火服》。</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4、森林防火服面料阻燃、隔热性能、物理化性能为：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续燃时间≤0.1s，阴燃时间≤0.1s</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损坏长度：T≤20mm;W≤20mm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断裂强度：经向≥1450N、纬向≥1350N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撕破强度：经向≥450N、纬向≥430N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热洗涤50次后防护系数TPP（kw.s/m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 xml:space="preserve">）≥340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无熔融、滴落现象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甲醛含量：≤</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mg/kg</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水洗尺寸变化率：-0.3%～0.2%</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热稳定性: 在(260℃±5):经过5min热稳定实验后,无熔融、滴落</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5、耐皂洗色牢度≥3-4级；耐光色牢度≥4级,耐水洗色牢度≥3-4级,耐摩擦色牢度≥3级,耐汗渍色牢度≥3-4级。</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6、大腿处加强面料的阻燃、隔热性能、物理化性能为：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续燃时间≤0.1s,阴燃时间≤0.1s</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损坏长度：T≤14mm;W≤12mm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断裂强度:经向≥1750N、纬向≥1650N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撕破强度;经向≥480N、纬向≥450N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热洗涤50次后防护系数TPP（kw.s/m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 xml:space="preserve">）≥480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无熔融、滴落现象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甲醛含量：未检出</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水洗尺寸变化率：-0.2%～-0.1%</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热稳定性: 在(260℃±5):经过5min热稳定实验后,无熔融、滴落 </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7、缝纫线断裂强力≥17N。</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8、森林防火服成品裤后裆断裂强力≥750N,肩接缝断裂强力≥720N,单衣接缝断裂强力≥310N。</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9、反光带：</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续燃时间≤0.1s，阴燃时间≤0.1s</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损坏长度：T≤16mm;W≤15mm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无熔融、滴落现象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反射率系数≥370cd/(lx*m</w:t>
            </w:r>
            <w:r>
              <w:rPr>
                <w:rFonts w:hint="eastAsia" w:ascii="宋体" w:hAnsi="宋体" w:eastAsia="宋体" w:cs="宋体"/>
                <w:color w:val="auto"/>
                <w:szCs w:val="21"/>
                <w:highlight w:val="none"/>
                <w:vertAlign w:val="superscript"/>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10、衣服中标后印字要求:按照采购人要求印字；</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11、全套外挂标牌。</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12、左手臂处自带两块毛面魔术贴,右手臂自带1块毛面魔术贴。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13、左前胸带悬挂袢及自由固定收紧式魔术贴。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14、大腿面部采用耐磨菱形格加强面料加固缝制。</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15、全套收紧:领口紧(采用魔术贴收紧),袖口紧(采用魔术贴收紧),衣服腰部收紧(采用衣服内部收紧绳调节松紧),衣服下口收紧(采用衣服内部收紧绳调节松紧）,裤口双重收紧(采用魔术贴及拉链调节松紧)。</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16、裤腰自由调节大小(采用魔术贴调节大小，调节范围≥0-20cm）。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17、衣服背部:采用风琴折凑方式制作(保证扑火队员运动时宽松）。</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18、补强处理:肩、肘、膝部应采用磨层加厚处理。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19、全套拉链不小于5号。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20、上衣至少具备6个包、裤采用外挂风琴包设计。</w:t>
            </w:r>
          </w:p>
          <w:p w14:paraId="2561330D">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二、头盔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1、头盔由盔壳和盔壳辅件组成，盔壳辅件由其盔壳上配戴的应急救援帽徽、L型导轨及下颏带、悬挂系统、减震内衬等部件组成。</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2、盔壳由轻型耐高温高弹性复合材料制成，悬挂后部有可调松紧的调节装置。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3、下颏带、头盔悬挂系统组件完整，紧急脱扣应扣解方便，下颏带可调节。</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4、悬挂带可调节长度为505mm～580mm，悬挂带由调节装置调整到佩戴人员所需尺寸。</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5、头盔两侧设有L型导轨：L型导轨固定在护耳上方，用来固定手电、护目镜等及其他辅件。</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6、头盔成品的总重量≤800g。</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7、 冲击吸收性能：头模所受冲击力≤2450N；帽壳不得有碎片脱落。</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8、阻燃性能：续燃时间≤0.5s；帽壳不得烧穿。</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9、耐穿透性能：经低温预处理钢锥不应与头模建立接触；</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10、热稳定性能：头盔在180℃的烘箱中保持5min后，其边沿无变形；硬质附件保持功能完好；反光材料表面无碳化、脱落现象。</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11、电绝缘性能：泄漏电流≤1.0mA。</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12、侧向刚性：最大变形≤40mm，卸载后变形≤2mm。 </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13、下颏带抗拉强度：下颏带不应发生断裂、滑脱，其延伸长度≤15mm。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三、头套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1、面料材质;采用永久阻燃100%芳纶纤维方格布料，具有防静电、防水、阻燃性能。</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2、续燃时间≤0.1s,阴燃时间≤0.1s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损坏长度：T≤100mm;W≤100mm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无熔融、滴落现象。</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3、接缝断裂强力≥1300N。</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4、甲醛含量：未检出。</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5、质量：≤200g。</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四、护目镜 </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1、外观：a.不存在让佩戴者感到不适和对使用者造成伤害的突出部分、尖锐边缘和其他缺陷。b.除镜片边缘5m宽的区域以外，镜片不存在气泡、水泡、划痕、凹痕、固体杂质、气体杂质、暗点、斑点、蚀损斑、霉斑、修补斑、蚀孔、碎片、裂纹、抛光缺陷和波纹等表面缺陷。</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2、质量：≤130g。</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3、光透射比：≥90%。</w:t>
            </w:r>
          </w:p>
          <w:p w14:paraId="53D29E4F">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4、检验判定依据：XF 633-2006《消防员抢险救援防护服装》。                                                                                                     五、扑火靴                                                                                                                                                                                                           1、款式：长靴款式，高≥15cm，颜色为黑色，鞋帮为U型口门系带式结构；鞋面为铬鞣黄牛头层黑色阻燃防水革,鞋里为黑色涤纶经编间隔网眼织物；鞋底为阻燃橡胶大底，帮底结合采用胶黏工艺；鞋底具有防加塞泥沙功能，防穿刺，耐磕碰性能。</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2、鞋帮抗刺穿性能≥300N；鞋底抗刺穿性能≥1200N；防滑性能：始滑角≥20°。</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3、隔热性能：在隔热性能实验中加热30min时，鞋底内表面的温升≤15℃。</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4、鞋帮抗辐射热渗透性能：鞋帮表面经辐射热通量为10Kw/㎡,辐照1min后期内表面温升≤15℃。</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5、阻燃性能：火焰离开试样各试验点后，离火自熄时间≤1s;损毁长度≤45mm；无熔融、熔滴或剥离。</w:t>
            </w:r>
          </w:p>
          <w:p w14:paraId="3F41FD1B">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6、检验判定依据：GB/T33536-2017、GB/T2703.2-2009。                                                                                                                                     六、扑火手套</w:t>
            </w:r>
          </w:p>
          <w:p w14:paraId="140C0A11">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1、款式：总长度≥40CM，带两道反光条；手腕有两道收紧设计。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2、面料：芳纶阻燃面料，具有隔热层、防滑层和阻燃层；可以和扑火服连成一体，防止火星和灰尘进入，形成整体保护。</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3、性能参数：续燃时间≤0.1s；阴燃时间≤0.1s。</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4、损毁长度≤17mm。</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5、断裂强力（洗涤50 次后）≥2000N。</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6、撕破强力（洗涤50 次后）≥700N。</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7、甲醛含量0 mg/kg；热稳定性≤1.2%。</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8、PH值6.0-7.0。</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9、热防护系数TPP KW.S/㎡≥290N。</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10、检验判定依据：XF 633-2006《消防员抢险救援防护服装》。</w:t>
            </w:r>
          </w:p>
          <w:p w14:paraId="5F78EF01">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七、含扑火战斗服及腰带、扑火头盔及头套、扑火靴、扑火手套。</w:t>
            </w:r>
          </w:p>
          <w:p w14:paraId="299AA16A">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八、以上所有标注有“</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”参数投标时需提供具有CMA或CNAS资格的检测机构出具的检测报告复印件予以佐证，</w:t>
            </w:r>
            <w:r>
              <w:rPr>
                <w:rFonts w:hint="eastAsia" w:ascii="宋体" w:hAnsi="宋体" w:eastAsia="宋体" w:cs="宋体"/>
                <w:color w:val="auto"/>
                <w:highlight w:val="none"/>
                <w:lang w:val="en-US" w:eastAsia="zh-CN"/>
              </w:rPr>
              <w:t>检测报告需标注或批注相应的内容以便评审查找，</w:t>
            </w:r>
            <w:r>
              <w:rPr>
                <w:rFonts w:hint="eastAsia" w:ascii="宋体" w:hAnsi="宋体" w:eastAsia="宋体" w:cs="宋体"/>
                <w:color w:val="auto"/>
                <w:szCs w:val="21"/>
                <w:highlight w:val="none"/>
              </w:rPr>
              <w:t>无法佐证或检验报告未体现</w:t>
            </w:r>
            <w:r>
              <w:rPr>
                <w:rFonts w:hint="eastAsia" w:ascii="宋体" w:hAnsi="宋体" w:eastAsia="宋体" w:cs="宋体"/>
                <w:color w:val="auto"/>
                <w:szCs w:val="21"/>
                <w:highlight w:val="none"/>
                <w:lang w:eastAsia="zh-CN"/>
              </w:rPr>
              <w:t>的按无效投标处理</w:t>
            </w:r>
            <w:r>
              <w:rPr>
                <w:rFonts w:hint="eastAsia" w:ascii="宋体" w:hAnsi="宋体" w:eastAsia="宋体" w:cs="宋体"/>
                <w:color w:val="auto"/>
                <w:szCs w:val="21"/>
                <w:highlight w:val="none"/>
              </w:rPr>
              <w:t>。</w:t>
            </w:r>
          </w:p>
        </w:tc>
        <w:tc>
          <w:tcPr>
            <w:tcW w:w="1015" w:type="dxa"/>
            <w:gridSpan w:val="4"/>
            <w:tcBorders>
              <w:left w:val="single" w:color="auto" w:sz="4" w:space="0"/>
            </w:tcBorders>
            <w:noWrap w:val="0"/>
            <w:vAlign w:val="center"/>
          </w:tcPr>
          <w:p w14:paraId="013E5DB7">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3600</w:t>
            </w:r>
          </w:p>
        </w:tc>
      </w:tr>
      <w:tr w14:paraId="4D16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423B19D1">
            <w:pPr>
              <w:tabs>
                <w:tab w:val="left" w:pos="180"/>
                <w:tab w:val="left" w:pos="1620"/>
              </w:tabs>
              <w:spacing w:line="380" w:lineRule="exact"/>
              <w:jc w:val="center"/>
              <w:rPr>
                <w:rFonts w:hint="eastAsia" w:ascii="宋体" w:hAnsi="宋体" w:eastAsia="宋体" w:cs="宋体"/>
                <w:color w:val="auto"/>
                <w:szCs w:val="21"/>
                <w:highlight w:val="none"/>
              </w:rPr>
            </w:pPr>
          </w:p>
        </w:tc>
        <w:tc>
          <w:tcPr>
            <w:tcW w:w="1182" w:type="dxa"/>
            <w:noWrap w:val="0"/>
            <w:vAlign w:val="center"/>
          </w:tcPr>
          <w:p w14:paraId="05A6AC6E">
            <w:pPr>
              <w:tabs>
                <w:tab w:val="left" w:pos="180"/>
                <w:tab w:val="left" w:pos="1620"/>
              </w:tabs>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背负式双动力高压灭火水枪</w:t>
            </w:r>
          </w:p>
        </w:tc>
        <w:tc>
          <w:tcPr>
            <w:tcW w:w="675" w:type="dxa"/>
            <w:gridSpan w:val="2"/>
            <w:noWrap w:val="0"/>
            <w:vAlign w:val="center"/>
          </w:tcPr>
          <w:p w14:paraId="6E8EC0F9">
            <w:pPr>
              <w:tabs>
                <w:tab w:val="left" w:pos="180"/>
                <w:tab w:val="left" w:pos="1620"/>
              </w:tabs>
              <w:spacing w:line="380" w:lineRule="exact"/>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420</w:t>
            </w:r>
          </w:p>
        </w:tc>
        <w:tc>
          <w:tcPr>
            <w:tcW w:w="707" w:type="dxa"/>
            <w:noWrap w:val="0"/>
            <w:vAlign w:val="center"/>
          </w:tcPr>
          <w:p w14:paraId="0E22B5CB">
            <w:pPr>
              <w:tabs>
                <w:tab w:val="left" w:pos="180"/>
                <w:tab w:val="left" w:pos="1620"/>
              </w:tabs>
              <w:spacing w:line="380" w:lineRule="exact"/>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台</w:t>
            </w:r>
          </w:p>
        </w:tc>
        <w:tc>
          <w:tcPr>
            <w:tcW w:w="5623" w:type="dxa"/>
            <w:gridSpan w:val="2"/>
            <w:tcBorders>
              <w:right w:val="single" w:color="auto" w:sz="4" w:space="0"/>
            </w:tcBorders>
            <w:noWrap w:val="0"/>
            <w:vAlign w:val="center"/>
          </w:tcPr>
          <w:p w14:paraId="2CFBD542">
            <w:pPr>
              <w:widowControl/>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1、桶装背负电动作业一体式，由电动铅酸蓄电池、枪体、连接管、水箱等部件组成；电池与电动水泵应均匀分布在水桶下面，安装有过滤网，背带应具有调节功能。</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2、同时具备手动作业和电动作业功能，背负式使用和行军。</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3、电池：电池容量:≥12AH，电压标准≥12V；充电≤12小时，能连续使用8小时以上；密封，免维护。</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4、电动作业时最大流量：≥2.5L/分钟，最大工作压力：≥0.6 MPA；射程：≥6m。</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5、容量：≥18L，净重量(含电池，不含水)≤8KG，耐压。</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6、喷头：具有六种角度的喷射方式，旋转式设计，旋转枪头时可单手操作。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7、手电动一体式设计，在没有电时，可往复式喷水。</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8、照明系统：</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8.1符合GB/T3836.1-2021、GB/T3836.4-2021、GB 30734―2014、GB/T15211-2013、GB/T5226.1-2019标准的技术要求，防爆等级:ExibIICT4Gb Exib IIIC T130℃</w:t>
            </w:r>
            <w:r>
              <w:rPr>
                <w:rFonts w:hint="eastAsia" w:ascii="宋体" w:hAnsi="宋体" w:eastAsia="宋体" w:cs="宋体"/>
                <w:color w:val="auto"/>
                <w:szCs w:val="21"/>
                <w:highlight w:val="none"/>
                <w:lang w:val="en-US" w:eastAsia="zh-CN"/>
              </w:rPr>
              <w:t>D</w:t>
            </w:r>
            <w:r>
              <w:rPr>
                <w:rFonts w:hint="eastAsia" w:ascii="宋体" w:hAnsi="宋体" w:eastAsia="宋体" w:cs="宋体"/>
                <w:color w:val="auto"/>
                <w:szCs w:val="21"/>
                <w:highlight w:val="none"/>
              </w:rPr>
              <w:t>b;防护等级IP66/IP68，充电方式：充电口为Type-c接口，可通过各种手机及电子类产品5V充电器， 额定功率3W；额定容量：3.7V，1900mAh；强光≥4h，工作光≥8h；防护等级IP66/IP68(5M，1.5h)；</w:t>
            </w:r>
            <w:r>
              <w:rPr>
                <w:rFonts w:hint="eastAsia" w:ascii="宋体" w:hAnsi="宋体" w:eastAsia="宋体" w:cs="宋体"/>
                <w:color w:val="auto"/>
                <w:szCs w:val="21"/>
                <w:highlight w:val="none"/>
              </w:rPr>
              <w:br w:type="textWrapping"/>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8.2米中心照度值：强光平均照度≥2000lx,强光最低≥1500lx；弱光平均照度≥1000lx，弱最低照度≥750lx：光通量聚光强光320lm，聚光弱光160lm。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9、标注有“</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”参数投标时需提供具有CMA或CNAS资格的检测机构出具的检测报告复印件予以佐证，</w:t>
            </w:r>
            <w:r>
              <w:rPr>
                <w:rFonts w:hint="eastAsia" w:ascii="宋体" w:hAnsi="宋体" w:eastAsia="宋体" w:cs="宋体"/>
                <w:color w:val="auto"/>
                <w:highlight w:val="none"/>
                <w:lang w:val="en-US" w:eastAsia="zh-CN"/>
              </w:rPr>
              <w:t>检测报告需标注或批注相应的内容以便评审查找，</w:t>
            </w:r>
            <w:r>
              <w:rPr>
                <w:rFonts w:hint="eastAsia" w:ascii="宋体" w:hAnsi="宋体" w:eastAsia="宋体" w:cs="宋体"/>
                <w:color w:val="auto"/>
                <w:szCs w:val="21"/>
                <w:highlight w:val="none"/>
              </w:rPr>
              <w:t>无法佐证或检验报告未体现</w:t>
            </w:r>
            <w:r>
              <w:rPr>
                <w:rFonts w:hint="eastAsia" w:ascii="宋体" w:hAnsi="宋体" w:eastAsia="宋体" w:cs="宋体"/>
                <w:color w:val="auto"/>
                <w:szCs w:val="21"/>
                <w:highlight w:val="none"/>
                <w:lang w:eastAsia="zh-CN"/>
              </w:rPr>
              <w:t>的按无效投标处理</w:t>
            </w:r>
            <w:r>
              <w:rPr>
                <w:rFonts w:hint="eastAsia" w:ascii="宋体" w:hAnsi="宋体" w:eastAsia="宋体" w:cs="宋体"/>
                <w:color w:val="auto"/>
                <w:szCs w:val="21"/>
                <w:highlight w:val="none"/>
              </w:rPr>
              <w:t>。</w:t>
            </w:r>
          </w:p>
        </w:tc>
        <w:tc>
          <w:tcPr>
            <w:tcW w:w="1010" w:type="dxa"/>
            <w:gridSpan w:val="3"/>
            <w:tcBorders>
              <w:left w:val="single" w:color="auto" w:sz="4" w:space="0"/>
            </w:tcBorders>
            <w:noWrap w:val="0"/>
            <w:vAlign w:val="center"/>
          </w:tcPr>
          <w:p w14:paraId="3CDE9817">
            <w:pPr>
              <w:widowControl/>
              <w:spacing w:line="360" w:lineRule="exact"/>
              <w:ind w:firstLine="210" w:firstLineChars="10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2600</w:t>
            </w:r>
          </w:p>
        </w:tc>
      </w:tr>
      <w:tr w14:paraId="3348E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62B550BC">
            <w:pPr>
              <w:widowControl/>
              <w:spacing w:line="360" w:lineRule="exact"/>
              <w:jc w:val="lef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2</w:t>
            </w:r>
          </w:p>
        </w:tc>
        <w:tc>
          <w:tcPr>
            <w:tcW w:w="1182" w:type="dxa"/>
            <w:noWrap w:val="0"/>
            <w:vAlign w:val="center"/>
          </w:tcPr>
          <w:p w14:paraId="78C33CFA">
            <w:pPr>
              <w:widowControl/>
              <w:spacing w:line="360" w:lineRule="exact"/>
              <w:jc w:val="lef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二号工具</w:t>
            </w:r>
          </w:p>
        </w:tc>
        <w:tc>
          <w:tcPr>
            <w:tcW w:w="675" w:type="dxa"/>
            <w:gridSpan w:val="2"/>
            <w:noWrap w:val="0"/>
            <w:vAlign w:val="center"/>
          </w:tcPr>
          <w:p w14:paraId="315BC5D5">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9120</w:t>
            </w:r>
          </w:p>
        </w:tc>
        <w:tc>
          <w:tcPr>
            <w:tcW w:w="707" w:type="dxa"/>
            <w:noWrap w:val="0"/>
            <w:vAlign w:val="center"/>
          </w:tcPr>
          <w:p w14:paraId="75A69E78">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把</w:t>
            </w:r>
          </w:p>
        </w:tc>
        <w:tc>
          <w:tcPr>
            <w:tcW w:w="5628" w:type="dxa"/>
            <w:gridSpan w:val="3"/>
            <w:tcBorders>
              <w:right w:val="single" w:color="auto" w:sz="4" w:space="0"/>
            </w:tcBorders>
            <w:noWrap w:val="0"/>
            <w:vAlign w:val="center"/>
          </w:tcPr>
          <w:p w14:paraId="30B5737F">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1、手柄长</w:t>
            </w:r>
            <w:r>
              <w:rPr>
                <w:rFonts w:hint="eastAsia" w:ascii="宋体" w:hAnsi="宋体" w:eastAsia="宋体" w:cs="宋体"/>
                <w:color w:val="auto"/>
                <w:kern w:val="0"/>
                <w:szCs w:val="21"/>
                <w:highlight w:val="none"/>
              </w:rPr>
              <w:t>度：1.5米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，重量：约1.25Kg</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，直径约3.5cm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396374A5">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2、优质白蜡木杆，手柄光滑无倒刺。</w:t>
            </w:r>
          </w:p>
          <w:p w14:paraId="302F2931">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3、杆体挺直无裂痕和瑕疵点，无虫蛀，不易脱落，牢固耐用。 </w:t>
            </w:r>
          </w:p>
          <w:p w14:paraId="59F3AC26">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4、木杆可弯曲&gt;70°。</w:t>
            </w:r>
          </w:p>
          <w:p w14:paraId="78F8DCCF">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5、阻燃胶皮长（约）：长550mm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，宽：15mm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，厚：2mm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56CE6330">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6、拍头材质：内有加强棉线的橡胶条，厚度约为0.2cm，条数为16条以上，橡胶条宽度约为1.5cm，一次性切割均匀无裂口。</w:t>
            </w:r>
          </w:p>
          <w:p w14:paraId="10FCE30E">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7、橡胶条根数：</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 xml:space="preserve">20条非旧轮胎改造，2层内加阻燃棉。 </w:t>
            </w:r>
          </w:p>
          <w:p w14:paraId="4573E38D">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8、橡胶条与木杆连接处2个u形钉橡胶条缠绕在手柄上用钢钉固定。</w:t>
            </w:r>
          </w:p>
          <w:p w14:paraId="15124FF5">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9、捆绑处用约1cm钢箍加固。</w:t>
            </w:r>
          </w:p>
        </w:tc>
        <w:tc>
          <w:tcPr>
            <w:tcW w:w="1005" w:type="dxa"/>
            <w:gridSpan w:val="2"/>
            <w:tcBorders>
              <w:left w:val="single" w:color="auto" w:sz="4" w:space="0"/>
            </w:tcBorders>
            <w:noWrap w:val="0"/>
            <w:vAlign w:val="center"/>
          </w:tcPr>
          <w:p w14:paraId="7662C3BA">
            <w:pPr>
              <w:widowControl/>
              <w:spacing w:line="360" w:lineRule="exact"/>
              <w:ind w:firstLine="210" w:firstLineChars="1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r>
      <w:tr w14:paraId="0CB71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03BFDEC0">
            <w:pPr>
              <w:widowControl/>
              <w:spacing w:line="360" w:lineRule="exact"/>
              <w:jc w:val="lef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3</w:t>
            </w:r>
          </w:p>
        </w:tc>
        <w:tc>
          <w:tcPr>
            <w:tcW w:w="1182" w:type="dxa"/>
            <w:noWrap w:val="0"/>
            <w:vAlign w:val="center"/>
          </w:tcPr>
          <w:p w14:paraId="6FD489B6">
            <w:pPr>
              <w:widowControl/>
              <w:spacing w:line="360" w:lineRule="exact"/>
              <w:jc w:val="lef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三号工具</w:t>
            </w:r>
          </w:p>
        </w:tc>
        <w:tc>
          <w:tcPr>
            <w:tcW w:w="675" w:type="dxa"/>
            <w:gridSpan w:val="2"/>
            <w:noWrap w:val="0"/>
            <w:vAlign w:val="center"/>
          </w:tcPr>
          <w:p w14:paraId="78A216FD">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400</w:t>
            </w:r>
          </w:p>
        </w:tc>
        <w:tc>
          <w:tcPr>
            <w:tcW w:w="707" w:type="dxa"/>
            <w:noWrap w:val="0"/>
            <w:vAlign w:val="center"/>
          </w:tcPr>
          <w:p w14:paraId="71194575">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把</w:t>
            </w:r>
          </w:p>
        </w:tc>
        <w:tc>
          <w:tcPr>
            <w:tcW w:w="5628" w:type="dxa"/>
            <w:gridSpan w:val="3"/>
            <w:tcBorders>
              <w:right w:val="single" w:color="auto" w:sz="4" w:space="0"/>
            </w:tcBorders>
            <w:noWrap w:val="0"/>
            <w:vAlign w:val="center"/>
          </w:tcPr>
          <w:p w14:paraId="38501AF6">
            <w:pPr>
              <w:widowControl/>
              <w:spacing w:line="360" w:lineRule="exact"/>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1、名称：便携式三号工具</w:t>
            </w:r>
          </w:p>
          <w:p w14:paraId="53E7FAF4">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2、用途：</w:t>
            </w:r>
            <w:r>
              <w:rPr>
                <w:rFonts w:hint="eastAsia" w:ascii="宋体" w:hAnsi="宋体" w:eastAsia="宋体" w:cs="宋体"/>
                <w:color w:val="auto"/>
                <w:szCs w:val="21"/>
                <w:highlight w:val="none"/>
              </w:rPr>
              <w:t>野外拍打灭火。</w:t>
            </w:r>
          </w:p>
          <w:p w14:paraId="7A03FDB5">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灭火拍:在长杆外壁套接有滑套，内壁固装有定位块，通过长杆外</w:t>
            </w:r>
          </w:p>
          <w:p w14:paraId="21B44839">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壁上设置的滑道与空腔的长杆内安装的钢丝束滑套外壁相连接，前端部位固装有≥26根钢丝，每根钢丝穿过长杆，前端部位设置有钢丝束罩，上开有钢丝绳通孔，不适用时，所有钢丝可置于工具杆管腔内，方便保管运输。打火时可通过特殊设计的滑道将拍头推出，即可进行灭火作业。</w:t>
            </w:r>
          </w:p>
          <w:p w14:paraId="7583BC68">
            <w:pPr>
              <w:widowControl/>
              <w:spacing w:line="360" w:lineRule="exact"/>
              <w:jc w:val="left"/>
              <w:textAlignment w:val="center"/>
              <w:rPr>
                <w:color w:val="auto"/>
                <w:highlight w:val="none"/>
              </w:rPr>
            </w:pPr>
            <w:r>
              <w:rPr>
                <w:rFonts w:hint="eastAsia" w:ascii="宋体" w:hAnsi="宋体" w:eastAsia="宋体" w:cs="宋体"/>
                <w:color w:val="auto"/>
                <w:szCs w:val="21"/>
                <w:highlight w:val="none"/>
              </w:rPr>
              <w:t>构成:组成部分:消防铲、集成抽拉杆、钢丝拍头。扑火带条数: ≥26根，长度: 700mm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杆长1200mm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,中25mm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。滑道长</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600mm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铲高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35mm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铲宽: 100mm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。单独工具包。</w:t>
            </w:r>
          </w:p>
          <w:p w14:paraId="14C41C3A">
            <w:pPr>
              <w:widowControl/>
              <w:spacing w:line="360" w:lineRule="exact"/>
              <w:jc w:val="left"/>
              <w:textAlignment w:val="center"/>
              <w:rPr>
                <w:rFonts w:hint="eastAsia"/>
                <w:color w:val="auto"/>
                <w:highlight w:val="none"/>
              </w:rPr>
            </w:pPr>
            <w:r>
              <w:rPr>
                <w:rFonts w:hint="eastAsia"/>
                <w:color w:val="auto"/>
                <w:highlight w:val="none"/>
                <w:lang w:val="en-US" w:eastAsia="zh-CN"/>
              </w:rPr>
              <w:t>4、</w:t>
            </w:r>
            <w:r>
              <w:rPr>
                <w:rFonts w:hint="eastAsia"/>
                <w:color w:val="auto"/>
                <w:highlight w:val="none"/>
              </w:rPr>
              <w:t>灭火时，用内壁上装有的定位块，通过长杆外壁上设置的滑道将空腔内安装的根钢丝束</w:t>
            </w:r>
            <w:r>
              <w:rPr>
                <w:rFonts w:hint="eastAsia"/>
                <w:color w:val="auto"/>
                <w:highlight w:val="none"/>
                <w:lang w:eastAsia="zh-CN"/>
              </w:rPr>
              <w:t>全部</w:t>
            </w:r>
            <w:r>
              <w:rPr>
                <w:rFonts w:hint="eastAsia"/>
                <w:color w:val="auto"/>
                <w:highlight w:val="none"/>
              </w:rPr>
              <w:t>滑出。钢丝束全部滑出后，抓紧长杆进行上下扑打。</w:t>
            </w:r>
          </w:p>
          <w:p w14:paraId="5E7409B6">
            <w:pPr>
              <w:widowControl/>
              <w:spacing w:line="360" w:lineRule="exact"/>
              <w:jc w:val="left"/>
              <w:textAlignment w:val="center"/>
              <w:rPr>
                <w:rFonts w:hint="eastAsia"/>
                <w:color w:val="auto"/>
                <w:highlight w:val="none"/>
              </w:rPr>
            </w:pPr>
            <w:r>
              <w:rPr>
                <w:rFonts w:hint="eastAsia"/>
                <w:color w:val="auto"/>
                <w:highlight w:val="none"/>
                <w:lang w:val="en-US" w:eastAsia="zh-CN"/>
              </w:rPr>
              <w:t>5、</w:t>
            </w:r>
            <w:r>
              <w:rPr>
                <w:rFonts w:hint="eastAsia"/>
                <w:color w:val="auto"/>
                <w:highlight w:val="none"/>
              </w:rPr>
              <w:t>灭火工作结束后，利用内壁上的定位块将钢丝束收回，方便保管运输。</w:t>
            </w:r>
          </w:p>
        </w:tc>
        <w:tc>
          <w:tcPr>
            <w:tcW w:w="1005" w:type="dxa"/>
            <w:gridSpan w:val="2"/>
            <w:tcBorders>
              <w:left w:val="single" w:color="auto" w:sz="4" w:space="0"/>
            </w:tcBorders>
            <w:noWrap w:val="0"/>
            <w:vAlign w:val="center"/>
          </w:tcPr>
          <w:p w14:paraId="7FDD1F5C">
            <w:pPr>
              <w:widowControl/>
              <w:spacing w:line="360" w:lineRule="exact"/>
              <w:ind w:firstLine="210" w:firstLineChars="100"/>
              <w:jc w:val="left"/>
              <w:textAlignment w:val="center"/>
              <w:rPr>
                <w:rFonts w:hint="eastAsia"/>
                <w:color w:val="auto"/>
                <w:highlight w:val="none"/>
                <w:lang w:val="en-US" w:eastAsia="zh-CN"/>
              </w:rPr>
            </w:pPr>
            <w:r>
              <w:rPr>
                <w:rFonts w:hint="eastAsia"/>
                <w:color w:val="auto"/>
                <w:highlight w:val="none"/>
                <w:lang w:val="en-US" w:eastAsia="zh-CN"/>
              </w:rPr>
              <w:t>25</w:t>
            </w:r>
          </w:p>
        </w:tc>
      </w:tr>
      <w:tr w14:paraId="7426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6878ADB8">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w:t>
            </w:r>
          </w:p>
        </w:tc>
        <w:tc>
          <w:tcPr>
            <w:tcW w:w="1182" w:type="dxa"/>
            <w:noWrap w:val="0"/>
            <w:vAlign w:val="center"/>
          </w:tcPr>
          <w:p w14:paraId="7F248809">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接力水泵</w:t>
            </w:r>
            <w:r>
              <w:rPr>
                <w:rFonts w:hint="eastAsia" w:ascii="宋体" w:hAnsi="宋体" w:cs="宋体"/>
                <w:color w:val="auto"/>
                <w:szCs w:val="21"/>
                <w:highlight w:val="none"/>
                <w:lang w:val="en-US" w:eastAsia="zh-CN"/>
              </w:rPr>
              <w:t>（配水管、移动水池）</w:t>
            </w:r>
          </w:p>
        </w:tc>
        <w:tc>
          <w:tcPr>
            <w:tcW w:w="675" w:type="dxa"/>
            <w:gridSpan w:val="2"/>
            <w:noWrap w:val="0"/>
            <w:vAlign w:val="center"/>
          </w:tcPr>
          <w:p w14:paraId="5558555B">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27</w:t>
            </w:r>
          </w:p>
        </w:tc>
        <w:tc>
          <w:tcPr>
            <w:tcW w:w="707" w:type="dxa"/>
            <w:noWrap w:val="0"/>
            <w:vAlign w:val="center"/>
          </w:tcPr>
          <w:p w14:paraId="5A231FB1">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台</w:t>
            </w:r>
          </w:p>
        </w:tc>
        <w:tc>
          <w:tcPr>
            <w:tcW w:w="5633" w:type="dxa"/>
            <w:gridSpan w:val="4"/>
            <w:tcBorders>
              <w:right w:val="single" w:color="auto" w:sz="4" w:space="0"/>
            </w:tcBorders>
            <w:noWrap w:val="0"/>
            <w:vAlign w:val="center"/>
          </w:tcPr>
          <w:p w14:paraId="17B5F1E1">
            <w:pPr>
              <w:widowControl/>
              <w:spacing w:line="360" w:lineRule="exac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一、高压接力消防水泵</w:t>
            </w:r>
          </w:p>
          <w:p w14:paraId="02D959AD">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1.发动机：二冲程水冷与空气</w:t>
            </w:r>
            <w:r>
              <w:rPr>
                <w:rFonts w:hint="eastAsia" w:ascii="宋体" w:hAnsi="宋体" w:cs="宋体"/>
                <w:color w:val="auto"/>
                <w:szCs w:val="21"/>
                <w:highlight w:val="none"/>
                <w:lang w:eastAsia="zh-CN"/>
              </w:rPr>
              <w:t>复合</w:t>
            </w:r>
            <w:r>
              <w:rPr>
                <w:rFonts w:hint="eastAsia" w:ascii="宋体" w:hAnsi="宋体" w:eastAsia="宋体" w:cs="宋体"/>
                <w:color w:val="auto"/>
                <w:szCs w:val="21"/>
                <w:highlight w:val="none"/>
              </w:rPr>
              <w:t>冷却汽油发动机，发动机排量≥110cc；</w:t>
            </w:r>
          </w:p>
          <w:p w14:paraId="7886AAC4">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2.整机净质量≤12kg；</w:t>
            </w:r>
          </w:p>
          <w:p w14:paraId="483C0CCE">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3、最大扬程≥285m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4F16A911">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 发动机功率/转速≥15HP/12000r/min；</w:t>
            </w:r>
          </w:p>
          <w:p w14:paraId="5F5105A0">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5.综合油耗≤2.5L/小时；</w:t>
            </w:r>
          </w:p>
          <w:p w14:paraId="7D95DBD3">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6.水泵型式：闭式强制三级叶轮离心泵；</w:t>
            </w:r>
          </w:p>
          <w:p w14:paraId="316AC01E">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7.叶轮材质：不锈钢或铝合金叶轮；</w:t>
            </w:r>
          </w:p>
          <w:p w14:paraId="3F3693EC">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8. 最大压力≥2.85Mpa，</w:t>
            </w:r>
          </w:p>
          <w:p w14:paraId="50F70CCB">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9.最大流量≥330L/min；</w:t>
            </w:r>
          </w:p>
          <w:p w14:paraId="22C11B0F">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10.工况1：压力≥0.5MPa时流量≥240L/min; </w:t>
            </w:r>
          </w:p>
          <w:p w14:paraId="694069B4">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工况2：压力≥1.0MPa时流量≥200L/min;</w:t>
            </w:r>
          </w:p>
          <w:p w14:paraId="4009DB1E">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工况3：压力≥1.5MPa时流量≥150L/min;</w:t>
            </w:r>
          </w:p>
          <w:p w14:paraId="769F8FE7">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工况4：压力≥2.0MPa时流量≥50L/min</w:t>
            </w:r>
          </w:p>
          <w:p w14:paraId="03519061">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11.最大射程≥35m；</w:t>
            </w:r>
          </w:p>
          <w:p w14:paraId="291FB0B9">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12.冷却方式：低压平衡管强制水冷和风冷复合式冷却方式；</w:t>
            </w:r>
          </w:p>
          <w:p w14:paraId="60B4D613">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13.启动方式：手拉启动和电启动；</w:t>
            </w:r>
          </w:p>
          <w:p w14:paraId="7D617FCA">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14.启动电源：应具备可反复充电的可拆卸式锂电池，电池质量≤500g，</w:t>
            </w:r>
          </w:p>
          <w:p w14:paraId="46C1E661">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16.保护系统：具有过热、无水保护功能，发动机高温、超速、过热时会自动熄火保护。</w:t>
            </w:r>
          </w:p>
          <w:p w14:paraId="62804845">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17.在油管充满燃油的情况下，冷启动时间≤5s。</w:t>
            </w:r>
          </w:p>
          <w:p w14:paraId="172B8BB3">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18.发电系统：自带发电系统，发电电压≥14.5V,点火电路及启动控制系统应为全防水封装，控制电路采用航空插头。</w:t>
            </w:r>
          </w:p>
          <w:p w14:paraId="6A482935">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19.水泵结构和材质：闭合式双级不锈钢叶轮离心泵，出水口自带单向阀。具有减震支撑结构、防反转保护结构，泵壳、泵体采用高强度抗腐蚀铝合金铸造，水泵部件采用抗腐蚀材料制成。</w:t>
            </w:r>
          </w:p>
          <w:p w14:paraId="1CA6D2CD">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20.过滤器：空气过滤器采用金属丝网状空气过滤器；燃油过滤器：内置燃油过滤器，油泵中装有滤网。</w:t>
            </w:r>
          </w:p>
          <w:p w14:paraId="1133494D">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背架形式：应配备全方位保护框架，具有减震支撑结构，可以使水杂在各个方向都可存放。设备应设有便于提拿的把手，可立、可卧、可侧方位存放，背架应采用不锈钢耐腐材质，框架与地面之间具有4个双层减震胶垫。</w:t>
            </w:r>
          </w:p>
          <w:p w14:paraId="73CC5AA0">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22.横、纵向倾斜性能：泵在横向、纵向倾斜 90°的条件下，在额定工况下，各连续运转 1h，泵应能正常工作。</w:t>
            </w:r>
          </w:p>
          <w:p w14:paraId="094D4CB4">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携行方式：可拆卸式全包围双肩安全背包，带有夜光显示条，背包两侧有袋子可以放置配件、工具等物品。</w:t>
            </w:r>
          </w:p>
          <w:p w14:paraId="6E97A271">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23.外观要求：所有水泵部件采用高压压铸工艺，外表面光滑平整不应有麻面、结疤、气泡、砂眼等缺陷。外露的</w:t>
            </w:r>
            <w:r>
              <w:rPr>
                <w:rFonts w:hint="eastAsia" w:ascii="宋体" w:hAnsi="宋体" w:cs="宋体"/>
                <w:color w:val="auto"/>
                <w:szCs w:val="21"/>
                <w:highlight w:val="none"/>
                <w:lang w:eastAsia="zh-CN"/>
              </w:rPr>
              <w:t>塑壳</w:t>
            </w:r>
            <w:r>
              <w:rPr>
                <w:rFonts w:hint="eastAsia" w:ascii="宋体" w:hAnsi="宋体" w:eastAsia="宋体" w:cs="宋体"/>
                <w:color w:val="auto"/>
                <w:szCs w:val="21"/>
                <w:highlight w:val="none"/>
              </w:rPr>
              <w:t>、箱体涂层质量应符合 QC/T484-19991 表 1的 TQ1 甲级的规定。</w:t>
            </w:r>
          </w:p>
          <w:p w14:paraId="79961492">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配有水泵专用的多功能行军附件背包和机油。全套明细包含：主机一台、水泵背包一个、油箱一个、油箱背包一个、手动泵油管一个、手动引水泵一个、吸水管及卡箍一套、进水过滤底阀一套、电启动配套装置一套、直流喷头一个、雾射喷枪一个、单向阀一个、带水门开关的三通一套、维修工具包一套、月牙专用扳手两把、止水钳一把、水带修补环2个、附件背包一个、专用机油一瓶、过滤框一个（所有附件与市场上的任何森林消防水泵通用）。</w:t>
            </w:r>
          </w:p>
          <w:p w14:paraId="3EB28BA7">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25、标注有“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”参数需提供具有国家认可的检测范围且具有CMA或CNAS资格的检测机构出具的检测报告予以佐证，</w:t>
            </w:r>
            <w:r>
              <w:rPr>
                <w:rFonts w:hint="eastAsia" w:ascii="宋体" w:hAnsi="宋体" w:eastAsia="宋体" w:cs="宋体"/>
                <w:color w:val="auto"/>
                <w:highlight w:val="none"/>
                <w:lang w:val="en-US" w:eastAsia="zh-CN"/>
              </w:rPr>
              <w:t>检测报告需标注或批注相应的内容以便评审查找，</w:t>
            </w:r>
            <w:r>
              <w:rPr>
                <w:rFonts w:hint="eastAsia" w:ascii="宋体" w:hAnsi="宋体" w:eastAsia="宋体" w:cs="宋体"/>
                <w:color w:val="auto"/>
                <w:szCs w:val="21"/>
                <w:highlight w:val="none"/>
              </w:rPr>
              <w:t>无法佐证或检验报告未体现做负偏离处理。</w:t>
            </w:r>
          </w:p>
          <w:p w14:paraId="049FDD86">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高压接力水带</w:t>
            </w:r>
          </w:p>
          <w:p w14:paraId="014CE374">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1、产品符合《森林高压水带检验大纲》的标准要求。标注有“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”参数需提供具有国家认可的检测范围且具有CMA或CNAS资格的检测机构出具的检测报告予以佐证，</w:t>
            </w:r>
            <w:r>
              <w:rPr>
                <w:rFonts w:hint="eastAsia" w:ascii="宋体" w:hAnsi="宋体" w:eastAsia="宋体" w:cs="宋体"/>
                <w:color w:val="auto"/>
                <w:highlight w:val="none"/>
                <w:lang w:val="en-US" w:eastAsia="zh-CN"/>
              </w:rPr>
              <w:t>检测报告需标注或批注相应的内容以便评审查找，</w:t>
            </w:r>
            <w:r>
              <w:rPr>
                <w:rFonts w:hint="eastAsia" w:ascii="宋体" w:hAnsi="宋体" w:eastAsia="宋体" w:cs="宋体"/>
                <w:color w:val="auto"/>
                <w:szCs w:val="21"/>
                <w:highlight w:val="none"/>
              </w:rPr>
              <w:t xml:space="preserve">无法佐证或检验报告未体现做负偏离处理。    </w:t>
            </w:r>
          </w:p>
          <w:p w14:paraId="5C0B40C6">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2、水带口径为40mm，内衬材质采用聚氨酯材质，厚度均匀，表面光滑清洁，无褶皱，不渗水，不霉变，柔软轻便易卷缠，耐老化，水流阻力小，使用寿命长；</w:t>
            </w:r>
          </w:p>
          <w:p w14:paraId="1D093F1D">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3、爆破压力≥10MPa，单位长度质量≤200g/m，轴向延伸率≤2.0%，直径膨胀率≤3.0%，织物层与衬里附着强度≥55N/25MM,每卷长度为30米；</w:t>
            </w:r>
          </w:p>
          <w:p w14:paraId="171DBF9A">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4、水带两头均配有40口径的快速接；</w:t>
            </w:r>
          </w:p>
          <w:p w14:paraId="6E9CD55C">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5、外层材质采用高强度涤纶长丝线材质，工艺采用经圆织机环形编织而成，且耐压、耐磨、耐磨蚀、耐高低温、轻便柔软、易于清洗，使用寿命长；</w:t>
            </w:r>
          </w:p>
          <w:p w14:paraId="4CC06FE1">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6、水带一端清楚的标志着规格的相关信息永不掉落；</w:t>
            </w:r>
          </w:p>
          <w:p w14:paraId="437D410C">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7、包装：使用编织袋包装，包装结实牢固，便于搬运。</w:t>
            </w:r>
          </w:p>
          <w:p w14:paraId="5EA84DE4">
            <w:pPr>
              <w:widowControl/>
              <w:spacing w:line="360" w:lineRule="exac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三、移动蓄水池</w:t>
            </w:r>
          </w:p>
          <w:p w14:paraId="2D0A6A03">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一、功能</w:t>
            </w:r>
          </w:p>
          <w:p w14:paraId="1CE53404">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主要用于无水源场景，作为森林消防泵及其他以水灭火装备的临时水源点，无需捆绑固定可直接向罐内注水自立，适合斜坡地形使用。</w:t>
            </w:r>
          </w:p>
          <w:p w14:paraId="37B6FB83">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二、技术参数</w:t>
            </w:r>
          </w:p>
          <w:p w14:paraId="2588B0A3">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1、移动水池容量:2000L</w:t>
            </w:r>
          </w:p>
          <w:p w14:paraId="62D94FF6">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2、材质：基布为聚酯纤维；纱线粗细：1000D×1000D，织物密度：18×18，特点：强度高、重量轻、无毒、无味、不污染水质、耐老化性耐水性良好；涂层为达到食品级聚酯氯乙烯。</w:t>
            </w:r>
          </w:p>
          <w:p w14:paraId="37FA37E2">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3、纤维含量：100%；</w:t>
            </w:r>
          </w:p>
          <w:p w14:paraId="45A351A3">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4、断裂强力：经向≥75kN/m、纬向≥70kN/ml；</w:t>
            </w:r>
          </w:p>
          <w:p w14:paraId="520FB54C">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5、涂层剥离强力：经向≥2kN/m 、纬向≥2kN/ml；</w:t>
            </w:r>
          </w:p>
          <w:p w14:paraId="08E9A882">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6、低温冲击：无裂缝、不分层；</w:t>
            </w:r>
          </w:p>
          <w:p w14:paraId="63C7C4D6">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7、焊缝强力：≥60kN/m；</w:t>
            </w:r>
          </w:p>
          <w:p w14:paraId="159101D4">
            <w:pPr>
              <w:widowControl/>
              <w:spacing w:line="360" w:lineRule="exact"/>
              <w:jc w:val="left"/>
              <w:textAlignment w:val="center"/>
              <w:rPr>
                <w:rFonts w:hint="eastAsia" w:ascii="仿宋" w:hAnsi="仿宋" w:eastAsia="仿宋" w:cs="仿宋"/>
                <w:color w:val="auto"/>
                <w:sz w:val="24"/>
                <w:highlight w:val="none"/>
                <w:lang w:eastAsia="zh-CN"/>
              </w:rPr>
            </w:pPr>
            <w:r>
              <w:rPr>
                <w:rFonts w:hint="eastAsia" w:ascii="宋体" w:hAnsi="宋体" w:eastAsia="宋体" w:cs="宋体"/>
                <w:color w:val="auto"/>
                <w:szCs w:val="21"/>
                <w:highlight w:val="none"/>
              </w:rPr>
              <w:t>8、标注有“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”参数需提供省级或省级以上具有CNAS或CMA资格的检测机构出具的检测报告予以佐证，</w:t>
            </w:r>
            <w:r>
              <w:rPr>
                <w:rFonts w:hint="eastAsia" w:ascii="宋体" w:hAnsi="宋体" w:eastAsia="宋体" w:cs="宋体"/>
                <w:color w:val="auto"/>
                <w:highlight w:val="none"/>
                <w:lang w:val="en-US" w:eastAsia="zh-CN"/>
              </w:rPr>
              <w:t>检测报告需标注或批注相应的内容以便评审查找，</w:t>
            </w:r>
            <w:r>
              <w:rPr>
                <w:rFonts w:hint="eastAsia" w:ascii="宋体" w:hAnsi="宋体" w:eastAsia="宋体" w:cs="宋体"/>
                <w:color w:val="auto"/>
                <w:szCs w:val="21"/>
                <w:highlight w:val="none"/>
              </w:rPr>
              <w:t>无法佐证或检验报告未体现做负偏离处理。</w:t>
            </w:r>
          </w:p>
        </w:tc>
        <w:tc>
          <w:tcPr>
            <w:tcW w:w="1000" w:type="dxa"/>
            <w:tcBorders>
              <w:left w:val="single" w:color="auto" w:sz="4" w:space="0"/>
            </w:tcBorders>
            <w:noWrap w:val="0"/>
            <w:vAlign w:val="center"/>
          </w:tcPr>
          <w:p w14:paraId="584D3D7D">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40000</w:t>
            </w:r>
          </w:p>
        </w:tc>
      </w:tr>
      <w:tr w14:paraId="26420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center"/>
          </w:tcPr>
          <w:p w14:paraId="6D22E3C1">
            <w:pPr>
              <w:spacing w:line="360" w:lineRule="exac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第二部分 商务要求</w:t>
            </w:r>
          </w:p>
        </w:tc>
      </w:tr>
      <w:tr w14:paraId="3EA4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683E7376">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合同签订时间</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303BC7B7">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自中标通知书发出之日起25日内。</w:t>
            </w:r>
          </w:p>
        </w:tc>
      </w:tr>
      <w:tr w14:paraId="0BBC2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4C2B7B0">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▲交付的时间和地点</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64614EE1">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交货时间：自合同签订之日起 </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0 天内安装合格交付使用。</w:t>
            </w:r>
          </w:p>
          <w:p w14:paraId="7C892509">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地点：广西区内采购人指定地点。</w:t>
            </w:r>
          </w:p>
        </w:tc>
      </w:tr>
      <w:tr w14:paraId="2530A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2EB900E4">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▲付款条件</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2063A3AC">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auto"/>
                <w:kern w:val="0"/>
                <w:szCs w:val="21"/>
                <w:highlight w:val="none"/>
                <w:lang w:eastAsia="zh-CN"/>
              </w:rPr>
              <w:t>采购人收到发票之日起10个工作日内向中标人一次性支付项目全部费用</w:t>
            </w:r>
            <w:r>
              <w:rPr>
                <w:rFonts w:hint="eastAsia" w:ascii="宋体" w:hAnsi="宋体" w:eastAsia="宋体" w:cs="宋体"/>
                <w:color w:val="auto"/>
                <w:kern w:val="0"/>
                <w:szCs w:val="21"/>
                <w:highlight w:val="none"/>
              </w:rPr>
              <w:t>。</w:t>
            </w:r>
          </w:p>
          <w:p w14:paraId="56DCE359">
            <w:pPr>
              <w:pStyle w:val="2"/>
              <w:rPr>
                <w:rFonts w:hint="eastAsia" w:ascii="宋体" w:hAnsi="宋体" w:eastAsia="宋体" w:cs="宋体"/>
                <w:color w:val="auto"/>
                <w:highlight w:val="none"/>
              </w:rPr>
            </w:pPr>
            <w:r>
              <w:rPr>
                <w:rFonts w:hint="eastAsia" w:ascii="宋体" w:hAnsi="宋体" w:eastAsia="宋体" w:cs="宋体"/>
                <w:color w:val="auto"/>
                <w:sz w:val="21"/>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2D85B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B905584">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▲质保期 </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6337B7C3">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装备质保期</w:t>
            </w:r>
            <w:r>
              <w:rPr>
                <w:rFonts w:hint="eastAsia" w:ascii="宋体" w:hAnsi="宋体" w:eastAsia="宋体" w:cs="宋体"/>
                <w:color w:val="auto"/>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275FD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BC6CFD2">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▲售后服务</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673A081C">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w:t>
            </w:r>
            <w:r>
              <w:rPr>
                <w:rFonts w:hint="eastAsia" w:ascii="宋体" w:hAnsi="宋体" w:eastAsia="宋体" w:cs="宋体"/>
                <w:color w:val="auto"/>
                <w:kern w:val="0"/>
                <w:szCs w:val="21"/>
                <w:highlight w:val="none"/>
              </w:rPr>
              <w:t>、免费更换零部件，免费提供</w:t>
            </w: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rPr>
              <w:t>；（6）提供终身维护；（7）其余按厂家承诺进行。</w:t>
            </w:r>
          </w:p>
          <w:p w14:paraId="304016E3">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2、免费培训：中标人负责免费培训使用人员和维护人员，内容包括设备操作、日常维护，确保熟练掌握全部功能为止。</w:t>
            </w:r>
          </w:p>
          <w:p w14:paraId="3A547887">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3、免费安装调试：中标人负责本项目所有货物的安装、调试及项目整体测试、联调和开通，并在试运行结束后由中标人整理验收材料提交采购人验收</w:t>
            </w:r>
            <w:r>
              <w:rPr>
                <w:rFonts w:hint="eastAsia" w:ascii="宋体" w:hAnsi="宋体" w:eastAsia="宋体" w:cs="宋体"/>
                <w:color w:val="auto"/>
                <w:kern w:val="0"/>
                <w:szCs w:val="21"/>
                <w:highlight w:val="none"/>
              </w:rPr>
              <w:t>。</w:t>
            </w:r>
          </w:p>
          <w:p w14:paraId="70A409CA">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4、技术支持与服务：</w:t>
            </w:r>
          </w:p>
          <w:p w14:paraId="76C9F3B3">
            <w:pPr>
              <w:widowControl/>
              <w:spacing w:line="3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61DDE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766C08E">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▲投标报价要求</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068EE5FE">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22B9B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AE39E2F">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▲验收标准、验收方法及方案</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7F90FA01">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6A05A254">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651477C1">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3、招标人组织验收，中标人必须到场配合，验收合格后双方签署验收合格凭证。</w:t>
            </w:r>
          </w:p>
          <w:p w14:paraId="7EEB058F">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0DFB2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89212C0">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其他要求</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2CE4053D">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rPr>
              <w:t>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4AA5460A">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08530439">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▲3、其余按第五章《政府采购合同文本》要求。</w:t>
            </w:r>
          </w:p>
          <w:p w14:paraId="2B36214E">
            <w:pPr>
              <w:widowControl/>
              <w:spacing w:line="360" w:lineRule="exact"/>
              <w:jc w:val="left"/>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4、</w:t>
            </w:r>
            <w:r>
              <w:rPr>
                <w:rFonts w:hint="eastAsia" w:ascii="宋体" w:hAnsi="宋体" w:cs="宋体"/>
                <w:b/>
                <w:bCs/>
                <w:color w:val="auto"/>
                <w:kern w:val="0"/>
                <w:szCs w:val="21"/>
                <w:highlight w:val="none"/>
                <w:lang w:val="en-US" w:eastAsia="zh-CN"/>
              </w:rPr>
              <w:t>供货时“背负式双动力高压灭火水枪、接力水泵”产品均需贴上标识，标识采用PVC塑片防水标签，标签内容至少有招标人名称、项目名称、项目编号、产品名称、供货年月日等信息。</w:t>
            </w:r>
          </w:p>
          <w:p w14:paraId="2A5A5BC7">
            <w:pPr>
              <w:widowControl/>
              <w:spacing w:line="360" w:lineRule="exact"/>
              <w:jc w:val="left"/>
              <w:textAlignment w:val="center"/>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、供应商可根据招标文件及评分办法的要求，在投标文件中提供产品性能、项目实施方案、售后服务方案、信誉分、人员配备等证明材料。</w:t>
            </w:r>
          </w:p>
        </w:tc>
      </w:tr>
      <w:tr w14:paraId="115F2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7345C04F">
            <w:pPr>
              <w:spacing w:line="360" w:lineRule="exac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第三部分 进口产品说明</w:t>
            </w:r>
          </w:p>
        </w:tc>
      </w:tr>
      <w:tr w14:paraId="716B5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019CB871">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本分标中所有产品均不接受进口产品投标。</w:t>
            </w:r>
            <w:r>
              <w:rPr>
                <w:rFonts w:hint="eastAsia" w:ascii="宋体" w:hAnsi="宋体" w:eastAsia="宋体" w:cs="宋体"/>
                <w:b/>
                <w:bCs/>
                <w:color w:val="auto"/>
                <w:szCs w:val="21"/>
                <w:highlight w:val="none"/>
              </w:rPr>
              <w:t>进口产品投标的，投标无效。</w:t>
            </w:r>
          </w:p>
        </w:tc>
      </w:tr>
      <w:tr w14:paraId="7DAE1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25FDFFCC">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第四部分 核心产品</w:t>
            </w:r>
          </w:p>
        </w:tc>
      </w:tr>
      <w:tr w14:paraId="7539C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743198CA">
            <w:pPr>
              <w:tabs>
                <w:tab w:val="left" w:pos="9660"/>
              </w:tabs>
              <w:spacing w:line="360" w:lineRule="exact"/>
              <w:ind w:right="97" w:rightChars="46"/>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本分标核心产品为第</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项产品“</w:t>
            </w:r>
            <w:r>
              <w:rPr>
                <w:rFonts w:hint="eastAsia" w:ascii="宋体" w:hAnsi="宋体" w:eastAsia="宋体" w:cs="宋体"/>
                <w:b/>
                <w:bCs w:val="0"/>
                <w:color w:val="auto"/>
                <w:szCs w:val="21"/>
                <w:highlight w:val="none"/>
                <w:u w:val="single"/>
              </w:rPr>
              <w:t>背负式双动力高压灭火水枪</w:t>
            </w:r>
            <w:r>
              <w:rPr>
                <w:rFonts w:hint="eastAsia" w:ascii="宋体" w:hAnsi="宋体" w:eastAsia="宋体" w:cs="宋体"/>
                <w:bCs/>
                <w:color w:val="auto"/>
                <w:szCs w:val="21"/>
                <w:highlight w:val="none"/>
              </w:rPr>
              <w:t>”，核心产品品牌相同的，视为提供同品牌产品。</w:t>
            </w:r>
          </w:p>
          <w:p w14:paraId="5A390225">
            <w:pPr>
              <w:tabs>
                <w:tab w:val="left" w:pos="9660"/>
              </w:tabs>
              <w:spacing w:line="360" w:lineRule="exact"/>
              <w:ind w:right="-10" w:rightChars="-5"/>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31C02D66">
      <w:pPr>
        <w:pStyle w:val="2"/>
        <w:rPr>
          <w:rFonts w:hint="eastAsia" w:ascii="宋体" w:hAnsi="宋体" w:eastAsia="宋体" w:cs="宋体"/>
          <w:color w:val="auto"/>
          <w:highlight w:val="none"/>
        </w:rPr>
      </w:pPr>
    </w:p>
    <w:p w14:paraId="062D7A98">
      <w:pPr>
        <w:pStyle w:val="2"/>
        <w:rPr>
          <w:rFonts w:hint="eastAsia" w:ascii="宋体" w:hAnsi="宋体" w:eastAsia="宋体" w:cs="宋体"/>
          <w:color w:val="auto"/>
          <w:highlight w:val="none"/>
        </w:rPr>
      </w:pPr>
    </w:p>
    <w:p w14:paraId="4A473051">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513"/>
        <w:gridCol w:w="1120"/>
      </w:tblGrid>
      <w:tr w14:paraId="343A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7"/>
            <w:noWrap w:val="0"/>
            <w:vAlign w:val="center"/>
          </w:tcPr>
          <w:p w14:paraId="23B47A3B">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第一部分 技术要求</w:t>
            </w:r>
          </w:p>
        </w:tc>
      </w:tr>
      <w:tr w14:paraId="3FE9F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345700E7">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82" w:type="dxa"/>
            <w:noWrap w:val="0"/>
            <w:vAlign w:val="center"/>
          </w:tcPr>
          <w:p w14:paraId="0D1445C9">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标的的名称</w:t>
            </w:r>
          </w:p>
        </w:tc>
        <w:tc>
          <w:tcPr>
            <w:tcW w:w="675" w:type="dxa"/>
            <w:gridSpan w:val="2"/>
            <w:noWrap w:val="0"/>
            <w:vAlign w:val="center"/>
          </w:tcPr>
          <w:p w14:paraId="2F547469">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7" w:type="dxa"/>
            <w:noWrap w:val="0"/>
            <w:vAlign w:val="center"/>
          </w:tcPr>
          <w:p w14:paraId="5A3C6B83">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5513" w:type="dxa"/>
            <w:tcBorders>
              <w:right w:val="single" w:color="auto" w:sz="4" w:space="0"/>
            </w:tcBorders>
            <w:noWrap w:val="0"/>
            <w:vAlign w:val="center"/>
          </w:tcPr>
          <w:p w14:paraId="5A906190">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c>
          <w:tcPr>
            <w:tcW w:w="1120" w:type="dxa"/>
            <w:tcBorders>
              <w:left w:val="single" w:color="auto" w:sz="4" w:space="0"/>
            </w:tcBorders>
            <w:noWrap w:val="0"/>
            <w:vAlign w:val="center"/>
          </w:tcPr>
          <w:p w14:paraId="3B62CD16">
            <w:pPr>
              <w:tabs>
                <w:tab w:val="left" w:pos="180"/>
                <w:tab w:val="left" w:pos="1620"/>
              </w:tabs>
              <w:spacing w:line="360" w:lineRule="exact"/>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控制单价（元）</w:t>
            </w:r>
          </w:p>
        </w:tc>
      </w:tr>
      <w:tr w14:paraId="177D7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06DD6CF4">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w:t>
            </w:r>
          </w:p>
        </w:tc>
        <w:tc>
          <w:tcPr>
            <w:tcW w:w="1182" w:type="dxa"/>
            <w:noWrap w:val="0"/>
            <w:vAlign w:val="center"/>
          </w:tcPr>
          <w:p w14:paraId="30E90DE6">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中型灭火无人机</w:t>
            </w:r>
            <w:r>
              <w:rPr>
                <w:rFonts w:hint="eastAsia" w:ascii="宋体" w:hAnsi="宋体" w:cs="宋体"/>
                <w:color w:val="auto"/>
                <w:kern w:val="0"/>
                <w:szCs w:val="21"/>
                <w:highlight w:val="none"/>
                <w:lang w:val="en-US" w:eastAsia="zh-CN"/>
              </w:rPr>
              <w:t xml:space="preserve">       （含无人机、吊装和灭火模块）</w:t>
            </w:r>
          </w:p>
        </w:tc>
        <w:tc>
          <w:tcPr>
            <w:tcW w:w="675" w:type="dxa"/>
            <w:gridSpan w:val="2"/>
            <w:noWrap w:val="0"/>
            <w:vAlign w:val="center"/>
          </w:tcPr>
          <w:p w14:paraId="7F20A8FD">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3</w:t>
            </w:r>
          </w:p>
        </w:tc>
        <w:tc>
          <w:tcPr>
            <w:tcW w:w="707" w:type="dxa"/>
            <w:noWrap w:val="0"/>
            <w:vAlign w:val="center"/>
          </w:tcPr>
          <w:p w14:paraId="0BFA02D4">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套</w:t>
            </w:r>
          </w:p>
        </w:tc>
        <w:tc>
          <w:tcPr>
            <w:tcW w:w="5513" w:type="dxa"/>
            <w:tcBorders>
              <w:right w:val="single" w:color="auto" w:sz="4" w:space="0"/>
            </w:tcBorders>
            <w:noWrap w:val="0"/>
            <w:vAlign w:val="center"/>
          </w:tcPr>
          <w:p w14:paraId="755C67C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一、无人机整机</w:t>
            </w:r>
          </w:p>
          <w:p w14:paraId="20BEF6B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1、整机重量：≤65kg（装配吊运系统)</w:t>
            </w:r>
          </w:p>
          <w:p w14:paraId="5546E7B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▲2、最大起飞重量：≤150 kg（装配吊运系统)</w:t>
            </w:r>
          </w:p>
          <w:p w14:paraId="6A3D54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▲3、吊运载荷：≥85 kg</w:t>
            </w:r>
          </w:p>
          <w:p w14:paraId="21EFD70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4、无人机轴距：≤2330 mm（对角线)</w:t>
            </w:r>
          </w:p>
          <w:p w14:paraId="1C51638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5、悬停精度，启用RTK:1cm+1ppm(水平），1.5cm+1ppm(垂直)</w:t>
            </w:r>
          </w:p>
          <w:p w14:paraId="2CEFCCF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6、悬停精度，未启用RTK:水平±60cm，垂直±30cm</w:t>
            </w:r>
          </w:p>
          <w:p w14:paraId="7F81323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7、无人机工作环境温度：0℃至40℃</w:t>
            </w:r>
          </w:p>
          <w:p w14:paraId="3DEC8D1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8、无人机最大可承受风速：≥6 m/s</w:t>
            </w:r>
          </w:p>
          <w:p w14:paraId="32C9762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9、电机定子尺寸：≥155 x 16 mm</w:t>
            </w:r>
          </w:p>
          <w:p w14:paraId="01D73E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10、电机KV值：≥60 rpm/V</w:t>
            </w:r>
          </w:p>
          <w:p w14:paraId="00043F0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11、螺旋桨材质：碳纤维复材</w:t>
            </w:r>
          </w:p>
          <w:p w14:paraId="106680A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12、螺旋桨尺寸：≥62英寸</w:t>
            </w:r>
          </w:p>
          <w:p w14:paraId="26486E6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▲13、螺旋桨数量：8对</w:t>
            </w:r>
          </w:p>
          <w:p w14:paraId="5C3E91D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14、灭火水箱材质：HDPE</w:t>
            </w:r>
          </w:p>
          <w:p w14:paraId="55F3797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▲15、灭火水箱容积：≥75L</w:t>
            </w:r>
          </w:p>
          <w:p w14:paraId="1B96C97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16、灭火喷头数量：4</w:t>
            </w:r>
          </w:p>
          <w:p w14:paraId="427C770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17、灭火喷头间距：1834mm±5mm（四喷头最外侧)</w:t>
            </w:r>
          </w:p>
          <w:p w14:paraId="547949F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18、有效喷幅范围：5-11m</w:t>
            </w:r>
          </w:p>
          <w:p w14:paraId="48D4443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19、喷头最大流量：≥40L/min（4喷头）</w:t>
            </w:r>
          </w:p>
          <w:p w14:paraId="27D30F4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20、有源相控阵雷达有效全向辐射功率EIRP：＜20dBm(NCC/MIC/KC/CE/ FCC )</w:t>
            </w:r>
          </w:p>
          <w:p w14:paraId="0DE4FFE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21、雷达工作环境温度：0℃至40℃</w:t>
            </w:r>
          </w:p>
          <w:p w14:paraId="52C04E6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▲22、激光雷达工作功耗：≤7W，</w:t>
            </w:r>
          </w:p>
          <w:p w14:paraId="77C3F9D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▲23、前雷达工作功耗：≤20W，</w:t>
            </w:r>
          </w:p>
          <w:p w14:paraId="186ABFD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▲24、下视雷达工作功耗：≤5W，</w:t>
            </w:r>
          </w:p>
          <w:p w14:paraId="335B69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▲25、后视雷达工作功耗：≤5W</w:t>
            </w:r>
          </w:p>
          <w:p w14:paraId="20618B0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26、激光雷达视野范围（FOV）：约垂直272°，水平60°</w:t>
            </w:r>
          </w:p>
          <w:p w14:paraId="74BDB97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27、前雷达视野范围（FOV）：约水平360°，垂直±45°</w:t>
            </w:r>
          </w:p>
          <w:p w14:paraId="699C794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28、下视雷达视野范围（FOV）：左右±12.5°，前后±22.5° </w:t>
            </w:r>
          </w:p>
          <w:p w14:paraId="47AF1A4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29、后视雷达视野范围（FOV）：左右±45°，前后±45°</w:t>
            </w:r>
          </w:p>
          <w:p w14:paraId="6CDC8A5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30、四目视觉系统视野范围（FOV）：约水平360°，垂直180°</w:t>
            </w:r>
          </w:p>
          <w:p w14:paraId="327E34F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31、FPV摄像头视野范围（FOV）：约水平±86°，垂直108°</w:t>
            </w:r>
          </w:p>
          <w:p w14:paraId="6CF1163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32、测距范围：≥55m</w:t>
            </w:r>
          </w:p>
          <w:p w14:paraId="458E578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▲33、有效安全避障绕行速度：≥13 m/s</w:t>
            </w:r>
          </w:p>
          <w:p w14:paraId="0665DDD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▲34、有效避障高度：≥1.5m</w:t>
            </w:r>
          </w:p>
          <w:p w14:paraId="664758D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二、遥控器</w:t>
            </w:r>
          </w:p>
          <w:p w14:paraId="1446799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▲1、遥控器显示屏尺寸：≥7 英寸触控液晶显示屏</w:t>
            </w:r>
          </w:p>
          <w:p w14:paraId="5A70618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2、遥控器显示屏分辨率：≥分辨率1920×1200，亮度1400 cd/m²</w:t>
            </w:r>
          </w:p>
          <w:p w14:paraId="135747A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3、遥控器显示屏存放环境温度：-30℃至45℃</w:t>
            </w:r>
          </w:p>
          <w:p w14:paraId="173C01E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4、遥控器显示屏充电环境温度：5℃至40℃</w:t>
            </w:r>
          </w:p>
          <w:p w14:paraId="59E5E0F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5、遥控器显示屏内置电池续航时间：≥3.5小时</w:t>
            </w:r>
          </w:p>
          <w:p w14:paraId="39933F5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6、遥控器显示屏外置电池续航时间：≥3 小时</w:t>
            </w:r>
          </w:p>
          <w:p w14:paraId="398CC3E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7、遥控器显示屏充电方式：使用最大功率65W（最大电压20V）的USB-C快充充电器。</w:t>
            </w:r>
          </w:p>
          <w:p w14:paraId="21A5C16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8、遥控器显示屏充电时间：≤2小时。</w:t>
            </w:r>
          </w:p>
          <w:p w14:paraId="6CB5AB3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三、智能飞行电池</w:t>
            </w:r>
          </w:p>
          <w:p w14:paraId="659B0A4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▲1、智能飞行电池重量：14.7±0.3 kg</w:t>
            </w:r>
          </w:p>
          <w:p w14:paraId="29E2E7B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▲2、智能飞行电池容量：≥40000 mAh</w:t>
            </w:r>
          </w:p>
          <w:p w14:paraId="60F4CDB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▲3、智能飞行电池电压：52V</w:t>
            </w:r>
          </w:p>
          <w:p w14:paraId="03B933B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▲4、变频充电站输出通道：≥3通道</w:t>
            </w:r>
          </w:p>
          <w:p w14:paraId="7342C2D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①通道直流充电输出：42-61.6 V/11500W</w:t>
            </w:r>
          </w:p>
          <w:p w14:paraId="713FF6C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②通道风冷散热器供电：12 V/6A</w:t>
            </w:r>
          </w:p>
          <w:p w14:paraId="05A4D77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③通道交流输出：220 V/1500W</w:t>
            </w:r>
          </w:p>
          <w:p w14:paraId="0555CD3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▲5、给智能飞行电池充电时间:8-9分钟（标配智能飞行电池，从30%电量充到95%电量)</w:t>
            </w:r>
          </w:p>
          <w:p w14:paraId="0F64207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四、变频发电充电站</w:t>
            </w:r>
          </w:p>
          <w:p w14:paraId="3905266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▲1、变频发电充电站油箱容量: ≥30L</w:t>
            </w:r>
          </w:p>
          <w:p w14:paraId="03BA01D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2、变频发电充电站启动方式:一键启动</w:t>
            </w:r>
          </w:p>
          <w:p w14:paraId="7D4CAC2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3、变频发电充电站工作环境温度:0℃至40℃</w:t>
            </w:r>
          </w:p>
          <w:p w14:paraId="41EEE39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4、变频发电充电站尺寸: ≤760 mm x 705 mm x680 mm</w:t>
            </w:r>
          </w:p>
          <w:p w14:paraId="144898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▲5、变频发电充电站重量:87±0.5 kg</w:t>
            </w:r>
          </w:p>
          <w:p w14:paraId="38CD0B9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6、变频发电充电站燃料类型:92#汽油或以上牌号</w:t>
            </w:r>
          </w:p>
          <w:p w14:paraId="03681ED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7、变频发电充电站油耗: ≤550 mL/kWh</w:t>
            </w:r>
          </w:p>
          <w:p w14:paraId="698F81D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五、智能充电器</w:t>
            </w:r>
          </w:p>
          <w:p w14:paraId="7744F8B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1、智能充电器外形尺寸: ≤456 mm x295 mm x 109 mm</w:t>
            </w:r>
          </w:p>
          <w:p w14:paraId="444408B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2、智能充电器重量: ≤13.2 kg</w:t>
            </w:r>
          </w:p>
          <w:p w14:paraId="45BF2F2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六、灭火弹抛投器</w:t>
            </w:r>
          </w:p>
          <w:p w14:paraId="5B6A4B6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▲1、灭火弹抛投器尺寸：≤480mm*265mm*150mm</w:t>
            </w:r>
          </w:p>
          <w:p w14:paraId="0AF2D75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▲2、灭火弹抛投器重量：≤2990g（含测高模块）</w:t>
            </w:r>
          </w:p>
          <w:p w14:paraId="1055363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▲3、灭火弹抛投器安装方式：快拆</w:t>
            </w:r>
          </w:p>
          <w:p w14:paraId="74C39EB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4、灭火弹抛投器工作温度：-20℃~45℃</w:t>
            </w:r>
          </w:p>
          <w:p w14:paraId="2F134F0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5、灭火弹抛投器供电电压：24V~80V（飞机电池端直接取电）</w:t>
            </w:r>
          </w:p>
          <w:p w14:paraId="17810BB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▲6、灭火弹抛投器峰值功率：≤50w</w:t>
            </w:r>
          </w:p>
          <w:p w14:paraId="0A15556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▲7、灭火弹抛投器单钩最大载重：≥45Kg</w:t>
            </w:r>
          </w:p>
          <w:p w14:paraId="23E0449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▲8、灭火弹抛投器标配挂钩数量：6个</w:t>
            </w:r>
          </w:p>
          <w:p w14:paraId="63C7ED4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▲9、灭火弹抛投器投放方式：全抛，单抛，2钩抛</w:t>
            </w:r>
          </w:p>
          <w:p w14:paraId="10ECA8A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▲10、灭火弹抛投器引爆高度信息源：外接毫米波雷达测高</w:t>
            </w:r>
          </w:p>
          <w:p w14:paraId="0EF433B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▲11、灭火弹抛投器起爆高度：app可调（3m~20m）</w:t>
            </w:r>
          </w:p>
          <w:p w14:paraId="2E2BB57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▲12、灭火弹抛投器测高范围：10m~100m</w:t>
            </w:r>
          </w:p>
          <w:p w14:paraId="12E4A73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▲13、灭火弹抛投器测高精度（m）：±0.5m</w:t>
            </w:r>
          </w:p>
          <w:p w14:paraId="5FA0F73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▲14、灭火弹抛投器安全功能：APP具备安全开关、遥控器显示弹状态。</w:t>
            </w:r>
          </w:p>
          <w:p w14:paraId="7C0B455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15、灭火弹抛投器通信接口：网口</w:t>
            </w:r>
          </w:p>
          <w:p w14:paraId="773B800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▲16灭火弹抛投器控制方式：智慧负载APP</w:t>
            </w:r>
          </w:p>
          <w:p w14:paraId="729564F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七、消防喷枪</w:t>
            </w:r>
          </w:p>
          <w:p w14:paraId="1BF2AA4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▲1、消防喷枪长度：≥2010mm</w:t>
            </w:r>
          </w:p>
          <w:p w14:paraId="02A198E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▲2、消防喷枪重量：≤950g </w:t>
            </w:r>
          </w:p>
          <w:p w14:paraId="432CDDF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3、消防水带直径：≥40mm</w:t>
            </w:r>
          </w:p>
          <w:p w14:paraId="7A7E1D6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4、消防喷枪安装方式：快拆</w:t>
            </w:r>
          </w:p>
          <w:p w14:paraId="5D90CA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5、灭火剂种类：消防泡沫/消防水剂</w:t>
            </w:r>
          </w:p>
          <w:p w14:paraId="0C25BD4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6、建议使用高度：0m~80m</w:t>
            </w:r>
          </w:p>
          <w:p w14:paraId="51B32FF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7、消防喷枪水带长度：≥90m                        </w:t>
            </w:r>
          </w:p>
          <w:p w14:paraId="2C381D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8、喷口有效射程：10m~15m                     </w:t>
            </w:r>
          </w:p>
          <w:p w14:paraId="6BDA510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9、消防喷枪水带耐压：≥2.5Mpa，</w:t>
            </w:r>
          </w:p>
          <w:p w14:paraId="632E34B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10、消防喷枪水带爆破压力：≥3.2Mpa</w:t>
            </w:r>
          </w:p>
          <w:p w14:paraId="47E967C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11、水带连接方式：一体式锻造接头</w:t>
            </w:r>
          </w:p>
          <w:p w14:paraId="1A164AB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整机配套：整机1台、吊运负载器1套、变频发电充电站1台、智能充电器1台、灭火弹抛投器1套、消防喷枪1套、智能飞行电池3组、无人机整机保险1年。</w:t>
            </w:r>
          </w:p>
          <w:p w14:paraId="71CEE56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标注有“▲”参数投标时需提供具有CMA或CNAS资格的检测机构出具的检测报告复印件予以佐证，检测报告需标注或批注相应的内容以便评审查找，无法佐证或检验报告未体现的按无效投标处理。</w:t>
            </w:r>
          </w:p>
        </w:tc>
        <w:tc>
          <w:tcPr>
            <w:tcW w:w="1120" w:type="dxa"/>
            <w:tcBorders>
              <w:left w:val="single" w:color="auto" w:sz="4" w:space="0"/>
            </w:tcBorders>
            <w:noWrap w:val="0"/>
            <w:vAlign w:val="center"/>
          </w:tcPr>
          <w:p w14:paraId="3AF6C44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220000</w:t>
            </w:r>
          </w:p>
        </w:tc>
      </w:tr>
      <w:tr w14:paraId="27C85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5F15328F">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2</w:t>
            </w:r>
          </w:p>
        </w:tc>
        <w:tc>
          <w:tcPr>
            <w:tcW w:w="1182" w:type="dxa"/>
            <w:noWrap w:val="0"/>
            <w:vAlign w:val="center"/>
          </w:tcPr>
          <w:p w14:paraId="0DD0BB64">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巡护无人机</w:t>
            </w:r>
            <w:r>
              <w:rPr>
                <w:rFonts w:hint="eastAsia" w:ascii="宋体" w:hAnsi="宋体" w:cs="宋体"/>
                <w:color w:val="auto"/>
                <w:kern w:val="0"/>
                <w:szCs w:val="21"/>
                <w:highlight w:val="none"/>
                <w:lang w:val="en-US" w:eastAsia="zh-CN"/>
              </w:rPr>
              <w:t xml:space="preserve">             （配备喊话器）</w:t>
            </w:r>
          </w:p>
        </w:tc>
        <w:tc>
          <w:tcPr>
            <w:tcW w:w="675" w:type="dxa"/>
            <w:gridSpan w:val="2"/>
            <w:noWrap w:val="0"/>
            <w:vAlign w:val="center"/>
          </w:tcPr>
          <w:p w14:paraId="3BB74780">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50</w:t>
            </w:r>
          </w:p>
        </w:tc>
        <w:tc>
          <w:tcPr>
            <w:tcW w:w="707" w:type="dxa"/>
            <w:noWrap w:val="0"/>
            <w:vAlign w:val="center"/>
          </w:tcPr>
          <w:p w14:paraId="7D303283">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台</w:t>
            </w:r>
          </w:p>
        </w:tc>
        <w:tc>
          <w:tcPr>
            <w:tcW w:w="5513" w:type="dxa"/>
            <w:tcBorders>
              <w:right w:val="single" w:color="auto" w:sz="4" w:space="0"/>
            </w:tcBorders>
            <w:noWrap w:val="0"/>
            <w:vAlign w:val="center"/>
          </w:tcPr>
          <w:p w14:paraId="2AD1BC2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一、飞行器</w:t>
            </w:r>
          </w:p>
          <w:p w14:paraId="201EE60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▲1、起飞重量：≤ 1065 克</w:t>
            </w:r>
          </w:p>
          <w:p w14:paraId="246B0B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▲2、最大起飞重量：≤ 1265 克（机身安装桨叶保护罩、增强图传模块 3 及 microSD 卡）</w:t>
            </w:r>
          </w:p>
          <w:p w14:paraId="6A1474A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▲3、尺寸：展开（不带桨）mm：长 328*宽 390*高 135±5</w:t>
            </w:r>
          </w:p>
          <w:p w14:paraId="317BE2C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4、最大上升速度：≥10 米/秒（运动挡）</w:t>
            </w:r>
          </w:p>
          <w:p w14:paraId="6BFF6F9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5、最大下降速度：≥10 米/秒（运动挡）</w:t>
            </w:r>
          </w:p>
          <w:p w14:paraId="689820D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6、最大水平飞行速度：≥25 米/秒（运动挡）</w:t>
            </w:r>
          </w:p>
          <w:p w14:paraId="44EBEDF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7、最大起飞海拔高度：≥6000 米</w:t>
            </w:r>
          </w:p>
          <w:p w14:paraId="4445AEB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▲8、最长飞行时间：≥50 分钟</w:t>
            </w:r>
          </w:p>
          <w:p w14:paraId="61F0EAC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9、最长悬停时间：≥45 分钟</w:t>
            </w:r>
          </w:p>
          <w:p w14:paraId="2F724E8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▲10、最大续航里程：≥40 公里</w:t>
            </w:r>
          </w:p>
          <w:p w14:paraId="6DAF591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11、最大抗风速度：≥12 米/秒</w:t>
            </w:r>
          </w:p>
          <w:p w14:paraId="7C982D3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12、最大可倾斜角度：≥35°</w:t>
            </w:r>
          </w:p>
          <w:p w14:paraId="1503F96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13、工作环境温度：-10℃ 至 40℃</w:t>
            </w:r>
          </w:p>
          <w:p w14:paraId="7342971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14、卫星导航系统：GPS + Galileo + BeiDou</w:t>
            </w:r>
          </w:p>
          <w:p w14:paraId="5185589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15、悬停精度</w:t>
            </w:r>
          </w:p>
          <w:p w14:paraId="1E5F621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垂直：±0.1 米（视觉定位正常工作时）；±0.5 米（卫星定位正常工作时）</w:t>
            </w:r>
          </w:p>
          <w:p w14:paraId="0E87F70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水平：±0.3 米（视觉定位正常工作时）；±0.5 米（卫星定位正常工作时）</w:t>
            </w:r>
          </w:p>
          <w:p w14:paraId="4D6AFE4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二、相机</w:t>
            </w:r>
          </w:p>
          <w:p w14:paraId="3EC9F06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▲1、影像传感器</w:t>
            </w:r>
          </w:p>
          <w:p w14:paraId="20F7E18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①主要相机：不小于4/3 CMOS，有效像素 ≥9000万</w:t>
            </w:r>
          </w:p>
          <w:p w14:paraId="45AAC76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②中长焦相机：不小于1/1.3 英寸 CMOS，有效像素≥ 4800 万</w:t>
            </w:r>
          </w:p>
          <w:p w14:paraId="5C33183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③长焦相机：不小于1/1.5 英寸 CMOS，有效像素 ≥5000 万</w:t>
            </w:r>
          </w:p>
          <w:p w14:paraId="145598A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2、相机ISO 范围</w:t>
            </w:r>
          </w:p>
          <w:p w14:paraId="472470E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w:t>
            </w:r>
          </w:p>
          <w:p w14:paraId="0124A2B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≥2500 万像素拍照：100 至 6400</w:t>
            </w:r>
          </w:p>
          <w:p w14:paraId="1149733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≥9000万像素拍照：100 至 3200</w:t>
            </w:r>
          </w:p>
          <w:p w14:paraId="06DC13D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w:t>
            </w:r>
          </w:p>
          <w:p w14:paraId="4B9323D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≥1200 万像素拍照：100 至 6400</w:t>
            </w:r>
          </w:p>
          <w:p w14:paraId="05F8E62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≥4800 万像素拍照：100 至 3200</w:t>
            </w:r>
          </w:p>
          <w:p w14:paraId="4C5D6A3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w:t>
            </w:r>
          </w:p>
          <w:p w14:paraId="6F695D3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≥1250 万像素拍照：100 至 6400</w:t>
            </w:r>
          </w:p>
          <w:p w14:paraId="763460C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≥5000 万像素拍照：100 至 3200</w:t>
            </w:r>
          </w:p>
          <w:p w14:paraId="1048C86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3、最大照片尺寸</w:t>
            </w:r>
          </w:p>
          <w:p w14:paraId="63749C5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①主要相机：≥12288 × 8192</w:t>
            </w:r>
          </w:p>
          <w:p w14:paraId="3BCE979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 8064 × 6048</w:t>
            </w:r>
          </w:p>
          <w:p w14:paraId="7497C55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③长焦相机：≥8192 × 6144</w:t>
            </w:r>
          </w:p>
          <w:p w14:paraId="69F53D1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4、照片拍摄模式及参数</w:t>
            </w:r>
          </w:p>
          <w:p w14:paraId="2F3DAB1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w:t>
            </w:r>
          </w:p>
          <w:p w14:paraId="29704D8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单张拍摄：≥9000万像素</w:t>
            </w:r>
          </w:p>
          <w:p w14:paraId="5C70B06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多张连拍：≥9000万像素，3/5 张</w:t>
            </w:r>
          </w:p>
          <w:p w14:paraId="4AA398B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w:t>
            </w:r>
          </w:p>
          <w:p w14:paraId="52F35E6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单张拍摄：≥4800 万像素</w:t>
            </w:r>
          </w:p>
          <w:p w14:paraId="5BBCB4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多张连拍：≥4800 万像素，3/5/7 张</w:t>
            </w:r>
          </w:p>
          <w:p w14:paraId="2DDFB0D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w:t>
            </w:r>
          </w:p>
          <w:p w14:paraId="418B7F0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单张拍摄：≥5000 万像素</w:t>
            </w:r>
          </w:p>
          <w:p w14:paraId="2AAE034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多张连拍：≥5000 万像素，3/5/7 张</w:t>
            </w:r>
          </w:p>
          <w:p w14:paraId="18734CE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5、录像分辨率</w:t>
            </w:r>
          </w:p>
          <w:p w14:paraId="344CE51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①主要相机：≥6K</w:t>
            </w:r>
          </w:p>
          <w:p w14:paraId="5A4BBCB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②中长焦相机：≥4K</w:t>
            </w:r>
          </w:p>
          <w:p w14:paraId="14B8271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③长焦相机：≥4K</w:t>
            </w:r>
          </w:p>
          <w:p w14:paraId="77744A8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▲6、数字变焦</w:t>
            </w:r>
          </w:p>
          <w:p w14:paraId="77539CB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①主要相机：≥1 倍</w:t>
            </w:r>
          </w:p>
          <w:p w14:paraId="236B496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②中长焦相机：≥2.5 倍</w:t>
            </w:r>
          </w:p>
          <w:p w14:paraId="2569AD5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③长焦相机：≥6 倍</w:t>
            </w:r>
          </w:p>
          <w:p w14:paraId="103E2D3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三、云台</w:t>
            </w:r>
          </w:p>
          <w:p w14:paraId="6F23BA9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1、稳定系统：三轴机械云台（俯仰、横滚、偏航）</w:t>
            </w:r>
          </w:p>
          <w:p w14:paraId="40B5329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2、结构设计范围：俯仰：约-164° 至 160°；横滚：约-90° 至 450°；偏航：约-22° 至 22°</w:t>
            </w:r>
          </w:p>
          <w:p w14:paraId="5580C40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3、可控转动范围：俯仰：约-90° 至 70°；横滚：约-40° 至 400°</w:t>
            </w:r>
          </w:p>
          <w:p w14:paraId="130E4AD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4、最大控制转速：俯仰轴：约100°/秒；横滚轴：约100°/秒</w:t>
            </w:r>
          </w:p>
          <w:p w14:paraId="66B2BF9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5、角度抖动量：无风悬停：±0.001°；普通挡：±0.003°；运动挡：±0.005°</w:t>
            </w:r>
          </w:p>
          <w:p w14:paraId="0A245C5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四、感知系统</w:t>
            </w:r>
          </w:p>
          <w:p w14:paraId="25FBDAD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1、感知系统类型：全向双目视觉系统，辅以机身前视激光雷达和底部红外传感器</w:t>
            </w:r>
          </w:p>
          <w:p w14:paraId="1C36CE6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▲2、前视</w:t>
            </w:r>
          </w:p>
          <w:p w14:paraId="68C00E9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24 米</w:t>
            </w:r>
          </w:p>
          <w:p w14:paraId="1BA77F5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2）可探测范围：0.5 米至 200 米</w:t>
            </w:r>
          </w:p>
          <w:p w14:paraId="1FDEF89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3）有效避障速度：飞行速度 ≤18米/秒</w:t>
            </w:r>
          </w:p>
          <w:p w14:paraId="1B6BBA5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4）视角（FOV）：水平 180°，垂直 180°</w:t>
            </w:r>
          </w:p>
          <w:p w14:paraId="29336EB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3、后视</w:t>
            </w:r>
          </w:p>
          <w:p w14:paraId="2EBC72A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22 米</w:t>
            </w:r>
          </w:p>
          <w:p w14:paraId="7339EB5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2）可探测范围：0.5 米至 200 米</w:t>
            </w:r>
          </w:p>
          <w:p w14:paraId="6A6687F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3）有效避障速度：飞行速度 ≤18米/秒</w:t>
            </w:r>
          </w:p>
          <w:p w14:paraId="4956AB4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4）视角（FOV）：水平 180°，垂直 180°</w:t>
            </w:r>
          </w:p>
          <w:p w14:paraId="066CCC4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4、侧视</w:t>
            </w:r>
          </w:p>
          <w:p w14:paraId="3E63AF5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21 米</w:t>
            </w:r>
          </w:p>
          <w:p w14:paraId="1576C10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2）可探测范围：0.5 米至 200 米</w:t>
            </w:r>
          </w:p>
          <w:p w14:paraId="4F91FB2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3）有效避障速度：飞行速度 ≤18米/秒</w:t>
            </w:r>
          </w:p>
          <w:p w14:paraId="0D56935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4）视角（FOV）：水平 180°，垂直 180°</w:t>
            </w:r>
          </w:p>
          <w:p w14:paraId="442A829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5、上视</w:t>
            </w:r>
          </w:p>
          <w:p w14:paraId="22E8521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18 米</w:t>
            </w:r>
          </w:p>
          <w:p w14:paraId="6234B06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2）有效避障速度：飞行速度 ≤6米/秒</w:t>
            </w:r>
          </w:p>
          <w:p w14:paraId="750B046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3）视角（FOV）：水平 90°，垂直 90°</w:t>
            </w:r>
          </w:p>
          <w:p w14:paraId="236A560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6、下视</w:t>
            </w:r>
          </w:p>
          <w:p w14:paraId="6BDABD8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17 米</w:t>
            </w:r>
          </w:p>
          <w:p w14:paraId="55C0255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2）有效避障速度：飞行速度 ≤6米/秒</w:t>
            </w:r>
          </w:p>
          <w:p w14:paraId="403D61A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3）视角（FOV）：水平 180°，垂直 180°</w:t>
            </w:r>
          </w:p>
          <w:p w14:paraId="3FCD123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7、三维红外传感系统</w:t>
            </w:r>
          </w:p>
          <w:p w14:paraId="6C749A1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1）前视激光雷达测距范围：夜间 0.5 米至 25 米（反射率大于 10% ）</w:t>
            </w:r>
          </w:p>
          <w:p w14:paraId="6D4534A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2）下视红外测距传感器测距范围：0.3 米至 8 米（反射率大于 10% ）</w:t>
            </w:r>
          </w:p>
          <w:p w14:paraId="2743289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五、电池</w:t>
            </w:r>
          </w:p>
          <w:p w14:paraId="11D9C09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▲1、容量：≥6650 毫安时</w:t>
            </w:r>
          </w:p>
          <w:p w14:paraId="53760DD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▲2、重量：约 332 克</w:t>
            </w:r>
          </w:p>
          <w:p w14:paraId="442211A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3、标称电压：≥14伏</w:t>
            </w:r>
          </w:p>
          <w:p w14:paraId="4052F67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4、充电限制电压：≥17 伏</w:t>
            </w:r>
          </w:p>
          <w:p w14:paraId="206E50D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5、电池类型：Li-ion 4S</w:t>
            </w:r>
          </w:p>
          <w:p w14:paraId="099CE4A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6、充电环境温度：5℃ 至 40℃</w:t>
            </w:r>
          </w:p>
          <w:p w14:paraId="7590154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六、喊话器</w:t>
            </w:r>
          </w:p>
          <w:p w14:paraId="5DD9B94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1、喊话器尺寸: ≤112*88*37mm</w:t>
            </w:r>
          </w:p>
          <w:p w14:paraId="1F46E0F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2、喊话器录音播放功能:有</w:t>
            </w:r>
          </w:p>
          <w:p w14:paraId="5EC4838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3、喊话器使用时长: ≥120分钟</w:t>
            </w:r>
          </w:p>
          <w:p w14:paraId="04A617F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4、声音分贝: ≥120分贝</w:t>
            </w:r>
          </w:p>
          <w:p w14:paraId="5CE18CD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5、喊话器重量: ≤97g</w:t>
            </w:r>
          </w:p>
          <w:p w14:paraId="1DF7817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6、声音覆盖: ≥200m</w:t>
            </w:r>
          </w:p>
          <w:p w14:paraId="5C16447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配置：电池× 2、遥控器× 1、桌面充电器× 1、喊话器× 1。</w:t>
            </w:r>
          </w:p>
          <w:p w14:paraId="5E6EBB8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标注有“▲”参数投标时需提供具有CMA或CNAS资格的检测机构出具的检测报告复印件予以佐证，检测报告需标注或批注相应的内容以便评审查找，无法佐证或检验报告未体现的按无效投标处理。</w:t>
            </w:r>
          </w:p>
        </w:tc>
        <w:tc>
          <w:tcPr>
            <w:tcW w:w="1120" w:type="dxa"/>
            <w:tcBorders>
              <w:left w:val="single" w:color="auto" w:sz="4" w:space="0"/>
            </w:tcBorders>
            <w:noWrap w:val="0"/>
            <w:vAlign w:val="center"/>
          </w:tcPr>
          <w:p w14:paraId="1DB5B3E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20000</w:t>
            </w:r>
          </w:p>
        </w:tc>
      </w:tr>
      <w:tr w14:paraId="22BD9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center"/>
          </w:tcPr>
          <w:p w14:paraId="64AFA5B0">
            <w:pPr>
              <w:spacing w:line="360" w:lineRule="exac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第二部分 商务要求</w:t>
            </w:r>
          </w:p>
        </w:tc>
      </w:tr>
      <w:tr w14:paraId="6BF82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9214470">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合同签订时间</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4A01B3FE">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自中标通知书发出之日起25日内。</w:t>
            </w:r>
          </w:p>
        </w:tc>
      </w:tr>
      <w:tr w14:paraId="75CC6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EF15EAA">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▲交付的时间和地点</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6D8579DF">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交货时间：自合同签订之日起 30 天内安装合格交付使用。</w:t>
            </w:r>
          </w:p>
          <w:p w14:paraId="7C241D66">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地点：广西区内采购人指定地点。</w:t>
            </w:r>
          </w:p>
        </w:tc>
      </w:tr>
      <w:tr w14:paraId="243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63A02D1">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▲付款条件</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1F488AF">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auto"/>
                <w:kern w:val="0"/>
                <w:szCs w:val="21"/>
                <w:highlight w:val="none"/>
                <w:lang w:eastAsia="zh-CN"/>
              </w:rPr>
              <w:t>采购人收到发票之日起10个工作日内向中标人一次性支付项目全部费用</w:t>
            </w:r>
            <w:r>
              <w:rPr>
                <w:rFonts w:hint="eastAsia" w:ascii="宋体" w:hAnsi="宋体" w:eastAsia="宋体" w:cs="宋体"/>
                <w:color w:val="auto"/>
                <w:kern w:val="0"/>
                <w:szCs w:val="21"/>
                <w:highlight w:val="none"/>
              </w:rPr>
              <w:t>。</w:t>
            </w:r>
          </w:p>
          <w:p w14:paraId="0B23C826">
            <w:pPr>
              <w:pStyle w:val="2"/>
              <w:rPr>
                <w:rFonts w:hint="eastAsia" w:ascii="宋体" w:hAnsi="宋体" w:eastAsia="宋体" w:cs="宋体"/>
                <w:color w:val="auto"/>
                <w:highlight w:val="none"/>
              </w:rPr>
            </w:pPr>
            <w:r>
              <w:rPr>
                <w:rFonts w:hint="eastAsia" w:ascii="宋体" w:hAnsi="宋体" w:eastAsia="宋体" w:cs="宋体"/>
                <w:color w:val="auto"/>
                <w:sz w:val="21"/>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09E1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B5A15C1">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▲质保期 </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ECEBEA6">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装备质保期</w:t>
            </w:r>
            <w:r>
              <w:rPr>
                <w:rFonts w:hint="eastAsia" w:ascii="宋体" w:hAnsi="宋体" w:eastAsia="宋体" w:cs="宋体"/>
                <w:color w:val="auto"/>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7CD48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A46825A">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▲售后服务</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28D2A75C">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0D3362C3">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2、免费培训：中标人负责免费培训使用人员和维护人员，内容包括设备及软件系统操作、日常维护，确保熟练掌握全部功能为止。</w:t>
            </w:r>
          </w:p>
          <w:p w14:paraId="512380B0">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3、免费安装调试：中标人负责本项目所有货物的安装、调试及项目整体测试、联调和开通，并在试运行结束后由中标人整理验收材料提交采购人验收。</w:t>
            </w:r>
          </w:p>
          <w:p w14:paraId="516F0CE3">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4、技术支持与服务：</w:t>
            </w:r>
          </w:p>
          <w:p w14:paraId="6A539FC6">
            <w:pPr>
              <w:widowControl/>
              <w:spacing w:line="3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7E39B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B8BB466">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▲投标报价要求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1B1A561">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31E3E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2F49B1D">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▲验收标准、验收方法及方案</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4EE40E4">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5AEC86BA">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4AB0868B">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3、招标人组织验收，中标人必须到场配合，验收合格后双方签署验收合格凭证。</w:t>
            </w:r>
          </w:p>
          <w:p w14:paraId="6D401442">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4DB84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22BCDE75">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其他要求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34E4783">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3CDC72B8">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48EC19A4">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▲3、其余按第五章《政府采购合同文本》要求。</w:t>
            </w:r>
          </w:p>
          <w:p w14:paraId="210FC152">
            <w:pPr>
              <w:widowControl/>
              <w:spacing w:line="360" w:lineRule="exact"/>
              <w:jc w:val="left"/>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4、</w:t>
            </w:r>
            <w:r>
              <w:rPr>
                <w:rFonts w:hint="eastAsia" w:ascii="宋体" w:hAnsi="宋体" w:cs="宋体"/>
                <w:b/>
                <w:bCs/>
                <w:color w:val="auto"/>
                <w:kern w:val="0"/>
                <w:szCs w:val="21"/>
                <w:highlight w:val="none"/>
                <w:lang w:val="en-US" w:eastAsia="zh-CN"/>
              </w:rPr>
              <w:t>供货时，“中型灭火无人机、巡护无人机”产品均需贴上标识，标识采用PVC塑片防水标签，标签内容至少有招标人名称、项目名称、项目编号、产品名称、供货年月日等信息。</w:t>
            </w:r>
          </w:p>
          <w:p w14:paraId="7E81A5B9">
            <w:pPr>
              <w:widowControl/>
              <w:spacing w:line="360" w:lineRule="exact"/>
              <w:jc w:val="left"/>
              <w:textAlignment w:val="center"/>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、供应商可根据招标文件及评分办法的要求，在投标文件中提供产品性能、项目实施方案、售后服务方案、信誉分、人员配备等证明材料。</w:t>
            </w:r>
          </w:p>
        </w:tc>
      </w:tr>
      <w:tr w14:paraId="58C3B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58F0A60A">
            <w:pPr>
              <w:spacing w:line="360" w:lineRule="exac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第三部分 进口产品说明</w:t>
            </w:r>
          </w:p>
        </w:tc>
      </w:tr>
      <w:tr w14:paraId="4DFAF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25A070E2">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本分标中所有产品均不接受进口产品投标。</w:t>
            </w:r>
            <w:r>
              <w:rPr>
                <w:rFonts w:hint="eastAsia" w:ascii="宋体" w:hAnsi="宋体" w:eastAsia="宋体" w:cs="宋体"/>
                <w:b/>
                <w:bCs/>
                <w:color w:val="auto"/>
                <w:szCs w:val="21"/>
                <w:highlight w:val="none"/>
              </w:rPr>
              <w:t>进口产品投标的，投标无效。</w:t>
            </w:r>
          </w:p>
        </w:tc>
      </w:tr>
      <w:tr w14:paraId="37625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686DF92E">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第四部分 核心产品</w:t>
            </w:r>
          </w:p>
        </w:tc>
      </w:tr>
      <w:tr w14:paraId="38524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2532A45B">
            <w:pPr>
              <w:tabs>
                <w:tab w:val="left" w:pos="9660"/>
              </w:tabs>
              <w:spacing w:line="360" w:lineRule="exact"/>
              <w:ind w:right="97" w:rightChars="46"/>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本分标核心产</w:t>
            </w:r>
            <w:r>
              <w:rPr>
                <w:rFonts w:hint="eastAsia" w:ascii="宋体" w:hAnsi="宋体" w:eastAsia="宋体" w:cs="宋体"/>
                <w:bCs/>
                <w:color w:val="auto"/>
                <w:szCs w:val="21"/>
                <w:highlight w:val="none"/>
              </w:rPr>
              <w:t>品为第</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项产品</w:t>
            </w:r>
            <w:r>
              <w:rPr>
                <w:rFonts w:hint="eastAsia" w:ascii="宋体" w:hAnsi="宋体" w:eastAsia="宋体" w:cs="宋体"/>
                <w:b/>
                <w:bCs w:val="0"/>
                <w:color w:val="auto"/>
                <w:szCs w:val="21"/>
                <w:highlight w:val="none"/>
                <w:u w:val="single"/>
              </w:rPr>
              <w:t>“巡护无人机</w:t>
            </w:r>
            <w:r>
              <w:rPr>
                <w:rFonts w:hint="eastAsia" w:ascii="宋体" w:hAnsi="宋体" w:eastAsia="宋体" w:cs="宋体"/>
                <w:bCs/>
                <w:color w:val="auto"/>
                <w:szCs w:val="21"/>
                <w:highlight w:val="none"/>
              </w:rPr>
              <w:t>”，核心产品品牌相同的，视为提供同品牌产品。</w:t>
            </w:r>
          </w:p>
          <w:p w14:paraId="1AB1BFB5">
            <w:pPr>
              <w:tabs>
                <w:tab w:val="left" w:pos="9660"/>
              </w:tabs>
              <w:spacing w:line="360" w:lineRule="exact"/>
              <w:ind w:right="-10" w:rightChars="-5"/>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注：提供</w:t>
            </w:r>
            <w:r>
              <w:rPr>
                <w:rFonts w:hint="eastAsia" w:ascii="宋体" w:hAnsi="宋体" w:eastAsia="宋体" w:cs="宋体"/>
                <w:bCs/>
                <w:color w:val="auto"/>
                <w:szCs w:val="21"/>
                <w:highlight w:val="none"/>
              </w:rPr>
              <w:t>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5661D9D5">
      <w:pPr>
        <w:spacing w:line="360" w:lineRule="auto"/>
        <w:ind w:firstLine="308" w:firstLineChars="147"/>
        <w:jc w:val="left"/>
        <w:rPr>
          <w:rFonts w:hint="eastAsia" w:ascii="宋体" w:hAnsi="宋体" w:eastAsia="宋体" w:cs="宋体"/>
          <w:bCs/>
          <w:color w:val="auto"/>
          <w:szCs w:val="21"/>
          <w:highlight w:val="none"/>
          <w:u w:val="single"/>
        </w:rPr>
      </w:pPr>
    </w:p>
    <w:p w14:paraId="24010F41">
      <w:pPr>
        <w:spacing w:line="360" w:lineRule="exact"/>
        <w:ind w:left="-10" w:leftChars="-5" w:right="2" w:rightChars="1" w:firstLine="422" w:firstLineChars="200"/>
        <w:rPr>
          <w:rFonts w:hint="eastAsia" w:ascii="宋体" w:hAnsi="宋体" w:eastAsia="宋体" w:cs="宋体"/>
          <w:b/>
          <w:bCs/>
          <w:color w:val="auto"/>
          <w:highlight w:val="none"/>
        </w:rPr>
      </w:pPr>
    </w:p>
    <w:p w14:paraId="2E5F9DA8">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543"/>
        <w:gridCol w:w="1090"/>
      </w:tblGrid>
      <w:tr w14:paraId="0ADAD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7"/>
            <w:noWrap w:val="0"/>
            <w:vAlign w:val="center"/>
          </w:tcPr>
          <w:p w14:paraId="6090B7EB">
            <w:pPr>
              <w:tabs>
                <w:tab w:val="left" w:pos="180"/>
                <w:tab w:val="left" w:pos="1620"/>
              </w:tabs>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第一部分 技术要求</w:t>
            </w:r>
          </w:p>
        </w:tc>
      </w:tr>
      <w:tr w14:paraId="4EFDF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24F22343">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82" w:type="dxa"/>
            <w:noWrap w:val="0"/>
            <w:vAlign w:val="center"/>
          </w:tcPr>
          <w:p w14:paraId="17FFB0B1">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标的的名称</w:t>
            </w:r>
          </w:p>
        </w:tc>
        <w:tc>
          <w:tcPr>
            <w:tcW w:w="675" w:type="dxa"/>
            <w:gridSpan w:val="2"/>
            <w:noWrap w:val="0"/>
            <w:vAlign w:val="center"/>
          </w:tcPr>
          <w:p w14:paraId="7594DACF">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7" w:type="dxa"/>
            <w:noWrap w:val="0"/>
            <w:vAlign w:val="center"/>
          </w:tcPr>
          <w:p w14:paraId="4922D3A7">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5543" w:type="dxa"/>
            <w:tcBorders>
              <w:right w:val="single" w:color="auto" w:sz="4" w:space="0"/>
            </w:tcBorders>
            <w:noWrap w:val="0"/>
            <w:vAlign w:val="center"/>
          </w:tcPr>
          <w:p w14:paraId="35620476">
            <w:pPr>
              <w:tabs>
                <w:tab w:val="left" w:pos="180"/>
                <w:tab w:val="left" w:pos="1620"/>
              </w:tabs>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c>
          <w:tcPr>
            <w:tcW w:w="1090" w:type="dxa"/>
            <w:tcBorders>
              <w:left w:val="single" w:color="auto" w:sz="4" w:space="0"/>
            </w:tcBorders>
            <w:noWrap w:val="0"/>
            <w:vAlign w:val="center"/>
          </w:tcPr>
          <w:p w14:paraId="37743A11">
            <w:pPr>
              <w:tabs>
                <w:tab w:val="left" w:pos="180"/>
                <w:tab w:val="left" w:pos="1620"/>
              </w:tabs>
              <w:spacing w:line="360" w:lineRule="exact"/>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控制单价（元）</w:t>
            </w:r>
          </w:p>
        </w:tc>
      </w:tr>
      <w:tr w14:paraId="0E28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159D320B">
            <w:pPr>
              <w:tabs>
                <w:tab w:val="left" w:pos="180"/>
                <w:tab w:val="left" w:pos="1620"/>
              </w:tabs>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82" w:type="dxa"/>
            <w:noWrap w:val="0"/>
            <w:vAlign w:val="center"/>
          </w:tcPr>
          <w:p w14:paraId="614849BB">
            <w:pPr>
              <w:tabs>
                <w:tab w:val="left" w:pos="180"/>
                <w:tab w:val="left" w:pos="1620"/>
              </w:tabs>
              <w:spacing w:line="380" w:lineRule="exact"/>
              <w:jc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日常巡护套装</w:t>
            </w:r>
            <w:r>
              <w:rPr>
                <w:rFonts w:hint="eastAsia" w:ascii="宋体" w:hAnsi="宋体" w:cs="宋体"/>
                <w:color w:val="auto"/>
                <w:szCs w:val="21"/>
                <w:highlight w:val="none"/>
                <w:lang w:val="en-US" w:eastAsia="zh-CN"/>
              </w:rPr>
              <w:t xml:space="preserve">              （含芳纶阻燃服、帽子、迷彩鞋、挎包等）</w:t>
            </w:r>
          </w:p>
        </w:tc>
        <w:tc>
          <w:tcPr>
            <w:tcW w:w="675" w:type="dxa"/>
            <w:gridSpan w:val="2"/>
            <w:noWrap w:val="0"/>
            <w:vAlign w:val="center"/>
          </w:tcPr>
          <w:p w14:paraId="6E3CC1F6">
            <w:pPr>
              <w:tabs>
                <w:tab w:val="left" w:pos="180"/>
                <w:tab w:val="left" w:pos="1620"/>
              </w:tabs>
              <w:spacing w:line="380" w:lineRule="exact"/>
              <w:jc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3500</w:t>
            </w:r>
          </w:p>
        </w:tc>
        <w:tc>
          <w:tcPr>
            <w:tcW w:w="707" w:type="dxa"/>
            <w:noWrap w:val="0"/>
            <w:vAlign w:val="center"/>
          </w:tcPr>
          <w:p w14:paraId="4AB72A0B">
            <w:pPr>
              <w:tabs>
                <w:tab w:val="left" w:pos="180"/>
                <w:tab w:val="left" w:pos="1620"/>
              </w:tabs>
              <w:spacing w:line="380" w:lineRule="exact"/>
              <w:jc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套</w:t>
            </w:r>
          </w:p>
        </w:tc>
        <w:tc>
          <w:tcPr>
            <w:tcW w:w="5543" w:type="dxa"/>
            <w:tcBorders>
              <w:right w:val="single" w:color="auto" w:sz="4" w:space="0"/>
            </w:tcBorders>
            <w:noWrap w:val="0"/>
            <w:vAlign w:val="center"/>
          </w:tcPr>
          <w:p w14:paraId="2DA70630">
            <w:pPr>
              <w:tabs>
                <w:tab w:val="left" w:pos="180"/>
                <w:tab w:val="left" w:pos="1620"/>
              </w:tabs>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芳纶阻燃服</w:t>
            </w:r>
          </w:p>
          <w:p w14:paraId="0747BEF5">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1、颜色：桔红色，色号：16-1462TPx（国际潘通色卡），色差△E≤3.5；防火服面料采用100%芳纶纤维方格面料，具有阻燃、防静电、防火、防水、耐磨性能。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2、产品符合GB/T 33536-2017《防护服装 森林防火服》标准要求。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服装的结构:上衣“袖口紧、领口紧”，裤子“脚口紧”。明衣袋应有袋盖，袋盖对称覆盖袋口，每边袋口长度≥2cm。服装的上衣长度应符合穿着时盖住裤子上端≥25cm，裤子两侧口袋设计能避免明省，活褶向上倒。</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4、上衣有四个口袋设计，裤腿两侧有两个斜插口袋设计，有隔热和存储物品作用。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5、上衣裤子采用金属拉链，胸围、袖口、裤腿膝盖以下有360°可视醒目芳纶阻燃反光带设计，左臂有“森林消防”专用臂章，前胸有“中国森林消防”胸标。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▲6、面料阻燃性能：续燃时间≤0.0s，阴燃时间≤0.0s；损毁长度：T≤15mm；W≤17mm。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▲7、断裂强力：经向≥2300N，纬向≥2100N，撕破强力：经向≥700N,纬向≥700N。</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▲8、热洗涤50次后防护系数TPP(kW.s/㎡)≥500 kW.s/㎡。</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▲9、热稳定性：在（260℃±5）：经过5min热稳定试验后，无熔融，无滴落。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▲10、甲醛含量：0mg/kg；PH值：5.0-7.0。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11、防火服色牢度：耐水洗色牢度≥3-4级；耐光色牢度≥4级；耐摩擦色牢度≥3-4级；耐汗渍色牢度≥3-4级；耐皂洗色牢度≥3-4级。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▲12、反光带阻燃性能：续燃时间≤0.0s，阴燃时间≤0.0s；损毁长度：T≤15mm；W≤18mm；热稳定性能：无熔融、滴落；反射率系数值≥400cd/(1x*㎡）。</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13、后档断裂强力≥800N;肩缝接缝强力≥800N；单片接缝强力≥800N。</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14、缝纫线断裂强力≥18N。</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15、衣服中标后印字要求：按照采购人要求印字。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16、标注有“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”参数需提供具有CMA或CNAS资格的检测机构出具的检测报告予以佐证，</w:t>
            </w:r>
            <w:r>
              <w:rPr>
                <w:rFonts w:hint="eastAsia" w:ascii="宋体" w:hAnsi="宋体" w:eastAsia="宋体" w:cs="宋体"/>
                <w:color w:val="auto"/>
                <w:highlight w:val="none"/>
                <w:lang w:val="en-US" w:eastAsia="zh-CN"/>
              </w:rPr>
              <w:t>检测报告需标注或批注相应的内容以便评审查找，</w:t>
            </w:r>
            <w:r>
              <w:rPr>
                <w:rFonts w:hint="eastAsia" w:ascii="宋体" w:hAnsi="宋体" w:eastAsia="宋体" w:cs="宋体"/>
                <w:color w:val="auto"/>
                <w:sz w:val="21"/>
                <w:szCs w:val="21"/>
                <w:highlight w:val="none"/>
              </w:rPr>
              <w:t>无法佐证或检验报告未体现做负偏离处理。</w:t>
            </w:r>
          </w:p>
          <w:p w14:paraId="4AD9B6FC">
            <w:pPr>
              <w:tabs>
                <w:tab w:val="left" w:pos="180"/>
                <w:tab w:val="left" w:pos="1620"/>
              </w:tabs>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帽子</w:t>
            </w:r>
          </w:p>
          <w:p w14:paraId="24EE8D6C">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1、执行标准：GB/T33536-2017；</w:t>
            </w:r>
          </w:p>
          <w:p w14:paraId="2E068C9F">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2、面料洗涤50次后阻燃、隔热性能、物理化性能为: </w:t>
            </w:r>
          </w:p>
          <w:p w14:paraId="647A1B53">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(1)、续燃时间:径向≤0.1s、纬向≤0.1s；</w:t>
            </w:r>
          </w:p>
          <w:p w14:paraId="56FA00CB">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(2）、阴燃时间:经向≤0.1s、纬向:≤0.1s；</w:t>
            </w:r>
          </w:p>
          <w:p w14:paraId="00A2EB86">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(3)、损毁长度:径向≤17mm、纬向≤18mm；</w:t>
            </w:r>
          </w:p>
          <w:p w14:paraId="54BF8253">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(4)、热防护系数TPP≥430 kW.s/㎡；</w:t>
            </w:r>
          </w:p>
          <w:p w14:paraId="17DE6659">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(5）、断裂强度:经向≥180ON、纬向≥150ON；</w:t>
            </w:r>
          </w:p>
          <w:p w14:paraId="557F6A99">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(6)、撕破强力:经向≥400N，纬向≥460N；</w:t>
            </w:r>
          </w:p>
          <w:p w14:paraId="71D2E71A">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(7)、耐洗色牢度:≥4级；</w:t>
            </w:r>
          </w:p>
          <w:p w14:paraId="2F25C059">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3、耐水色牢度≥4级；耐摩擦色牢度≥4级；耐酸汗渍色牢度≥4级；耐碱汗渍色牢度级:≥4级；单位面积质量:≤210g/m2；</w:t>
            </w:r>
          </w:p>
          <w:p w14:paraId="19696D29">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4、缝纫线单线断裂强力:≥18N；</w:t>
            </w:r>
          </w:p>
          <w:p w14:paraId="57E6D8E5">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5、甲醛含量:未检出；PH值:6.0-7.0；</w:t>
            </w:r>
          </w:p>
          <w:p w14:paraId="467E762A">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6、款式：帽子透气性能:帽子应制有4个透气孔；</w:t>
            </w:r>
          </w:p>
          <w:p w14:paraId="07611DF8">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7、纤维含量:芳纶100%。</w:t>
            </w:r>
          </w:p>
          <w:p w14:paraId="72C5A865">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8、标注有“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”参数需提供具有CMA或CNAS资格的检测机构出具的检测报告予以佐证，</w:t>
            </w:r>
            <w:r>
              <w:rPr>
                <w:rFonts w:hint="eastAsia" w:ascii="宋体" w:hAnsi="宋体" w:eastAsia="宋体" w:cs="宋体"/>
                <w:color w:val="auto"/>
                <w:highlight w:val="none"/>
                <w:lang w:val="en-US" w:eastAsia="zh-CN"/>
              </w:rPr>
              <w:t>检测报告需标注或批注相应的内容以便评审查找，</w:t>
            </w:r>
            <w:r>
              <w:rPr>
                <w:rFonts w:hint="eastAsia" w:ascii="宋体" w:hAnsi="宋体" w:eastAsia="宋体" w:cs="宋体"/>
                <w:color w:val="auto"/>
                <w:sz w:val="21"/>
                <w:szCs w:val="21"/>
                <w:highlight w:val="none"/>
              </w:rPr>
              <w:t>无法佐证或检验报告未体现做负偏离处理。</w:t>
            </w:r>
          </w:p>
          <w:p w14:paraId="65CD8E52">
            <w:pPr>
              <w:tabs>
                <w:tab w:val="left" w:pos="180"/>
                <w:tab w:val="left" w:pos="1620"/>
              </w:tabs>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迷彩鞋</w:t>
            </w:r>
          </w:p>
          <w:p w14:paraId="5253DD3C">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1、鞋面材质:迷彩帆布;</w:t>
            </w:r>
          </w:p>
          <w:p w14:paraId="12300488">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2、鞋底材质:橡胶;</w:t>
            </w:r>
          </w:p>
          <w:p w14:paraId="583F4145">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3、鞋帮高度:低帮;</w:t>
            </w:r>
          </w:p>
          <w:p w14:paraId="70C9EB1D">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4、功能:耐磨、防滑、透气、减震;</w:t>
            </w:r>
          </w:p>
          <w:p w14:paraId="555D1E9C">
            <w:pPr>
              <w:tabs>
                <w:tab w:val="left" w:pos="180"/>
                <w:tab w:val="left" w:pos="1620"/>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5、颜色:迷彩;</w:t>
            </w:r>
          </w:p>
          <w:p w14:paraId="744B8D8A">
            <w:pPr>
              <w:tabs>
                <w:tab w:val="left" w:pos="180"/>
                <w:tab w:val="left" w:pos="1620"/>
              </w:tabs>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挎包</w:t>
            </w:r>
          </w:p>
          <w:p w14:paraId="494E7DCD">
            <w:pPr>
              <w:tabs>
                <w:tab w:val="left" w:pos="180"/>
                <w:tab w:val="left" w:pos="1620"/>
              </w:tabs>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材质：防水牛津布，军绿色；</w:t>
            </w:r>
          </w:p>
          <w:p w14:paraId="2DE534CE">
            <w:pPr>
              <w:tabs>
                <w:tab w:val="left" w:pos="180"/>
                <w:tab w:val="left" w:pos="1620"/>
              </w:tabs>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尺寸：长约30cm，高≥22cm,厚≥8cm，肩带放开全长≥140cm；</w:t>
            </w:r>
          </w:p>
          <w:p w14:paraId="77D1EFD2">
            <w:pPr>
              <w:widowControl/>
              <w:spacing w:line="360" w:lineRule="exact"/>
              <w:jc w:val="left"/>
              <w:textAlignment w:val="center"/>
              <w:rPr>
                <w:rFonts w:hint="eastAsia" w:ascii="宋体" w:hAnsi="宋体" w:eastAsia="宋体" w:cs="宋体"/>
                <w:color w:val="auto"/>
                <w:szCs w:val="21"/>
                <w:highlight w:val="none"/>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单肩挎包，休闲，时尚，是体现人性化和现代化的具体表现，设计简约大方，新款的挎包，做工扎实，携带方便。设计有单兵信息袋。</w:t>
            </w:r>
          </w:p>
        </w:tc>
        <w:tc>
          <w:tcPr>
            <w:tcW w:w="1090" w:type="dxa"/>
            <w:tcBorders>
              <w:left w:val="single" w:color="auto" w:sz="4" w:space="0"/>
            </w:tcBorders>
            <w:noWrap w:val="0"/>
            <w:vAlign w:val="center"/>
          </w:tcPr>
          <w:p w14:paraId="40719D65">
            <w:pPr>
              <w:widowControl/>
              <w:spacing w:line="360" w:lineRule="exact"/>
              <w:ind w:firstLine="210" w:firstLineChars="100"/>
              <w:jc w:val="left"/>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1000</w:t>
            </w:r>
          </w:p>
        </w:tc>
      </w:tr>
      <w:tr w14:paraId="7544B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center"/>
          </w:tcPr>
          <w:p w14:paraId="04EB7AE1">
            <w:pPr>
              <w:spacing w:line="360" w:lineRule="exac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第二部分 商务要求</w:t>
            </w:r>
          </w:p>
        </w:tc>
      </w:tr>
      <w:tr w14:paraId="224FB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C516E81">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合同签订时间</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54D5689B">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自中标通知书发出之日起25日内。</w:t>
            </w:r>
          </w:p>
        </w:tc>
      </w:tr>
      <w:tr w14:paraId="16425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869E9E2">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▲交付的时间和地点</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782F9E5A">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交货时间：自合同签订之日起 60 天内安装合格交付使用。</w:t>
            </w:r>
          </w:p>
          <w:p w14:paraId="2539FE6A">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地点：广西区内采购人指定地点。</w:t>
            </w:r>
          </w:p>
        </w:tc>
      </w:tr>
      <w:tr w14:paraId="1E6F7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74A9524D">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▲付款条件</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65787A9A">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auto"/>
                <w:kern w:val="0"/>
                <w:szCs w:val="21"/>
                <w:highlight w:val="none"/>
                <w:lang w:eastAsia="zh-CN"/>
              </w:rPr>
              <w:t>采购人收到发票之日起10个工作日内向中标人一次性支付项目全部费用</w:t>
            </w:r>
            <w:r>
              <w:rPr>
                <w:rFonts w:hint="eastAsia" w:ascii="宋体" w:hAnsi="宋体" w:eastAsia="宋体" w:cs="宋体"/>
                <w:color w:val="auto"/>
                <w:kern w:val="0"/>
                <w:szCs w:val="21"/>
                <w:highlight w:val="none"/>
              </w:rPr>
              <w:t>。</w:t>
            </w:r>
          </w:p>
          <w:p w14:paraId="40B0113E">
            <w:pPr>
              <w:widowControl/>
              <w:spacing w:line="360" w:lineRule="exact"/>
              <w:jc w:val="left"/>
              <w:textAlignment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46EB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B5BD3B2">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▲质保期 </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864F7F7">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装备质保期</w:t>
            </w:r>
            <w:r>
              <w:rPr>
                <w:rFonts w:hint="eastAsia" w:ascii="宋体" w:hAnsi="宋体" w:eastAsia="宋体" w:cs="宋体"/>
                <w:color w:val="auto"/>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5AE53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6E7D255D">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▲售后服务</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799BFE26">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以保证设备正常运行，并承担一切相关费用；（4）定期回访以及维修；（5）质保期内所有设备免费上门维修服务；（</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）其余按厂家承诺进行。</w:t>
            </w:r>
          </w:p>
          <w:p w14:paraId="4CFB866D">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2、免费培训：中标人负责免费培训使用人员和维护人员。</w:t>
            </w:r>
          </w:p>
          <w:p w14:paraId="2DC746A4">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3、免费安装调试：中标人负责本项目所有货物的安装、调试及项目整体测试，并在试运行结束后由中标人整理验收材料提交采购人验收。</w:t>
            </w:r>
          </w:p>
        </w:tc>
      </w:tr>
      <w:tr w14:paraId="79E56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2260649B">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▲投标报价要求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46BDDF04">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342FA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D0FCD63">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▲验收标准、验收方法及方案</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5D12B8C6">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3F8AFE97">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297178F6">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3、招标人组织验收，中标人必须到场配合，验收合格后双方签署验收合格凭证。</w:t>
            </w:r>
          </w:p>
          <w:p w14:paraId="22FF959D">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12868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1942BC4F">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其他要求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2B787259">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rPr>
              <w:t>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61296804">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▲2、货物必须是全新的；货物到货后，中标</w:t>
            </w:r>
            <w:r>
              <w:rPr>
                <w:rFonts w:hint="eastAsia" w:ascii="宋体" w:hAnsi="宋体" w:eastAsia="宋体" w:cs="宋体"/>
                <w:color w:val="auto"/>
                <w:kern w:val="0"/>
                <w:szCs w:val="21"/>
                <w:highlight w:val="none"/>
              </w:rPr>
              <w:t xml:space="preserve">人和招标人应在现场进行清点；清点过程中如果发现因包装或运输不当引起的外观或内部的损坏，中标人应负责更换；若发现错发/漏发情况，中标人应负责更换和补发。 </w:t>
            </w:r>
          </w:p>
          <w:p w14:paraId="524C5481">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▲3、其余按第五章《政府采购合同文本》要求。</w:t>
            </w:r>
          </w:p>
          <w:p w14:paraId="727BB7EE">
            <w:pPr>
              <w:widowControl/>
              <w:spacing w:line="360" w:lineRule="exact"/>
              <w:jc w:val="left"/>
              <w:textAlignment w:val="center"/>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、供应商可根据招标文件及评分办法的要求，在投标文件中提供产品性能、项目实施方案、售后服务方案、信誉分、人员配备等证明材料。</w:t>
            </w:r>
          </w:p>
        </w:tc>
      </w:tr>
      <w:tr w14:paraId="10DBE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46565ACE">
            <w:pPr>
              <w:spacing w:line="360" w:lineRule="exac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第三部分 进口产品说明</w:t>
            </w:r>
          </w:p>
        </w:tc>
      </w:tr>
      <w:tr w14:paraId="153BA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3E58C009">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本分标中所有产品均不接受进口产品投标。</w:t>
            </w:r>
            <w:r>
              <w:rPr>
                <w:rFonts w:hint="eastAsia" w:ascii="宋体" w:hAnsi="宋体" w:eastAsia="宋体" w:cs="宋体"/>
                <w:b/>
                <w:bCs/>
                <w:color w:val="auto"/>
                <w:szCs w:val="21"/>
                <w:highlight w:val="none"/>
              </w:rPr>
              <w:t>进口产品投标的，投标无效。</w:t>
            </w:r>
          </w:p>
        </w:tc>
      </w:tr>
      <w:tr w14:paraId="77D06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64A0361F">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第四部分 核心产品</w:t>
            </w:r>
          </w:p>
        </w:tc>
      </w:tr>
      <w:tr w14:paraId="56F7C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5F5BE231">
            <w:pPr>
              <w:tabs>
                <w:tab w:val="left" w:pos="9660"/>
              </w:tabs>
              <w:spacing w:line="360" w:lineRule="exact"/>
              <w:ind w:right="97" w:rightChars="46"/>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本分标核心产品为第1项产品“</w:t>
            </w:r>
            <w:r>
              <w:rPr>
                <w:rFonts w:hint="default" w:ascii="宋体" w:hAnsi="宋体" w:eastAsia="宋体" w:cs="宋体"/>
                <w:b/>
                <w:bCs/>
                <w:color w:val="auto"/>
                <w:szCs w:val="21"/>
                <w:highlight w:val="none"/>
                <w:u w:val="single"/>
                <w:lang w:val="en-US" w:eastAsia="zh-CN"/>
              </w:rPr>
              <w:t>日常巡护套装</w:t>
            </w:r>
            <w:r>
              <w:rPr>
                <w:rFonts w:hint="eastAsia" w:ascii="宋体" w:hAnsi="宋体" w:eastAsia="宋体" w:cs="宋体"/>
                <w:bCs/>
                <w:color w:val="auto"/>
                <w:szCs w:val="21"/>
                <w:highlight w:val="none"/>
              </w:rPr>
              <w:t>”，核心产品品牌相同的，视为提供同品牌产品。</w:t>
            </w:r>
          </w:p>
          <w:p w14:paraId="599BBD47">
            <w:pPr>
              <w:tabs>
                <w:tab w:val="left" w:pos="9660"/>
              </w:tabs>
              <w:spacing w:line="360" w:lineRule="exact"/>
              <w:ind w:right="-10" w:rightChars="-5"/>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5377C21E">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C9C304B">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5DEF6EC8">
      <w:pPr>
        <w:spacing w:before="7"/>
        <w:rPr>
          <w:rFonts w:hint="eastAsia" w:ascii="宋体" w:hAnsi="宋体" w:eastAsia="宋体" w:cs="宋体"/>
          <w:color w:val="auto"/>
          <w:sz w:val="17"/>
          <w:szCs w:val="17"/>
          <w:highlight w:val="none"/>
        </w:rPr>
      </w:pPr>
    </w:p>
    <w:p w14:paraId="13592F79">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48"/>
        <w:tblW w:w="9220" w:type="dxa"/>
        <w:tblInd w:w="93" w:type="dxa"/>
        <w:tblLayout w:type="fixed"/>
        <w:tblCellMar>
          <w:top w:w="0" w:type="dxa"/>
          <w:left w:w="108" w:type="dxa"/>
          <w:bottom w:w="0" w:type="dxa"/>
          <w:right w:w="108" w:type="dxa"/>
        </w:tblCellMar>
      </w:tblPr>
      <w:tblGrid>
        <w:gridCol w:w="769"/>
        <w:gridCol w:w="1023"/>
        <w:gridCol w:w="1581"/>
        <w:gridCol w:w="1615"/>
        <w:gridCol w:w="4232"/>
      </w:tblGrid>
      <w:tr w14:paraId="56276BF7">
        <w:tblPrEx>
          <w:tblCellMar>
            <w:top w:w="0" w:type="dxa"/>
            <w:left w:w="108" w:type="dxa"/>
            <w:bottom w:w="0" w:type="dxa"/>
            <w:right w:w="108" w:type="dxa"/>
          </w:tblCellMar>
        </w:tblPrEx>
        <w:trPr>
          <w:trHeight w:val="555" w:hRule="atLeast"/>
        </w:trPr>
        <w:tc>
          <w:tcPr>
            <w:tcW w:w="769" w:type="dxa"/>
            <w:tcBorders>
              <w:top w:val="single" w:color="000000" w:sz="8" w:space="0"/>
              <w:left w:val="single" w:color="000000" w:sz="8" w:space="0"/>
              <w:bottom w:val="single" w:color="000000" w:sz="8" w:space="0"/>
              <w:right w:val="single" w:color="000000" w:sz="8" w:space="0"/>
            </w:tcBorders>
          </w:tcPr>
          <w:p w14:paraId="5346B49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品目序号</w:t>
            </w:r>
          </w:p>
        </w:tc>
        <w:tc>
          <w:tcPr>
            <w:tcW w:w="4219" w:type="dxa"/>
            <w:gridSpan w:val="3"/>
            <w:tcBorders>
              <w:top w:val="single" w:color="000000" w:sz="8" w:space="0"/>
              <w:left w:val="nil"/>
              <w:bottom w:val="single" w:color="000000" w:sz="8" w:space="0"/>
              <w:right w:val="single" w:color="000000" w:sz="8" w:space="0"/>
            </w:tcBorders>
            <w:vAlign w:val="center"/>
          </w:tcPr>
          <w:p w14:paraId="41E2F5B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4232" w:type="dxa"/>
            <w:tcBorders>
              <w:top w:val="single" w:color="000000" w:sz="8" w:space="0"/>
              <w:left w:val="nil"/>
              <w:bottom w:val="single" w:color="000000" w:sz="8" w:space="0"/>
              <w:right w:val="single" w:color="000000" w:sz="8" w:space="0"/>
            </w:tcBorders>
            <w:vAlign w:val="center"/>
          </w:tcPr>
          <w:p w14:paraId="3AA0C41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依据的标准</w:t>
            </w:r>
          </w:p>
        </w:tc>
      </w:tr>
      <w:tr w14:paraId="0404EF21">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58A35EC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23" w:type="dxa"/>
            <w:vMerge w:val="restart"/>
            <w:tcBorders>
              <w:top w:val="nil"/>
              <w:left w:val="single" w:color="000000" w:sz="8" w:space="0"/>
              <w:bottom w:val="single" w:color="000000" w:sz="8" w:space="0"/>
              <w:right w:val="single" w:color="000000" w:sz="8" w:space="0"/>
            </w:tcBorders>
            <w:vAlign w:val="center"/>
          </w:tcPr>
          <w:p w14:paraId="3499A78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A020101计算机设备</w:t>
            </w:r>
          </w:p>
        </w:tc>
        <w:tc>
          <w:tcPr>
            <w:tcW w:w="1581" w:type="dxa"/>
            <w:tcBorders>
              <w:top w:val="nil"/>
              <w:left w:val="nil"/>
              <w:bottom w:val="single" w:color="000000" w:sz="8" w:space="0"/>
              <w:right w:val="single" w:color="000000" w:sz="8" w:space="0"/>
            </w:tcBorders>
            <w:vAlign w:val="center"/>
          </w:tcPr>
          <w:p w14:paraId="49E7D9F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★A02010104台式计算机</w:t>
            </w:r>
          </w:p>
        </w:tc>
        <w:tc>
          <w:tcPr>
            <w:tcW w:w="1615" w:type="dxa"/>
            <w:tcBorders>
              <w:top w:val="nil"/>
              <w:left w:val="nil"/>
              <w:bottom w:val="single" w:color="000000" w:sz="8" w:space="0"/>
              <w:right w:val="single" w:color="000000" w:sz="8" w:space="0"/>
            </w:tcBorders>
            <w:vAlign w:val="center"/>
          </w:tcPr>
          <w:p w14:paraId="29DB1E5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7104A24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49B74088">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2FDEC026">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05A06DC9">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65DB91F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★A02010105便携式计算机</w:t>
            </w:r>
          </w:p>
        </w:tc>
        <w:tc>
          <w:tcPr>
            <w:tcW w:w="1615" w:type="dxa"/>
            <w:tcBorders>
              <w:top w:val="nil"/>
              <w:left w:val="nil"/>
              <w:bottom w:val="single" w:color="000000" w:sz="8" w:space="0"/>
              <w:right w:val="single" w:color="000000" w:sz="8" w:space="0"/>
            </w:tcBorders>
            <w:vAlign w:val="center"/>
          </w:tcPr>
          <w:p w14:paraId="61361F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5D34181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54CBF2D7">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0AFC67DD">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52858E23">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7574A9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★A02010107平板式微型计算机</w:t>
            </w:r>
          </w:p>
        </w:tc>
        <w:tc>
          <w:tcPr>
            <w:tcW w:w="1615" w:type="dxa"/>
            <w:tcBorders>
              <w:top w:val="nil"/>
              <w:left w:val="nil"/>
              <w:bottom w:val="single" w:color="000000" w:sz="8" w:space="0"/>
              <w:right w:val="single" w:color="000000" w:sz="8" w:space="0"/>
            </w:tcBorders>
            <w:vAlign w:val="center"/>
          </w:tcPr>
          <w:p w14:paraId="420D2E0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32C73D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0B91A310">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6C4C786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23" w:type="dxa"/>
            <w:vMerge w:val="restart"/>
            <w:tcBorders>
              <w:top w:val="nil"/>
              <w:left w:val="single" w:color="000000" w:sz="8" w:space="0"/>
              <w:bottom w:val="single" w:color="000000" w:sz="8" w:space="0"/>
              <w:right w:val="single" w:color="000000" w:sz="8" w:space="0"/>
            </w:tcBorders>
            <w:vAlign w:val="center"/>
          </w:tcPr>
          <w:p w14:paraId="2B514D7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A020106输入输出设备</w:t>
            </w:r>
          </w:p>
        </w:tc>
        <w:tc>
          <w:tcPr>
            <w:tcW w:w="1581" w:type="dxa"/>
            <w:vMerge w:val="restart"/>
            <w:tcBorders>
              <w:top w:val="nil"/>
              <w:left w:val="single" w:color="000000" w:sz="8" w:space="0"/>
              <w:bottom w:val="single" w:color="000000" w:sz="8" w:space="0"/>
              <w:right w:val="single" w:color="000000" w:sz="8" w:space="0"/>
            </w:tcBorders>
            <w:vAlign w:val="center"/>
          </w:tcPr>
          <w:p w14:paraId="762567F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A02010601打印设备</w:t>
            </w:r>
          </w:p>
        </w:tc>
        <w:tc>
          <w:tcPr>
            <w:tcW w:w="1615" w:type="dxa"/>
            <w:tcBorders>
              <w:top w:val="nil"/>
              <w:left w:val="nil"/>
              <w:bottom w:val="single" w:color="000000" w:sz="8" w:space="0"/>
              <w:right w:val="single" w:color="000000" w:sz="8" w:space="0"/>
            </w:tcBorders>
            <w:vAlign w:val="center"/>
          </w:tcPr>
          <w:p w14:paraId="7BD12CF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A0201060101喷墨打印机</w:t>
            </w:r>
          </w:p>
        </w:tc>
        <w:tc>
          <w:tcPr>
            <w:tcW w:w="4232" w:type="dxa"/>
            <w:tcBorders>
              <w:top w:val="nil"/>
              <w:left w:val="nil"/>
              <w:bottom w:val="single" w:color="000000" w:sz="8" w:space="0"/>
              <w:right w:val="single" w:color="000000" w:sz="8" w:space="0"/>
            </w:tcBorders>
            <w:vAlign w:val="center"/>
          </w:tcPr>
          <w:p w14:paraId="1E07A45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55D212E6">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5C2363F4">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4AC00FD9">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6B812AEE">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5D314A7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★A0201060102激光打印机</w:t>
            </w:r>
          </w:p>
        </w:tc>
        <w:tc>
          <w:tcPr>
            <w:tcW w:w="4232" w:type="dxa"/>
            <w:tcBorders>
              <w:top w:val="nil"/>
              <w:left w:val="nil"/>
              <w:bottom w:val="single" w:color="000000" w:sz="8" w:space="0"/>
              <w:right w:val="single" w:color="000000" w:sz="8" w:space="0"/>
            </w:tcBorders>
            <w:vAlign w:val="center"/>
          </w:tcPr>
          <w:p w14:paraId="792D778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06CED08B">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14038F7F">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63B04071">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044170A3">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59BCEFC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★A0201060104针式打印机</w:t>
            </w:r>
          </w:p>
        </w:tc>
        <w:tc>
          <w:tcPr>
            <w:tcW w:w="4232" w:type="dxa"/>
            <w:tcBorders>
              <w:top w:val="nil"/>
              <w:left w:val="nil"/>
              <w:bottom w:val="single" w:color="000000" w:sz="8" w:space="0"/>
              <w:right w:val="single" w:color="000000" w:sz="8" w:space="0"/>
            </w:tcBorders>
            <w:vAlign w:val="center"/>
          </w:tcPr>
          <w:p w14:paraId="5AACF25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496C03A0">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3956E619">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260C0795">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1AC1FF8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A02010604显示设备</w:t>
            </w:r>
          </w:p>
        </w:tc>
        <w:tc>
          <w:tcPr>
            <w:tcW w:w="1615" w:type="dxa"/>
            <w:tcBorders>
              <w:top w:val="nil"/>
              <w:left w:val="nil"/>
              <w:bottom w:val="single" w:color="000000" w:sz="8" w:space="0"/>
              <w:right w:val="single" w:color="000000" w:sz="8" w:space="0"/>
            </w:tcBorders>
            <w:vAlign w:val="center"/>
          </w:tcPr>
          <w:p w14:paraId="4969CF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★A0201060401液晶显示器</w:t>
            </w:r>
          </w:p>
        </w:tc>
        <w:tc>
          <w:tcPr>
            <w:tcW w:w="4232" w:type="dxa"/>
            <w:tcBorders>
              <w:top w:val="nil"/>
              <w:left w:val="nil"/>
              <w:bottom w:val="single" w:color="000000" w:sz="8" w:space="0"/>
              <w:right w:val="single" w:color="000000" w:sz="8" w:space="0"/>
            </w:tcBorders>
            <w:vAlign w:val="center"/>
          </w:tcPr>
          <w:p w14:paraId="2A8046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《计算机显示器能效限定值及能效等级》（GB21520）</w:t>
            </w:r>
          </w:p>
        </w:tc>
      </w:tr>
      <w:tr w14:paraId="7C5E9178">
        <w:tblPrEx>
          <w:tblCellMar>
            <w:top w:w="0" w:type="dxa"/>
            <w:left w:w="108" w:type="dxa"/>
            <w:bottom w:w="0" w:type="dxa"/>
            <w:right w:w="108" w:type="dxa"/>
          </w:tblCellMar>
        </w:tblPrEx>
        <w:trPr>
          <w:trHeight w:val="975" w:hRule="atLeast"/>
        </w:trPr>
        <w:tc>
          <w:tcPr>
            <w:tcW w:w="769" w:type="dxa"/>
            <w:vMerge w:val="continue"/>
            <w:tcBorders>
              <w:top w:val="nil"/>
              <w:left w:val="single" w:color="000000" w:sz="8" w:space="0"/>
              <w:bottom w:val="single" w:color="000000" w:sz="8" w:space="0"/>
              <w:right w:val="single" w:color="000000" w:sz="8" w:space="0"/>
            </w:tcBorders>
            <w:vAlign w:val="center"/>
          </w:tcPr>
          <w:p w14:paraId="297122AE">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44771D7F">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00979DB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A02010609图形图像输入设备</w:t>
            </w:r>
          </w:p>
        </w:tc>
        <w:tc>
          <w:tcPr>
            <w:tcW w:w="1615" w:type="dxa"/>
            <w:tcBorders>
              <w:top w:val="nil"/>
              <w:left w:val="nil"/>
              <w:bottom w:val="single" w:color="000000" w:sz="8" w:space="0"/>
              <w:right w:val="single" w:color="000000" w:sz="8" w:space="0"/>
            </w:tcBorders>
            <w:vAlign w:val="center"/>
          </w:tcPr>
          <w:p w14:paraId="5C2F474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A0201060901扫描仪</w:t>
            </w:r>
          </w:p>
        </w:tc>
        <w:tc>
          <w:tcPr>
            <w:tcW w:w="4232" w:type="dxa"/>
            <w:tcBorders>
              <w:top w:val="nil"/>
              <w:left w:val="nil"/>
              <w:bottom w:val="single" w:color="000000" w:sz="8" w:space="0"/>
              <w:right w:val="single" w:color="000000" w:sz="8" w:space="0"/>
            </w:tcBorders>
            <w:vAlign w:val="center"/>
          </w:tcPr>
          <w:p w14:paraId="1C034E5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14:paraId="21BDCE5B">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7B0777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23" w:type="dxa"/>
            <w:tcBorders>
              <w:top w:val="nil"/>
              <w:left w:val="nil"/>
              <w:bottom w:val="single" w:color="000000" w:sz="8" w:space="0"/>
              <w:right w:val="single" w:color="000000" w:sz="8" w:space="0"/>
            </w:tcBorders>
            <w:vAlign w:val="center"/>
          </w:tcPr>
          <w:p w14:paraId="3F30847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A020202投影仪</w:t>
            </w:r>
          </w:p>
        </w:tc>
        <w:tc>
          <w:tcPr>
            <w:tcW w:w="1581" w:type="dxa"/>
            <w:tcBorders>
              <w:top w:val="nil"/>
              <w:left w:val="nil"/>
              <w:bottom w:val="single" w:color="000000" w:sz="8" w:space="0"/>
              <w:right w:val="single" w:color="000000" w:sz="8" w:space="0"/>
            </w:tcBorders>
            <w:vAlign w:val="center"/>
          </w:tcPr>
          <w:p w14:paraId="621357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5" w:type="dxa"/>
            <w:tcBorders>
              <w:top w:val="nil"/>
              <w:left w:val="nil"/>
              <w:bottom w:val="single" w:color="000000" w:sz="8" w:space="0"/>
              <w:right w:val="single" w:color="000000" w:sz="8" w:space="0"/>
            </w:tcBorders>
            <w:vAlign w:val="center"/>
          </w:tcPr>
          <w:p w14:paraId="67FD33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106A56A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《投影机能效限定值及能效等级》（GB32028）</w:t>
            </w:r>
          </w:p>
        </w:tc>
      </w:tr>
      <w:tr w14:paraId="305ABE46">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54A76F2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023" w:type="dxa"/>
            <w:tcBorders>
              <w:top w:val="nil"/>
              <w:left w:val="nil"/>
              <w:bottom w:val="single" w:color="000000" w:sz="8" w:space="0"/>
              <w:right w:val="single" w:color="000000" w:sz="8" w:space="0"/>
            </w:tcBorders>
            <w:vAlign w:val="center"/>
          </w:tcPr>
          <w:p w14:paraId="711301F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A020204多功能一体机</w:t>
            </w:r>
          </w:p>
        </w:tc>
        <w:tc>
          <w:tcPr>
            <w:tcW w:w="1581" w:type="dxa"/>
            <w:tcBorders>
              <w:top w:val="nil"/>
              <w:left w:val="nil"/>
              <w:bottom w:val="single" w:color="000000" w:sz="8" w:space="0"/>
              <w:right w:val="single" w:color="000000" w:sz="8" w:space="0"/>
            </w:tcBorders>
            <w:vAlign w:val="center"/>
          </w:tcPr>
          <w:p w14:paraId="42056A0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5" w:type="dxa"/>
            <w:tcBorders>
              <w:top w:val="nil"/>
              <w:left w:val="nil"/>
              <w:bottom w:val="single" w:color="000000" w:sz="8" w:space="0"/>
              <w:right w:val="single" w:color="000000" w:sz="8" w:space="0"/>
            </w:tcBorders>
            <w:vAlign w:val="center"/>
          </w:tcPr>
          <w:p w14:paraId="2328A8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35E511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45BC3164">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45A8D1F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023" w:type="dxa"/>
            <w:tcBorders>
              <w:top w:val="nil"/>
              <w:left w:val="nil"/>
              <w:bottom w:val="single" w:color="000000" w:sz="8" w:space="0"/>
              <w:right w:val="single" w:color="000000" w:sz="8" w:space="0"/>
            </w:tcBorders>
            <w:vAlign w:val="center"/>
          </w:tcPr>
          <w:p w14:paraId="02A2462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A020519泵</w:t>
            </w:r>
          </w:p>
        </w:tc>
        <w:tc>
          <w:tcPr>
            <w:tcW w:w="1581" w:type="dxa"/>
            <w:tcBorders>
              <w:top w:val="nil"/>
              <w:left w:val="nil"/>
              <w:bottom w:val="single" w:color="000000" w:sz="8" w:space="0"/>
              <w:right w:val="single" w:color="000000" w:sz="8" w:space="0"/>
            </w:tcBorders>
            <w:vAlign w:val="center"/>
          </w:tcPr>
          <w:p w14:paraId="1FD4633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A02051901离心泵</w:t>
            </w:r>
          </w:p>
        </w:tc>
        <w:tc>
          <w:tcPr>
            <w:tcW w:w="1615" w:type="dxa"/>
            <w:tcBorders>
              <w:top w:val="nil"/>
              <w:left w:val="nil"/>
              <w:bottom w:val="single" w:color="000000" w:sz="8" w:space="0"/>
              <w:right w:val="single" w:color="000000" w:sz="8" w:space="0"/>
            </w:tcBorders>
            <w:vAlign w:val="center"/>
          </w:tcPr>
          <w:p w14:paraId="057721F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11E371B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《清水离心泵能效限定值及节能评价值》（GB19762）</w:t>
            </w:r>
          </w:p>
        </w:tc>
      </w:tr>
      <w:tr w14:paraId="540551CA">
        <w:tblPrEx>
          <w:tblCellMar>
            <w:top w:w="0" w:type="dxa"/>
            <w:left w:w="108" w:type="dxa"/>
            <w:bottom w:w="0" w:type="dxa"/>
            <w:right w:w="108" w:type="dxa"/>
          </w:tblCellMar>
        </w:tblPrEx>
        <w:trPr>
          <w:trHeight w:val="735" w:hRule="atLeast"/>
        </w:trPr>
        <w:tc>
          <w:tcPr>
            <w:tcW w:w="769" w:type="dxa"/>
            <w:vMerge w:val="restart"/>
            <w:tcBorders>
              <w:top w:val="nil"/>
              <w:left w:val="single" w:color="000000" w:sz="8" w:space="0"/>
              <w:bottom w:val="single" w:color="000000" w:sz="8" w:space="0"/>
              <w:right w:val="single" w:color="000000" w:sz="8" w:space="0"/>
            </w:tcBorders>
            <w:vAlign w:val="center"/>
          </w:tcPr>
          <w:p w14:paraId="7DC9A4F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023" w:type="dxa"/>
            <w:vMerge w:val="restart"/>
            <w:tcBorders>
              <w:top w:val="nil"/>
              <w:left w:val="single" w:color="000000" w:sz="8" w:space="0"/>
              <w:bottom w:val="single" w:color="000000" w:sz="8" w:space="0"/>
              <w:right w:val="single" w:color="000000" w:sz="8" w:space="0"/>
            </w:tcBorders>
            <w:vAlign w:val="center"/>
          </w:tcPr>
          <w:p w14:paraId="7315D12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A020523制冷空调设备</w:t>
            </w:r>
          </w:p>
        </w:tc>
        <w:tc>
          <w:tcPr>
            <w:tcW w:w="1581" w:type="dxa"/>
            <w:vMerge w:val="restart"/>
            <w:tcBorders>
              <w:top w:val="nil"/>
              <w:left w:val="single" w:color="000000" w:sz="8" w:space="0"/>
              <w:bottom w:val="single" w:color="000000" w:sz="8" w:space="0"/>
              <w:right w:val="single" w:color="000000" w:sz="8" w:space="0"/>
            </w:tcBorders>
            <w:vAlign w:val="center"/>
          </w:tcPr>
          <w:p w14:paraId="5D0AB92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★A02052301制冷压缩机</w:t>
            </w:r>
          </w:p>
        </w:tc>
        <w:tc>
          <w:tcPr>
            <w:tcW w:w="1615" w:type="dxa"/>
            <w:tcBorders>
              <w:top w:val="nil"/>
              <w:left w:val="nil"/>
              <w:bottom w:val="single" w:color="000000" w:sz="8" w:space="0"/>
              <w:right w:val="single" w:color="000000" w:sz="8" w:space="0"/>
            </w:tcBorders>
            <w:vAlign w:val="center"/>
          </w:tcPr>
          <w:p w14:paraId="366AD4A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w:t>
            </w:r>
          </w:p>
        </w:tc>
        <w:tc>
          <w:tcPr>
            <w:tcW w:w="4232" w:type="dxa"/>
            <w:tcBorders>
              <w:top w:val="nil"/>
              <w:left w:val="nil"/>
              <w:bottom w:val="single" w:color="000000" w:sz="8" w:space="0"/>
              <w:right w:val="single" w:color="000000" w:sz="8" w:space="0"/>
            </w:tcBorders>
            <w:vAlign w:val="center"/>
          </w:tcPr>
          <w:p w14:paraId="79FAA95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《冷水机组能效限定值及能效等级》（GB19577），《低环境温度空气源热泵（冷水）机组能效限定值及能效等级》（GB37480）</w:t>
            </w:r>
          </w:p>
        </w:tc>
      </w:tr>
      <w:tr w14:paraId="6A374ED5">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3493A48D">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05613036">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4329285D">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2619521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水源热泵机组</w:t>
            </w:r>
          </w:p>
        </w:tc>
        <w:tc>
          <w:tcPr>
            <w:tcW w:w="4232" w:type="dxa"/>
            <w:tcBorders>
              <w:top w:val="nil"/>
              <w:left w:val="nil"/>
              <w:bottom w:val="single" w:color="000000" w:sz="8" w:space="0"/>
              <w:right w:val="single" w:color="000000" w:sz="8" w:space="0"/>
            </w:tcBorders>
            <w:vAlign w:val="center"/>
          </w:tcPr>
          <w:p w14:paraId="7F5FEEA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《水（地）源热泵机组能效限定值及能效等级》（GB30721）</w:t>
            </w:r>
          </w:p>
        </w:tc>
      </w:tr>
      <w:tr w14:paraId="4EA86B27">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424B79AC">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2E27B8B9">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7B82367F">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24B35F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w:t>
            </w:r>
          </w:p>
        </w:tc>
        <w:tc>
          <w:tcPr>
            <w:tcW w:w="4232" w:type="dxa"/>
            <w:tcBorders>
              <w:top w:val="nil"/>
              <w:left w:val="nil"/>
              <w:bottom w:val="single" w:color="000000" w:sz="8" w:space="0"/>
              <w:right w:val="single" w:color="000000" w:sz="8" w:space="0"/>
            </w:tcBorders>
            <w:vAlign w:val="center"/>
          </w:tcPr>
          <w:p w14:paraId="59C04E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《溴化锂吸收式冷水机组能效限定值及能效等级》（GB29540）</w:t>
            </w:r>
          </w:p>
        </w:tc>
      </w:tr>
      <w:tr w14:paraId="0EBA6BEA">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6632DC27">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36B5B253">
            <w:pPr>
              <w:widowControl/>
              <w:jc w:val="left"/>
              <w:rPr>
                <w:rFonts w:hint="eastAsia" w:ascii="宋体" w:hAnsi="宋体" w:eastAsia="宋体" w:cs="宋体"/>
                <w:color w:val="auto"/>
                <w:kern w:val="0"/>
                <w:sz w:val="21"/>
                <w:szCs w:val="21"/>
                <w:highlight w:val="none"/>
              </w:rPr>
            </w:pPr>
          </w:p>
        </w:tc>
        <w:tc>
          <w:tcPr>
            <w:tcW w:w="1581" w:type="dxa"/>
            <w:vMerge w:val="restart"/>
            <w:tcBorders>
              <w:top w:val="nil"/>
              <w:left w:val="single" w:color="000000" w:sz="8" w:space="0"/>
              <w:bottom w:val="single" w:color="000000" w:sz="8" w:space="0"/>
              <w:right w:val="single" w:color="000000" w:sz="8" w:space="0"/>
            </w:tcBorders>
            <w:vAlign w:val="center"/>
          </w:tcPr>
          <w:p w14:paraId="2565EFF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★A02052305空调机组</w:t>
            </w:r>
          </w:p>
        </w:tc>
        <w:tc>
          <w:tcPr>
            <w:tcW w:w="1615" w:type="dxa"/>
            <w:tcBorders>
              <w:top w:val="nil"/>
              <w:left w:val="nil"/>
              <w:bottom w:val="single" w:color="000000" w:sz="8" w:space="0"/>
              <w:right w:val="single" w:color="000000" w:sz="8" w:space="0"/>
            </w:tcBorders>
            <w:vAlign w:val="center"/>
          </w:tcPr>
          <w:p w14:paraId="1199402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多联式空调（热泵）机组(制冷量&gt;14000W)</w:t>
            </w:r>
          </w:p>
        </w:tc>
        <w:tc>
          <w:tcPr>
            <w:tcW w:w="4232" w:type="dxa"/>
            <w:tcBorders>
              <w:top w:val="nil"/>
              <w:left w:val="nil"/>
              <w:bottom w:val="single" w:color="000000" w:sz="8" w:space="0"/>
              <w:right w:val="single" w:color="000000" w:sz="8" w:space="0"/>
            </w:tcBorders>
            <w:vAlign w:val="center"/>
          </w:tcPr>
          <w:p w14:paraId="0715EE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14:paraId="2BFBF66D">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2FC09EDA">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2E2D29D3">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0CED4670">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535E21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单元式空气调节机(制冷量&gt;14000W</w:t>
            </w:r>
          </w:p>
        </w:tc>
        <w:tc>
          <w:tcPr>
            <w:tcW w:w="4232" w:type="dxa"/>
            <w:tcBorders>
              <w:top w:val="nil"/>
              <w:left w:val="nil"/>
              <w:bottom w:val="single" w:color="000000" w:sz="8" w:space="0"/>
              <w:right w:val="single" w:color="000000" w:sz="8" w:space="0"/>
            </w:tcBorders>
            <w:vAlign w:val="center"/>
          </w:tcPr>
          <w:p w14:paraId="2A48239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《单元式空气调节机能效限定值及能效等级》（GB19576）《风管送风式空调机组能效限定值及能效等级》（GB37479）</w:t>
            </w:r>
          </w:p>
        </w:tc>
      </w:tr>
      <w:tr w14:paraId="58127507">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50CDC43D">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3AAD9C7C">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4BE3D8A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★A02052309专用制冷、空调设备</w:t>
            </w:r>
          </w:p>
        </w:tc>
        <w:tc>
          <w:tcPr>
            <w:tcW w:w="1615" w:type="dxa"/>
            <w:tcBorders>
              <w:top w:val="nil"/>
              <w:left w:val="nil"/>
              <w:bottom w:val="single" w:color="000000" w:sz="8" w:space="0"/>
              <w:right w:val="single" w:color="000000" w:sz="8" w:space="0"/>
            </w:tcBorders>
            <w:vAlign w:val="center"/>
          </w:tcPr>
          <w:p w14:paraId="270EE8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机房空调</w:t>
            </w:r>
          </w:p>
        </w:tc>
        <w:tc>
          <w:tcPr>
            <w:tcW w:w="4232" w:type="dxa"/>
            <w:tcBorders>
              <w:top w:val="nil"/>
              <w:left w:val="nil"/>
              <w:bottom w:val="single" w:color="000000" w:sz="8" w:space="0"/>
              <w:right w:val="single" w:color="000000" w:sz="8" w:space="0"/>
            </w:tcBorders>
            <w:vAlign w:val="center"/>
          </w:tcPr>
          <w:p w14:paraId="11DB6F4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w:t>
            </w:r>
          </w:p>
        </w:tc>
      </w:tr>
      <w:tr w14:paraId="68D2A17F">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7F4CF519">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4A3E4593">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051D8BA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A02052399其他制冷空调设备</w:t>
            </w:r>
          </w:p>
        </w:tc>
        <w:tc>
          <w:tcPr>
            <w:tcW w:w="1615" w:type="dxa"/>
            <w:tcBorders>
              <w:top w:val="nil"/>
              <w:left w:val="nil"/>
              <w:bottom w:val="single" w:color="000000" w:sz="8" w:space="0"/>
              <w:right w:val="single" w:color="000000" w:sz="8" w:space="0"/>
            </w:tcBorders>
            <w:vAlign w:val="center"/>
          </w:tcPr>
          <w:p w14:paraId="5A56CE2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冷却塔</w:t>
            </w:r>
          </w:p>
        </w:tc>
        <w:tc>
          <w:tcPr>
            <w:tcW w:w="4232" w:type="dxa"/>
            <w:tcBorders>
              <w:top w:val="nil"/>
              <w:left w:val="nil"/>
              <w:bottom w:val="single" w:color="000000" w:sz="8" w:space="0"/>
              <w:right w:val="single" w:color="000000" w:sz="8" w:space="0"/>
            </w:tcBorders>
            <w:vAlign w:val="center"/>
          </w:tcPr>
          <w:p w14:paraId="0D989F5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《机械通风冷却塔第1部分：中小型开式冷却塔》（GB/T7190.1）；《机械通风冷却塔第2部分：大型开式冷却塔》（GB/T7190.2）</w:t>
            </w:r>
          </w:p>
        </w:tc>
      </w:tr>
      <w:tr w14:paraId="266CFF78">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61F5D70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023" w:type="dxa"/>
            <w:tcBorders>
              <w:top w:val="single" w:color="000000" w:sz="8" w:space="0"/>
              <w:left w:val="single" w:color="000000" w:sz="8" w:space="0"/>
              <w:bottom w:val="single" w:color="000000" w:sz="8" w:space="0"/>
              <w:right w:val="single" w:color="000000" w:sz="8" w:space="0"/>
            </w:tcBorders>
            <w:vAlign w:val="center"/>
          </w:tcPr>
          <w:p w14:paraId="0798CC5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A020601电机</w:t>
            </w:r>
          </w:p>
        </w:tc>
        <w:tc>
          <w:tcPr>
            <w:tcW w:w="1581" w:type="dxa"/>
            <w:tcBorders>
              <w:top w:val="single" w:color="000000" w:sz="8" w:space="0"/>
              <w:left w:val="single" w:color="000000" w:sz="8" w:space="0"/>
              <w:bottom w:val="single" w:color="000000" w:sz="8" w:space="0"/>
              <w:right w:val="single" w:color="000000" w:sz="8" w:space="0"/>
            </w:tcBorders>
            <w:vAlign w:val="center"/>
          </w:tcPr>
          <w:p w14:paraId="040EDC2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5" w:type="dxa"/>
            <w:tcBorders>
              <w:top w:val="single" w:color="000000" w:sz="8" w:space="0"/>
              <w:left w:val="single" w:color="000000" w:sz="8" w:space="0"/>
              <w:bottom w:val="single" w:color="000000" w:sz="8" w:space="0"/>
              <w:right w:val="single" w:color="000000" w:sz="8" w:space="0"/>
            </w:tcBorders>
            <w:vAlign w:val="center"/>
          </w:tcPr>
          <w:p w14:paraId="1DC66F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single" w:color="000000" w:sz="8" w:space="0"/>
              <w:left w:val="single" w:color="000000" w:sz="8" w:space="0"/>
              <w:bottom w:val="single" w:color="000000" w:sz="8" w:space="0"/>
              <w:right w:val="single" w:color="000000" w:sz="8" w:space="0"/>
            </w:tcBorders>
            <w:vAlign w:val="center"/>
          </w:tcPr>
          <w:p w14:paraId="112D15B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《中小型三相异步电动机能效限定值及能效等级》（GB18613）</w:t>
            </w:r>
          </w:p>
        </w:tc>
      </w:tr>
      <w:tr w14:paraId="14412360">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1BBC8E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023" w:type="dxa"/>
            <w:tcBorders>
              <w:top w:val="single" w:color="000000" w:sz="8" w:space="0"/>
              <w:left w:val="nil"/>
              <w:bottom w:val="single" w:color="000000" w:sz="8" w:space="0"/>
              <w:right w:val="single" w:color="000000" w:sz="8" w:space="0"/>
            </w:tcBorders>
            <w:vAlign w:val="center"/>
          </w:tcPr>
          <w:p w14:paraId="4655226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A020602变压器</w:t>
            </w:r>
          </w:p>
        </w:tc>
        <w:tc>
          <w:tcPr>
            <w:tcW w:w="1581" w:type="dxa"/>
            <w:tcBorders>
              <w:top w:val="single" w:color="000000" w:sz="8" w:space="0"/>
              <w:left w:val="nil"/>
              <w:bottom w:val="single" w:color="000000" w:sz="8" w:space="0"/>
              <w:right w:val="single" w:color="000000" w:sz="8" w:space="0"/>
            </w:tcBorders>
            <w:vAlign w:val="center"/>
          </w:tcPr>
          <w:p w14:paraId="2B26378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配电变压器</w:t>
            </w:r>
          </w:p>
        </w:tc>
        <w:tc>
          <w:tcPr>
            <w:tcW w:w="1615" w:type="dxa"/>
            <w:tcBorders>
              <w:top w:val="single" w:color="000000" w:sz="8" w:space="0"/>
              <w:left w:val="nil"/>
              <w:bottom w:val="single" w:color="000000" w:sz="8" w:space="0"/>
              <w:right w:val="single" w:color="000000" w:sz="8" w:space="0"/>
            </w:tcBorders>
            <w:vAlign w:val="center"/>
          </w:tcPr>
          <w:p w14:paraId="3FB187F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single" w:color="000000" w:sz="8" w:space="0"/>
              <w:left w:val="nil"/>
              <w:bottom w:val="single" w:color="000000" w:sz="8" w:space="0"/>
              <w:right w:val="single" w:color="000000" w:sz="8" w:space="0"/>
            </w:tcBorders>
            <w:vAlign w:val="center"/>
          </w:tcPr>
          <w:p w14:paraId="48C064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《三相配电变压器能效限定值及能效等级》（GB20052）</w:t>
            </w:r>
          </w:p>
        </w:tc>
      </w:tr>
      <w:tr w14:paraId="3D70B01D">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0412494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023" w:type="dxa"/>
            <w:tcBorders>
              <w:top w:val="nil"/>
              <w:left w:val="nil"/>
              <w:bottom w:val="single" w:color="000000" w:sz="8" w:space="0"/>
              <w:right w:val="single" w:color="000000" w:sz="8" w:space="0"/>
            </w:tcBorders>
            <w:vAlign w:val="center"/>
          </w:tcPr>
          <w:p w14:paraId="00B4BA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★A020609镇流器</w:t>
            </w:r>
          </w:p>
        </w:tc>
        <w:tc>
          <w:tcPr>
            <w:tcW w:w="1581" w:type="dxa"/>
            <w:tcBorders>
              <w:top w:val="nil"/>
              <w:left w:val="nil"/>
              <w:bottom w:val="single" w:color="000000" w:sz="8" w:space="0"/>
              <w:right w:val="single" w:color="000000" w:sz="8" w:space="0"/>
            </w:tcBorders>
            <w:vAlign w:val="center"/>
          </w:tcPr>
          <w:p w14:paraId="6C8B291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管型荧光灯镇流器</w:t>
            </w:r>
          </w:p>
        </w:tc>
        <w:tc>
          <w:tcPr>
            <w:tcW w:w="1615" w:type="dxa"/>
            <w:tcBorders>
              <w:top w:val="nil"/>
              <w:left w:val="nil"/>
              <w:bottom w:val="single" w:color="000000" w:sz="8" w:space="0"/>
              <w:right w:val="single" w:color="000000" w:sz="8" w:space="0"/>
            </w:tcBorders>
            <w:vAlign w:val="center"/>
          </w:tcPr>
          <w:p w14:paraId="1FE48D6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68BF78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《管形荧光灯镇流器能效限定值及能效等级》（GB17896）</w:t>
            </w:r>
          </w:p>
        </w:tc>
      </w:tr>
      <w:tr w14:paraId="7ED26524">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7A3596B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023" w:type="dxa"/>
            <w:vMerge w:val="restart"/>
            <w:tcBorders>
              <w:top w:val="nil"/>
              <w:left w:val="single" w:color="000000" w:sz="8" w:space="0"/>
              <w:bottom w:val="single" w:color="000000" w:sz="8" w:space="0"/>
              <w:right w:val="single" w:color="000000" w:sz="8" w:space="0"/>
            </w:tcBorders>
            <w:vAlign w:val="center"/>
          </w:tcPr>
          <w:p w14:paraId="41A3998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A020618生活用电器</w:t>
            </w:r>
          </w:p>
        </w:tc>
        <w:tc>
          <w:tcPr>
            <w:tcW w:w="1581" w:type="dxa"/>
            <w:tcBorders>
              <w:top w:val="nil"/>
              <w:left w:val="nil"/>
              <w:bottom w:val="single" w:color="000000" w:sz="8" w:space="0"/>
              <w:right w:val="single" w:color="000000" w:sz="8" w:space="0"/>
            </w:tcBorders>
            <w:vAlign w:val="center"/>
          </w:tcPr>
          <w:p w14:paraId="5B473F0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A0206180101电冰箱</w:t>
            </w:r>
          </w:p>
        </w:tc>
        <w:tc>
          <w:tcPr>
            <w:tcW w:w="1615" w:type="dxa"/>
            <w:tcBorders>
              <w:top w:val="nil"/>
              <w:left w:val="nil"/>
              <w:bottom w:val="single" w:color="000000" w:sz="8" w:space="0"/>
              <w:right w:val="single" w:color="000000" w:sz="8" w:space="0"/>
            </w:tcBorders>
            <w:vAlign w:val="center"/>
          </w:tcPr>
          <w:p w14:paraId="5CDD603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302C06A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《家用电冰箱耗电量限定值及能效等级》（GB 12021.2）</w:t>
            </w:r>
          </w:p>
        </w:tc>
      </w:tr>
      <w:tr w14:paraId="64C7B31B">
        <w:tblPrEx>
          <w:tblCellMar>
            <w:top w:w="0" w:type="dxa"/>
            <w:left w:w="108" w:type="dxa"/>
            <w:bottom w:w="0" w:type="dxa"/>
            <w:right w:w="108" w:type="dxa"/>
          </w:tblCellMar>
        </w:tblPrEx>
        <w:trPr>
          <w:trHeight w:val="975" w:hRule="atLeast"/>
        </w:trPr>
        <w:tc>
          <w:tcPr>
            <w:tcW w:w="769" w:type="dxa"/>
            <w:vMerge w:val="continue"/>
            <w:tcBorders>
              <w:top w:val="nil"/>
              <w:left w:val="single" w:color="000000" w:sz="8" w:space="0"/>
              <w:bottom w:val="single" w:color="000000" w:sz="8" w:space="0"/>
              <w:right w:val="single" w:color="000000" w:sz="8" w:space="0"/>
            </w:tcBorders>
            <w:vAlign w:val="center"/>
          </w:tcPr>
          <w:p w14:paraId="6DEAA262">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606CDC76">
            <w:pPr>
              <w:widowControl/>
              <w:jc w:val="left"/>
              <w:rPr>
                <w:rFonts w:hint="eastAsia" w:ascii="宋体" w:hAnsi="宋体" w:eastAsia="宋体" w:cs="宋体"/>
                <w:color w:val="auto"/>
                <w:kern w:val="0"/>
                <w:sz w:val="21"/>
                <w:szCs w:val="21"/>
                <w:highlight w:val="none"/>
              </w:rPr>
            </w:pPr>
          </w:p>
        </w:tc>
        <w:tc>
          <w:tcPr>
            <w:tcW w:w="1581" w:type="dxa"/>
            <w:vMerge w:val="restart"/>
            <w:tcBorders>
              <w:top w:val="nil"/>
              <w:left w:val="single" w:color="000000" w:sz="8" w:space="0"/>
              <w:bottom w:val="single" w:color="000000" w:sz="8" w:space="0"/>
              <w:right w:val="single" w:color="000000" w:sz="8" w:space="0"/>
            </w:tcBorders>
            <w:vAlign w:val="center"/>
          </w:tcPr>
          <w:p w14:paraId="63AFEFA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★A0206180203空调机</w:t>
            </w:r>
          </w:p>
        </w:tc>
        <w:tc>
          <w:tcPr>
            <w:tcW w:w="1615" w:type="dxa"/>
            <w:tcBorders>
              <w:top w:val="nil"/>
              <w:left w:val="nil"/>
              <w:bottom w:val="single" w:color="000000" w:sz="8" w:space="0"/>
              <w:right w:val="single" w:color="000000" w:sz="8" w:space="0"/>
            </w:tcBorders>
            <w:vAlign w:val="center"/>
          </w:tcPr>
          <w:p w14:paraId="71EA0E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房间空气调节器</w:t>
            </w:r>
          </w:p>
        </w:tc>
        <w:tc>
          <w:tcPr>
            <w:tcW w:w="4232" w:type="dxa"/>
            <w:tcBorders>
              <w:top w:val="nil"/>
              <w:left w:val="nil"/>
              <w:bottom w:val="single" w:color="000000" w:sz="8" w:space="0"/>
              <w:right w:val="single" w:color="000000" w:sz="8" w:space="0"/>
            </w:tcBorders>
            <w:vAlign w:val="center"/>
          </w:tcPr>
          <w:p w14:paraId="4A98A85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《转速可控型房间空气调节器能效限定值及能效等级》（GB21455-2013），待2019年修订发布后，按《房间空气调节器能效限定值及能效等级》（GB21455-2019实施。</w:t>
            </w:r>
          </w:p>
        </w:tc>
      </w:tr>
      <w:tr w14:paraId="0D313D98">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78842668">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344E5CDC">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65A891E2">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427735F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多联式空调（热泵）机组（制冷量≤ 14000W）</w:t>
            </w:r>
          </w:p>
        </w:tc>
        <w:tc>
          <w:tcPr>
            <w:tcW w:w="4232" w:type="dxa"/>
            <w:tcBorders>
              <w:top w:val="nil"/>
              <w:left w:val="nil"/>
              <w:bottom w:val="single" w:color="000000" w:sz="8" w:space="0"/>
              <w:right w:val="single" w:color="000000" w:sz="8" w:space="0"/>
            </w:tcBorders>
            <w:vAlign w:val="center"/>
          </w:tcPr>
          <w:p w14:paraId="496F5AB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14:paraId="383B3C1F">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2C8BE36A">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002473CF">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0FBDD982">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3DC8F9C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单元式空气调节机(制冷量≤14000W)</w:t>
            </w:r>
          </w:p>
        </w:tc>
        <w:tc>
          <w:tcPr>
            <w:tcW w:w="4232" w:type="dxa"/>
            <w:tcBorders>
              <w:top w:val="nil"/>
              <w:left w:val="nil"/>
              <w:bottom w:val="single" w:color="000000" w:sz="8" w:space="0"/>
              <w:right w:val="single" w:color="000000" w:sz="8" w:space="0"/>
            </w:tcBorders>
            <w:vAlign w:val="center"/>
          </w:tcPr>
          <w:p w14:paraId="08FD87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《单元式空气调节机能效限定值及能源效率等级》（GB19576）《风管送风式空调机组能效限定值及能效等级》（GB37479）</w:t>
            </w:r>
          </w:p>
        </w:tc>
      </w:tr>
      <w:tr w14:paraId="63ABE4EE">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0D7D7C31">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6BC1A14B">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199ACA7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A0206180301洗衣机</w:t>
            </w:r>
          </w:p>
        </w:tc>
        <w:tc>
          <w:tcPr>
            <w:tcW w:w="1615" w:type="dxa"/>
            <w:tcBorders>
              <w:top w:val="nil"/>
              <w:left w:val="nil"/>
              <w:bottom w:val="single" w:color="000000" w:sz="8" w:space="0"/>
              <w:right w:val="single" w:color="000000" w:sz="8" w:space="0"/>
            </w:tcBorders>
            <w:vAlign w:val="center"/>
          </w:tcPr>
          <w:p w14:paraId="2A7ADE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6BCE2FC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《电动洗衣机能效水效限定值及等级》（GB12021.4）</w:t>
            </w:r>
          </w:p>
        </w:tc>
      </w:tr>
      <w:tr w14:paraId="764FE12A">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34963380">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36447270">
            <w:pPr>
              <w:widowControl/>
              <w:jc w:val="left"/>
              <w:rPr>
                <w:rFonts w:hint="eastAsia" w:ascii="宋体" w:hAnsi="宋体" w:eastAsia="宋体" w:cs="宋体"/>
                <w:color w:val="auto"/>
                <w:kern w:val="0"/>
                <w:sz w:val="21"/>
                <w:szCs w:val="21"/>
                <w:highlight w:val="none"/>
              </w:rPr>
            </w:pPr>
          </w:p>
        </w:tc>
        <w:tc>
          <w:tcPr>
            <w:tcW w:w="1581" w:type="dxa"/>
            <w:vMerge w:val="restart"/>
            <w:tcBorders>
              <w:top w:val="nil"/>
              <w:left w:val="single" w:color="000000" w:sz="8" w:space="0"/>
              <w:bottom w:val="single" w:color="000000" w:sz="8" w:space="0"/>
              <w:right w:val="single" w:color="000000" w:sz="8" w:space="0"/>
            </w:tcBorders>
            <w:vAlign w:val="center"/>
          </w:tcPr>
          <w:p w14:paraId="13E3A8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A02061808热水器</w:t>
            </w:r>
          </w:p>
        </w:tc>
        <w:tc>
          <w:tcPr>
            <w:tcW w:w="1615" w:type="dxa"/>
            <w:tcBorders>
              <w:top w:val="nil"/>
              <w:left w:val="nil"/>
              <w:bottom w:val="single" w:color="000000" w:sz="8" w:space="0"/>
              <w:right w:val="single" w:color="000000" w:sz="8" w:space="0"/>
            </w:tcBorders>
            <w:vAlign w:val="center"/>
          </w:tcPr>
          <w:p w14:paraId="61A1C3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★电热水器</w:t>
            </w:r>
          </w:p>
        </w:tc>
        <w:tc>
          <w:tcPr>
            <w:tcW w:w="4232" w:type="dxa"/>
            <w:tcBorders>
              <w:top w:val="nil"/>
              <w:left w:val="nil"/>
              <w:bottom w:val="single" w:color="000000" w:sz="8" w:space="0"/>
              <w:right w:val="single" w:color="000000" w:sz="8" w:space="0"/>
            </w:tcBorders>
            <w:vAlign w:val="center"/>
          </w:tcPr>
          <w:p w14:paraId="0733C0D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《储水式电热水器能效限定值及能效等级》（GB21519）</w:t>
            </w:r>
          </w:p>
        </w:tc>
      </w:tr>
      <w:tr w14:paraId="1B95EC37">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470483F1">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7F35274A">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15D8187A">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006C217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燃气热水器</w:t>
            </w:r>
          </w:p>
        </w:tc>
        <w:tc>
          <w:tcPr>
            <w:tcW w:w="4232" w:type="dxa"/>
            <w:tcBorders>
              <w:top w:val="nil"/>
              <w:left w:val="nil"/>
              <w:bottom w:val="single" w:color="000000" w:sz="8" w:space="0"/>
              <w:right w:val="single" w:color="000000" w:sz="8" w:space="0"/>
            </w:tcBorders>
            <w:vAlign w:val="center"/>
          </w:tcPr>
          <w:p w14:paraId="4418CD2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《家用燃气快速热水器和燃气采暖热水炉能效限定值及能效等级》（GB20665）</w:t>
            </w:r>
          </w:p>
        </w:tc>
      </w:tr>
      <w:tr w14:paraId="11CA2302">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0DF94FB1">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12E7EA85">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14469BA7">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0A45978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热泵热水器</w:t>
            </w:r>
          </w:p>
        </w:tc>
        <w:tc>
          <w:tcPr>
            <w:tcW w:w="4232" w:type="dxa"/>
            <w:tcBorders>
              <w:top w:val="nil"/>
              <w:left w:val="nil"/>
              <w:bottom w:val="single" w:color="000000" w:sz="8" w:space="0"/>
              <w:right w:val="single" w:color="000000" w:sz="8" w:space="0"/>
            </w:tcBorders>
            <w:vAlign w:val="center"/>
          </w:tcPr>
          <w:p w14:paraId="2A16005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《热泵热水机（器）能效限定值及能效等级》（GB29541）</w:t>
            </w:r>
          </w:p>
        </w:tc>
      </w:tr>
      <w:tr w14:paraId="19C59651">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5504E148">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516C530D">
            <w:pPr>
              <w:widowControl/>
              <w:jc w:val="left"/>
              <w:rPr>
                <w:rFonts w:hint="eastAsia" w:ascii="宋体" w:hAnsi="宋体" w:eastAsia="宋体" w:cs="宋体"/>
                <w:color w:val="auto"/>
                <w:kern w:val="0"/>
                <w:sz w:val="21"/>
                <w:szCs w:val="21"/>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69BF5E49">
            <w:pPr>
              <w:widowControl/>
              <w:jc w:val="left"/>
              <w:rPr>
                <w:rFonts w:hint="eastAsia" w:ascii="宋体" w:hAnsi="宋体" w:eastAsia="宋体" w:cs="宋体"/>
                <w:color w:val="auto"/>
                <w:kern w:val="0"/>
                <w:sz w:val="21"/>
                <w:szCs w:val="21"/>
                <w:highlight w:val="none"/>
              </w:rPr>
            </w:pPr>
          </w:p>
        </w:tc>
        <w:tc>
          <w:tcPr>
            <w:tcW w:w="1615" w:type="dxa"/>
            <w:tcBorders>
              <w:top w:val="nil"/>
              <w:left w:val="nil"/>
              <w:bottom w:val="single" w:color="000000" w:sz="8" w:space="0"/>
              <w:right w:val="single" w:color="000000" w:sz="8" w:space="0"/>
            </w:tcBorders>
            <w:vAlign w:val="center"/>
          </w:tcPr>
          <w:p w14:paraId="41F9D25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太阳能热水系统</w:t>
            </w:r>
          </w:p>
        </w:tc>
        <w:tc>
          <w:tcPr>
            <w:tcW w:w="4232" w:type="dxa"/>
            <w:tcBorders>
              <w:top w:val="nil"/>
              <w:left w:val="nil"/>
              <w:bottom w:val="single" w:color="000000" w:sz="8" w:space="0"/>
              <w:right w:val="single" w:color="000000" w:sz="8" w:space="0"/>
            </w:tcBorders>
            <w:vAlign w:val="center"/>
          </w:tcPr>
          <w:p w14:paraId="38A910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《家用太阳能热水系统能效限定值及能效等级》（GB26969）</w:t>
            </w:r>
          </w:p>
        </w:tc>
      </w:tr>
      <w:tr w14:paraId="6C745BCB">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512017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023" w:type="dxa"/>
            <w:vMerge w:val="restart"/>
            <w:tcBorders>
              <w:top w:val="nil"/>
              <w:left w:val="single" w:color="000000" w:sz="8" w:space="0"/>
              <w:bottom w:val="single" w:color="000000" w:sz="8" w:space="0"/>
              <w:right w:val="single" w:color="000000" w:sz="8" w:space="0"/>
            </w:tcBorders>
            <w:vAlign w:val="center"/>
          </w:tcPr>
          <w:p w14:paraId="34B9D20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A020619照明设备</w:t>
            </w:r>
          </w:p>
        </w:tc>
        <w:tc>
          <w:tcPr>
            <w:tcW w:w="1581" w:type="dxa"/>
            <w:tcBorders>
              <w:top w:val="nil"/>
              <w:left w:val="nil"/>
              <w:bottom w:val="single" w:color="000000" w:sz="8" w:space="0"/>
              <w:right w:val="single" w:color="000000" w:sz="8" w:space="0"/>
            </w:tcBorders>
            <w:vAlign w:val="center"/>
          </w:tcPr>
          <w:p w14:paraId="2668A2D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w:t>
            </w:r>
          </w:p>
        </w:tc>
        <w:tc>
          <w:tcPr>
            <w:tcW w:w="1615" w:type="dxa"/>
            <w:tcBorders>
              <w:top w:val="nil"/>
              <w:left w:val="nil"/>
              <w:bottom w:val="single" w:color="000000" w:sz="8" w:space="0"/>
              <w:right w:val="single" w:color="000000" w:sz="8" w:space="0"/>
            </w:tcBorders>
            <w:vAlign w:val="center"/>
          </w:tcPr>
          <w:p w14:paraId="73253D8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12A39D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《普通照明用双端荧光灯能效限定值及能效等级》（GB19043）</w:t>
            </w:r>
          </w:p>
        </w:tc>
      </w:tr>
      <w:tr w14:paraId="56D8D340">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4C23DB0A">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49051E2D">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595262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LED道路/隧道照明产品</w:t>
            </w:r>
          </w:p>
        </w:tc>
        <w:tc>
          <w:tcPr>
            <w:tcW w:w="1615" w:type="dxa"/>
            <w:tcBorders>
              <w:top w:val="nil"/>
              <w:left w:val="nil"/>
              <w:bottom w:val="single" w:color="000000" w:sz="8" w:space="0"/>
              <w:right w:val="single" w:color="000000" w:sz="8" w:space="0"/>
            </w:tcBorders>
            <w:vAlign w:val="center"/>
          </w:tcPr>
          <w:p w14:paraId="5650030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138170B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《道路和隧道照明用LED灯具能效限定值及能效等级》（GB37478）</w:t>
            </w:r>
          </w:p>
        </w:tc>
      </w:tr>
      <w:tr w14:paraId="4649DF6D">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0A9A8EE3">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52343B7A">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64A51AE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LED筒灯</w:t>
            </w:r>
          </w:p>
        </w:tc>
        <w:tc>
          <w:tcPr>
            <w:tcW w:w="1615" w:type="dxa"/>
            <w:tcBorders>
              <w:top w:val="nil"/>
              <w:left w:val="nil"/>
              <w:bottom w:val="single" w:color="000000" w:sz="8" w:space="0"/>
              <w:right w:val="single" w:color="000000" w:sz="8" w:space="0"/>
            </w:tcBorders>
            <w:vAlign w:val="center"/>
          </w:tcPr>
          <w:p w14:paraId="226ECB8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54B86A9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14:paraId="5895A7B3">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5393EF26">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5BC60EA2">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55A36A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普通照明用非定向自镇流LED灯</w:t>
            </w:r>
          </w:p>
        </w:tc>
        <w:tc>
          <w:tcPr>
            <w:tcW w:w="1615" w:type="dxa"/>
            <w:tcBorders>
              <w:top w:val="nil"/>
              <w:left w:val="nil"/>
              <w:bottom w:val="single" w:color="000000" w:sz="8" w:space="0"/>
              <w:right w:val="single" w:color="000000" w:sz="8" w:space="0"/>
            </w:tcBorders>
            <w:vAlign w:val="center"/>
          </w:tcPr>
          <w:p w14:paraId="198F92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1A2E66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14:paraId="7DAFBAB3">
        <w:tblPrEx>
          <w:tblCellMar>
            <w:top w:w="0" w:type="dxa"/>
            <w:left w:w="108" w:type="dxa"/>
            <w:bottom w:w="0" w:type="dxa"/>
            <w:right w:w="108" w:type="dxa"/>
          </w:tblCellMar>
        </w:tblPrEx>
        <w:trPr>
          <w:trHeight w:val="735" w:hRule="atLeast"/>
        </w:trPr>
        <w:tc>
          <w:tcPr>
            <w:tcW w:w="769" w:type="dxa"/>
            <w:tcBorders>
              <w:top w:val="nil"/>
              <w:left w:val="single" w:color="000000" w:sz="8" w:space="0"/>
              <w:bottom w:val="single" w:color="000000" w:sz="8" w:space="0"/>
              <w:right w:val="single" w:color="000000" w:sz="8" w:space="0"/>
            </w:tcBorders>
            <w:vAlign w:val="center"/>
          </w:tcPr>
          <w:p w14:paraId="5D6E03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023" w:type="dxa"/>
            <w:tcBorders>
              <w:top w:val="nil"/>
              <w:left w:val="nil"/>
              <w:bottom w:val="single" w:color="000000" w:sz="8" w:space="0"/>
              <w:right w:val="single" w:color="000000" w:sz="8" w:space="0"/>
            </w:tcBorders>
            <w:vAlign w:val="center"/>
          </w:tcPr>
          <w:p w14:paraId="3A2EBE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★A020910电视设备</w:t>
            </w:r>
          </w:p>
        </w:tc>
        <w:tc>
          <w:tcPr>
            <w:tcW w:w="1581" w:type="dxa"/>
            <w:tcBorders>
              <w:top w:val="nil"/>
              <w:left w:val="nil"/>
              <w:bottom w:val="single" w:color="000000" w:sz="8" w:space="0"/>
              <w:right w:val="single" w:color="000000" w:sz="8" w:space="0"/>
            </w:tcBorders>
            <w:vAlign w:val="center"/>
          </w:tcPr>
          <w:p w14:paraId="4B126F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A02091001普通电视设备（电视机）</w:t>
            </w:r>
          </w:p>
        </w:tc>
        <w:tc>
          <w:tcPr>
            <w:tcW w:w="1615" w:type="dxa"/>
            <w:tcBorders>
              <w:top w:val="nil"/>
              <w:left w:val="nil"/>
              <w:bottom w:val="single" w:color="000000" w:sz="8" w:space="0"/>
              <w:right w:val="single" w:color="000000" w:sz="8" w:space="0"/>
            </w:tcBorders>
            <w:vAlign w:val="center"/>
          </w:tcPr>
          <w:p w14:paraId="2932BD7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1F3CF0F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《平板电视能效限定值及能效等级》（GB24850）</w:t>
            </w:r>
          </w:p>
        </w:tc>
      </w:tr>
      <w:tr w14:paraId="14E32CD7">
        <w:tblPrEx>
          <w:tblCellMar>
            <w:top w:w="0" w:type="dxa"/>
            <w:left w:w="108" w:type="dxa"/>
            <w:bottom w:w="0" w:type="dxa"/>
            <w:right w:w="108" w:type="dxa"/>
          </w:tblCellMar>
        </w:tblPrEx>
        <w:trPr>
          <w:trHeight w:val="975" w:hRule="atLeast"/>
        </w:trPr>
        <w:tc>
          <w:tcPr>
            <w:tcW w:w="769" w:type="dxa"/>
            <w:tcBorders>
              <w:top w:val="nil"/>
              <w:left w:val="single" w:color="000000" w:sz="8" w:space="0"/>
              <w:bottom w:val="single" w:color="000000" w:sz="8" w:space="0"/>
              <w:right w:val="single" w:color="000000" w:sz="8" w:space="0"/>
            </w:tcBorders>
            <w:vAlign w:val="center"/>
          </w:tcPr>
          <w:p w14:paraId="123AE35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023" w:type="dxa"/>
            <w:tcBorders>
              <w:top w:val="nil"/>
              <w:left w:val="nil"/>
              <w:bottom w:val="single" w:color="000000" w:sz="8" w:space="0"/>
              <w:right w:val="single" w:color="000000" w:sz="8" w:space="0"/>
            </w:tcBorders>
            <w:vAlign w:val="center"/>
          </w:tcPr>
          <w:p w14:paraId="5458475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★A020911视频设备</w:t>
            </w:r>
          </w:p>
        </w:tc>
        <w:tc>
          <w:tcPr>
            <w:tcW w:w="1581" w:type="dxa"/>
            <w:tcBorders>
              <w:top w:val="nil"/>
              <w:left w:val="nil"/>
              <w:bottom w:val="single" w:color="000000" w:sz="8" w:space="0"/>
              <w:right w:val="single" w:color="000000" w:sz="8" w:space="0"/>
            </w:tcBorders>
            <w:vAlign w:val="center"/>
          </w:tcPr>
          <w:p w14:paraId="44924D8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A02091107视频监控设备</w:t>
            </w:r>
          </w:p>
        </w:tc>
        <w:tc>
          <w:tcPr>
            <w:tcW w:w="1615" w:type="dxa"/>
            <w:tcBorders>
              <w:top w:val="nil"/>
              <w:left w:val="nil"/>
              <w:bottom w:val="single" w:color="000000" w:sz="8" w:space="0"/>
              <w:right w:val="single" w:color="000000" w:sz="8" w:space="0"/>
            </w:tcBorders>
            <w:vAlign w:val="center"/>
          </w:tcPr>
          <w:p w14:paraId="6AF500B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监视器</w:t>
            </w:r>
          </w:p>
        </w:tc>
        <w:tc>
          <w:tcPr>
            <w:tcW w:w="4232" w:type="dxa"/>
            <w:tcBorders>
              <w:top w:val="nil"/>
              <w:left w:val="nil"/>
              <w:bottom w:val="single" w:color="000000" w:sz="8" w:space="0"/>
              <w:right w:val="single" w:color="000000" w:sz="8" w:space="0"/>
            </w:tcBorders>
            <w:vAlign w:val="center"/>
          </w:tcPr>
          <w:p w14:paraId="33C0E70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66023179">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232CC53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023" w:type="dxa"/>
            <w:tcBorders>
              <w:top w:val="nil"/>
              <w:left w:val="nil"/>
              <w:bottom w:val="single" w:color="000000" w:sz="8" w:space="0"/>
              <w:right w:val="single" w:color="000000" w:sz="8" w:space="0"/>
            </w:tcBorders>
            <w:vAlign w:val="center"/>
          </w:tcPr>
          <w:p w14:paraId="7AB056F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A031210饮食炊事机械</w:t>
            </w:r>
          </w:p>
        </w:tc>
        <w:tc>
          <w:tcPr>
            <w:tcW w:w="1581" w:type="dxa"/>
            <w:tcBorders>
              <w:top w:val="nil"/>
              <w:left w:val="nil"/>
              <w:bottom w:val="single" w:color="000000" w:sz="8" w:space="0"/>
              <w:right w:val="single" w:color="000000" w:sz="8" w:space="0"/>
            </w:tcBorders>
            <w:vAlign w:val="center"/>
          </w:tcPr>
          <w:p w14:paraId="43D09F6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w:t>
            </w:r>
          </w:p>
        </w:tc>
        <w:tc>
          <w:tcPr>
            <w:tcW w:w="1615" w:type="dxa"/>
            <w:tcBorders>
              <w:top w:val="nil"/>
              <w:left w:val="nil"/>
              <w:bottom w:val="single" w:color="000000" w:sz="8" w:space="0"/>
              <w:right w:val="single" w:color="000000" w:sz="8" w:space="0"/>
            </w:tcBorders>
            <w:vAlign w:val="center"/>
          </w:tcPr>
          <w:p w14:paraId="65F035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03CB84C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《商用燃气灶具能效限定值及能效等级》（GB30531）</w:t>
            </w:r>
          </w:p>
        </w:tc>
      </w:tr>
      <w:tr w14:paraId="0FE7140D">
        <w:tblPrEx>
          <w:tblCellMar>
            <w:top w:w="0" w:type="dxa"/>
            <w:left w:w="108" w:type="dxa"/>
            <w:bottom w:w="0" w:type="dxa"/>
            <w:right w:w="108" w:type="dxa"/>
          </w:tblCellMar>
        </w:tblPrEx>
        <w:trPr>
          <w:trHeight w:val="285" w:hRule="atLeast"/>
        </w:trPr>
        <w:tc>
          <w:tcPr>
            <w:tcW w:w="769" w:type="dxa"/>
            <w:vMerge w:val="restart"/>
            <w:tcBorders>
              <w:top w:val="nil"/>
              <w:left w:val="single" w:color="000000" w:sz="8" w:space="0"/>
              <w:bottom w:val="single" w:color="000000" w:sz="8" w:space="0"/>
              <w:right w:val="single" w:color="000000" w:sz="8" w:space="0"/>
            </w:tcBorders>
            <w:vAlign w:val="center"/>
          </w:tcPr>
          <w:p w14:paraId="67F577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023" w:type="dxa"/>
            <w:vMerge w:val="restart"/>
            <w:tcBorders>
              <w:top w:val="nil"/>
              <w:left w:val="single" w:color="000000" w:sz="8" w:space="0"/>
              <w:bottom w:val="single" w:color="000000" w:sz="8" w:space="0"/>
              <w:right w:val="single" w:color="000000" w:sz="8" w:space="0"/>
            </w:tcBorders>
            <w:vAlign w:val="center"/>
          </w:tcPr>
          <w:p w14:paraId="5515C9C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★A060805便器</w:t>
            </w:r>
          </w:p>
        </w:tc>
        <w:tc>
          <w:tcPr>
            <w:tcW w:w="1581" w:type="dxa"/>
            <w:tcBorders>
              <w:top w:val="nil"/>
              <w:left w:val="nil"/>
              <w:bottom w:val="single" w:color="000000" w:sz="8" w:space="0"/>
              <w:right w:val="single" w:color="000000" w:sz="8" w:space="0"/>
            </w:tcBorders>
            <w:vAlign w:val="center"/>
          </w:tcPr>
          <w:p w14:paraId="02F90B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w:t>
            </w:r>
          </w:p>
        </w:tc>
        <w:tc>
          <w:tcPr>
            <w:tcW w:w="1615" w:type="dxa"/>
            <w:tcBorders>
              <w:top w:val="nil"/>
              <w:left w:val="nil"/>
              <w:bottom w:val="single" w:color="000000" w:sz="8" w:space="0"/>
              <w:right w:val="single" w:color="000000" w:sz="8" w:space="0"/>
            </w:tcBorders>
            <w:vAlign w:val="center"/>
          </w:tcPr>
          <w:p w14:paraId="6932B63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04CE543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《坐便器水效限定值及水效等级》（GB25502）</w:t>
            </w:r>
          </w:p>
        </w:tc>
      </w:tr>
      <w:tr w14:paraId="204D445A">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150D0793">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757362C7">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1189602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w:t>
            </w:r>
          </w:p>
        </w:tc>
        <w:tc>
          <w:tcPr>
            <w:tcW w:w="1615" w:type="dxa"/>
            <w:tcBorders>
              <w:top w:val="nil"/>
              <w:left w:val="nil"/>
              <w:bottom w:val="single" w:color="000000" w:sz="8" w:space="0"/>
              <w:right w:val="single" w:color="000000" w:sz="8" w:space="0"/>
            </w:tcBorders>
            <w:vAlign w:val="center"/>
          </w:tcPr>
          <w:p w14:paraId="4492DF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72E1884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《蹲便器用水效率限定值及用水效率等级》（GB30717）</w:t>
            </w:r>
          </w:p>
        </w:tc>
      </w:tr>
      <w:tr w14:paraId="11ABFB1C">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15A6AB20">
            <w:pPr>
              <w:widowControl/>
              <w:jc w:val="left"/>
              <w:rPr>
                <w:rFonts w:hint="eastAsia" w:ascii="宋体" w:hAnsi="宋体" w:eastAsia="宋体" w:cs="宋体"/>
                <w:color w:val="auto"/>
                <w:kern w:val="0"/>
                <w:sz w:val="21"/>
                <w:szCs w:val="21"/>
                <w:highlight w:val="none"/>
              </w:rPr>
            </w:pPr>
          </w:p>
        </w:tc>
        <w:tc>
          <w:tcPr>
            <w:tcW w:w="1023" w:type="dxa"/>
            <w:vMerge w:val="continue"/>
            <w:tcBorders>
              <w:top w:val="nil"/>
              <w:left w:val="single" w:color="000000" w:sz="8" w:space="0"/>
              <w:bottom w:val="single" w:color="000000" w:sz="8" w:space="0"/>
              <w:right w:val="single" w:color="000000" w:sz="8" w:space="0"/>
            </w:tcBorders>
            <w:vAlign w:val="center"/>
          </w:tcPr>
          <w:p w14:paraId="4FD7C564">
            <w:pPr>
              <w:widowControl/>
              <w:jc w:val="left"/>
              <w:rPr>
                <w:rFonts w:hint="eastAsia" w:ascii="宋体" w:hAnsi="宋体" w:eastAsia="宋体" w:cs="宋体"/>
                <w:color w:val="auto"/>
                <w:kern w:val="0"/>
                <w:sz w:val="21"/>
                <w:szCs w:val="21"/>
                <w:highlight w:val="none"/>
              </w:rPr>
            </w:pPr>
          </w:p>
        </w:tc>
        <w:tc>
          <w:tcPr>
            <w:tcW w:w="1581" w:type="dxa"/>
            <w:tcBorders>
              <w:top w:val="nil"/>
              <w:left w:val="nil"/>
              <w:bottom w:val="single" w:color="000000" w:sz="8" w:space="0"/>
              <w:right w:val="single" w:color="000000" w:sz="8" w:space="0"/>
            </w:tcBorders>
            <w:vAlign w:val="center"/>
          </w:tcPr>
          <w:p w14:paraId="1558680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w:t>
            </w:r>
          </w:p>
        </w:tc>
        <w:tc>
          <w:tcPr>
            <w:tcW w:w="1615" w:type="dxa"/>
            <w:tcBorders>
              <w:top w:val="nil"/>
              <w:left w:val="nil"/>
              <w:bottom w:val="single" w:color="000000" w:sz="8" w:space="0"/>
              <w:right w:val="single" w:color="000000" w:sz="8" w:space="0"/>
            </w:tcBorders>
            <w:vAlign w:val="center"/>
          </w:tcPr>
          <w:p w14:paraId="16AA72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59C3D07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《小便器用水效率限定值及用水效率等级》（GB28377）</w:t>
            </w:r>
          </w:p>
        </w:tc>
      </w:tr>
      <w:tr w14:paraId="6DAF30B2">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1987DD9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023" w:type="dxa"/>
            <w:tcBorders>
              <w:top w:val="nil"/>
              <w:left w:val="nil"/>
              <w:bottom w:val="single" w:color="000000" w:sz="8" w:space="0"/>
              <w:right w:val="single" w:color="000000" w:sz="8" w:space="0"/>
            </w:tcBorders>
            <w:vAlign w:val="center"/>
          </w:tcPr>
          <w:p w14:paraId="607FE3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★A060806水嘴</w:t>
            </w:r>
          </w:p>
        </w:tc>
        <w:tc>
          <w:tcPr>
            <w:tcW w:w="1581" w:type="dxa"/>
            <w:tcBorders>
              <w:top w:val="nil"/>
              <w:left w:val="nil"/>
              <w:bottom w:val="single" w:color="000000" w:sz="8" w:space="0"/>
              <w:right w:val="single" w:color="000000" w:sz="8" w:space="0"/>
            </w:tcBorders>
            <w:vAlign w:val="center"/>
          </w:tcPr>
          <w:p w14:paraId="27A4CCD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5" w:type="dxa"/>
            <w:tcBorders>
              <w:top w:val="nil"/>
              <w:left w:val="nil"/>
              <w:bottom w:val="single" w:color="000000" w:sz="8" w:space="0"/>
              <w:right w:val="single" w:color="000000" w:sz="8" w:space="0"/>
            </w:tcBorders>
            <w:vAlign w:val="center"/>
          </w:tcPr>
          <w:p w14:paraId="307BC3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nil"/>
              <w:left w:val="nil"/>
              <w:bottom w:val="single" w:color="000000" w:sz="8" w:space="0"/>
              <w:right w:val="single" w:color="000000" w:sz="8" w:space="0"/>
            </w:tcBorders>
            <w:vAlign w:val="center"/>
          </w:tcPr>
          <w:p w14:paraId="33BCD2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《水嘴用水效率限定值及用水效率等级》（GB 25501）</w:t>
            </w:r>
          </w:p>
        </w:tc>
      </w:tr>
      <w:tr w14:paraId="4CD8D70D">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405B3BA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023" w:type="dxa"/>
            <w:tcBorders>
              <w:top w:val="single" w:color="000000" w:sz="8" w:space="0"/>
              <w:left w:val="single" w:color="000000" w:sz="8" w:space="0"/>
              <w:bottom w:val="single" w:color="000000" w:sz="8" w:space="0"/>
              <w:right w:val="single" w:color="000000" w:sz="8" w:space="0"/>
            </w:tcBorders>
            <w:vAlign w:val="center"/>
          </w:tcPr>
          <w:p w14:paraId="07D45D2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A060807便器冲洗阀</w:t>
            </w:r>
          </w:p>
        </w:tc>
        <w:tc>
          <w:tcPr>
            <w:tcW w:w="1581" w:type="dxa"/>
            <w:tcBorders>
              <w:top w:val="single" w:color="000000" w:sz="8" w:space="0"/>
              <w:left w:val="single" w:color="000000" w:sz="8" w:space="0"/>
              <w:bottom w:val="single" w:color="000000" w:sz="8" w:space="0"/>
              <w:right w:val="single" w:color="000000" w:sz="8" w:space="0"/>
            </w:tcBorders>
            <w:vAlign w:val="center"/>
          </w:tcPr>
          <w:p w14:paraId="5ED513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5" w:type="dxa"/>
            <w:tcBorders>
              <w:top w:val="single" w:color="000000" w:sz="8" w:space="0"/>
              <w:left w:val="single" w:color="000000" w:sz="8" w:space="0"/>
              <w:bottom w:val="single" w:color="000000" w:sz="8" w:space="0"/>
              <w:right w:val="single" w:color="000000" w:sz="8" w:space="0"/>
            </w:tcBorders>
            <w:vAlign w:val="center"/>
          </w:tcPr>
          <w:p w14:paraId="0B73BA7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single" w:color="000000" w:sz="8" w:space="0"/>
              <w:left w:val="single" w:color="000000" w:sz="8" w:space="0"/>
              <w:bottom w:val="single" w:color="000000" w:sz="8" w:space="0"/>
              <w:right w:val="single" w:color="000000" w:sz="8" w:space="0"/>
            </w:tcBorders>
            <w:vAlign w:val="center"/>
          </w:tcPr>
          <w:p w14:paraId="151667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《便器冲洗阀用水效率限定值及用水效率等级》（GB28379）</w:t>
            </w:r>
          </w:p>
        </w:tc>
      </w:tr>
      <w:tr w14:paraId="7069AF27">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645A5C9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023" w:type="dxa"/>
            <w:tcBorders>
              <w:top w:val="single" w:color="000000" w:sz="8" w:space="0"/>
              <w:left w:val="nil"/>
              <w:bottom w:val="single" w:color="000000" w:sz="8" w:space="0"/>
              <w:right w:val="single" w:color="000000" w:sz="8" w:space="0"/>
            </w:tcBorders>
            <w:vAlign w:val="center"/>
          </w:tcPr>
          <w:p w14:paraId="1F36123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A060810淋浴器</w:t>
            </w:r>
          </w:p>
        </w:tc>
        <w:tc>
          <w:tcPr>
            <w:tcW w:w="1581" w:type="dxa"/>
            <w:tcBorders>
              <w:top w:val="single" w:color="000000" w:sz="8" w:space="0"/>
              <w:left w:val="nil"/>
              <w:bottom w:val="single" w:color="000000" w:sz="8" w:space="0"/>
              <w:right w:val="single" w:color="000000" w:sz="8" w:space="0"/>
            </w:tcBorders>
            <w:vAlign w:val="center"/>
          </w:tcPr>
          <w:p w14:paraId="410E8DE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5" w:type="dxa"/>
            <w:tcBorders>
              <w:top w:val="single" w:color="000000" w:sz="8" w:space="0"/>
              <w:left w:val="nil"/>
              <w:bottom w:val="single" w:color="000000" w:sz="8" w:space="0"/>
              <w:right w:val="single" w:color="000000" w:sz="8" w:space="0"/>
            </w:tcBorders>
            <w:vAlign w:val="center"/>
          </w:tcPr>
          <w:p w14:paraId="36B445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232" w:type="dxa"/>
            <w:tcBorders>
              <w:top w:val="single" w:color="000000" w:sz="8" w:space="0"/>
              <w:left w:val="nil"/>
              <w:bottom w:val="single" w:color="000000" w:sz="8" w:space="0"/>
              <w:right w:val="single" w:color="000000" w:sz="8" w:space="0"/>
            </w:tcBorders>
            <w:vAlign w:val="center"/>
          </w:tcPr>
          <w:p w14:paraId="0259AD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《淋浴器用水效率限定值及用水效率等级》（GB28378）</w:t>
            </w:r>
          </w:p>
        </w:tc>
      </w:tr>
    </w:tbl>
    <w:p w14:paraId="6C993A33">
      <w:pPr>
        <w:jc w:val="left"/>
        <w:rPr>
          <w:rFonts w:hint="eastAsia" w:ascii="宋体" w:hAnsi="宋体" w:eastAsia="宋体" w:cs="宋体"/>
          <w:color w:val="auto"/>
          <w:sz w:val="18"/>
          <w:szCs w:val="18"/>
          <w:highlight w:val="none"/>
        </w:rPr>
      </w:pPr>
    </w:p>
    <w:p w14:paraId="6C7E61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注：1.节能产品认证应依据相关国家标准的最新版本，依据国家标准中二级能效（水效）指标。</w:t>
      </w:r>
    </w:p>
    <w:p w14:paraId="2FF606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 xml:space="preserve">    2.以“★”标注的为政府强制采购产品。</w:t>
      </w:r>
    </w:p>
    <w:p w14:paraId="706692CC">
      <w:pPr>
        <w:pStyle w:val="2"/>
        <w:spacing w:line="360" w:lineRule="auto"/>
        <w:rPr>
          <w:rFonts w:hint="eastAsia" w:ascii="宋体" w:hAnsi="宋体" w:eastAsia="宋体" w:cs="宋体"/>
          <w:color w:val="auto"/>
          <w:szCs w:val="21"/>
          <w:highlight w:val="none"/>
        </w:rPr>
      </w:pPr>
    </w:p>
    <w:p w14:paraId="5365B7E8">
      <w:pPr>
        <w:widowControl/>
        <w:jc w:val="left"/>
        <w:rPr>
          <w:rFonts w:hint="eastAsia" w:ascii="宋体" w:hAnsi="宋体" w:eastAsia="宋体" w:cs="宋体"/>
          <w:color w:val="auto"/>
          <w:sz w:val="20"/>
          <w:szCs w:val="20"/>
          <w:highlight w:val="none"/>
        </w:rPr>
      </w:pPr>
    </w:p>
    <w:p w14:paraId="5B93FEE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FA10846">
      <w:pPr>
        <w:pStyle w:val="4"/>
        <w:keepNext/>
        <w:keepLines/>
        <w:pageBreakBefore w:val="0"/>
        <w:widowControl w:val="0"/>
        <w:kinsoku/>
        <w:wordWrap/>
        <w:overflowPunct/>
        <w:topLinePunct w:val="0"/>
        <w:autoSpaceDE/>
        <w:autoSpaceDN/>
        <w:bidi w:val="0"/>
        <w:adjustRightInd/>
        <w:snapToGrid/>
        <w:spacing w:before="313" w:beforeLines="100" w:after="313" w:afterLines="100" w:line="700" w:lineRule="exact"/>
        <w:jc w:val="center"/>
        <w:textAlignment w:val="auto"/>
        <w:rPr>
          <w:rFonts w:hint="eastAsia" w:ascii="宋体" w:hAnsi="宋体" w:eastAsia="宋体" w:cs="宋体"/>
          <w:color w:val="auto"/>
          <w:highlight w:val="none"/>
        </w:rPr>
      </w:pPr>
      <w:bookmarkStart w:id="41" w:name="_Toc392"/>
      <w:bookmarkStart w:id="42" w:name="_Toc18455"/>
      <w:r>
        <w:rPr>
          <w:rFonts w:hint="eastAsia" w:ascii="宋体" w:hAnsi="宋体" w:eastAsia="宋体" w:cs="宋体"/>
          <w:color w:val="auto"/>
          <w:highlight w:val="none"/>
        </w:rPr>
        <w:t>第三章  投标人须知</w:t>
      </w:r>
      <w:bookmarkEnd w:id="41"/>
      <w:bookmarkEnd w:id="42"/>
    </w:p>
    <w:p w14:paraId="0F986E32">
      <w:pPr>
        <w:jc w:val="center"/>
        <w:rPr>
          <w:rFonts w:hint="eastAsia" w:ascii="宋体" w:hAnsi="宋体" w:eastAsia="宋体" w:cs="宋体"/>
          <w:color w:val="auto"/>
          <w:sz w:val="36"/>
          <w:szCs w:val="36"/>
          <w:highlight w:val="none"/>
        </w:rPr>
      </w:pPr>
      <w:bookmarkStart w:id="43" w:name="_Toc254970526"/>
      <w:bookmarkStart w:id="44" w:name="_Toc254970667"/>
      <w:r>
        <w:rPr>
          <w:rFonts w:hint="eastAsia" w:ascii="宋体" w:hAnsi="宋体" w:eastAsia="宋体" w:cs="宋体"/>
          <w:color w:val="auto"/>
          <w:sz w:val="36"/>
          <w:szCs w:val="36"/>
          <w:highlight w:val="none"/>
        </w:rPr>
        <w:t>投标人须知前附表</w:t>
      </w:r>
      <w:bookmarkEnd w:id="43"/>
      <w:bookmarkEnd w:id="44"/>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553D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06DDF0B">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0A8197E">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04A04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67627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0BD172C1">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tc>
      </w:tr>
      <w:tr w14:paraId="561BC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822113E">
            <w:pPr>
              <w:spacing w:line="400" w:lineRule="exact"/>
              <w:jc w:val="center"/>
              <w:rPr>
                <w:rFonts w:hint="eastAsia" w:ascii="宋体" w:hAnsi="宋体" w:eastAsia="宋体" w:cs="宋体"/>
                <w:color w:val="auto"/>
                <w:szCs w:val="21"/>
                <w:highlight w:val="none"/>
              </w:rPr>
            </w:pPr>
            <w:bookmarkStart w:id="45" w:name="_8.1"/>
            <w:bookmarkEnd w:id="45"/>
            <w:bookmarkStart w:id="46" w:name="_5"/>
            <w:bookmarkEnd w:id="46"/>
            <w:bookmarkStart w:id="47" w:name="_9.2"/>
            <w:bookmarkEnd w:id="47"/>
            <w:r>
              <w:rPr>
                <w:rFonts w:hint="eastAsia" w:ascii="宋体" w:hAnsi="宋体" w:eastAsia="宋体" w:cs="宋体"/>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34FB0ABF">
            <w:pPr>
              <w:pStyle w:val="19"/>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本项目是否接受联合体投标：详见招标公告。</w:t>
            </w:r>
          </w:p>
        </w:tc>
      </w:tr>
      <w:tr w14:paraId="24025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A5EB53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2F553C95">
            <w:pPr>
              <w:autoSpaceDE w:val="0"/>
              <w:autoSpaceDN w:val="0"/>
              <w:snapToGrid w:val="0"/>
              <w:spacing w:line="400" w:lineRule="exact"/>
              <w:textAlignment w:val="bottom"/>
              <w:rPr>
                <w:rFonts w:hint="eastAsia" w:ascii="宋体" w:hAnsi="宋体" w:eastAsia="宋体" w:cs="宋体"/>
                <w:color w:val="auto"/>
                <w:szCs w:val="21"/>
                <w:highlight w:val="none"/>
              </w:rPr>
            </w:pPr>
            <w:bookmarkStart w:id="48" w:name="_Hlk54105293"/>
            <w:r>
              <w:rPr>
                <w:rFonts w:hint="eastAsia" w:ascii="宋体" w:hAnsi="宋体" w:eastAsia="宋体" w:cs="宋体"/>
                <w:color w:val="auto"/>
                <w:szCs w:val="21"/>
                <w:highlight w:val="none"/>
              </w:rPr>
              <w:t>如接受联合体投标，</w:t>
            </w:r>
            <w:bookmarkEnd w:id="48"/>
            <w:r>
              <w:rPr>
                <w:rFonts w:hint="eastAsia" w:ascii="宋体" w:hAnsi="宋体" w:eastAsia="宋体" w:cs="宋体"/>
                <w:color w:val="auto"/>
                <w:szCs w:val="21"/>
                <w:highlight w:val="none"/>
              </w:rPr>
              <w:t>联合体投标要求如下：</w:t>
            </w:r>
          </w:p>
          <w:p w14:paraId="2B9D9728">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1、两个以上投标人可以组成一个投标联合体，以一个投标人的身份共同参加投标，联合体投标人的名称应统一按“XXX 公司与 XXX 公司的联合体”的规则填写。</w:t>
            </w:r>
            <w:r>
              <w:rPr>
                <w:rFonts w:hint="eastAsia" w:ascii="宋体" w:hAnsi="宋体" w:eastAsia="宋体" w:cs="宋体"/>
                <w:color w:val="auto"/>
                <w:szCs w:val="21"/>
                <w:highlight w:val="none"/>
              </w:rPr>
              <w:tab/>
            </w:r>
          </w:p>
          <w:p w14:paraId="128982D4">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0C067C7D">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eastAsia="宋体" w:cs="宋体"/>
                <w:color w:val="auto"/>
                <w:szCs w:val="21"/>
                <w:highlight w:val="none"/>
              </w:rPr>
              <w:tab/>
            </w:r>
          </w:p>
          <w:p w14:paraId="31687609">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14:paraId="101CAAB2">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5、联合体中有同类资质的投标人按照联合体分工承担相同工作的，应当按照资质等级较低的投标人确定资质等级。</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14:paraId="3B45A747">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6、联合体投标业绩、履约能力按照联合体各方其中较高的一方认定并计算（招标文件另有规定的除外）。</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p>
          <w:p w14:paraId="6F68B0E0">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7、联合体各方均应按照招标文件的规定提交资格证明文件。</w:t>
            </w:r>
          </w:p>
        </w:tc>
      </w:tr>
      <w:tr w14:paraId="03F7D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4F5806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48747C7F">
            <w:pPr>
              <w:pStyle w:val="19"/>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☑本项目不允许分包。</w:t>
            </w:r>
          </w:p>
          <w:p w14:paraId="5EC94113">
            <w:pPr>
              <w:pStyle w:val="19"/>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□本项目允许分包：</w:t>
            </w:r>
          </w:p>
          <w:p w14:paraId="732B4D69">
            <w:pPr>
              <w:pStyle w:val="19"/>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0F0BF52A">
            <w:pPr>
              <w:pStyle w:val="19"/>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6A6C1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FDCD46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14:paraId="7D2D72B3">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14:paraId="6BA7B15D">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14:paraId="45707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95" w:type="dxa"/>
            <w:vMerge w:val="restart"/>
            <w:tcBorders>
              <w:top w:val="single" w:color="auto" w:sz="4" w:space="0"/>
              <w:left w:val="single" w:color="auto" w:sz="4" w:space="0"/>
              <w:right w:val="single" w:color="auto" w:sz="4" w:space="0"/>
            </w:tcBorders>
            <w:vAlign w:val="center"/>
          </w:tcPr>
          <w:p w14:paraId="6299A1A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1347221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本项目不组织现场考察。</w:t>
            </w:r>
          </w:p>
        </w:tc>
      </w:tr>
      <w:tr w14:paraId="4C814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53F8B7EF">
            <w:pPr>
              <w:spacing w:line="400" w:lineRule="exact"/>
              <w:jc w:val="center"/>
              <w:rPr>
                <w:rFonts w:hint="eastAsia" w:ascii="宋体" w:hAnsi="宋体" w:eastAsia="宋体" w:cs="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1F2A0B78">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☑本项目不组织召开开标前答疑会/□组织召开开标前答疑会</w:t>
            </w:r>
          </w:p>
          <w:p w14:paraId="1E4D77E1">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会议开始时间：年月日 时</w:t>
            </w:r>
            <w:r>
              <w:rPr>
                <w:rFonts w:hint="eastAsia" w:ascii="宋体" w:hAnsi="宋体" w:eastAsia="宋体" w:cs="宋体"/>
                <w:color w:val="auto"/>
                <w:szCs w:val="21"/>
                <w:highlight w:val="none"/>
                <w:u w:val="none"/>
              </w:rPr>
              <w:t xml:space="preserve">  分</w:t>
            </w:r>
            <w:r>
              <w:rPr>
                <w:rFonts w:hint="eastAsia" w:ascii="宋体" w:hAnsi="宋体" w:eastAsia="宋体" w:cs="宋体"/>
                <w:color w:val="auto"/>
                <w:szCs w:val="21"/>
                <w:highlight w:val="none"/>
              </w:rPr>
              <w:t>，逾期后果自负。会议地点：</w:t>
            </w:r>
          </w:p>
          <w:p w14:paraId="32DECF23">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联系人：；联系电话：</w:t>
            </w:r>
          </w:p>
        </w:tc>
      </w:tr>
      <w:tr w14:paraId="41AAD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728FCAA6">
            <w:pPr>
              <w:spacing w:line="400" w:lineRule="exact"/>
              <w:jc w:val="center"/>
              <w:rPr>
                <w:rFonts w:hint="eastAsia" w:ascii="宋体" w:hAnsi="宋体" w:eastAsia="宋体" w:cs="宋体"/>
                <w:color w:val="auto"/>
                <w:szCs w:val="21"/>
                <w:highlight w:val="none"/>
              </w:rPr>
            </w:pPr>
            <w:bookmarkStart w:id="49" w:name="_13.1"/>
            <w:bookmarkEnd w:id="49"/>
            <w:r>
              <w:rPr>
                <w:rFonts w:hint="eastAsia" w:ascii="宋体" w:hAnsi="宋体" w:eastAsia="宋体" w:cs="宋体"/>
                <w:color w:val="auto"/>
                <w:szCs w:val="21"/>
                <w:highlight w:val="none"/>
              </w:rPr>
              <w:t>13.</w:t>
            </w:r>
            <w:bookmarkStart w:id="50" w:name="_Hlt19632543"/>
            <w:r>
              <w:rPr>
                <w:rFonts w:hint="eastAsia" w:ascii="宋体" w:hAnsi="宋体" w:eastAsia="宋体" w:cs="宋体"/>
                <w:color w:val="auto"/>
                <w:szCs w:val="21"/>
                <w:highlight w:val="none"/>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3296BD95">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14:paraId="49EB9694">
            <w:pPr>
              <w:tabs>
                <w:tab w:val="left" w:pos="459"/>
              </w:tabs>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1、投标函（格式后附）；</w:t>
            </w:r>
            <w:r>
              <w:rPr>
                <w:rFonts w:hint="eastAsia" w:ascii="宋体" w:hAnsi="宋体" w:eastAsia="宋体" w:cs="宋体"/>
                <w:b/>
                <w:color w:val="auto"/>
                <w:szCs w:val="21"/>
                <w:highlight w:val="none"/>
              </w:rPr>
              <w:t>（必须提供，否则按无效投标处理）</w:t>
            </w:r>
          </w:p>
          <w:p w14:paraId="67D6965C">
            <w:pPr>
              <w:tabs>
                <w:tab w:val="left" w:pos="459"/>
              </w:tabs>
              <w:snapToGrid w:val="0"/>
              <w:spacing w:line="400" w:lineRule="exact"/>
              <w:jc w:val="left"/>
              <w:rPr>
                <w:rFonts w:hint="eastAsia" w:ascii="宋体" w:hAnsi="宋体" w:eastAsia="宋体" w:cs="宋体"/>
                <w:color w:val="auto"/>
                <w:szCs w:val="21"/>
                <w:highlight w:val="none"/>
              </w:rPr>
            </w:pPr>
            <w:bookmarkStart w:id="51" w:name="_Hlk71299233"/>
            <w:r>
              <w:rPr>
                <w:rFonts w:hint="eastAsia" w:ascii="宋体" w:hAnsi="宋体" w:eastAsia="宋体" w:cs="宋体"/>
                <w:color w:val="auto"/>
                <w:szCs w:val="21"/>
                <w:highlight w:val="none"/>
              </w:rPr>
              <w:t>2、开标一览表</w:t>
            </w:r>
            <w:bookmarkEnd w:id="51"/>
            <w:r>
              <w:rPr>
                <w:rFonts w:hint="eastAsia" w:ascii="宋体" w:hAnsi="宋体" w:eastAsia="宋体" w:cs="宋体"/>
                <w:color w:val="auto"/>
                <w:szCs w:val="21"/>
                <w:highlight w:val="none"/>
              </w:rPr>
              <w:t>（格式后附）； （</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1B07A58D">
            <w:pPr>
              <w:tabs>
                <w:tab w:val="left" w:pos="459"/>
              </w:tabs>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3、中小企业或残疾企业或监狱企业申明函</w:t>
            </w:r>
            <w:r>
              <w:rPr>
                <w:rFonts w:hint="eastAsia" w:ascii="宋体" w:hAnsi="宋体" w:eastAsia="宋体" w:cs="宋体"/>
                <w:color w:val="auto"/>
                <w:szCs w:val="21"/>
                <w:highlight w:val="none"/>
                <w:lang w:eastAsia="zh-CN"/>
              </w:rPr>
              <w:t>或残疾人福利声明函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按格式</w:t>
            </w:r>
            <w:r>
              <w:rPr>
                <w:rFonts w:hint="eastAsia" w:ascii="宋体" w:hAnsi="宋体" w:cs="宋体"/>
                <w:b/>
                <w:color w:val="auto"/>
                <w:szCs w:val="21"/>
                <w:highlight w:val="none"/>
                <w:lang w:val="en-US" w:eastAsia="zh-CN"/>
              </w:rPr>
              <w:t>要求，如有提供</w:t>
            </w:r>
            <w:r>
              <w:rPr>
                <w:rFonts w:hint="eastAsia" w:ascii="宋体" w:hAnsi="宋体" w:eastAsia="宋体" w:cs="宋体"/>
                <w:b/>
                <w:color w:val="auto"/>
                <w:szCs w:val="21"/>
                <w:highlight w:val="none"/>
              </w:rPr>
              <w:t>)</w:t>
            </w:r>
          </w:p>
          <w:p w14:paraId="1D168558">
            <w:pPr>
              <w:tabs>
                <w:tab w:val="left" w:pos="459"/>
              </w:tabs>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4、投标人针对报价需要说明的其他文件和说明（格式自拟）。</w:t>
            </w:r>
          </w:p>
          <w:p w14:paraId="7B130DB7">
            <w:pPr>
              <w:snapToGrid w:val="0"/>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注：投标函、开标一览表必须由法定代表人或者委托代理人在规定签章处逐一签字（章）并加盖投标人公章，否则按无效投标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56E23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524FE20F">
            <w:pPr>
              <w:spacing w:line="400" w:lineRule="exact"/>
              <w:rPr>
                <w:rFonts w:hint="eastAsia" w:ascii="宋体" w:hAnsi="宋体" w:eastAsia="宋体" w:cs="宋体"/>
                <w:color w:val="auto"/>
                <w:szCs w:val="21"/>
                <w:highlight w:val="none"/>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7F9A59D7">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062CB91D">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auto"/>
                <w:szCs w:val="21"/>
                <w:highlight w:val="none"/>
              </w:rPr>
              <w:t>（必须提供，否则按无效投标处理）</w:t>
            </w:r>
          </w:p>
          <w:p w14:paraId="1520B670">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年1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月至202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期间任意连续3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auto"/>
                <w:szCs w:val="21"/>
                <w:highlight w:val="none"/>
              </w:rPr>
              <w:t>（必须提供，否则按无效投标处理）</w:t>
            </w:r>
          </w:p>
          <w:p w14:paraId="312874A4">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年1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月至202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期间任意连续3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auto"/>
                <w:szCs w:val="21"/>
                <w:highlight w:val="none"/>
              </w:rPr>
              <w:t>（必须提供，否则按无效投标处理）</w:t>
            </w:r>
          </w:p>
          <w:p w14:paraId="3B6D14B4">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4、投标人财务状况报告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2023年度</w:t>
            </w:r>
            <w:r>
              <w:rPr>
                <w:rFonts w:hint="eastAsia" w:ascii="宋体" w:hAnsi="宋体" w:eastAsia="宋体" w:cs="宋体"/>
                <w:color w:val="auto"/>
                <w:szCs w:val="21"/>
                <w:highlight w:val="none"/>
                <w:lang w:val="en-US" w:eastAsia="zh-CN"/>
              </w:rPr>
              <w:t>或2024年度</w:t>
            </w:r>
            <w:r>
              <w:rPr>
                <w:rFonts w:hint="eastAsia" w:ascii="宋体" w:hAnsi="宋体" w:eastAsia="宋体" w:cs="宋体"/>
                <w:color w:val="auto"/>
                <w:szCs w:val="21"/>
                <w:highlight w:val="none"/>
              </w:rPr>
              <w:t>财务报表复印件</w:t>
            </w:r>
            <w:r>
              <w:rPr>
                <w:rFonts w:hint="eastAsia" w:ascii="宋体" w:hAnsi="宋体" w:eastAsia="宋体" w:cs="宋体"/>
                <w:color w:val="auto"/>
                <w:szCs w:val="21"/>
                <w:highlight w:val="none"/>
                <w:lang w:val="en-US" w:eastAsia="zh-CN"/>
              </w:rPr>
              <w:t>,附</w:t>
            </w:r>
            <w:r>
              <w:rPr>
                <w:rFonts w:hint="eastAsia" w:ascii="宋体" w:hAnsi="宋体" w:eastAsia="宋体" w:cs="宋体"/>
                <w:color w:val="auto"/>
                <w:szCs w:val="21"/>
                <w:highlight w:val="none"/>
              </w:rPr>
              <w:t>资产负债表、利润表、现金流量表、所有者权益变动表（如有）</w:t>
            </w:r>
            <w:r>
              <w:rPr>
                <w:rFonts w:hint="eastAsia" w:ascii="宋体" w:hAnsi="宋体" w:eastAsia="宋体" w:cs="宋体"/>
                <w:color w:val="auto"/>
                <w:szCs w:val="21"/>
                <w:highlight w:val="none"/>
                <w:lang w:eastAsia="zh-CN"/>
              </w:rPr>
              <w:t>；</w:t>
            </w:r>
            <w:r>
              <w:rPr>
                <w:color w:val="auto"/>
                <w:highlight w:val="none"/>
              </w:rPr>
              <w:t>供应商成立不满一年的应按提供上一个月的财务状况报告复印件</w:t>
            </w:r>
            <w:r>
              <w:rPr>
                <w:rFonts w:hint="eastAsia" w:ascii="宋体" w:hAnsi="宋体" w:eastAsia="宋体" w:cs="宋体"/>
                <w:color w:val="auto"/>
                <w:szCs w:val="21"/>
                <w:highlight w:val="none"/>
                <w:lang w:val="en-US" w:eastAsia="zh-CN"/>
              </w:rPr>
              <w:t>]或者</w:t>
            </w:r>
            <w:r>
              <w:rPr>
                <w:rFonts w:hint="eastAsia" w:ascii="宋体" w:hAnsi="宋体" w:eastAsia="宋体" w:cs="宋体"/>
                <w:color w:val="auto"/>
                <w:szCs w:val="21"/>
                <w:highlight w:val="none"/>
              </w:rPr>
              <w:t>银行出具的资信证明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eastAsia="宋体" w:cs="宋体"/>
                <w:b/>
                <w:color w:val="auto"/>
                <w:szCs w:val="21"/>
                <w:highlight w:val="none"/>
              </w:rPr>
              <w:t>（除自然人外必须提供，否则按无效投标处理）</w:t>
            </w:r>
          </w:p>
          <w:p w14:paraId="181AEAC0">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5、投标人直接控股、管理关系信息表（格式后附）；</w:t>
            </w:r>
            <w:r>
              <w:rPr>
                <w:rFonts w:hint="eastAsia" w:ascii="宋体" w:hAnsi="宋体" w:eastAsia="宋体" w:cs="宋体"/>
                <w:b/>
                <w:color w:val="auto"/>
                <w:szCs w:val="21"/>
                <w:highlight w:val="none"/>
              </w:rPr>
              <w:t>（必须提供，否则按无效投标处理）</w:t>
            </w:r>
          </w:p>
          <w:p w14:paraId="76E96EE6">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6、投标声明（格式后附）；</w:t>
            </w:r>
            <w:r>
              <w:rPr>
                <w:rFonts w:hint="eastAsia" w:ascii="宋体" w:hAnsi="宋体" w:eastAsia="宋体" w:cs="宋体"/>
                <w:b/>
                <w:color w:val="auto"/>
                <w:szCs w:val="21"/>
                <w:highlight w:val="none"/>
              </w:rPr>
              <w:t>（必须提供，否则按无效投标处理）</w:t>
            </w:r>
          </w:p>
          <w:p w14:paraId="25C7B064">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7、联合体协议书（格式后附）；</w:t>
            </w:r>
            <w:r>
              <w:rPr>
                <w:rFonts w:hint="eastAsia" w:ascii="宋体" w:hAnsi="宋体" w:eastAsia="宋体" w:cs="宋体"/>
                <w:b/>
                <w:color w:val="auto"/>
                <w:szCs w:val="21"/>
                <w:highlight w:val="none"/>
              </w:rPr>
              <w:t>（联合体投标时必须提供，否则按无效投标处理）</w:t>
            </w:r>
          </w:p>
          <w:p w14:paraId="6F4EF224">
            <w:pPr>
              <w:pStyle w:val="59"/>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Cs w:val="0"/>
                <w:color w:val="auto"/>
                <w:spacing w:val="0"/>
                <w:kern w:val="2"/>
                <w:sz w:val="21"/>
                <w:szCs w:val="21"/>
                <w:highlight w:val="none"/>
                <w:lang w:val="en-US" w:eastAsia="zh-CN" w:bidi="ar-SA"/>
              </w:rPr>
              <w:t>8、中小企业或残疾企业或监狱企业申明函或残疾人福利性单位声明函；</w:t>
            </w:r>
            <w:r>
              <w:rPr>
                <w:rFonts w:hint="eastAsia" w:ascii="宋体" w:hAnsi="宋体" w:eastAsia="宋体" w:cs="宋体"/>
                <w:b/>
                <w:color w:val="auto"/>
                <w:szCs w:val="21"/>
                <w:highlight w:val="none"/>
                <w:lang w:val="en-US" w:eastAsia="zh-CN"/>
              </w:rPr>
              <w:t>(</w:t>
            </w:r>
            <w:r>
              <w:rPr>
                <w:rFonts w:hint="eastAsia" w:ascii="宋体" w:hAnsi="宋体" w:eastAsia="宋体" w:cs="宋体"/>
                <w:b/>
                <w:bCs w:val="0"/>
                <w:color w:val="auto"/>
                <w:spacing w:val="0"/>
                <w:kern w:val="2"/>
                <w:sz w:val="21"/>
                <w:szCs w:val="21"/>
                <w:highlight w:val="none"/>
                <w:lang w:val="en-US" w:eastAsia="zh-CN" w:bidi="ar-SA"/>
              </w:rPr>
              <w:t>按格式，</w:t>
            </w:r>
            <w:r>
              <w:rPr>
                <w:rFonts w:hint="eastAsia" w:ascii="宋体" w:hAnsi="宋体" w:cs="宋体"/>
                <w:b/>
                <w:bCs w:val="0"/>
                <w:color w:val="auto"/>
                <w:spacing w:val="0"/>
                <w:kern w:val="2"/>
                <w:sz w:val="21"/>
                <w:szCs w:val="21"/>
                <w:highlight w:val="none"/>
                <w:lang w:val="en-US" w:eastAsia="zh-CN" w:bidi="ar-SA"/>
              </w:rPr>
              <w:t>专门面向中小企业的分标</w:t>
            </w:r>
            <w:r>
              <w:rPr>
                <w:rFonts w:hint="eastAsia" w:ascii="宋体" w:hAnsi="宋体" w:eastAsia="宋体" w:cs="宋体"/>
                <w:b/>
                <w:bCs w:val="0"/>
                <w:color w:val="auto"/>
                <w:spacing w:val="0"/>
                <w:kern w:val="2"/>
                <w:sz w:val="21"/>
                <w:szCs w:val="21"/>
                <w:highlight w:val="none"/>
                <w:lang w:val="en-US" w:eastAsia="zh-CN" w:bidi="ar-SA"/>
              </w:rPr>
              <w:t>必须提供，否则按无效投标处理)</w:t>
            </w:r>
          </w:p>
          <w:p w14:paraId="042C3094">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、项目人员根据公开招标公告对应的特定资格要求设置供应商提供的资格证明材料：无。</w:t>
            </w:r>
            <w:r>
              <w:rPr>
                <w:rFonts w:hint="eastAsia" w:ascii="宋体" w:hAnsi="宋体" w:eastAsia="宋体" w:cs="宋体"/>
                <w:b/>
                <w:color w:val="auto"/>
                <w:szCs w:val="21"/>
                <w:highlight w:val="none"/>
              </w:rPr>
              <w:t>（有要求时必须提供，否则按无效投标处理）</w:t>
            </w:r>
          </w:p>
          <w:p w14:paraId="2D190D64">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、除招标文件规定必须提供以外，投标人认为需要提供的其他证明材料。</w:t>
            </w:r>
          </w:p>
          <w:p w14:paraId="6CCF3321">
            <w:pPr>
              <w:snapToGrid w:val="0"/>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6F95BE19">
            <w:pPr>
              <w:snapToGrid w:val="0"/>
              <w:spacing w:line="40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1、以上标明“必须提供”的材料属于复印件的，必须加盖投标人公章，否则按无效投标</w:t>
            </w:r>
            <w:r>
              <w:rPr>
                <w:rFonts w:hint="eastAsia" w:ascii="宋体" w:hAnsi="宋体" w:eastAsia="宋体" w:cs="宋体"/>
                <w:b/>
                <w:color w:val="auto"/>
                <w:szCs w:val="21"/>
                <w:highlight w:val="none"/>
              </w:rPr>
              <w:t>处理。</w:t>
            </w:r>
          </w:p>
          <w:p w14:paraId="5DA697B6">
            <w:pPr>
              <w:snapToGrid w:val="0"/>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投标声明必须由法定代表人在规定签章处签章并加盖投标人公章，否则按无效投标处理。</w:t>
            </w:r>
          </w:p>
          <w:p w14:paraId="5BA67B05">
            <w:pPr>
              <w:snapToGrid w:val="0"/>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p w14:paraId="3C8D53BA">
            <w:pPr>
              <w:snapToGrid w:val="0"/>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4、联合体投标时，第1-5项资格证明文件联合体各方均必须分别提供，联合体各方分别盖章和签字，否则按无效投标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4115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24A0086">
            <w:pPr>
              <w:spacing w:line="400" w:lineRule="exact"/>
              <w:rPr>
                <w:rFonts w:hint="eastAsia" w:ascii="宋体" w:hAnsi="宋体" w:eastAsia="宋体" w:cs="宋体"/>
                <w:color w:val="auto"/>
                <w:szCs w:val="21"/>
                <w:highlight w:val="none"/>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3318B7C4">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商务文件：</w:t>
            </w:r>
          </w:p>
          <w:p w14:paraId="50926D2C">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3A688862">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2、投标人廉洁承诺（格式后附）；（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7437A18D">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3、投标保证金缴纳凭证复印件；（</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418BF411">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4、法定代表人身份证明及法定代表人有效身份证正反面复印件（格式后附）；（</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2CF04528">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5、授权委托书及委托代理人有效身份证正反面复印件（格式后附）；（</w:t>
            </w:r>
            <w:r>
              <w:rPr>
                <w:rFonts w:hint="eastAsia" w:ascii="宋体" w:hAnsi="宋体" w:eastAsia="宋体" w:cs="宋体"/>
                <w:b/>
                <w:color w:val="auto"/>
                <w:szCs w:val="21"/>
                <w:highlight w:val="none"/>
              </w:rPr>
              <w:t>委托时必须提供，否则按无效投标处理</w:t>
            </w:r>
            <w:r>
              <w:rPr>
                <w:rFonts w:hint="eastAsia" w:ascii="宋体" w:hAnsi="宋体" w:eastAsia="宋体" w:cs="宋体"/>
                <w:color w:val="auto"/>
                <w:szCs w:val="21"/>
                <w:highlight w:val="none"/>
              </w:rPr>
              <w:t>）</w:t>
            </w:r>
          </w:p>
          <w:p w14:paraId="29F66656">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6、商务要求偏离表（格式后附）；（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7ADDD0FD">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7、售后服务承诺及方案（格式自拟）；（</w:t>
            </w:r>
            <w:r>
              <w:rPr>
                <w:rFonts w:hint="eastAsia" w:ascii="宋体" w:hAnsi="宋体" w:eastAsia="宋体" w:cs="宋体"/>
                <w:b/>
                <w:bCs/>
                <w:color w:val="auto"/>
                <w:szCs w:val="21"/>
                <w:highlight w:val="none"/>
              </w:rPr>
              <w:t>售后服务承诺</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2AA5C1C5">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8、投标人情况介绍（格式自拟）；</w:t>
            </w:r>
          </w:p>
          <w:p w14:paraId="3217C536">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9、联合体协议书（格式后附）；（</w:t>
            </w:r>
            <w:r>
              <w:rPr>
                <w:rFonts w:hint="eastAsia" w:ascii="宋体" w:hAnsi="宋体" w:eastAsia="宋体" w:cs="宋体"/>
                <w:b/>
                <w:color w:val="auto"/>
                <w:szCs w:val="21"/>
                <w:highlight w:val="none"/>
              </w:rPr>
              <w:t>联合体投标时必须提供，否则按无效投标处理</w:t>
            </w:r>
            <w:r>
              <w:rPr>
                <w:rFonts w:hint="eastAsia" w:ascii="宋体" w:hAnsi="宋体" w:eastAsia="宋体" w:cs="宋体"/>
                <w:color w:val="auto"/>
                <w:szCs w:val="21"/>
                <w:highlight w:val="none"/>
              </w:rPr>
              <w:t>）</w:t>
            </w:r>
          </w:p>
          <w:p w14:paraId="10683622">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10、除招标文件规定必须提供以外，投标人认为需要提供的其他证明材料（格式自拟）。（投标人根据“第二章 采购需求”及“第四章 评标方法及评标标准”提供有关证明材料）。</w:t>
            </w:r>
          </w:p>
          <w:p w14:paraId="7CF18B6E">
            <w:pPr>
              <w:snapToGrid w:val="0"/>
              <w:spacing w:line="40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注：以上标明“必须提供”的材料属于复印件的，必须加盖投标人公章，否则按无效投标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2E447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452CE050">
            <w:pPr>
              <w:spacing w:line="400" w:lineRule="exact"/>
              <w:rPr>
                <w:rFonts w:hint="eastAsia" w:ascii="宋体" w:hAnsi="宋体" w:eastAsia="宋体" w:cs="宋体"/>
                <w:color w:val="auto"/>
                <w:szCs w:val="21"/>
                <w:highlight w:val="none"/>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09F15EB4">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技术文件： </w:t>
            </w:r>
          </w:p>
          <w:p w14:paraId="0C06725D">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1、设备性能配置清单（格式后附）；（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51CB31B9">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2、技术要求偏离表（格式后附）；（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38AEF627">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3、项目实施方案（格式自拟）[项目前期准备、项目实施计划（项目实施人员一览表（格式后附）、技术服务、技术培训的内容和措施、</w:t>
            </w:r>
            <w:r>
              <w:rPr>
                <w:rFonts w:hint="eastAsia" w:ascii="宋体" w:hAnsi="宋体" w:eastAsia="宋体" w:cs="宋体"/>
                <w:bCs/>
                <w:color w:val="auto"/>
                <w:szCs w:val="21"/>
                <w:highlight w:val="none"/>
              </w:rPr>
              <w:t>质量保证措施</w:t>
            </w:r>
            <w:r>
              <w:rPr>
                <w:rFonts w:hint="eastAsia" w:ascii="宋体" w:hAnsi="宋体" w:eastAsia="宋体" w:cs="宋体"/>
                <w:color w:val="auto"/>
                <w:szCs w:val="21"/>
                <w:highlight w:val="none"/>
              </w:rPr>
              <w:t>）]；</w:t>
            </w:r>
          </w:p>
          <w:p w14:paraId="06C8E1ED">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4、对本项目系统总体要求的理解。包括：功能说明、性能指标及设备选型说明（质量、性能、价格、外观、体积等方面进行比较和选择的理由及过程，格式自拟）；</w:t>
            </w:r>
          </w:p>
          <w:p w14:paraId="6F5F099F">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5、产品出厂标准、质量检测报告[其中有精度要求的仪器设备类政府采购项目，应当要求投标人提供精度数据（</w:t>
            </w:r>
            <w:r>
              <w:rPr>
                <w:rFonts w:hint="eastAsia" w:ascii="宋体" w:hAnsi="宋体" w:eastAsia="宋体" w:cs="宋体"/>
                <w:color w:val="auto"/>
                <w:highlight w:val="none"/>
              </w:rPr>
              <w:t>国家认可的有资质的第三方检测机构出具的检测报告复印件</w:t>
            </w:r>
            <w:r>
              <w:rPr>
                <w:rFonts w:hint="eastAsia" w:ascii="宋体" w:hAnsi="宋体" w:eastAsia="宋体" w:cs="宋体"/>
                <w:color w:val="auto"/>
                <w:szCs w:val="21"/>
                <w:highlight w:val="none"/>
              </w:rPr>
              <w:t>或者由采购人在投标前组织的实测获得）]；（</w:t>
            </w:r>
            <w:r>
              <w:rPr>
                <w:rFonts w:hint="eastAsia" w:ascii="宋体" w:hAnsi="宋体" w:eastAsia="宋体" w:cs="宋体"/>
                <w:b/>
                <w:color w:val="auto"/>
                <w:szCs w:val="21"/>
                <w:highlight w:val="none"/>
              </w:rPr>
              <w:t>采购需求中</w:t>
            </w:r>
            <w:r>
              <w:rPr>
                <w:rFonts w:hint="eastAsia" w:ascii="宋体" w:hAnsi="宋体" w:eastAsia="宋体" w:cs="宋体"/>
                <w:b/>
                <w:color w:val="auto"/>
                <w:szCs w:val="21"/>
                <w:highlight w:val="none"/>
                <w:lang w:val="en-US" w:eastAsia="zh-CN"/>
              </w:rPr>
              <w:t>如</w:t>
            </w:r>
            <w:r>
              <w:rPr>
                <w:rFonts w:hint="eastAsia" w:ascii="宋体" w:hAnsi="宋体" w:eastAsia="宋体" w:cs="宋体"/>
                <w:b/>
                <w:color w:val="auto"/>
                <w:szCs w:val="21"/>
                <w:highlight w:val="none"/>
              </w:rPr>
              <w:t>要求必须提供时必须提供，否则按无效投标处理</w:t>
            </w:r>
            <w:r>
              <w:rPr>
                <w:rFonts w:hint="eastAsia" w:ascii="宋体" w:hAnsi="宋体" w:eastAsia="宋体" w:cs="宋体"/>
                <w:color w:val="auto"/>
                <w:szCs w:val="21"/>
                <w:highlight w:val="none"/>
              </w:rPr>
              <w:t>）</w:t>
            </w:r>
          </w:p>
          <w:p w14:paraId="3CE3CBDD">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6、优惠条件：投标人承诺给予招标人的各种优惠条件，包括售后服务、备品备件、专用耗材等方面的优惠；投标人不得给予赠品或者与采购无关的其他商品、服务；</w:t>
            </w:r>
          </w:p>
          <w:p w14:paraId="0A21D6DF">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7、投标人对本项目的合理化建议和改进措施（格式自拟）；</w:t>
            </w:r>
          </w:p>
          <w:p w14:paraId="592C2234">
            <w:pPr>
              <w:snapToGrid w:val="0"/>
              <w:spacing w:line="40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8、除招标文件规定必须提供以外，投标人需要说明的其他文件和说明（格式自拟）。</w:t>
            </w:r>
          </w:p>
          <w:p w14:paraId="6E1512C5">
            <w:pPr>
              <w:snapToGrid w:val="0"/>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注：以上标明“必须提供”的材料属于复印件的，必须加盖投标人公章，否则按无效投标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2C4E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DF6D59">
            <w:pPr>
              <w:spacing w:line="400" w:lineRule="exact"/>
              <w:jc w:val="center"/>
              <w:rPr>
                <w:rFonts w:hint="eastAsia" w:ascii="宋体" w:hAnsi="宋体" w:eastAsia="宋体" w:cs="宋体"/>
                <w:color w:val="auto"/>
                <w:szCs w:val="21"/>
                <w:highlight w:val="none"/>
              </w:rPr>
            </w:pPr>
            <w:bookmarkStart w:id="55" w:name="_16.2"/>
            <w:bookmarkEnd w:id="55"/>
            <w:bookmarkStart w:id="56" w:name="_13.5"/>
            <w:bookmarkEnd w:id="56"/>
            <w:r>
              <w:rPr>
                <w:rFonts w:hint="eastAsia" w:ascii="宋体" w:hAnsi="宋体" w:eastAsia="宋体" w:cs="宋体"/>
                <w:color w:val="auto"/>
                <w:szCs w:val="21"/>
                <w:highlight w:val="none"/>
              </w:rPr>
              <w:t>16</w:t>
            </w:r>
            <w:bookmarkStart w:id="57" w:name="_Hlt19693758"/>
            <w:bookmarkStart w:id="58" w:name="_Hlt19194067"/>
            <w:bookmarkStart w:id="59" w:name="_Hlt19693759"/>
            <w:bookmarkStart w:id="60" w:name="_Hlt19194066"/>
            <w:r>
              <w:rPr>
                <w:rFonts w:hint="eastAsia" w:ascii="宋体" w:hAnsi="宋体" w:eastAsia="宋体" w:cs="宋体"/>
                <w:color w:val="auto"/>
                <w:szCs w:val="21"/>
                <w:highlight w:val="none"/>
              </w:rPr>
              <w:t>.</w:t>
            </w:r>
            <w:bookmarkEnd w:id="57"/>
            <w:bookmarkEnd w:id="58"/>
            <w:bookmarkEnd w:id="59"/>
            <w:bookmarkEnd w:id="60"/>
            <w:r>
              <w:rPr>
                <w:rFonts w:hint="eastAsia" w:ascii="宋体" w:hAnsi="宋体" w:eastAsia="宋体" w:cs="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037347E0">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包括投标货物（包括备品备件、专用工具等）的价格，投标货物运输（含保险）、安装（如有）、调试、检验、技术服务、培训和招标文件要求提供的所有伴随服务、工程等费用和税费。</w:t>
            </w:r>
            <w:r>
              <w:rPr>
                <w:rFonts w:hint="eastAsia" w:ascii="宋体" w:hAnsi="宋体" w:eastAsia="宋体" w:cs="宋体"/>
                <w:b/>
                <w:color w:val="auto"/>
                <w:szCs w:val="21"/>
                <w:highlight w:val="none"/>
              </w:rPr>
              <w:t>（采购需求另有约定的，从其约定）</w:t>
            </w:r>
          </w:p>
        </w:tc>
      </w:tr>
      <w:tr w14:paraId="430D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5188D0">
            <w:pPr>
              <w:spacing w:line="400" w:lineRule="exact"/>
              <w:jc w:val="center"/>
              <w:rPr>
                <w:rFonts w:hint="eastAsia" w:ascii="宋体" w:hAnsi="宋体" w:eastAsia="宋体" w:cs="宋体"/>
                <w:color w:val="auto"/>
                <w:szCs w:val="21"/>
                <w:highlight w:val="none"/>
              </w:rPr>
            </w:pPr>
            <w:bookmarkStart w:id="61" w:name="_17.1"/>
            <w:bookmarkEnd w:id="61"/>
            <w:r>
              <w:rPr>
                <w:rFonts w:hint="eastAsia" w:ascii="宋体" w:hAnsi="宋体" w:eastAsia="宋体" w:cs="宋体"/>
                <w:color w:val="auto"/>
                <w:szCs w:val="21"/>
                <w:highlight w:val="none"/>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75AD9C5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投标有效期：投标截止之日起60天内。</w:t>
            </w:r>
          </w:p>
        </w:tc>
      </w:tr>
      <w:tr w14:paraId="0A424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7BA4619">
            <w:pPr>
              <w:spacing w:line="400" w:lineRule="exact"/>
              <w:jc w:val="center"/>
              <w:rPr>
                <w:rFonts w:hint="eastAsia" w:ascii="宋体" w:hAnsi="宋体" w:eastAsia="宋体" w:cs="宋体"/>
                <w:color w:val="auto"/>
                <w:szCs w:val="21"/>
                <w:highlight w:val="none"/>
              </w:rPr>
            </w:pPr>
            <w:bookmarkStart w:id="62" w:name="_18"/>
            <w:bookmarkEnd w:id="62"/>
            <w:r>
              <w:rPr>
                <w:rFonts w:hint="eastAsia" w:ascii="宋体" w:hAnsi="宋体" w:eastAsia="宋体" w:cs="宋体"/>
                <w:color w:val="auto"/>
                <w:szCs w:val="21"/>
                <w:highlight w:val="none"/>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27430F8C">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√本项目收取投标保证金，具体规定如下：</w:t>
            </w:r>
          </w:p>
          <w:p w14:paraId="3F6E3E13">
            <w:pPr>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保证金金额：</w:t>
            </w:r>
            <w:r>
              <w:rPr>
                <w:rFonts w:hint="eastAsia" w:ascii="宋体" w:hAnsi="宋体" w:eastAsia="宋体" w:cs="宋体"/>
                <w:color w:val="auto"/>
                <w:szCs w:val="21"/>
                <w:highlight w:val="none"/>
              </w:rPr>
              <w:t>1分标：</w:t>
            </w:r>
            <w:r>
              <w:rPr>
                <w:rFonts w:hint="eastAsia" w:ascii="宋体" w:hAnsi="宋体" w:eastAsia="宋体" w:cs="宋体"/>
                <w:color w:val="auto"/>
                <w:szCs w:val="21"/>
                <w:highlight w:val="none"/>
                <w:lang w:val="en-US" w:eastAsia="zh-CN"/>
              </w:rPr>
              <w:t>6.4</w:t>
            </w:r>
            <w:r>
              <w:rPr>
                <w:rFonts w:hint="eastAsia" w:ascii="宋体" w:hAnsi="宋体" w:eastAsia="宋体" w:cs="宋体"/>
                <w:color w:val="auto"/>
                <w:szCs w:val="21"/>
                <w:highlight w:val="none"/>
              </w:rPr>
              <w:t>万元；2分标：</w:t>
            </w:r>
            <w:r>
              <w:rPr>
                <w:rFonts w:hint="eastAsia" w:ascii="宋体" w:hAnsi="宋体" w:eastAsia="宋体" w:cs="宋体"/>
                <w:color w:val="auto"/>
                <w:szCs w:val="21"/>
                <w:highlight w:val="none"/>
                <w:lang w:val="en-US" w:eastAsia="zh-CN"/>
              </w:rPr>
              <w:t>3.49</w:t>
            </w:r>
            <w:r>
              <w:rPr>
                <w:rFonts w:hint="eastAsia" w:ascii="宋体" w:hAnsi="宋体" w:eastAsia="宋体" w:cs="宋体"/>
                <w:color w:val="auto"/>
                <w:szCs w:val="21"/>
                <w:highlight w:val="none"/>
              </w:rPr>
              <w:t>万元；3分标：</w:t>
            </w:r>
            <w:r>
              <w:rPr>
                <w:rFonts w:hint="eastAsia" w:ascii="宋体" w:hAnsi="宋体" w:eastAsia="宋体" w:cs="宋体"/>
                <w:color w:val="auto"/>
                <w:szCs w:val="21"/>
                <w:highlight w:val="none"/>
                <w:lang w:val="en-US" w:eastAsia="zh-CN"/>
              </w:rPr>
              <w:t>1.66</w:t>
            </w:r>
            <w:r>
              <w:rPr>
                <w:rFonts w:hint="eastAsia" w:ascii="宋体" w:hAnsi="宋体" w:eastAsia="宋体" w:cs="宋体"/>
                <w:color w:val="auto"/>
                <w:szCs w:val="21"/>
                <w:highlight w:val="none"/>
              </w:rPr>
              <w:t>万元；4分标：</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万元</w:t>
            </w:r>
            <w:r>
              <w:rPr>
                <w:rFonts w:hint="eastAsia" w:ascii="宋体" w:hAnsi="宋体" w:eastAsia="宋体" w:cs="宋体"/>
                <w:color w:val="auto"/>
                <w:kern w:val="0"/>
                <w:szCs w:val="21"/>
                <w:highlight w:val="none"/>
                <w:lang w:eastAsia="zh-CN"/>
              </w:rPr>
              <w:t>。投标保证金的缴纳方式：</w:t>
            </w:r>
            <w:r>
              <w:rPr>
                <w:rFonts w:hint="eastAsia" w:ascii="宋体" w:hAnsi="宋体" w:eastAsia="宋体" w:cs="宋体"/>
                <w:color w:val="auto"/>
                <w:kern w:val="0"/>
                <w:szCs w:val="21"/>
                <w:highlight w:val="none"/>
                <w:lang w:val="en-US" w:eastAsia="zh-CN"/>
              </w:rPr>
              <w:t>须</w:t>
            </w:r>
            <w:r>
              <w:rPr>
                <w:rFonts w:hint="eastAsia" w:ascii="宋体" w:hAnsi="宋体" w:eastAsia="宋体" w:cs="宋体"/>
                <w:color w:val="auto"/>
                <w:kern w:val="0"/>
                <w:szCs w:val="21"/>
                <w:highlight w:val="none"/>
                <w:lang w:eastAsia="zh-CN"/>
              </w:rPr>
              <w:t>足额交纳，以银行转账、支票、汇票、本票或者金融机构、担保机构出具的保函等非现金形式提交。采用银行转账方式的，在投标截止时间前交至采购代理机构指定账户并且到账并备注XXX项目X分标（如有）投标保证金。缴纳投标保证金指定账户的信息：</w:t>
            </w:r>
          </w:p>
          <w:p w14:paraId="3CB7FFA6">
            <w:pPr>
              <w:pStyle w:val="26"/>
              <w:snapToGrid w:val="0"/>
              <w:spacing w:line="360" w:lineRule="exact"/>
              <w:jc w:val="left"/>
              <w:rPr>
                <w:rFonts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lang w:eastAsia="zh-CN"/>
              </w:rPr>
              <w:t>广西睿翼工程咨询有限公司南宁分公司</w:t>
            </w:r>
          </w:p>
          <w:p w14:paraId="3B70C865">
            <w:pPr>
              <w:pStyle w:val="26"/>
              <w:snapToGrid w:val="0"/>
              <w:spacing w:line="360" w:lineRule="exact"/>
              <w:jc w:val="left"/>
              <w:rPr>
                <w:rFonts w:hint="eastAsia" w:hAnsi="宋体" w:eastAsia="宋体" w:cs="宋体"/>
                <w:color w:val="auto"/>
                <w:szCs w:val="21"/>
                <w:highlight w:val="none"/>
                <w:lang w:eastAsia="zh-CN"/>
              </w:rPr>
            </w:pPr>
            <w:r>
              <w:rPr>
                <w:rFonts w:hint="eastAsia" w:hAnsi="宋体" w:cs="宋体"/>
                <w:color w:val="auto"/>
                <w:szCs w:val="21"/>
                <w:highlight w:val="none"/>
              </w:rPr>
              <w:t>开户银行：</w:t>
            </w:r>
            <w:r>
              <w:rPr>
                <w:rFonts w:hint="eastAsia" w:hAnsi="宋体" w:cs="宋体"/>
                <w:color w:val="auto"/>
                <w:szCs w:val="21"/>
                <w:highlight w:val="none"/>
                <w:lang w:eastAsia="zh-CN"/>
              </w:rPr>
              <w:t>华夏银行股份有限公司南宁青秀支行</w:t>
            </w:r>
          </w:p>
          <w:p w14:paraId="3E4AB216">
            <w:pPr>
              <w:pStyle w:val="26"/>
              <w:snapToGrid w:val="0"/>
              <w:spacing w:line="360" w:lineRule="exact"/>
              <w:jc w:val="left"/>
              <w:rPr>
                <w:rFonts w:hint="eastAsia" w:hAnsi="宋体" w:eastAsia="宋体" w:cs="宋体"/>
                <w:color w:val="auto"/>
                <w:szCs w:val="21"/>
                <w:highlight w:val="none"/>
                <w:lang w:eastAsia="zh-CN"/>
              </w:rPr>
            </w:pPr>
            <w:r>
              <w:rPr>
                <w:rFonts w:hint="eastAsia" w:hAnsi="宋体" w:cs="宋体"/>
                <w:color w:val="auto"/>
                <w:szCs w:val="21"/>
                <w:highlight w:val="none"/>
              </w:rPr>
              <w:t>银行账户：</w:t>
            </w:r>
            <w:r>
              <w:rPr>
                <w:rFonts w:hint="eastAsia" w:hAnsi="宋体" w:cs="宋体"/>
                <w:color w:val="auto"/>
                <w:szCs w:val="21"/>
                <w:highlight w:val="none"/>
                <w:lang w:eastAsia="zh-CN"/>
              </w:rPr>
              <w:t>13053000000217831</w:t>
            </w:r>
          </w:p>
          <w:p w14:paraId="7C1C1AAF">
            <w:pPr>
              <w:pStyle w:val="19"/>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14:paraId="6374EF0C">
            <w:pPr>
              <w:pStyle w:val="19"/>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1、投标保证金采用银行转账交纳方式</w:t>
            </w:r>
            <w:r>
              <w:rPr>
                <w:rFonts w:hint="eastAsia" w:ascii="宋体" w:hAnsi="宋体" w:eastAsia="宋体" w:cs="宋体"/>
                <w:b w:val="0"/>
                <w:bCs w:val="0"/>
                <w:color w:val="auto"/>
                <w:szCs w:val="21"/>
                <w:highlight w:val="none"/>
              </w:rPr>
              <w:t>的</w:t>
            </w:r>
            <w:r>
              <w:rPr>
                <w:rFonts w:hint="eastAsia" w:ascii="宋体" w:hAnsi="宋体" w:cs="宋体"/>
                <w:b w:val="0"/>
                <w:bCs w:val="0"/>
                <w:color w:val="auto"/>
                <w:szCs w:val="21"/>
                <w:highlight w:val="none"/>
              </w:rPr>
              <w:t>，</w:t>
            </w:r>
            <w:r>
              <w:rPr>
                <w:rFonts w:hint="eastAsia" w:ascii="宋体" w:hAnsi="宋体" w:eastAsia="宋体" w:cs="宋体"/>
                <w:b w:val="0"/>
                <w:bCs w:val="0"/>
                <w:color w:val="auto"/>
                <w:szCs w:val="21"/>
                <w:highlight w:val="none"/>
              </w:rPr>
              <w:t>在</w:t>
            </w:r>
            <w:r>
              <w:rPr>
                <w:rFonts w:hint="eastAsia" w:ascii="宋体" w:hAnsi="宋体" w:eastAsia="宋体" w:cs="宋体"/>
                <w:color w:val="auto"/>
                <w:szCs w:val="21"/>
                <w:highlight w:val="none"/>
              </w:rPr>
              <w:t>投标截止时间前交至指定账户并且到账，投标人应将银行转账底单的复印件作为投标保证金提交凭证，放置于商务文件中，</w:t>
            </w:r>
            <w:r>
              <w:rPr>
                <w:rFonts w:hint="eastAsia" w:ascii="宋体" w:hAnsi="宋体" w:eastAsia="宋体" w:cs="宋体"/>
                <w:b/>
                <w:color w:val="auto"/>
                <w:szCs w:val="21"/>
                <w:highlight w:val="none"/>
              </w:rPr>
              <w:t>否则投标无</w:t>
            </w:r>
            <w:r>
              <w:rPr>
                <w:rFonts w:hint="eastAsia" w:ascii="宋体" w:hAnsi="宋体" w:eastAsia="宋体" w:cs="宋体"/>
                <w:b/>
                <w:bCs w:val="0"/>
                <w:color w:val="auto"/>
                <w:szCs w:val="21"/>
                <w:highlight w:val="none"/>
              </w:rPr>
              <w:t>效。</w:t>
            </w:r>
          </w:p>
          <w:p w14:paraId="68D89D91">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eastAsia="宋体" w:cs="宋体"/>
                <w:b/>
                <w:color w:val="auto"/>
                <w:szCs w:val="21"/>
                <w:highlight w:val="none"/>
              </w:rPr>
              <w:t>否则投标无效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投标人必须在投标截止时间前将支票、汇票、本票或者金融、担保机构出具的保函原件提交给采购代理机构，由采购代理机构向投标人出具回执，并妥善保管。</w:t>
            </w:r>
          </w:p>
          <w:p w14:paraId="1C8085AC">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3、投标人为联合体的，可以由联合体中的一方或者多方共同交纳投标保证金，其交纳的保证金对联合体各方均具有约束力。</w:t>
            </w:r>
          </w:p>
          <w:p w14:paraId="027505E0">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3104FF58">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1、投标保证金在投标截止时间后提交的，或者不按规定交纳方式交纳的，或者未足额交纳的（包含保函额度不足的），视为无效投标保证金。</w:t>
            </w:r>
          </w:p>
          <w:p w14:paraId="136F72A2">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2、投标人采用现钞方式或者从个人账户（自然人投标除外）转出的投标保证金，视为无效投标保证金。</w:t>
            </w:r>
          </w:p>
          <w:p w14:paraId="2C4698C9">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14:paraId="46FB7B18">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14:paraId="53F76FAB">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p>
          <w:p w14:paraId="67843E6F">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、办理投标保证金手续时，请务必在保证金凭据上注明或写明项目名称及项目编号及分标号（如有），以免耽误投标。</w:t>
            </w:r>
          </w:p>
          <w:p w14:paraId="648561F0">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、未中标供应商的投标保证金在中标通知书发出后</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个工作日内退还，中标供应商的投标保证金在中标供应商与采购人签订合同后</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个工作日内退还，投标保证金不计息。</w:t>
            </w:r>
          </w:p>
          <w:p w14:paraId="6D951C75">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、供应商有下列情形之一的，保证金将不予退还：</w:t>
            </w:r>
          </w:p>
          <w:p w14:paraId="26DC0BC9">
            <w:pPr>
              <w:snapToGrid w:val="0"/>
              <w:spacing w:line="400" w:lineRule="exac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（1）供应商在提交响应文件截止时间后撤回响应文件的；</w:t>
            </w:r>
          </w:p>
          <w:p w14:paraId="73872738">
            <w:pPr>
              <w:snapToGrid w:val="0"/>
              <w:spacing w:line="400" w:lineRule="exac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（2）供应商在响应文件中提供虚假材料的；</w:t>
            </w:r>
          </w:p>
          <w:p w14:paraId="634CA67A">
            <w:pPr>
              <w:snapToGrid w:val="0"/>
              <w:spacing w:line="400" w:lineRule="exac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（3）除因不可抗力或者招标文件认可的情形以外，成交供应商不与采购人签订合同的；</w:t>
            </w:r>
          </w:p>
          <w:p w14:paraId="09ACF9B2">
            <w:pPr>
              <w:snapToGrid w:val="0"/>
              <w:spacing w:line="400" w:lineRule="exac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（4）供应商与采购人、其他供应商或者采购代理机构恶意串通的。</w:t>
            </w:r>
          </w:p>
          <w:p w14:paraId="30D5EA6D">
            <w:pPr>
              <w:snapToGrid w:val="0"/>
              <w:spacing w:line="400" w:lineRule="exact"/>
              <w:rPr>
                <w:rFonts w:hint="eastAsia"/>
                <w:color w:val="auto"/>
                <w:highlight w:val="none"/>
              </w:rPr>
            </w:pPr>
            <w:r>
              <w:rPr>
                <w:rFonts w:hint="eastAsia" w:ascii="宋体" w:hAnsi="宋体" w:eastAsia="宋体" w:cs="宋体"/>
                <w:b w:val="0"/>
                <w:bCs/>
                <w:color w:val="auto"/>
                <w:szCs w:val="21"/>
                <w:highlight w:val="none"/>
              </w:rPr>
              <w:t>（5）招标文件规定的其他情形。</w:t>
            </w:r>
          </w:p>
        </w:tc>
      </w:tr>
      <w:tr w14:paraId="79C13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CC5DB5">
            <w:pPr>
              <w:spacing w:line="400" w:lineRule="exact"/>
              <w:jc w:val="center"/>
              <w:rPr>
                <w:rFonts w:hint="eastAsia" w:ascii="宋体" w:hAnsi="宋体" w:eastAsia="宋体" w:cs="宋体"/>
                <w:color w:val="auto"/>
                <w:szCs w:val="21"/>
                <w:highlight w:val="none"/>
              </w:rPr>
            </w:pPr>
            <w:bookmarkStart w:id="63" w:name="_19.2"/>
            <w:bookmarkEnd w:id="63"/>
            <w:r>
              <w:rPr>
                <w:rFonts w:hint="eastAsia" w:ascii="宋体" w:hAnsi="宋体" w:eastAsia="宋体" w:cs="宋体"/>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77C49288">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投标文件应按报价文件、资格证明文件、商务文件、技术文件分别编制，并按广西政府采购云平台的要求编制、加密、上传。</w:t>
            </w:r>
          </w:p>
          <w:p w14:paraId="4011BB8F">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特别说明：因项目存档需要，须按以下要求提供纸质投标响应文件：</w:t>
            </w:r>
          </w:p>
          <w:p w14:paraId="67A16002">
            <w:pPr>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中标供应商在中标通知书发出后5天内须提交</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套纸质版投标响应文件（含报价文件、资格证明文件、商务文件、技术文件。按要求加盖公章）给招标代理机构，一正</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副。</w:t>
            </w:r>
          </w:p>
          <w:p w14:paraId="220D7416">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cs="宋体"/>
                <w:b/>
                <w:color w:val="auto"/>
                <w:szCs w:val="21"/>
                <w:highlight w:val="none"/>
                <w:u w:val="single"/>
              </w:rPr>
              <w:t>提交的纸质版投标文件文本必须与其上传“广西政府采购云平台”的电子投标文件内容一致，不允许有篡改。如项目验收时因所提供的纸质投标文件与评标的投标文件不一致造成纠纷时，所有责任由中标人承担。</w:t>
            </w:r>
          </w:p>
        </w:tc>
      </w:tr>
      <w:tr w14:paraId="085E2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F1F13E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5E2B6A5D">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电子投标文件应在制作完成后，投标人应按广西政府采购云平台的要求进行加密，并在规定时间内解密，否则，由此产生的后果由投标人自行负责。</w:t>
            </w:r>
          </w:p>
        </w:tc>
      </w:tr>
      <w:tr w14:paraId="0FC7C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D661CB2">
            <w:pPr>
              <w:spacing w:line="400" w:lineRule="exact"/>
              <w:jc w:val="center"/>
              <w:rPr>
                <w:rFonts w:hint="eastAsia" w:ascii="宋体" w:hAnsi="宋体" w:eastAsia="宋体" w:cs="宋体"/>
                <w:color w:val="auto"/>
                <w:szCs w:val="21"/>
                <w:highlight w:val="none"/>
              </w:rPr>
            </w:pPr>
            <w:bookmarkStart w:id="64" w:name="_21.1"/>
            <w:bookmarkEnd w:id="64"/>
            <w:r>
              <w:rPr>
                <w:rFonts w:hint="eastAsia" w:ascii="宋体" w:hAnsi="宋体" w:eastAsia="宋体" w:cs="宋体"/>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03EFD4E0">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1、投标截止时间：详见招标公告</w:t>
            </w:r>
          </w:p>
          <w:p w14:paraId="746962D5">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2、投标地点：详见招标公告</w:t>
            </w:r>
          </w:p>
        </w:tc>
      </w:tr>
      <w:tr w14:paraId="7F78A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C2296B0">
            <w:pPr>
              <w:spacing w:line="400" w:lineRule="exact"/>
              <w:jc w:val="center"/>
              <w:rPr>
                <w:rFonts w:hint="eastAsia" w:ascii="宋体" w:hAnsi="宋体" w:eastAsia="宋体" w:cs="宋体"/>
                <w:color w:val="auto"/>
                <w:szCs w:val="21"/>
                <w:highlight w:val="none"/>
              </w:rPr>
            </w:pPr>
            <w:bookmarkStart w:id="65" w:name="_23"/>
            <w:bookmarkEnd w:id="65"/>
            <w:r>
              <w:rPr>
                <w:rFonts w:hint="eastAsia" w:ascii="宋体" w:hAnsi="宋体" w:eastAsia="宋体" w:cs="宋体"/>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18C2DAFF">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1、开标时间：详见招标公告</w:t>
            </w:r>
          </w:p>
          <w:p w14:paraId="781985A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2、开标地点：详见招标公告</w:t>
            </w:r>
          </w:p>
        </w:tc>
      </w:tr>
      <w:tr w14:paraId="3E951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5D701D">
            <w:pPr>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1BCEFCB">
            <w:pPr>
              <w:autoSpaceDE w:val="0"/>
              <w:autoSpaceDN w:val="0"/>
              <w:adjustRightIn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eastAsia="宋体" w:cs="宋体"/>
                <w:b/>
                <w:color w:val="auto"/>
                <w:szCs w:val="21"/>
                <w:highlight w:val="none"/>
              </w:rPr>
              <w:t>并在发起解密</w:t>
            </w:r>
            <w:r>
              <w:rPr>
                <w:rFonts w:hint="eastAsia" w:ascii="宋体" w:hAnsi="宋体" w:eastAsia="宋体" w:cs="宋体"/>
                <w:b/>
                <w:bCs/>
                <w:color w:val="auto"/>
                <w:szCs w:val="21"/>
                <w:highlight w:val="none"/>
              </w:rPr>
              <w:t>通知</w:t>
            </w:r>
            <w:r>
              <w:rPr>
                <w:rFonts w:hint="eastAsia" w:ascii="宋体" w:hAnsi="宋体" w:eastAsia="宋体" w:cs="宋体"/>
                <w:b/>
                <w:color w:val="auto"/>
                <w:szCs w:val="21"/>
                <w:highlight w:val="none"/>
              </w:rPr>
              <w:t>之时起30分钟内完成</w:t>
            </w:r>
            <w:r>
              <w:rPr>
                <w:rFonts w:hint="eastAsia" w:ascii="宋体" w:hAnsi="宋体" w:eastAsia="宋体" w:cs="宋体"/>
                <w:b/>
                <w:bCs/>
                <w:color w:val="auto"/>
                <w:szCs w:val="21"/>
                <w:highlight w:val="none"/>
              </w:rPr>
              <w:t>对电子投标文件解密。投标文件未按时解密的，视为无效投标。</w:t>
            </w:r>
          </w:p>
        </w:tc>
      </w:tr>
      <w:tr w14:paraId="52411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33AF39">
            <w:pPr>
              <w:spacing w:line="400" w:lineRule="exact"/>
              <w:jc w:val="center"/>
              <w:rPr>
                <w:rFonts w:hint="eastAsia" w:ascii="宋体" w:hAnsi="宋体" w:eastAsia="宋体" w:cs="宋体"/>
                <w:color w:val="auto"/>
                <w:szCs w:val="21"/>
                <w:highlight w:val="none"/>
              </w:rPr>
            </w:pPr>
            <w:bookmarkStart w:id="66" w:name="_25.3"/>
            <w:bookmarkEnd w:id="66"/>
            <w:r>
              <w:rPr>
                <w:rFonts w:hint="eastAsia" w:ascii="宋体" w:hAnsi="宋体" w:eastAsia="宋体" w:cs="宋体"/>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675B7C0E">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1961BB4F">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55"/>
                <w:rFonts w:hint="eastAsia" w:ascii="宋体" w:hAnsi="宋体" w:eastAsia="宋体" w:cs="宋体"/>
                <w:color w:val="auto"/>
                <w:szCs w:val="21"/>
                <w:highlight w:val="none"/>
              </w:rPr>
              <w:t>www.ccgp.gov.cn</w:t>
            </w:r>
            <w:r>
              <w:rPr>
                <w:rStyle w:val="55"/>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31CC68A2">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信用查询截止时点：资格审查结束前。</w:t>
            </w:r>
          </w:p>
          <w:p w14:paraId="0FECED27">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查询记录和证据留存方式：将查询网站中的查询记录截图并作为评审资料保存。</w:t>
            </w:r>
          </w:p>
          <w:p w14:paraId="7EDDDC0A">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DA68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210632">
            <w:pPr>
              <w:spacing w:line="400" w:lineRule="exact"/>
              <w:jc w:val="center"/>
              <w:rPr>
                <w:rFonts w:hint="eastAsia" w:ascii="宋体" w:hAnsi="宋体" w:eastAsia="宋体" w:cs="宋体"/>
                <w:color w:val="auto"/>
                <w:szCs w:val="21"/>
                <w:highlight w:val="none"/>
              </w:rPr>
            </w:pPr>
            <w:bookmarkStart w:id="67" w:name="_26"/>
            <w:bookmarkEnd w:id="67"/>
            <w:r>
              <w:rPr>
                <w:rFonts w:hint="eastAsia" w:ascii="宋体" w:hAnsi="宋体" w:eastAsia="宋体" w:cs="宋体"/>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59B1A877">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评标委员会的人数：</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人</w:t>
            </w:r>
            <w:r>
              <w:rPr>
                <w:rFonts w:hint="eastAsia" w:ascii="宋体" w:hAnsi="宋体" w:eastAsia="宋体" w:cs="宋体"/>
                <w:color w:val="auto"/>
                <w:highlight w:val="none"/>
              </w:rPr>
              <w:t>。（采购项目符合下列情形之一的，评标委员会成员人数应当为7人以上单数：1.采购预算金额在1000万元以上；2.技术复杂；3.社会影响较大。）</w:t>
            </w:r>
          </w:p>
        </w:tc>
      </w:tr>
      <w:tr w14:paraId="67FA3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61AD1E2">
            <w:pPr>
              <w:spacing w:line="400" w:lineRule="exact"/>
              <w:jc w:val="center"/>
              <w:rPr>
                <w:rFonts w:hint="eastAsia" w:ascii="宋体" w:hAnsi="宋体" w:eastAsia="宋体" w:cs="宋体"/>
                <w:color w:val="auto"/>
                <w:szCs w:val="21"/>
                <w:highlight w:val="none"/>
              </w:rPr>
            </w:pPr>
            <w:bookmarkStart w:id="68" w:name="_28.3"/>
            <w:bookmarkEnd w:id="68"/>
            <w:r>
              <w:rPr>
                <w:rFonts w:hint="eastAsia" w:ascii="宋体" w:hAnsi="宋体" w:eastAsia="宋体" w:cs="宋体"/>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3D80879A">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p w14:paraId="44A0D914">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综合评分法</w:t>
            </w:r>
          </w:p>
          <w:p w14:paraId="6D19CC49">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□最低评标价法</w:t>
            </w:r>
          </w:p>
        </w:tc>
      </w:tr>
      <w:tr w14:paraId="0E19D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228B2C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8708" w:type="dxa"/>
            <w:tcBorders>
              <w:top w:val="single" w:color="auto" w:sz="4" w:space="0"/>
              <w:left w:val="single" w:color="auto" w:sz="4" w:space="0"/>
              <w:bottom w:val="single" w:color="auto" w:sz="4" w:space="0"/>
              <w:right w:val="single" w:color="auto" w:sz="4" w:space="0"/>
            </w:tcBorders>
            <w:vAlign w:val="center"/>
          </w:tcPr>
          <w:p w14:paraId="45BC7EB5">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中标候选人推荐数量：3家</w:t>
            </w:r>
          </w:p>
        </w:tc>
      </w:tr>
      <w:tr w14:paraId="1A5A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4655FCC">
            <w:pPr>
              <w:spacing w:line="400" w:lineRule="exact"/>
              <w:jc w:val="center"/>
              <w:rPr>
                <w:rFonts w:hint="eastAsia" w:ascii="宋体" w:hAnsi="宋体" w:eastAsia="宋体" w:cs="宋体"/>
                <w:color w:val="auto"/>
                <w:szCs w:val="21"/>
                <w:highlight w:val="none"/>
              </w:rPr>
            </w:pPr>
            <w:bookmarkStart w:id="69" w:name="_29.2.2（2）"/>
            <w:bookmarkEnd w:id="69"/>
            <w:r>
              <w:rPr>
                <w:rFonts w:hint="eastAsia" w:ascii="宋体" w:hAnsi="宋体" w:eastAsia="宋体" w:cs="宋体"/>
                <w:color w:val="auto"/>
                <w:szCs w:val="21"/>
                <w:highlight w:val="none"/>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5AE3C080">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采用综合评分法的采购项目，采购人确定中标人时，出现中标候选人并列的情形，采购人按以下的方式确定中标人：按综合评分中技术水平、售后服务、履约能力、政策功能得分高低依次确定。</w:t>
            </w:r>
          </w:p>
        </w:tc>
      </w:tr>
      <w:tr w14:paraId="2B2F6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EFFB519">
            <w:pPr>
              <w:spacing w:line="400" w:lineRule="exact"/>
              <w:jc w:val="center"/>
              <w:rPr>
                <w:rFonts w:hint="eastAsia" w:ascii="宋体" w:hAnsi="宋体" w:eastAsia="宋体" w:cs="宋体"/>
                <w:color w:val="auto"/>
                <w:szCs w:val="21"/>
                <w:highlight w:val="none"/>
              </w:rPr>
            </w:pPr>
            <w:bookmarkStart w:id="70" w:name="_39.1"/>
            <w:bookmarkEnd w:id="70"/>
            <w:r>
              <w:rPr>
                <w:rFonts w:hint="eastAsia" w:ascii="宋体" w:hAnsi="宋体" w:eastAsia="宋体" w:cs="宋体"/>
                <w:color w:val="auto"/>
                <w:szCs w:val="21"/>
                <w:highlight w:val="none"/>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04062CD9">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本项目不收取履约保证金。</w:t>
            </w:r>
          </w:p>
          <w:p w14:paraId="381DA82E">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本项目收取履约保证金，具体规定如下：</w:t>
            </w:r>
          </w:p>
          <w:p w14:paraId="29959CE7">
            <w:pPr>
              <w:snapToGrid w:val="0"/>
              <w:spacing w:line="400" w:lineRule="exact"/>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w:t>
            </w:r>
            <w:r>
              <w:rPr>
                <w:rFonts w:hint="eastAsia" w:ascii="宋体" w:hAnsi="宋体" w:eastAsia="宋体" w:cs="宋体"/>
                <w:color w:val="auto"/>
                <w:highlight w:val="none"/>
              </w:rPr>
              <w:t>政府采购合同金额的</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%（供应商为中小微企业的，履约保证金为</w:t>
            </w:r>
            <w:r>
              <w:rPr>
                <w:rFonts w:hint="eastAsia" w:ascii="宋体" w:hAnsi="宋体" w:eastAsia="宋体" w:cs="宋体"/>
                <w:color w:val="auto"/>
                <w:highlight w:val="none"/>
              </w:rPr>
              <w:t>政府采购合同金额的</w:t>
            </w:r>
            <w:r>
              <w:rPr>
                <w:rFonts w:hint="eastAsia" w:ascii="宋体" w:hAnsi="宋体" w:eastAsia="宋体" w:cs="宋体"/>
                <w:color w:val="auto"/>
                <w:szCs w:val="21"/>
                <w:highlight w:val="none"/>
              </w:rPr>
              <w:t>2%，供应商提供声明函或证明材料）。</w:t>
            </w:r>
          </w:p>
          <w:p w14:paraId="6EB2F7BD">
            <w:pPr>
              <w:snapToGrid w:val="0"/>
              <w:spacing w:line="400" w:lineRule="exact"/>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履约保证金提交方式：银行转账、支票、汇票、本票或者金融、担保机构出具的保函等非现金方式。</w:t>
            </w:r>
          </w:p>
          <w:p w14:paraId="14837F71">
            <w:pPr>
              <w:snapToGrid w:val="0"/>
              <w:spacing w:line="400" w:lineRule="exact"/>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rPr>
              <w:t>供应商若不能完全履行合同，履约保证金不返还；供应商若完全履行合同，按合同履行相关售后服务和配套服务，并对项目出现的质量及安全问题负责处理解决并承当一切费用，项目竣工验收合格质保期满后，供应商提交《广西壮族自治区政府采购项目合同验收书》及《政府采购项目履约保证金退付意见书》到采购人财务部门在收到合格材料后办理无息退还手续（不计利息）。</w:t>
            </w:r>
          </w:p>
          <w:p w14:paraId="27112663">
            <w:pPr>
              <w:snapToGrid w:val="0"/>
              <w:spacing w:line="400" w:lineRule="exact"/>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履约保证金指定账户：</w:t>
            </w:r>
          </w:p>
          <w:p w14:paraId="7A270032">
            <w:pPr>
              <w:snapToGrid w:val="0"/>
              <w:spacing w:line="400" w:lineRule="exact"/>
              <w:contextualSpacing/>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single"/>
              </w:rPr>
              <w:t>中标后提供</w:t>
            </w:r>
          </w:p>
          <w:p w14:paraId="1F0327BC">
            <w:pPr>
              <w:snapToGrid w:val="0"/>
              <w:spacing w:line="400" w:lineRule="exact"/>
              <w:contextualSpacing/>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备注：</w:t>
            </w:r>
          </w:p>
          <w:p w14:paraId="4378E4EF">
            <w:pPr>
              <w:snapToGrid w:val="0"/>
              <w:spacing w:line="400" w:lineRule="exact"/>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p>
          <w:p w14:paraId="416FF407">
            <w:pPr>
              <w:snapToGrid w:val="0"/>
              <w:spacing w:line="400" w:lineRule="exact"/>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4DDBD93F">
            <w:pPr>
              <w:snapToGrid w:val="0"/>
              <w:spacing w:line="400" w:lineRule="exact"/>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p w14:paraId="6430FE8B">
            <w:pPr>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4、供应商为联合体的，由联合体任意一方按规定提交的履约保证金，视为有效履约保证金。</w:t>
            </w:r>
          </w:p>
        </w:tc>
      </w:tr>
      <w:tr w14:paraId="58D25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5721210">
            <w:pPr>
              <w:spacing w:line="400" w:lineRule="exact"/>
              <w:jc w:val="center"/>
              <w:rPr>
                <w:rFonts w:hint="eastAsia" w:ascii="宋体" w:hAnsi="宋体" w:eastAsia="宋体" w:cs="宋体"/>
                <w:color w:val="auto"/>
                <w:szCs w:val="21"/>
                <w:highlight w:val="none"/>
              </w:rPr>
            </w:pPr>
            <w:bookmarkStart w:id="71" w:name="_40.1"/>
            <w:bookmarkEnd w:id="71"/>
            <w:r>
              <w:rPr>
                <w:rFonts w:hint="eastAsia" w:ascii="宋体" w:hAnsi="宋体" w:eastAsia="宋体" w:cs="宋体"/>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26307B1C">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14:paraId="388569FA">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1、委托代理人负责签订合同的，须携带授权委托书及委托代理人身份证原件等其他资格证件。</w:t>
            </w:r>
          </w:p>
          <w:p w14:paraId="5551F0CC">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2、法定代表人负责签订合同的，须携带法定代表人身份证明原件及身份证原件等其他证明材料。</w:t>
            </w:r>
          </w:p>
        </w:tc>
      </w:tr>
      <w:tr w14:paraId="01145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C9EDE6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4852801B">
            <w:pPr>
              <w:snapToGrid w:val="0"/>
              <w:spacing w:line="380" w:lineRule="exact"/>
              <w:rPr>
                <w:rFonts w:ascii="宋体" w:hAnsi="宋体"/>
                <w:color w:val="auto"/>
                <w:szCs w:val="21"/>
                <w:highlight w:val="none"/>
              </w:rPr>
            </w:pPr>
            <w:r>
              <w:rPr>
                <w:rFonts w:hint="eastAsia" w:ascii="宋体" w:hAnsi="宋体"/>
                <w:color w:val="auto"/>
                <w:szCs w:val="21"/>
                <w:highlight w:val="none"/>
              </w:rPr>
              <w:t>质疑：供应商认为采购文件、采购过程、中标或者中标结果使自己的权益受到损害的，可以在知道或者应知其权益受到损害之日起7个工作日内，以书面形式（须按照招标文件要求格式）向采购人、采购代理机构提出质疑。供应商针对同一采购程序环节的质疑应在法定质疑期内一次性提出。</w:t>
            </w:r>
          </w:p>
          <w:p w14:paraId="0B254E89">
            <w:pPr>
              <w:snapToGrid w:val="0"/>
              <w:spacing w:line="380" w:lineRule="exact"/>
              <w:rPr>
                <w:rFonts w:ascii="宋体" w:hAnsi="宋体"/>
                <w:color w:val="auto"/>
                <w:szCs w:val="21"/>
                <w:highlight w:val="none"/>
              </w:rPr>
            </w:pPr>
            <w:r>
              <w:rPr>
                <w:rFonts w:hint="eastAsia" w:ascii="宋体" w:hAnsi="宋体"/>
                <w:color w:val="auto"/>
                <w:szCs w:val="21"/>
                <w:highlight w:val="none"/>
              </w:rPr>
              <w:t>质疑材料接收要求：质疑供应商须按照招标文件“第七章  质疑材料格式”要求，提供相应完整材料内容才受理。材料缺项或未按照质疑材料格式提供的，不予受理，为此造成的后果由供应商自行承担。</w:t>
            </w:r>
          </w:p>
          <w:p w14:paraId="302382D4">
            <w:pPr>
              <w:snapToGrid w:val="0"/>
              <w:spacing w:line="380" w:lineRule="exact"/>
              <w:rPr>
                <w:rFonts w:ascii="宋体" w:hAnsi="宋体"/>
                <w:color w:val="auto"/>
                <w:szCs w:val="21"/>
                <w:highlight w:val="none"/>
              </w:rPr>
            </w:pPr>
            <w:r>
              <w:rPr>
                <w:rFonts w:hint="eastAsia" w:ascii="宋体" w:hAnsi="宋体"/>
                <w:color w:val="auto"/>
                <w:szCs w:val="21"/>
                <w:highlight w:val="none"/>
              </w:rPr>
              <w:t>接收质疑函方式：以书面形式（原件）（须按照招标文件要求格式）提交</w:t>
            </w:r>
          </w:p>
          <w:p w14:paraId="2BBC180F">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广西睿翼工程咨询有限公司</w:t>
            </w:r>
            <w:r>
              <w:rPr>
                <w:rFonts w:hint="eastAsia" w:ascii="宋体" w:hAnsi="宋体"/>
                <w:color w:val="auto"/>
                <w:szCs w:val="21"/>
                <w:highlight w:val="none"/>
              </w:rPr>
              <w:t>，联系电话：</w:t>
            </w:r>
            <w:r>
              <w:rPr>
                <w:rFonts w:hint="eastAsia" w:ascii="宋体" w:hAnsi="宋体"/>
                <w:color w:val="auto"/>
                <w:szCs w:val="21"/>
                <w:highlight w:val="none"/>
                <w:lang w:eastAsia="zh-CN"/>
              </w:rPr>
              <w:t>0771-5349283</w:t>
            </w:r>
          </w:p>
          <w:p w14:paraId="707990E1">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olor w:val="auto"/>
                <w:szCs w:val="21"/>
                <w:highlight w:val="none"/>
                <w:lang w:eastAsia="zh-CN"/>
              </w:rPr>
              <w:t>南宁市青秀区民族大道32号宜尚酒店停车场内一楼</w:t>
            </w:r>
          </w:p>
          <w:p w14:paraId="1789D08B">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ascii="宋体" w:hAnsi="宋体"/>
                <w:color w:val="auto"/>
                <w:szCs w:val="21"/>
                <w:highlight w:val="none"/>
              </w:rPr>
              <w:t>业务时间：每天上午</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0分到12时00分，1</w:t>
            </w:r>
            <w:r>
              <w:rPr>
                <w:rFonts w:hint="eastAsia" w:ascii="宋体" w:hAnsi="宋体"/>
                <w:color w:val="auto"/>
                <w:szCs w:val="21"/>
                <w:highlight w:val="none"/>
                <w:lang w:val="en-US" w:eastAsia="zh-CN"/>
              </w:rPr>
              <w:t>5</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0分到17时30分，双休日和法定节假日不办理业务。</w:t>
            </w:r>
          </w:p>
        </w:tc>
      </w:tr>
      <w:tr w14:paraId="12733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B21313E">
            <w:pPr>
              <w:spacing w:line="400" w:lineRule="exact"/>
              <w:jc w:val="center"/>
              <w:rPr>
                <w:rFonts w:hint="eastAsia" w:ascii="宋体" w:hAnsi="宋体" w:eastAsia="宋体" w:cs="宋体"/>
                <w:color w:val="auto"/>
                <w:szCs w:val="21"/>
                <w:highlight w:val="none"/>
              </w:rPr>
            </w:pPr>
            <w:bookmarkStart w:id="72" w:name="_41"/>
            <w:bookmarkEnd w:id="72"/>
            <w:bookmarkStart w:id="73" w:name="_42"/>
            <w:bookmarkEnd w:id="73"/>
            <w:bookmarkStart w:id="74" w:name="_Hlt17709148"/>
            <w:r>
              <w:rPr>
                <w:rFonts w:hint="eastAsia" w:ascii="宋体" w:hAnsi="宋体" w:eastAsia="宋体" w:cs="宋体"/>
                <w:color w:val="auto"/>
                <w:szCs w:val="21"/>
                <w:highlight w:val="none"/>
              </w:rPr>
              <w:t>3</w:t>
            </w:r>
            <w:bookmarkEnd w:id="74"/>
            <w:r>
              <w:rPr>
                <w:rFonts w:hint="eastAsia" w:ascii="宋体" w:hAnsi="宋体" w:eastAsia="宋体" w:cs="宋体"/>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14:paraId="3B9AF951">
            <w:pPr>
              <w:pStyle w:val="26"/>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1、采购代理服务费支付方式：</w:t>
            </w:r>
            <w:r>
              <w:rPr>
                <w:rFonts w:hint="eastAsia" w:ascii="宋体" w:hAnsi="宋体" w:eastAsia="宋体" w:cs="宋体"/>
                <w:color w:val="auto"/>
                <w:highlight w:val="none"/>
              </w:rPr>
              <w:t>本项目的招标代理服务费按以下收费标准向中标人收取，领取中标通知书前，中标人应向采购代理机构一次付清招标代理服务费，否则采购代理机构有权不予以办理。</w:t>
            </w:r>
          </w:p>
          <w:p w14:paraId="6CA3DE96">
            <w:pPr>
              <w:pStyle w:val="26"/>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2、采购代理服务费收取标准：</w:t>
            </w:r>
          </w:p>
          <w:p w14:paraId="2EBD09B9">
            <w:pPr>
              <w:pStyle w:val="26"/>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以分标（中标金额）为计费金额，按本须知正文第39.2条规定的收费计算标准（货物招标）采用差额定率累进法计算出收费基准价格，采购代理服务费以收费基准价格收取。</w:t>
            </w:r>
          </w:p>
          <w:p w14:paraId="2D28B4FE">
            <w:pPr>
              <w:pStyle w:val="26"/>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3、采购代理费收取银行账户：</w:t>
            </w:r>
          </w:p>
          <w:p w14:paraId="5CA2D818">
            <w:pPr>
              <w:pStyle w:val="26"/>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账户名称：广西睿翼工程咨询有限公司南宁分公司  </w:t>
            </w:r>
          </w:p>
          <w:p w14:paraId="62F7AD41">
            <w:pPr>
              <w:pStyle w:val="26"/>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开户银行：华夏银行股份有限公司南宁青秀支行 </w:t>
            </w:r>
          </w:p>
          <w:p w14:paraId="2D23BB85">
            <w:pPr>
              <w:pStyle w:val="26"/>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银行账号：13053000000217831  </w:t>
            </w:r>
          </w:p>
        </w:tc>
      </w:tr>
      <w:tr w14:paraId="4C99C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26D992C">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3FF7EDC">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364A16E6">
            <w:pPr>
              <w:snapToGrid w:val="0"/>
              <w:spacing w:line="400" w:lineRule="exact"/>
              <w:rPr>
                <w:rFonts w:hint="eastAsia" w:ascii="宋体" w:hAnsi="宋体" w:eastAsia="宋体" w:cs="宋体"/>
                <w:color w:val="auto"/>
                <w:szCs w:val="21"/>
                <w:highlight w:val="none"/>
              </w:rPr>
            </w:pPr>
            <w:r>
              <w:rPr>
                <w:rFonts w:hint="eastAsia" w:ascii="宋体" w:hAnsi="宋体"/>
                <w:b/>
                <w:color w:val="auto"/>
                <w:szCs w:val="21"/>
                <w:highlight w:val="none"/>
              </w:rPr>
              <w:t>法律责任：</w:t>
            </w:r>
            <w:r>
              <w:rPr>
                <w:rFonts w:hint="eastAsia" w:ascii="宋体" w:hAnsi="宋体"/>
                <w:color w:val="auto"/>
                <w:szCs w:val="21"/>
                <w:highlight w:val="none"/>
              </w:rPr>
              <w:t>本采购文件根据《中华人民共和国政府采购法》、《中华人民共和国民法典》；《中华人民共和国政府采购法实施条例》等有关法律、法规编制，参与本项目的各政府采购当事人依法享有上述法律法规所赋予的权利与义务。</w:t>
            </w:r>
          </w:p>
        </w:tc>
      </w:tr>
      <w:tr w14:paraId="6987B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3C131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630D3B73">
            <w:pPr>
              <w:pStyle w:val="26"/>
              <w:snapToGrid w:val="0"/>
              <w:spacing w:line="400" w:lineRule="exact"/>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1、本招标文件中描述投标人的“公章”是指根据我国对公章的管理规定，用投标人法定主体行为名称制作的印章</w:t>
            </w:r>
            <w:r>
              <w:rPr>
                <w:rFonts w:hint="eastAsia" w:ascii="宋体" w:hAnsi="宋体" w:eastAsia="宋体" w:cs="宋体"/>
                <w:color w:val="auto"/>
                <w:sz w:val="21"/>
                <w:highlight w:val="none"/>
              </w:rPr>
              <w:t>（含电子印章）</w:t>
            </w:r>
            <w:r>
              <w:rPr>
                <w:rFonts w:hint="eastAsia" w:ascii="宋体" w:hAnsi="宋体" w:eastAsia="宋体" w:cs="宋体"/>
                <w:bCs/>
                <w:color w:val="auto"/>
                <w:sz w:val="21"/>
                <w:highlight w:val="none"/>
              </w:rPr>
              <w:t>，除本招标文件有特殊规定外，投标人的财务章、部门章、分公司章、工会章、合同章、投标专用章、业务专用章及银行的转账章、现金收讫章、现金付讫章等其他形式印章均不能代替公章。</w:t>
            </w:r>
          </w:p>
          <w:p w14:paraId="128BE6EF">
            <w:pPr>
              <w:pStyle w:val="26"/>
              <w:snapToGrid w:val="0"/>
              <w:spacing w:line="400" w:lineRule="exact"/>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ECAAA29">
            <w:pPr>
              <w:pStyle w:val="26"/>
              <w:snapToGrid w:val="0"/>
              <w:spacing w:line="400" w:lineRule="exact"/>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3、本招标文件中描述投标人的“签字”是指投标人的法定代表人或者委托代理人</w:t>
            </w:r>
            <w:r>
              <w:rPr>
                <w:rFonts w:hint="eastAsia" w:ascii="宋体" w:hAnsi="宋体" w:eastAsia="宋体" w:cs="宋体"/>
                <w:color w:val="auto"/>
                <w:sz w:val="21"/>
                <w:highlight w:val="none"/>
              </w:rPr>
              <w:t>在文件规定签署处签名（含电子签名）的行为，私章、印鉴等其他形式均不能代替签字</w:t>
            </w:r>
            <w:r>
              <w:rPr>
                <w:rFonts w:hint="eastAsia" w:ascii="宋体" w:hAnsi="宋体" w:eastAsia="宋体" w:cs="宋体"/>
                <w:bCs/>
                <w:color w:val="auto"/>
                <w:sz w:val="21"/>
                <w:highlight w:val="none"/>
              </w:rPr>
              <w:t>。</w:t>
            </w:r>
          </w:p>
          <w:p w14:paraId="0583F51F">
            <w:pPr>
              <w:pStyle w:val="26"/>
              <w:snapToGrid w:val="0"/>
              <w:spacing w:line="400" w:lineRule="exact"/>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4、自然人投标的，招标文件规定盖公章处由自然人摁手指指印。</w:t>
            </w:r>
          </w:p>
          <w:p w14:paraId="0F06348D">
            <w:pPr>
              <w:spacing w:line="4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5、本招标文件所称的“以上”“以下”“以内”“届满”，包括本数；所称的“不满”“超过”“以外”，不包括本数。</w:t>
            </w:r>
          </w:p>
        </w:tc>
      </w:tr>
    </w:tbl>
    <w:p w14:paraId="23F2CA59">
      <w:pPr>
        <w:snapToGrid w:val="0"/>
        <w:rPr>
          <w:rFonts w:hint="eastAsia" w:ascii="宋体" w:hAnsi="宋体" w:eastAsia="宋体" w:cs="宋体"/>
          <w:color w:val="auto"/>
          <w:sz w:val="24"/>
          <w:szCs w:val="20"/>
          <w:highlight w:val="none"/>
        </w:rPr>
      </w:pPr>
    </w:p>
    <w:p w14:paraId="5E5A320E">
      <w:pPr>
        <w:pStyle w:val="6"/>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投标人须知正文</w:t>
      </w:r>
    </w:p>
    <w:p w14:paraId="5567EABC">
      <w:pPr>
        <w:pStyle w:val="6"/>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一、总  则</w:t>
      </w:r>
    </w:p>
    <w:p w14:paraId="481243B4">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75" w:name="_Toc254970668"/>
      <w:bookmarkStart w:id="76" w:name="_Toc254970527"/>
      <w:r>
        <w:rPr>
          <w:rFonts w:hint="eastAsia" w:ascii="宋体" w:hAnsi="宋体" w:eastAsia="宋体" w:cs="宋体"/>
          <w:color w:val="auto"/>
          <w:sz w:val="24"/>
          <w:highlight w:val="none"/>
        </w:rPr>
        <w:t>1.适用范围</w:t>
      </w:r>
      <w:bookmarkEnd w:id="75"/>
      <w:bookmarkEnd w:id="76"/>
    </w:p>
    <w:p w14:paraId="0A8D6D2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450C0A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06B22438">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77" w:name="_Toc254970669"/>
      <w:bookmarkStart w:id="78" w:name="_Toc254970528"/>
      <w:r>
        <w:rPr>
          <w:rFonts w:hint="eastAsia" w:ascii="宋体" w:hAnsi="宋体" w:eastAsia="宋体" w:cs="宋体"/>
          <w:color w:val="auto"/>
          <w:sz w:val="24"/>
          <w:highlight w:val="none"/>
        </w:rPr>
        <w:t>2.定义</w:t>
      </w:r>
      <w:bookmarkEnd w:id="77"/>
      <w:bookmarkEnd w:id="78"/>
    </w:p>
    <w:p w14:paraId="755D8F40">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74503791">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5F84A9A7">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5A4E7862">
      <w:pPr>
        <w:pStyle w:val="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2.4“投标人”是指响应招标、参加投标竞争的法人、其他组织或者自然人。</w:t>
      </w:r>
    </w:p>
    <w:p w14:paraId="0D80A792">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14:paraId="04090EF7">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66E152F7">
      <w:pPr>
        <w:pStyle w:val="8"/>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557567A1">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2.8“实质性要求”是指招标文件中已经指明不满足则投标无效的条款，或者不能负偏离的条款，或者采购需求中带“▲”的条款。</w:t>
      </w:r>
    </w:p>
    <w:p w14:paraId="12B4E5E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“正偏离”，是指投标文件对招标文件“采购需求”中有关条款作出的响应优于条款要求并有利于采购人的情形。</w:t>
      </w:r>
    </w:p>
    <w:p w14:paraId="7B8F1CA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2.10“负偏离”，是指投标文件对招标文件“采购需求”中有关条款作出的响应不满足条款要求，导致采购人要求不能得到满足的情形。</w:t>
      </w:r>
    </w:p>
    <w:p w14:paraId="748A1C0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bookmarkStart w:id="79" w:name="_Toc254970529"/>
      <w:bookmarkStart w:id="80" w:name="_Toc254970670"/>
    </w:p>
    <w:p w14:paraId="24E1D4A7">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79"/>
      <w:bookmarkEnd w:id="80"/>
      <w:r>
        <w:rPr>
          <w:rFonts w:hint="eastAsia" w:ascii="宋体" w:hAnsi="宋体" w:eastAsia="宋体" w:cs="宋体"/>
          <w:color w:val="auto"/>
          <w:sz w:val="24"/>
          <w:highlight w:val="none"/>
        </w:rPr>
        <w:t>投标人的资格要求</w:t>
      </w:r>
    </w:p>
    <w:p w14:paraId="5CCB465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投标人的资格要求详见“投标人须知前附表”。</w:t>
      </w:r>
    </w:p>
    <w:p w14:paraId="61A77F62">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81" w:name="_Toc254970671"/>
      <w:bookmarkStart w:id="82" w:name="_Toc254970530"/>
      <w:r>
        <w:rPr>
          <w:rFonts w:hint="eastAsia" w:ascii="宋体" w:hAnsi="宋体" w:eastAsia="宋体" w:cs="宋体"/>
          <w:color w:val="auto"/>
          <w:sz w:val="24"/>
          <w:highlight w:val="none"/>
        </w:rPr>
        <w:t>4.投标委托</w:t>
      </w:r>
      <w:bookmarkEnd w:id="81"/>
      <w:bookmarkEnd w:id="82"/>
    </w:p>
    <w:p w14:paraId="7B7547E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投标人代表参加投标活动过程中必须携带个人有效身份证件。如投标人代表不是法定代表人，须持有授权委托书（按第六章要求格式填写）。</w:t>
      </w:r>
    </w:p>
    <w:p w14:paraId="434F3EAA">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83" w:name="_5.投标费用"/>
      <w:bookmarkEnd w:id="83"/>
      <w:bookmarkStart w:id="84" w:name="_Toc254970672"/>
      <w:bookmarkStart w:id="85" w:name="_Toc254970531"/>
      <w:r>
        <w:rPr>
          <w:rFonts w:hint="eastAsia" w:ascii="宋体" w:hAnsi="宋体" w:eastAsia="宋体" w:cs="宋体"/>
          <w:color w:val="auto"/>
          <w:sz w:val="24"/>
          <w:highlight w:val="none"/>
        </w:rPr>
        <w:t>5.投标费用</w:t>
      </w:r>
      <w:bookmarkEnd w:id="84"/>
      <w:bookmarkEnd w:id="85"/>
    </w:p>
    <w:p w14:paraId="03DA71F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B916672">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7FEBE7B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2A0526FA">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46685CBE">
      <w:pPr>
        <w:pStyle w:val="8"/>
        <w:keepNext w:val="0"/>
        <w:keepLines w:val="0"/>
        <w:spacing w:before="0" w:after="0" w:line="360" w:lineRule="auto"/>
        <w:ind w:firstLine="424" w:firstLineChars="202"/>
        <w:rPr>
          <w:rFonts w:hint="eastAsia" w:ascii="宋体" w:hAnsi="宋体" w:eastAsia="宋体" w:cs="宋体"/>
          <w:color w:val="auto"/>
          <w:sz w:val="24"/>
          <w:highlight w:val="none"/>
        </w:rPr>
      </w:pPr>
      <w:r>
        <w:rPr>
          <w:rFonts w:hint="eastAsia" w:ascii="宋体" w:hAnsi="宋体" w:eastAsia="宋体" w:cs="宋体"/>
          <w:b w:val="0"/>
          <w:bCs/>
          <w:color w:val="auto"/>
          <w:sz w:val="21"/>
          <w:szCs w:val="21"/>
          <w:highlight w:val="none"/>
        </w:rPr>
        <w:t>6.3</w:t>
      </w:r>
      <w:bookmarkStart w:id="86" w:name="_Hlk65857072"/>
      <w:r>
        <w:rPr>
          <w:rFonts w:hint="eastAsia" w:ascii="宋体" w:hAnsi="宋体" w:eastAsia="宋体" w:cs="宋体"/>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6"/>
    </w:p>
    <w:p w14:paraId="586E17A3">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196EB382">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1E601AAF">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FD94E0E">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30FC9C2">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87" w:name="_Toc254970673"/>
      <w:bookmarkStart w:id="88" w:name="_Toc254970532"/>
      <w:r>
        <w:rPr>
          <w:rFonts w:hint="eastAsia" w:ascii="宋体" w:hAnsi="宋体" w:eastAsia="宋体" w:cs="宋体"/>
          <w:color w:val="auto"/>
          <w:sz w:val="24"/>
          <w:highlight w:val="none"/>
        </w:rPr>
        <w:t>8.特别说明</w:t>
      </w:r>
      <w:bookmarkEnd w:id="87"/>
      <w:bookmarkEnd w:id="88"/>
    </w:p>
    <w:p w14:paraId="727CF8BC">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89" w:name="_8.1提供相同品牌产品且通过资格审查、符合性审查的不同投标人参加同一合"/>
      <w:bookmarkEnd w:id="89"/>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HYPERLINK  \l "_8.1"</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b w:val="0"/>
          <w:color w:val="auto"/>
          <w:sz w:val="21"/>
          <w:szCs w:val="21"/>
          <w:highlight w:val="none"/>
        </w:rPr>
        <w:t>8.1</w:t>
      </w:r>
      <w:r>
        <w:rPr>
          <w:rFonts w:hint="eastAsia" w:ascii="宋体" w:hAnsi="宋体" w:eastAsia="宋体" w:cs="宋体"/>
          <w:b w:val="0"/>
          <w:color w:val="auto"/>
          <w:sz w:val="21"/>
          <w:szCs w:val="21"/>
          <w:highlight w:val="none"/>
        </w:rPr>
        <w:fldChar w:fldCharType="end"/>
      </w:r>
      <w:r>
        <w:rPr>
          <w:rFonts w:hint="eastAsia" w:ascii="宋体" w:hAnsi="宋体" w:eastAsia="宋体" w:cs="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color w:val="auto"/>
          <w:sz w:val="22"/>
          <w:szCs w:val="22"/>
          <w:highlight w:val="none"/>
        </w:rPr>
        <w:t>其他投标无效。</w:t>
      </w:r>
    </w:p>
    <w:p w14:paraId="2C0BB8B4">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19DA793">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非单一产品采购项目，多家投标人提供的核心产品品牌相同的，</w:t>
      </w:r>
      <w:r>
        <w:rPr>
          <w:rFonts w:hint="eastAsia" w:ascii="宋体" w:hAnsi="宋体" w:eastAsia="宋体" w:cs="宋体"/>
          <w:color w:val="auto"/>
          <w:sz w:val="22"/>
          <w:szCs w:val="22"/>
          <w:highlight w:val="none"/>
        </w:rPr>
        <w:t>按前两款规定处理</w:t>
      </w:r>
      <w:r>
        <w:rPr>
          <w:rFonts w:hint="eastAsia" w:ascii="宋体" w:hAnsi="宋体" w:eastAsia="宋体" w:cs="宋体"/>
          <w:color w:val="auto"/>
          <w:kern w:val="2"/>
          <w:sz w:val="21"/>
          <w:highlight w:val="none"/>
        </w:rPr>
        <w:t>。</w:t>
      </w:r>
    </w:p>
    <w:p w14:paraId="180B6F91">
      <w:pPr>
        <w:pStyle w:val="8"/>
        <w:keepNext w:val="0"/>
        <w:keepLines w:val="0"/>
        <w:spacing w:before="0" w:after="0" w:line="36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1B82C802">
      <w:pPr>
        <w:pStyle w:val="8"/>
        <w:keepNext w:val="0"/>
        <w:keepLines w:val="0"/>
        <w:spacing w:before="0" w:after="0" w:line="36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517C052F">
      <w:pPr>
        <w:pStyle w:val="8"/>
        <w:keepNext w:val="0"/>
        <w:keepLines w:val="0"/>
        <w:spacing w:before="0" w:after="0" w:line="36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14:paraId="1BBEA9BD">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40B2B9F0">
      <w:pPr>
        <w:pStyle w:val="8"/>
        <w:keepNext w:val="0"/>
        <w:keepLines w:val="0"/>
        <w:spacing w:before="0" w:after="0" w:line="36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02741ECF">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（1）参加采购活动前3年内与供应商存在劳动关系；</w:t>
      </w:r>
    </w:p>
    <w:p w14:paraId="1CAEE2AD">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（2）参加采购活动前3年内担任供应商的董事、监事；</w:t>
      </w:r>
    </w:p>
    <w:p w14:paraId="40009CAD">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（3）参加采购活动前3年内是供应商的控股股东或者实际控制人；</w:t>
      </w:r>
    </w:p>
    <w:p w14:paraId="63AF0233">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（4）与供应商的法定代表人或者负责人有夫妻、直系血亲、三代以内旁系血亲或者近姻亲关系；</w:t>
      </w:r>
    </w:p>
    <w:p w14:paraId="50D4336A">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（5）与供应商有其他可能影响政府采购活动公平、公正进行的关系。</w:t>
      </w:r>
    </w:p>
    <w:p w14:paraId="6563E0CD">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FA7A1B8">
      <w:pPr>
        <w:pStyle w:val="8"/>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24C8F861">
      <w:pPr>
        <w:pStyle w:val="26"/>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 xml:space="preserve">（1）不同投标人的投标文件由同一单位或者个人编制； </w:t>
      </w:r>
    </w:p>
    <w:p w14:paraId="46AE5236">
      <w:pPr>
        <w:pStyle w:val="26"/>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（2）不同投标人委托同一单位或者个人办理投标事宜；</w:t>
      </w:r>
    </w:p>
    <w:p w14:paraId="1BC6A06F">
      <w:pPr>
        <w:pStyle w:val="26"/>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（3）不同的投标人的投标文件载明的项目管理员为同一个人；</w:t>
      </w:r>
    </w:p>
    <w:p w14:paraId="6002ED64">
      <w:pPr>
        <w:pStyle w:val="26"/>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（4）不同投标人的投标文件异常一致或者投标报价呈规律性差异；</w:t>
      </w:r>
    </w:p>
    <w:p w14:paraId="2B58346B">
      <w:pPr>
        <w:pStyle w:val="26"/>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（5）不同投标人的投标文件相互混装；</w:t>
      </w:r>
    </w:p>
    <w:p w14:paraId="7633E07F">
      <w:pPr>
        <w:pStyle w:val="26"/>
        <w:snapToGrid w:val="0"/>
        <w:spacing w:line="360" w:lineRule="auto"/>
        <w:ind w:left="2" w:leftChars="1" w:firstLine="422" w:firstLineChars="200"/>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（6）不同投标人的投标保证金从同一单位或者个人账户转出。</w:t>
      </w:r>
    </w:p>
    <w:p w14:paraId="75A1D34D">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6F83390D">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（1）供应商直接或者间接从采购人或者采购代理机构处获得其他供应商的相关信息并修改其投标文件或者响应文件；</w:t>
      </w:r>
    </w:p>
    <w:p w14:paraId="021CD69F">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（2）供应商按照采购人或者采购代理机构的授意撤换、修改投标文件或者响应文件；</w:t>
      </w:r>
    </w:p>
    <w:p w14:paraId="38F9990A">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（3）供应商之间协商报价、技术方案等投标文件或者响应文件的实质性内容；</w:t>
      </w:r>
    </w:p>
    <w:p w14:paraId="2E474761">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（4）属于同一集团、协会、商会等组织成员的供应商按照该组织要求协同参加政府采购活动；</w:t>
      </w:r>
    </w:p>
    <w:p w14:paraId="3872C20D">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7B438D7D">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（6）供应商之间商定部分供应商放弃参加政府采购活动或者放弃中标；</w:t>
      </w:r>
    </w:p>
    <w:p w14:paraId="08D07883">
      <w:pPr>
        <w:pStyle w:val="26"/>
        <w:snapToGrid w:val="0"/>
        <w:spacing w:line="360" w:lineRule="auto"/>
        <w:ind w:left="2" w:leftChars="1"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（7）供应商与采购人或者采购代理机构之间、供应商相互之间，为谋求特定供应商中标或者排斥其他供应商的其他串通行为。</w:t>
      </w:r>
    </w:p>
    <w:p w14:paraId="47B7853D">
      <w:pPr>
        <w:pStyle w:val="26"/>
        <w:snapToGrid w:val="0"/>
        <w:spacing w:line="360" w:lineRule="auto"/>
        <w:ind w:left="2" w:leftChars="1" w:firstLine="422" w:firstLineChars="200"/>
        <w:rPr>
          <w:rFonts w:hint="eastAsia" w:ascii="宋体" w:hAnsi="宋体" w:eastAsia="宋体" w:cs="宋体"/>
          <w:b/>
          <w:color w:val="auto"/>
          <w:kern w:val="2"/>
          <w:sz w:val="21"/>
          <w:highlight w:val="none"/>
        </w:rPr>
      </w:pPr>
    </w:p>
    <w:p w14:paraId="6E45C13E">
      <w:pPr>
        <w:pStyle w:val="6"/>
        <w:keepNext w:val="0"/>
        <w:keepLines w:val="0"/>
        <w:jc w:val="center"/>
        <w:rPr>
          <w:rFonts w:hint="eastAsia" w:ascii="宋体" w:hAnsi="宋体" w:eastAsia="宋体" w:cs="宋体"/>
          <w:color w:val="auto"/>
          <w:highlight w:val="none"/>
        </w:rPr>
      </w:pPr>
      <w:bookmarkStart w:id="90" w:name="_Toc254970675"/>
      <w:bookmarkStart w:id="91" w:name="_Toc254970534"/>
      <w:r>
        <w:rPr>
          <w:rFonts w:hint="eastAsia" w:ascii="宋体" w:hAnsi="宋体" w:eastAsia="宋体" w:cs="宋体"/>
          <w:color w:val="auto"/>
          <w:highlight w:val="none"/>
        </w:rPr>
        <w:t>二、招标文件</w:t>
      </w:r>
      <w:bookmarkEnd w:id="90"/>
      <w:bookmarkEnd w:id="91"/>
    </w:p>
    <w:p w14:paraId="1735C847">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5809B656">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29EC4E78">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（2）采购需求； </w:t>
      </w:r>
    </w:p>
    <w:p w14:paraId="1A83931F">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（3）投标人须知；</w:t>
      </w:r>
    </w:p>
    <w:p w14:paraId="0C8804D0">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（4）评标方法及评标标准；</w:t>
      </w:r>
    </w:p>
    <w:p w14:paraId="4C997DD3">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48795D74">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16997205">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0FF0FB9F">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74E2AC7F">
      <w:pPr>
        <w:pStyle w:val="8"/>
        <w:keepNext w:val="0"/>
        <w:keepLines w:val="0"/>
        <w:spacing w:before="0" w:after="0" w:line="360" w:lineRule="auto"/>
        <w:ind w:firstLine="420" w:firstLineChars="200"/>
        <w:rPr>
          <w:rFonts w:hint="eastAsia" w:ascii="宋体" w:hAnsi="宋体" w:eastAsia="宋体" w:cs="宋体"/>
          <w:color w:val="auto"/>
          <w:highlight w:val="none"/>
        </w:rPr>
      </w:pPr>
      <w:r>
        <w:rPr>
          <w:rFonts w:hint="eastAsia" w:ascii="宋体" w:hAnsi="宋体" w:eastAsia="宋体" w:cs="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2C25F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11.3采购人和采购代理机构可以视采购具体情况，变更投标截止时间和开标时间，并</w:t>
      </w:r>
      <w:r>
        <w:rPr>
          <w:rFonts w:hint="eastAsia" w:ascii="宋体" w:hAnsi="宋体" w:eastAsia="宋体" w:cs="宋体"/>
          <w:color w:val="auto"/>
          <w:szCs w:val="21"/>
          <w:highlight w:val="none"/>
        </w:rPr>
        <w:t>在原公告发布媒体上发布更正公告。</w:t>
      </w:r>
    </w:p>
    <w:p w14:paraId="1DF18C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11.4招标文件澄清、答复、修改、补充的内容为招标文件的组成部分。</w:t>
      </w:r>
      <w:r>
        <w:rPr>
          <w:rFonts w:hint="eastAsia" w:ascii="宋体" w:hAnsi="宋体" w:eastAsia="宋体" w:cs="宋体"/>
          <w:b/>
          <w:color w:val="auto"/>
          <w:szCs w:val="21"/>
          <w:highlight w:val="none"/>
        </w:rPr>
        <w:t>当招标文件与招标文件的澄清、答复、修改、补充通知就同一内容的表述不一致时，以最后发出的文件为准。</w:t>
      </w:r>
    </w:p>
    <w:p w14:paraId="276930E6">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w:t>
      </w:r>
      <w:bookmarkStart w:id="92" w:name="_Hlk53134511"/>
      <w:r>
        <w:rPr>
          <w:rFonts w:hint="eastAsia" w:ascii="宋体" w:hAnsi="宋体" w:eastAsia="宋体" w:cs="宋体"/>
          <w:color w:val="auto"/>
          <w:sz w:val="21"/>
          <w:highlight w:val="none"/>
        </w:rPr>
        <w:t>5采购人或者采购代理机构可以在招标文件提供期限截止后，组织已获取招标文件的潜在投标人现场考察或者召开开标前答疑会，具体详见“投标人须知前附表”。</w:t>
      </w:r>
    </w:p>
    <w:p w14:paraId="1D4A4920">
      <w:pPr>
        <w:pStyle w:val="26"/>
        <w:snapToGrid w:val="0"/>
        <w:spacing w:line="360" w:lineRule="auto"/>
        <w:ind w:firstLine="420" w:firstLineChars="200"/>
        <w:rPr>
          <w:rFonts w:hint="eastAsia" w:ascii="宋体" w:hAnsi="宋体" w:eastAsia="宋体" w:cs="宋体"/>
          <w:color w:val="auto"/>
          <w:sz w:val="21"/>
          <w:highlight w:val="none"/>
        </w:rPr>
      </w:pPr>
    </w:p>
    <w:bookmarkEnd w:id="92"/>
    <w:p w14:paraId="2F4E666A">
      <w:pPr>
        <w:pStyle w:val="6"/>
        <w:keepNext w:val="0"/>
        <w:keepLines w:val="0"/>
        <w:jc w:val="center"/>
        <w:rPr>
          <w:rFonts w:hint="eastAsia" w:ascii="宋体" w:hAnsi="宋体" w:eastAsia="宋体" w:cs="宋体"/>
          <w:color w:val="auto"/>
          <w:highlight w:val="none"/>
        </w:rPr>
      </w:pPr>
      <w:bookmarkStart w:id="93" w:name="_Toc254970676"/>
      <w:bookmarkStart w:id="94" w:name="_Toc254970535"/>
      <w:r>
        <w:rPr>
          <w:rFonts w:hint="eastAsia" w:ascii="宋体" w:hAnsi="宋体" w:eastAsia="宋体" w:cs="宋体"/>
          <w:color w:val="auto"/>
          <w:highlight w:val="none"/>
        </w:rPr>
        <w:t>三、投标文件的编制</w:t>
      </w:r>
      <w:bookmarkEnd w:id="93"/>
      <w:bookmarkEnd w:id="94"/>
    </w:p>
    <w:p w14:paraId="74A16E79">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95" w:name="_Toc254970677"/>
      <w:bookmarkStart w:id="96" w:name="_Toc254970536"/>
      <w:r>
        <w:rPr>
          <w:rFonts w:hint="eastAsia" w:ascii="宋体" w:hAnsi="宋体" w:eastAsia="宋体" w:cs="宋体"/>
          <w:color w:val="auto"/>
          <w:sz w:val="24"/>
          <w:highlight w:val="none"/>
        </w:rPr>
        <w:t>12.投标文件的编制原则</w:t>
      </w:r>
    </w:p>
    <w:p w14:paraId="5B46EE4C">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14:paraId="542DEE1D">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95"/>
      <w:bookmarkEnd w:id="96"/>
    </w:p>
    <w:p w14:paraId="68AA578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02AA4F66">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97" w:name="_13.1报价文件:_具体材料见“投标人须知前附表”。"/>
      <w:bookmarkEnd w:id="97"/>
      <w:r>
        <w:rPr>
          <w:rFonts w:hint="eastAsia" w:ascii="宋体" w:hAnsi="宋体" w:eastAsia="宋体" w:cs="宋体"/>
          <w:b w:val="0"/>
          <w:color w:val="auto"/>
          <w:sz w:val="21"/>
          <w:szCs w:val="21"/>
          <w:highlight w:val="none"/>
        </w:rPr>
        <w:t>（1）报价文件： 具体材料见“投标人须知前附表”。</w:t>
      </w:r>
    </w:p>
    <w:p w14:paraId="102E9AD3">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98" w:name="_13.2资格证明文件：具体材料见“投标人须知前附表”。"/>
      <w:bookmarkEnd w:id="98"/>
      <w:r>
        <w:rPr>
          <w:rFonts w:hint="eastAsia" w:ascii="宋体" w:hAnsi="宋体" w:eastAsia="宋体" w:cs="宋体"/>
          <w:b w:val="0"/>
          <w:color w:val="auto"/>
          <w:sz w:val="21"/>
          <w:szCs w:val="21"/>
          <w:highlight w:val="none"/>
        </w:rPr>
        <w:t>（2）资格证明文件：具体材料见“投标人须知前附表”。</w:t>
      </w:r>
    </w:p>
    <w:p w14:paraId="1B7B7D9E">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99" w:name="_13.3商务文件:_具体材料见“投标人须知前附表”。"/>
      <w:bookmarkEnd w:id="99"/>
      <w:r>
        <w:rPr>
          <w:rFonts w:hint="eastAsia" w:ascii="宋体" w:hAnsi="宋体" w:eastAsia="宋体" w:cs="宋体"/>
          <w:b w:val="0"/>
          <w:color w:val="auto"/>
          <w:sz w:val="21"/>
          <w:szCs w:val="21"/>
          <w:highlight w:val="none"/>
        </w:rPr>
        <w:t>（3）商务文件：具体材料见“投标人须知前附表”。</w:t>
      </w:r>
    </w:p>
    <w:p w14:paraId="079EDA1F">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00" w:name="_13.4技术文件：具体材料见“投标人须知前附表”。"/>
      <w:bookmarkEnd w:id="100"/>
      <w:r>
        <w:rPr>
          <w:rFonts w:hint="eastAsia" w:ascii="宋体" w:hAnsi="宋体" w:eastAsia="宋体" w:cs="宋体"/>
          <w:b w:val="0"/>
          <w:color w:val="auto"/>
          <w:sz w:val="21"/>
          <w:szCs w:val="21"/>
          <w:highlight w:val="none"/>
        </w:rPr>
        <w:t>（4）技术文件：具体材料见“投标人须知前附表”。</w:t>
      </w:r>
      <w:bookmarkStart w:id="101" w:name="_13.5投标文件电子版：具体材料见“投标人须知前附表”。"/>
      <w:bookmarkEnd w:id="101"/>
    </w:p>
    <w:p w14:paraId="35343FBF">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102" w:name="_Toc254970678"/>
      <w:bookmarkStart w:id="103" w:name="_Toc254970537"/>
      <w:r>
        <w:rPr>
          <w:rFonts w:hint="eastAsia" w:ascii="宋体" w:hAnsi="宋体" w:eastAsia="宋体" w:cs="宋体"/>
          <w:color w:val="auto"/>
          <w:sz w:val="24"/>
          <w:highlight w:val="none"/>
        </w:rPr>
        <w:t>14.投标文件的语言及计量</w:t>
      </w:r>
      <w:bookmarkEnd w:id="102"/>
      <w:bookmarkEnd w:id="103"/>
    </w:p>
    <w:p w14:paraId="724BD705">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08718B4D">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5385D3B">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17FCC827">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33D74A61">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37C809D6">
      <w:pPr>
        <w:pStyle w:val="26"/>
        <w:snapToGrid w:val="0"/>
        <w:spacing w:line="360" w:lineRule="auto"/>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投标人没有按照招标文件要求提供全部资料，或者投标人没有对招标文件作出实质性响应是投标人的风险，并可能导致其投标被拒绝。</w:t>
      </w:r>
    </w:p>
    <w:p w14:paraId="526D9E9F">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104" w:name="_Toc254970538"/>
      <w:bookmarkStart w:id="105" w:name="_Toc254970679"/>
      <w:r>
        <w:rPr>
          <w:rFonts w:hint="eastAsia" w:ascii="宋体" w:hAnsi="宋体" w:eastAsia="宋体" w:cs="宋体"/>
          <w:color w:val="auto"/>
          <w:sz w:val="24"/>
          <w:highlight w:val="none"/>
        </w:rPr>
        <w:t>16.投标报价</w:t>
      </w:r>
      <w:bookmarkEnd w:id="104"/>
      <w:bookmarkEnd w:id="105"/>
    </w:p>
    <w:p w14:paraId="1E8B4CEC">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14:paraId="753A4D09">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06" w:name="_16.2投标报价具体定义见投标人须知前附表。"/>
      <w:bookmarkEnd w:id="106"/>
      <w:r>
        <w:rPr>
          <w:rFonts w:hint="eastAsia" w:ascii="宋体" w:hAnsi="宋体" w:eastAsia="宋体" w:cs="宋体"/>
          <w:b w:val="0"/>
          <w:color w:val="auto"/>
          <w:sz w:val="21"/>
          <w:szCs w:val="21"/>
          <w:highlight w:val="none"/>
        </w:rPr>
        <w:t>16.2投标报价具体包括内容详见“投标人须知前附表”。</w:t>
      </w:r>
    </w:p>
    <w:p w14:paraId="4A2FEC62">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552DED47">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06BBD2BF">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107" w:name="_17.1投标有效期应按“投标人须知中的前附表”规定的期限。"/>
      <w:bookmarkEnd w:id="107"/>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7D9A2E9E">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108" w:name="_Toc254970540"/>
      <w:bookmarkStart w:id="109" w:name="_Toc254970681"/>
      <w:r>
        <w:rPr>
          <w:rFonts w:hint="eastAsia" w:ascii="宋体" w:hAnsi="宋体" w:eastAsia="宋体" w:cs="宋体"/>
          <w:b w:val="0"/>
          <w:color w:val="auto"/>
          <w:sz w:val="21"/>
          <w:szCs w:val="21"/>
          <w:highlight w:val="none"/>
        </w:rPr>
        <w:t xml:space="preserve"> 投标有效期应按规定的期限作出承诺，具体详见“投标人须知前附表”。</w:t>
      </w:r>
    </w:p>
    <w:p w14:paraId="4B21E009">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108"/>
      <w:bookmarkEnd w:id="109"/>
    </w:p>
    <w:p w14:paraId="6E305EE2">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110" w:name="_18.投标保证金"/>
      <w:bookmarkEnd w:id="110"/>
      <w:bookmarkStart w:id="111" w:name="_Toc254970682"/>
      <w:bookmarkStart w:id="112" w:name="_Toc254970541"/>
      <w:r>
        <w:rPr>
          <w:rFonts w:hint="eastAsia" w:ascii="宋体" w:hAnsi="宋体" w:eastAsia="宋体" w:cs="宋体"/>
          <w:color w:val="auto"/>
          <w:sz w:val="24"/>
          <w:highlight w:val="none"/>
        </w:rPr>
        <w:t>18.投标保证金</w:t>
      </w:r>
      <w:bookmarkEnd w:id="111"/>
      <w:bookmarkEnd w:id="112"/>
    </w:p>
    <w:p w14:paraId="62F0E0E3">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18.1投标人须按“投标人须知前附表” 的规定提交投标保证金。</w:t>
      </w:r>
    </w:p>
    <w:p w14:paraId="609AE3C2">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14:paraId="17DEF12F">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67DF9755">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14:paraId="04D35511">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14:paraId="63564F15">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7BAAE1C2">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5CF7E764">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5207F95A">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4D53AC9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788FF6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14:paraId="3C732B72">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113" w:name="_Toc254970542"/>
      <w:bookmarkStart w:id="114" w:name="_Toc254970683"/>
      <w:r>
        <w:rPr>
          <w:rFonts w:hint="eastAsia" w:ascii="宋体" w:hAnsi="宋体" w:eastAsia="宋体" w:cs="宋体"/>
          <w:color w:val="auto"/>
          <w:sz w:val="24"/>
          <w:highlight w:val="none"/>
        </w:rPr>
        <w:t>19.投标文件的</w:t>
      </w:r>
      <w:bookmarkEnd w:id="113"/>
      <w:bookmarkEnd w:id="114"/>
      <w:r>
        <w:rPr>
          <w:rFonts w:hint="eastAsia" w:ascii="宋体" w:hAnsi="宋体" w:eastAsia="宋体" w:cs="宋体"/>
          <w:color w:val="auto"/>
          <w:sz w:val="24"/>
          <w:highlight w:val="none"/>
        </w:rPr>
        <w:t>编制</w:t>
      </w:r>
    </w:p>
    <w:p w14:paraId="4CCE7D85">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6F3CACC7">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115" w:name="_19.2投标文件应按报价文件、资格证明文件、商务文件、技术文件分别编制"/>
      <w:bookmarkEnd w:id="115"/>
      <w:r>
        <w:rPr>
          <w:rFonts w:hint="eastAsia" w:ascii="宋体" w:hAnsi="宋体" w:eastAsia="宋体" w:cs="宋体"/>
          <w:b w:val="0"/>
          <w:color w:val="auto"/>
          <w:sz w:val="21"/>
          <w:szCs w:val="21"/>
          <w:highlight w:val="none"/>
        </w:rPr>
        <w:t>19.2投标文件应按报价文件、资格证明文件、商务文件、技术文件分别编制电子文件，并按广西政府采购云平台的要求编制、加密、上传。</w:t>
      </w:r>
    </w:p>
    <w:p w14:paraId="583B9BCA">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w:t>
      </w:r>
      <w:bookmarkStart w:id="116" w:name="_Hlk65832616"/>
      <w:r>
        <w:rPr>
          <w:rFonts w:hint="eastAsia" w:ascii="宋体" w:hAnsi="宋体" w:eastAsia="宋体" w:cs="宋体"/>
          <w:b w:val="0"/>
          <w:color w:val="auto"/>
          <w:sz w:val="21"/>
          <w:szCs w:val="21"/>
          <w:highlight w:val="none"/>
        </w:rPr>
        <w:t>3投标文件须由投标人在规定位置盖公章并签字</w:t>
      </w:r>
      <w:bookmarkStart w:id="117" w:name="_Hlk65832569"/>
      <w:r>
        <w:rPr>
          <w:rFonts w:hint="eastAsia" w:ascii="宋体" w:hAnsi="宋体" w:eastAsia="宋体" w:cs="宋体"/>
          <w:b w:val="0"/>
          <w:color w:val="auto"/>
          <w:sz w:val="21"/>
          <w:szCs w:val="21"/>
          <w:highlight w:val="none"/>
        </w:rPr>
        <w:t>（具体以投标人须知前附表或投标文件格式规定为准）</w:t>
      </w:r>
      <w:bookmarkEnd w:id="116"/>
      <w:bookmarkEnd w:id="117"/>
      <w:r>
        <w:rPr>
          <w:rFonts w:hint="eastAsia" w:ascii="宋体" w:hAnsi="宋体" w:eastAsia="宋体" w:cs="宋体"/>
          <w:b w:val="0"/>
          <w:color w:val="auto"/>
          <w:sz w:val="21"/>
          <w:szCs w:val="21"/>
          <w:highlight w:val="none"/>
        </w:rPr>
        <w:t>，</w:t>
      </w:r>
      <w:r>
        <w:rPr>
          <w:rFonts w:hint="eastAsia" w:ascii="宋体" w:hAnsi="宋体" w:eastAsia="宋体" w:cs="宋体"/>
          <w:bCs/>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772BC446">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79972282">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0D826FE">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20.投标文件的加密、解密</w:t>
      </w:r>
    </w:p>
    <w:p w14:paraId="6B874EAC">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20.1电子投标文件编制完成后，投标人应按广西政府采购云平台的要求进行加密，并在规定时间内解密，否则，由此产生的后果由投标人自行负责。</w:t>
      </w:r>
    </w:p>
    <w:p w14:paraId="3C95EA41">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3A1783C7">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118" w:name="_21.1投标人必须在“投标人须知中的前附表”规定的投标文件接收时间和投"/>
      <w:bookmarkEnd w:id="118"/>
      <w:r>
        <w:rPr>
          <w:rFonts w:hint="eastAsia" w:ascii="宋体" w:hAnsi="宋体" w:eastAsia="宋体" w:cs="宋体"/>
          <w:b w:val="0"/>
          <w:color w:val="auto"/>
          <w:sz w:val="21"/>
          <w:szCs w:val="21"/>
          <w:highlight w:val="none"/>
        </w:rPr>
        <w:t>21.1投标人必须在“投标人须知前附表”规定的投标文件接收时间和投标地点提交投标文件。</w:t>
      </w:r>
    </w:p>
    <w:p w14:paraId="2E09CE05">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195291F">
      <w:pPr>
        <w:pStyle w:val="8"/>
        <w:keepNext w:val="0"/>
        <w:keepLines w:val="0"/>
        <w:spacing w:before="0" w:after="0" w:line="360" w:lineRule="auto"/>
        <w:ind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21.3未在规定时间内上传或者未按广西政府采购云平台的要求编制、加密的电子投标文件，广西政府采购云平台将拒收。</w:t>
      </w:r>
    </w:p>
    <w:p w14:paraId="1465C180">
      <w:pPr>
        <w:pStyle w:val="9"/>
        <w:rPr>
          <w:rFonts w:hint="eastAsia" w:ascii="宋体" w:hAnsi="宋体" w:eastAsia="宋体" w:cs="宋体"/>
          <w:color w:val="auto"/>
          <w:highlight w:val="none"/>
        </w:rPr>
      </w:pPr>
      <w:r>
        <w:rPr>
          <w:rFonts w:hint="eastAsia" w:ascii="宋体" w:hAnsi="宋体" w:eastAsia="宋体" w:cs="宋体"/>
          <w:color w:val="auto"/>
          <w:szCs w:val="21"/>
          <w:highlight w:val="none"/>
        </w:rPr>
        <w:t>21.4电子投标文件提交方式见“招标公告”中“四、提交投标文件截止时间、开标时间和地点”</w:t>
      </w:r>
    </w:p>
    <w:p w14:paraId="6E6692FA">
      <w:pPr>
        <w:pStyle w:val="9"/>
        <w:rPr>
          <w:rFonts w:hint="eastAsia" w:ascii="宋体" w:hAnsi="宋体" w:eastAsia="宋体" w:cs="宋体"/>
          <w:color w:val="auto"/>
          <w:highlight w:val="none"/>
        </w:rPr>
      </w:pPr>
    </w:p>
    <w:p w14:paraId="7FFC8EF6">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p>
    <w:p w14:paraId="42978F49">
      <w:pPr>
        <w:snapToGrid w:val="0"/>
        <w:spacing w:line="360" w:lineRule="auto"/>
        <w:ind w:firstLine="420"/>
        <w:jc w:val="left"/>
        <w:rPr>
          <w:rFonts w:hint="eastAsia" w:ascii="宋体" w:hAnsi="宋体" w:eastAsia="宋体" w:cs="宋体"/>
          <w:color w:val="auto"/>
          <w:szCs w:val="21"/>
          <w:highlight w:val="none"/>
        </w:rPr>
      </w:pPr>
      <w:bookmarkStart w:id="119" w:name="_Toc254970543"/>
      <w:bookmarkStart w:id="120" w:name="_Toc254970684"/>
      <w:r>
        <w:rPr>
          <w:rFonts w:hint="eastAsia" w:ascii="宋体" w:hAnsi="宋体" w:eastAsia="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19"/>
    <w:bookmarkEnd w:id="120"/>
    <w:p w14:paraId="4965EEA8">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143CAA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投标人在投标截止时间后书面通知采购人、采购代理机构撤销投标文件的，将根据本须知正文18.4的规定不予退还其投标保证金。</w:t>
      </w:r>
    </w:p>
    <w:p w14:paraId="3C722C7D">
      <w:pPr>
        <w:pStyle w:val="21"/>
        <w:snapToGrid w:val="0"/>
        <w:spacing w:line="360" w:lineRule="auto"/>
        <w:ind w:firstLine="739"/>
        <w:rPr>
          <w:rFonts w:hint="eastAsia" w:ascii="宋体" w:hAnsi="宋体" w:eastAsia="宋体" w:cs="宋体"/>
          <w:snapToGrid w:val="0"/>
          <w:color w:val="auto"/>
          <w:sz w:val="21"/>
          <w:szCs w:val="21"/>
          <w:highlight w:val="none"/>
        </w:rPr>
      </w:pPr>
    </w:p>
    <w:p w14:paraId="1C02514E">
      <w:pPr>
        <w:pStyle w:val="6"/>
        <w:keepNext w:val="0"/>
        <w:keepLines w:val="0"/>
        <w:jc w:val="center"/>
        <w:rPr>
          <w:rFonts w:hint="eastAsia" w:ascii="宋体" w:hAnsi="宋体" w:eastAsia="宋体" w:cs="宋体"/>
          <w:color w:val="auto"/>
          <w:highlight w:val="none"/>
        </w:rPr>
      </w:pPr>
      <w:bookmarkStart w:id="121" w:name="_Toc254970544"/>
      <w:bookmarkStart w:id="122" w:name="_Toc254970685"/>
      <w:r>
        <w:rPr>
          <w:rFonts w:hint="eastAsia" w:ascii="宋体" w:hAnsi="宋体" w:eastAsia="宋体" w:cs="宋体"/>
          <w:color w:val="auto"/>
          <w:highlight w:val="none"/>
        </w:rPr>
        <w:t>四、开    标</w:t>
      </w:r>
      <w:bookmarkEnd w:id="121"/>
      <w:bookmarkEnd w:id="122"/>
    </w:p>
    <w:p w14:paraId="3D63BD50">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123" w:name="_23.开标时间和地点"/>
      <w:bookmarkEnd w:id="123"/>
      <w:r>
        <w:rPr>
          <w:rFonts w:hint="eastAsia" w:ascii="宋体" w:hAnsi="宋体" w:eastAsia="宋体" w:cs="宋体"/>
          <w:color w:val="auto"/>
          <w:sz w:val="24"/>
          <w:highlight w:val="none"/>
        </w:rPr>
        <w:t>23.开标时间和地点</w:t>
      </w:r>
    </w:p>
    <w:p w14:paraId="1CF34127">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23.1开标时间及地点详见“投标人须知前附表”</w:t>
      </w:r>
    </w:p>
    <w:p w14:paraId="00676506">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5609F2B9">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14F3AE10">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6111231C">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A759D48">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60B8A7BC">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auto"/>
          <w:szCs w:val="21"/>
          <w:highlight w:val="none"/>
        </w:rPr>
        <w:t>投标人的法定代表人或其委托代理人须携带加密时所用的CA锁准时登录到广西政府采购云平台电子开标大厅签到</w:t>
      </w:r>
      <w:r>
        <w:rPr>
          <w:rFonts w:hint="eastAsia" w:ascii="宋体" w:hAnsi="宋体" w:eastAsia="宋体" w:cs="宋体"/>
          <w:b/>
          <w:color w:val="auto"/>
          <w:szCs w:val="21"/>
          <w:highlight w:val="none"/>
        </w:rPr>
        <w:t>并在发起解密</w:t>
      </w:r>
      <w:r>
        <w:rPr>
          <w:rFonts w:hint="eastAsia" w:ascii="宋体" w:hAnsi="宋体" w:eastAsia="宋体" w:cs="宋体"/>
          <w:b/>
          <w:bCs/>
          <w:color w:val="auto"/>
          <w:szCs w:val="21"/>
          <w:highlight w:val="none"/>
        </w:rPr>
        <w:t>通知</w:t>
      </w:r>
      <w:r>
        <w:rPr>
          <w:rFonts w:hint="eastAsia" w:ascii="宋体" w:hAnsi="宋体" w:eastAsia="宋体" w:cs="宋体"/>
          <w:b/>
          <w:color w:val="auto"/>
          <w:szCs w:val="21"/>
          <w:highlight w:val="none"/>
        </w:rPr>
        <w:t>之时起30分钟内完成</w:t>
      </w:r>
      <w:r>
        <w:rPr>
          <w:rFonts w:hint="eastAsia" w:ascii="宋体" w:hAnsi="宋体" w:eastAsia="宋体" w:cs="宋体"/>
          <w:b/>
          <w:bCs/>
          <w:color w:val="auto"/>
          <w:szCs w:val="21"/>
          <w:highlight w:val="none"/>
        </w:rPr>
        <w:t>对电子投标文件解密。投标文件未按时解密的，视为无效投标。</w:t>
      </w:r>
      <w:r>
        <w:rPr>
          <w:rFonts w:hint="eastAsia" w:ascii="宋体" w:hAnsi="宋体" w:eastAsia="宋体" w:cs="宋体"/>
          <w:bCs/>
          <w:color w:val="auto"/>
          <w:szCs w:val="21"/>
          <w:highlight w:val="none"/>
        </w:rPr>
        <w:t>（解密异常情况处理：详见本章29.4 电子交易活动的中止。</w:t>
      </w:r>
    </w:p>
    <w:p w14:paraId="62FD70DD">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（2）电子唱标。投标文件解密结束，各投标供应商报价均在广西政府采购云平台远程不见面开标大厅展示；</w:t>
      </w:r>
    </w:p>
    <w:p w14:paraId="4F38257E">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（3）签署电子《政府采购活动现场确认声明书》。通过邮件形式在远程不见面开标大厅发送各投标人签署电子《政府采购活动现场确认声明书》。</w:t>
      </w:r>
    </w:p>
    <w:p w14:paraId="61C62D5E">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4A16BAA">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568445B">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1720AA08">
      <w:pPr>
        <w:autoSpaceDE w:val="0"/>
        <w:autoSpaceDN w:val="0"/>
        <w:adjustRightInd w:val="0"/>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特别说明：如遇广西政府采购云平台电子化开标或评审程序调整的，按调整后执行。</w:t>
      </w:r>
    </w:p>
    <w:p w14:paraId="38FA55E2">
      <w:pPr>
        <w:pStyle w:val="26"/>
        <w:snapToGrid w:val="0"/>
        <w:spacing w:line="360" w:lineRule="auto"/>
        <w:ind w:left="689" w:leftChars="228" w:hanging="210" w:hangingChars="100"/>
        <w:rPr>
          <w:rFonts w:hint="eastAsia" w:ascii="宋体" w:hAnsi="宋体" w:eastAsia="宋体" w:cs="宋体"/>
          <w:color w:val="auto"/>
          <w:sz w:val="21"/>
          <w:highlight w:val="none"/>
        </w:rPr>
      </w:pPr>
    </w:p>
    <w:p w14:paraId="446428CB">
      <w:pPr>
        <w:pStyle w:val="6"/>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五、资格审查</w:t>
      </w:r>
    </w:p>
    <w:p w14:paraId="3D0C9706">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6D6553DA">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25.1开标结束后，采购人或者采购代理机构依法对投标人的资格进行审查。</w:t>
      </w:r>
    </w:p>
    <w:p w14:paraId="38300CB2">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DB32E83">
      <w:pPr>
        <w:pStyle w:val="8"/>
        <w:keepNext w:val="0"/>
        <w:keepLines w:val="0"/>
        <w:spacing w:before="0" w:after="0" w:line="360" w:lineRule="auto"/>
        <w:ind w:firstLine="422" w:firstLineChars="200"/>
        <w:rPr>
          <w:rFonts w:hint="eastAsia" w:ascii="宋体" w:hAnsi="宋体" w:eastAsia="宋体" w:cs="宋体"/>
          <w:color w:val="auto"/>
          <w:sz w:val="21"/>
          <w:szCs w:val="21"/>
          <w:highlight w:val="none"/>
        </w:rPr>
      </w:pPr>
      <w:bookmarkStart w:id="124" w:name="_25.3_投标人有下列情形之一的，资格审查不通过而导致其投标无效："/>
      <w:bookmarkEnd w:id="124"/>
      <w:r>
        <w:rPr>
          <w:rFonts w:hint="eastAsia" w:ascii="宋体" w:hAnsi="宋体" w:eastAsia="宋体" w:cs="宋体"/>
          <w:color w:val="auto"/>
          <w:sz w:val="21"/>
          <w:szCs w:val="21"/>
          <w:highlight w:val="none"/>
        </w:rPr>
        <w:t>25.3 投标人有下列情形之一的，资格审查不通过，作无效投标处理：</w:t>
      </w:r>
    </w:p>
    <w:p w14:paraId="3F994E1F">
      <w:pPr>
        <w:pStyle w:val="26"/>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（1）未按招标文件规定的方式获取本招标文件的投标人；</w:t>
      </w:r>
    </w:p>
    <w:p w14:paraId="68E3AA44">
      <w:pPr>
        <w:pStyle w:val="26"/>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（2）不具备招标文件中规定的资格要求的；</w:t>
      </w:r>
    </w:p>
    <w:p w14:paraId="161E393B">
      <w:pPr>
        <w:pStyle w:val="26"/>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7AD65EF0">
      <w:pPr>
        <w:pStyle w:val="26"/>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44C4E588">
      <w:pPr>
        <w:pStyle w:val="26"/>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（5）投标文件中的资格证明文件缺少任一项“投标人须知前附表”资格证明文件规定“必须提供”的文件资料的；</w:t>
      </w:r>
    </w:p>
    <w:p w14:paraId="01370B94">
      <w:pPr>
        <w:pStyle w:val="26"/>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（6）投标文件中的资格证明文件出现任一项不符合“投标人须知前附表”资格证明文件规定“必须提供”的文件资料要求或者无效的。</w:t>
      </w:r>
    </w:p>
    <w:p w14:paraId="13FBEFAB">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44C34EF0">
      <w:pPr>
        <w:pStyle w:val="26"/>
        <w:snapToGrid w:val="0"/>
        <w:spacing w:line="360" w:lineRule="auto"/>
        <w:ind w:left="689" w:leftChars="228" w:hanging="210" w:hangingChars="100"/>
        <w:rPr>
          <w:rFonts w:hint="eastAsia" w:ascii="宋体" w:hAnsi="宋体" w:eastAsia="宋体" w:cs="宋体"/>
          <w:color w:val="auto"/>
          <w:sz w:val="21"/>
          <w:highlight w:val="none"/>
        </w:rPr>
      </w:pPr>
    </w:p>
    <w:p w14:paraId="02FA4401">
      <w:pPr>
        <w:pStyle w:val="6"/>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六、评   标</w:t>
      </w:r>
    </w:p>
    <w:p w14:paraId="4A53A533">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125" w:name="_26.组建评标委员会"/>
      <w:bookmarkEnd w:id="125"/>
      <w:r>
        <w:rPr>
          <w:rFonts w:hint="eastAsia" w:ascii="宋体" w:hAnsi="宋体" w:eastAsia="宋体" w:cs="宋体"/>
          <w:color w:val="auto"/>
          <w:sz w:val="24"/>
          <w:highlight w:val="none"/>
        </w:rPr>
        <w:t>26.组建评标委员会</w:t>
      </w:r>
    </w:p>
    <w:p w14:paraId="036DBCF9">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评标委员会由采购人代表和评审专家组成，具体人数详见“投标人须知前附表”，其中评审专家不得少于成员总数的三分之二。</w:t>
      </w:r>
    </w:p>
    <w:p w14:paraId="73355CF1">
      <w:pPr>
        <w:pStyle w:val="26"/>
        <w:snapToGrid w:val="0"/>
        <w:spacing w:line="360"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参加过采购项目前期咨询论证的专家，不得参加该采购项目的评审活动。</w:t>
      </w:r>
    </w:p>
    <w:p w14:paraId="0BA35B1C">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468DBD62">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评标委员会以“第四章 评标方法和评标标准”为依据对投标文件进行评审，没有规定的方法、评审因素和标准，不作为评标依据。</w:t>
      </w:r>
    </w:p>
    <w:p w14:paraId="49199B4A">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3C419755">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3C8182A">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28.2</w:t>
      </w:r>
      <w:bookmarkStart w:id="126" w:name="_28.3评标方法。本项目将按须知前附表规定的评标办法进行评标，具体评标"/>
      <w:bookmarkEnd w:id="126"/>
      <w:r>
        <w:rPr>
          <w:rFonts w:hint="eastAsia" w:ascii="宋体" w:hAnsi="宋体" w:eastAsia="宋体" w:cs="宋体"/>
          <w:color w:val="auto"/>
          <w:sz w:val="21"/>
          <w:highlight w:val="none"/>
        </w:rPr>
        <w:t>评委表决。评标委员会成员对需要共同认定的事项存在争议的，应当按照少数服从多数的原则作出结论。</w:t>
      </w:r>
    </w:p>
    <w:p w14:paraId="384D6ADB">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D4809BC">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28.4评标过程的监控。本项目评标过程实行全程录音、录像监控，</w:t>
      </w:r>
      <w:r>
        <w:rPr>
          <w:rFonts w:hint="eastAsia" w:ascii="宋体" w:hAnsi="宋体" w:eastAsia="宋体" w:cs="宋体"/>
          <w:b/>
          <w:bCs/>
          <w:color w:val="auto"/>
          <w:sz w:val="21"/>
          <w:highlight w:val="none"/>
        </w:rPr>
        <w:t>投标人在评标过程中所进行的试图影响评标结果的不公正活动，可能导致其投标无效</w:t>
      </w:r>
      <w:r>
        <w:rPr>
          <w:rFonts w:hint="eastAsia" w:ascii="宋体" w:hAnsi="宋体" w:eastAsia="宋体" w:cs="宋体"/>
          <w:color w:val="auto"/>
          <w:sz w:val="21"/>
          <w:highlight w:val="none"/>
        </w:rPr>
        <w:t>。</w:t>
      </w:r>
    </w:p>
    <w:p w14:paraId="52881C39">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29.评标方法及中标候选人推荐</w:t>
      </w:r>
    </w:p>
    <w:p w14:paraId="221668EA">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29.1本项目的评标方法详见“投标人须知前附表”。</w:t>
      </w:r>
    </w:p>
    <w:p w14:paraId="70D85F96">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29.2中标候选人推荐数量详见“投标人须知前附表”。</w:t>
      </w:r>
    </w:p>
    <w:p w14:paraId="28373BC7">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29.3评标委员会将按照“第四章 评标方法和评标标准”规定的方法、评审因素、标准和程序对投标文件进行评审。</w:t>
      </w:r>
    </w:p>
    <w:p w14:paraId="5A844BD6">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29.4电子交易活动的中止。采购过程中出现以下情形，导致电子交易平台无法正常运行，或者无法保证电子交易的公平、公正和安全时，采购代理机构可中止电子交易活动：</w:t>
      </w:r>
    </w:p>
    <w:p w14:paraId="48734F94">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（1）电子交易平台发生故障而无法登录访问的； </w:t>
      </w:r>
    </w:p>
    <w:p w14:paraId="60247D29">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（2）电子交易平台应用或数据库出现错误，不能进行正常操作的；</w:t>
      </w:r>
    </w:p>
    <w:p w14:paraId="07B18154">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（3）电子交易平台发现严重安全漏洞，有潜在泄密危险的；</w:t>
      </w:r>
    </w:p>
    <w:p w14:paraId="1F869ACD">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（4）病毒发作导致不能进行正常操作的； </w:t>
      </w:r>
    </w:p>
    <w:p w14:paraId="77672D65">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（4）其他无法保证电子交易的公平、公正和安全的情况。</w:t>
      </w:r>
    </w:p>
    <w:p w14:paraId="7E7ABD47">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7DE177AF">
      <w:pPr>
        <w:pStyle w:val="26"/>
        <w:snapToGrid w:val="0"/>
        <w:spacing w:line="360" w:lineRule="auto"/>
        <w:rPr>
          <w:rFonts w:hint="eastAsia" w:ascii="宋体" w:hAnsi="宋体" w:eastAsia="宋体" w:cs="宋体"/>
          <w:color w:val="auto"/>
          <w:sz w:val="21"/>
          <w:highlight w:val="none"/>
        </w:rPr>
      </w:pPr>
    </w:p>
    <w:p w14:paraId="4DA40A7B">
      <w:pPr>
        <w:pStyle w:val="6"/>
        <w:keepNext w:val="0"/>
        <w:keepLines w:val="0"/>
        <w:jc w:val="center"/>
        <w:rPr>
          <w:rFonts w:hint="eastAsia" w:ascii="宋体" w:hAnsi="宋体" w:eastAsia="宋体" w:cs="宋体"/>
          <w:color w:val="auto"/>
          <w:highlight w:val="none"/>
        </w:rPr>
      </w:pPr>
      <w:bookmarkStart w:id="127" w:name="_Toc254970546"/>
      <w:bookmarkStart w:id="128" w:name="_Toc254970687"/>
      <w:r>
        <w:rPr>
          <w:rFonts w:hint="eastAsia" w:ascii="宋体" w:hAnsi="宋体" w:eastAsia="宋体" w:cs="宋体"/>
          <w:color w:val="auto"/>
          <w:highlight w:val="none"/>
        </w:rPr>
        <w:t>七、</w:t>
      </w:r>
      <w:bookmarkEnd w:id="127"/>
      <w:bookmarkEnd w:id="128"/>
      <w:r>
        <w:rPr>
          <w:rFonts w:hint="eastAsia" w:ascii="宋体" w:hAnsi="宋体" w:eastAsia="宋体" w:cs="宋体"/>
          <w:color w:val="auto"/>
          <w:highlight w:val="none"/>
        </w:rPr>
        <w:t>中标和合同</w:t>
      </w:r>
    </w:p>
    <w:p w14:paraId="62858142">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30确定中标人</w:t>
      </w:r>
    </w:p>
    <w:p w14:paraId="57854647">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5BADAA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5E787B0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30.3出现下列情形之一的，应予废标：</w:t>
      </w:r>
    </w:p>
    <w:p w14:paraId="4ED158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（1）符合专业条件的供应商或者对招标文件作实质响应的供应商不足三家的；</w:t>
      </w:r>
    </w:p>
    <w:p w14:paraId="77E9773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14:paraId="19B256D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（3）投标人的报价均超过了采购预算，采购人不能支付的；</w:t>
      </w:r>
    </w:p>
    <w:p w14:paraId="27AC478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（4）因重大变故，采购任务取消的。</w:t>
      </w:r>
    </w:p>
    <w:p w14:paraId="3FE4985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废标后，采购人应当将废标理由通知所有投标人。</w:t>
      </w:r>
    </w:p>
    <w:p w14:paraId="3DC5C08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6EAE233">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698D3C52">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w:t>
      </w:r>
      <w:r>
        <w:rPr>
          <w:rFonts w:hint="eastAsia" w:ascii="宋体" w:hAnsi="宋体" w:eastAsia="宋体" w:cs="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5B68D78F">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3810C3C8">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05A965CF">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43007260">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3101AC2E">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采购代理机构无义务向未中标的投标人解释未中标原因和退还投标文件。</w:t>
      </w:r>
    </w:p>
    <w:p w14:paraId="0FF54F10">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24E779E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37359B8A">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4E07D1A9">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129" w:name="_39.1中标人须于签订合同前按本须知前附表规定的金额转账或电汇到指定账"/>
      <w:bookmarkEnd w:id="129"/>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w:t>
      </w:r>
    </w:p>
    <w:p w14:paraId="7381D3A9">
      <w:pPr>
        <w:pStyle w:val="8"/>
        <w:keepNext w:val="0"/>
        <w:keepLines w:val="0"/>
        <w:spacing w:before="0" w:after="0"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2D4922CA">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7176EEC3">
      <w:pPr>
        <w:pStyle w:val="8"/>
        <w:keepNext w:val="0"/>
        <w:keepLines w:val="0"/>
        <w:spacing w:before="0" w:after="0" w:line="360" w:lineRule="auto"/>
        <w:ind w:firstLine="315" w:firstLineChars="150"/>
        <w:rPr>
          <w:rFonts w:hint="eastAsia" w:ascii="宋体" w:hAnsi="宋体" w:eastAsia="宋体" w:cs="宋体"/>
          <w:b w:val="0"/>
          <w:bCs/>
          <w:color w:val="auto"/>
          <w:sz w:val="21"/>
          <w:szCs w:val="21"/>
          <w:highlight w:val="none"/>
        </w:rPr>
      </w:pPr>
      <w:bookmarkStart w:id="130" w:name="_40.1投标人接到中标通知书后，按须知前附表规定向采购人出示相关资格证"/>
      <w:bookmarkEnd w:id="130"/>
      <w:r>
        <w:rPr>
          <w:rFonts w:hint="eastAsia" w:ascii="宋体" w:hAnsi="宋体" w:eastAsia="宋体" w:cs="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w:t>
      </w:r>
      <w:r>
        <w:rPr>
          <w:rFonts w:hint="eastAsia" w:ascii="宋体" w:hAnsi="宋体" w:eastAsia="宋体" w:cs="宋体"/>
          <w:b w:val="0"/>
          <w:bCs/>
          <w:color w:val="auto"/>
          <w:sz w:val="21"/>
          <w:szCs w:val="21"/>
          <w:highlight w:val="none"/>
        </w:rPr>
        <w:t>如中标人为联合体的，联合体各方应当共同与采购人签订采购合同，就采购合同约定的事项对采购人承担连带责任。</w:t>
      </w:r>
    </w:p>
    <w:p w14:paraId="7D93D5FD">
      <w:pPr>
        <w:pStyle w:val="8"/>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36.2签订合同时间：按中标通知书规定的时间与采购人签订合同（最长不能超过25日）。</w:t>
      </w:r>
    </w:p>
    <w:p w14:paraId="272BB836">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36.3中标人拒绝与采购人签订合同的，按照本须知正文第30.4条的规定执行。</w:t>
      </w:r>
    </w:p>
    <w:p w14:paraId="6152C89A">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131" w:name="_41.政府采购合同公告"/>
      <w:bookmarkEnd w:id="131"/>
      <w:r>
        <w:rPr>
          <w:rFonts w:hint="eastAsia" w:ascii="宋体" w:hAnsi="宋体" w:eastAsia="宋体" w:cs="宋体"/>
          <w:color w:val="auto"/>
          <w:sz w:val="24"/>
          <w:highlight w:val="none"/>
        </w:rPr>
        <w:t>37.政府采购合同公告</w:t>
      </w:r>
    </w:p>
    <w:p w14:paraId="7CD24037">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0B47FA46">
      <w:pPr>
        <w:pStyle w:val="8"/>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730B12CE">
      <w:pPr>
        <w:pStyle w:val="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08D51EF5">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10B519D0">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（1）对可以质疑的招标文件提出质疑的，为收到招标文件之日或者招标文件公告期限届满之日；</w:t>
      </w:r>
    </w:p>
    <w:p w14:paraId="2617F94F">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（2）对采购过程提出质疑的，为各采购程序环节结束之日；</w:t>
      </w:r>
    </w:p>
    <w:p w14:paraId="60B71AFA">
      <w:pPr>
        <w:pStyle w:val="26"/>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（3）对中标结果提出质疑的，为中标结果公告期限届满之日。</w:t>
      </w:r>
    </w:p>
    <w:p w14:paraId="1C602D4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w:t>
      </w:r>
      <w:r>
        <w:rPr>
          <w:rFonts w:hint="eastAsia" w:ascii="宋体" w:hAnsi="宋体" w:cs="宋体"/>
          <w:b/>
          <w:bCs/>
          <w:color w:val="auto"/>
          <w:highlight w:val="none"/>
          <w:lang w:val="en-US" w:eastAsia="zh-CN"/>
        </w:rPr>
        <w:t>3</w:t>
      </w:r>
      <w:r>
        <w:rPr>
          <w:rFonts w:hint="eastAsia" w:ascii="宋体" w:hAnsi="宋体" w:cs="宋体"/>
          <w:b/>
          <w:bCs/>
          <w:color w:val="auto"/>
          <w:highlight w:val="none"/>
        </w:rPr>
        <w:t xml:space="preserve"> 质疑供应商提起质疑应当符合下列条件：</w:t>
      </w:r>
    </w:p>
    <w:p w14:paraId="532DC07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5AD320B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4B3E5AE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B228EA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CE7FA7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5EC31EB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790A7B7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536B4496">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3166D8CC">
      <w:pPr>
        <w:pStyle w:val="8"/>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38.</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216E09BD">
      <w:pPr>
        <w:pStyle w:val="26"/>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（1）供应商的姓名或者名称、地址、邮编、联系人及联系电话；</w:t>
      </w:r>
    </w:p>
    <w:p w14:paraId="77ABCE1E">
      <w:pPr>
        <w:pStyle w:val="26"/>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（2）质疑项目的名称、编号；</w:t>
      </w:r>
    </w:p>
    <w:p w14:paraId="356B2E9B">
      <w:pPr>
        <w:pStyle w:val="26"/>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（3）具体、明确的质疑事项和与质疑事项相关的请求；</w:t>
      </w:r>
    </w:p>
    <w:p w14:paraId="1AE944FD">
      <w:pPr>
        <w:pStyle w:val="26"/>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（4）事实依据；</w:t>
      </w:r>
    </w:p>
    <w:p w14:paraId="7FB7384A">
      <w:pPr>
        <w:pStyle w:val="26"/>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（5）必要的法律依据；</w:t>
      </w:r>
    </w:p>
    <w:p w14:paraId="265275B2">
      <w:pPr>
        <w:pStyle w:val="26"/>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（6）提出质疑的日期。</w:t>
      </w:r>
    </w:p>
    <w:p w14:paraId="621FFD4D">
      <w:pPr>
        <w:pStyle w:val="26"/>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供应商为自然人的，应当由本人签字；供应商为法人或者其他组织的，应当由法定代表人、主要负责人，或者其委托代理人签字或者盖章，并加盖公章。</w:t>
      </w:r>
    </w:p>
    <w:p w14:paraId="6EE30E1E">
      <w:pPr>
        <w:pStyle w:val="8"/>
        <w:keepNext w:val="0"/>
        <w:keepLines w:val="0"/>
        <w:snapToGrid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eastAsia="宋体" w:cs="宋体"/>
          <w:b w:val="0"/>
          <w:bCs/>
          <w:color w:val="auto"/>
          <w:sz w:val="21"/>
          <w:szCs w:val="21"/>
          <w:highlight w:val="none"/>
        </w:rPr>
        <w:t>8.</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4D869E37">
      <w:pPr>
        <w:pStyle w:val="26"/>
        <w:snapToGrid w:val="0"/>
        <w:spacing w:line="360" w:lineRule="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（1）对招标文件提出的质疑，依法通过澄清或者修改可以继续开展采购活动的，澄清或者修改招标文件后继续开展采购活动；否则应当修改招标文件后重新开展采购活动。</w:t>
      </w:r>
    </w:p>
    <w:p w14:paraId="664AE2F6">
      <w:pPr>
        <w:pStyle w:val="26"/>
        <w:snapToGrid w:val="0"/>
        <w:spacing w:line="360" w:lineRule="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　　（2）对采购过程、中标结果提出的质疑，合格供应商符合法定数量时，可以从合格的中标候选人中另行确定中标供应商的，应当依法另行确定中标供应商；否则应当重新开展采购活动。</w:t>
      </w:r>
    </w:p>
    <w:p w14:paraId="56B138BB">
      <w:pPr>
        <w:pStyle w:val="26"/>
        <w:snapToGrid w:val="0"/>
        <w:spacing w:line="360" w:lineRule="auto"/>
        <w:ind w:firstLine="42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质疑答复导致中标结果改变的，采购人或者采购代理机构应当将有关情况书面报告本级财政部门。</w:t>
      </w:r>
    </w:p>
    <w:p w14:paraId="60B0CD4B">
      <w:pPr>
        <w:spacing w:line="360" w:lineRule="auto"/>
        <w:ind w:firstLine="422" w:firstLineChars="200"/>
        <w:rPr>
          <w:rFonts w:hint="eastAsia" w:ascii="宋体" w:hAnsi="宋体" w:eastAsia="宋体" w:cs="宋体"/>
          <w:bCs/>
          <w:color w:val="auto"/>
          <w:highlight w:val="none"/>
          <w:lang w:val="en-US" w:eastAsia="zh-CN"/>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Cs/>
          <w:color w:val="auto"/>
          <w:highlight w:val="none"/>
        </w:rPr>
        <w:t xml:space="preserve"> </w:t>
      </w:r>
      <w:r>
        <w:rPr>
          <w:rFonts w:hint="eastAsia" w:ascii="宋体" w:hAnsi="宋体" w:cs="宋体"/>
          <w:bCs/>
          <w:color w:val="auto"/>
          <w:highlight w:val="none"/>
          <w:lang w:val="en-US" w:eastAsia="zh-CN"/>
        </w:rPr>
        <w:t>投诉</w:t>
      </w:r>
    </w:p>
    <w:p w14:paraId="61AE5EFC">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6.1</w:t>
      </w:r>
      <w:r>
        <w:rPr>
          <w:rFonts w:hint="eastAsia" w:ascii="宋体" w:hAnsi="宋体" w:cs="宋体"/>
          <w:bCs/>
          <w:color w:val="auto"/>
          <w:highlight w:val="none"/>
        </w:rPr>
        <w:t>供应商认为采购文件、采购过程、中标和中标结果使自己的合法权益受到损害的，应当首先依法向采购人或采购人委托的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w:t>
      </w:r>
      <w:r>
        <w:rPr>
          <w:rFonts w:hint="eastAsia" w:ascii="宋体" w:hAnsi="宋体"/>
          <w:bCs/>
          <w:color w:val="auto"/>
          <w:highlight w:val="none"/>
        </w:rPr>
        <w:t>广西壮族自治区财政厅政府采购监督管理</w:t>
      </w:r>
      <w:r>
        <w:rPr>
          <w:rFonts w:hint="eastAsia" w:ascii="宋体" w:hAnsi="宋体" w:cs="宋体"/>
          <w:bCs/>
          <w:color w:val="auto"/>
          <w:highlight w:val="none"/>
        </w:rPr>
        <w:t>部门提起投诉。</w:t>
      </w:r>
    </w:p>
    <w:p w14:paraId="5B08E39E">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 xml:space="preserve">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3709E3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16AA15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06532C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1899D8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70AF7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10FC4C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543724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00FD1168">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 xml:space="preserve">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00C0CA5A">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4</w:t>
      </w:r>
      <w:r>
        <w:rPr>
          <w:rFonts w:hint="eastAsia" w:ascii="宋体" w:hAnsi="宋体" w:cs="宋体"/>
          <w:color w:val="auto"/>
          <w:highlight w:val="none"/>
        </w:rPr>
        <w:t xml:space="preserve">  投诉人提起投诉应当符合下列条件：</w:t>
      </w:r>
    </w:p>
    <w:p w14:paraId="2F4FB2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53AEAB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5FCCC4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380057A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21F2D9C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（5）属于广西壮族自治区财政厅政府采购监督管理部门管辖；</w:t>
      </w:r>
    </w:p>
    <w:p w14:paraId="60055B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广西壮族自治区财政厅政府采购监督管理部门</w:t>
      </w:r>
      <w:r>
        <w:rPr>
          <w:rFonts w:hint="eastAsia" w:ascii="宋体" w:hAnsi="宋体" w:cs="宋体"/>
          <w:color w:val="auto"/>
          <w:highlight w:val="none"/>
        </w:rPr>
        <w:t>投诉处理；</w:t>
      </w:r>
    </w:p>
    <w:p w14:paraId="42CB55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452233AB">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5</w:t>
      </w:r>
      <w:r>
        <w:rPr>
          <w:rFonts w:hint="eastAsia" w:ascii="宋体" w:hAnsi="宋体" w:cs="宋体"/>
          <w:color w:val="auto"/>
          <w:highlight w:val="none"/>
        </w:rPr>
        <w:t xml:space="preserve">  广西壮族自治区财政厅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6E6B4BDE">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6</w:t>
      </w:r>
      <w:r>
        <w:rPr>
          <w:rFonts w:hint="eastAsia" w:ascii="宋体" w:hAnsi="宋体" w:cs="宋体"/>
          <w:color w:val="auto"/>
          <w:highlight w:val="none"/>
        </w:rPr>
        <w:t xml:space="preserve">  广西壮族自治区财政厅政府采购监督管理部门在处理投诉事项期间，可以视具体情况暂停采购活动。</w:t>
      </w:r>
    </w:p>
    <w:p w14:paraId="603DE123">
      <w:pPr>
        <w:pStyle w:val="26"/>
        <w:snapToGrid w:val="0"/>
        <w:spacing w:line="360" w:lineRule="auto"/>
        <w:ind w:firstLine="400" w:firstLineChars="200"/>
        <w:rPr>
          <w:rFonts w:hint="eastAsia" w:ascii="宋体" w:hAnsi="宋体" w:eastAsia="宋体" w:cs="宋体"/>
          <w:color w:val="auto"/>
          <w:highlight w:val="none"/>
        </w:rPr>
      </w:pPr>
    </w:p>
    <w:p w14:paraId="75BC16D5">
      <w:pPr>
        <w:snapToGrid w:val="0"/>
        <w:spacing w:line="360" w:lineRule="auto"/>
        <w:ind w:left="120" w:leftChars="57" w:firstLine="482" w:firstLineChars="1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八、验收</w:t>
      </w:r>
    </w:p>
    <w:p w14:paraId="7878090E">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5D9303DC">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902A5B">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0150AAC4">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74C5AC">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6EAB23">
      <w:pPr>
        <w:rPr>
          <w:rFonts w:hint="eastAsia" w:ascii="宋体" w:hAnsi="宋体" w:eastAsia="宋体" w:cs="宋体"/>
          <w:color w:val="auto"/>
          <w:highlight w:val="none"/>
        </w:rPr>
      </w:pPr>
    </w:p>
    <w:p w14:paraId="359BF1F6">
      <w:pPr>
        <w:pStyle w:val="6"/>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、其他事项</w:t>
      </w:r>
    </w:p>
    <w:p w14:paraId="02DA1441">
      <w:pPr>
        <w:pStyle w:val="8"/>
        <w:keepNext w:val="0"/>
        <w:keepLines w:val="0"/>
        <w:spacing w:before="0" w:after="0" w:line="360" w:lineRule="auto"/>
        <w:ind w:left="420" w:leftChars="200"/>
        <w:rPr>
          <w:rFonts w:hint="eastAsia" w:ascii="宋体" w:hAnsi="宋体" w:eastAsia="宋体" w:cs="宋体"/>
          <w:color w:val="auto"/>
          <w:sz w:val="24"/>
          <w:highlight w:val="none"/>
        </w:rPr>
      </w:pPr>
      <w:bookmarkStart w:id="132" w:name="_42.代理服务费"/>
      <w:bookmarkEnd w:id="132"/>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.代理服务费</w:t>
      </w:r>
    </w:p>
    <w:p w14:paraId="43A742F4">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40</w:t>
      </w:r>
      <w:r>
        <w:rPr>
          <w:rFonts w:hint="eastAsia" w:ascii="宋体" w:hAnsi="宋体" w:eastAsia="宋体" w:cs="宋体"/>
          <w:color w:val="auto"/>
          <w:sz w:val="21"/>
          <w:highlight w:val="none"/>
        </w:rPr>
        <w:t>.1代理服务收取标准及缴费账户详见“投标人须知前附表”，投标人为联合体的，可以由联合体中的一方或者多方共同交纳代理服务费。</w:t>
      </w:r>
    </w:p>
    <w:p w14:paraId="0BB58435">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40</w:t>
      </w:r>
      <w:r>
        <w:rPr>
          <w:rFonts w:hint="eastAsia" w:ascii="宋体" w:hAnsi="宋体" w:eastAsia="宋体" w:cs="宋体"/>
          <w:color w:val="auto"/>
          <w:sz w:val="21"/>
          <w:highlight w:val="none"/>
        </w:rPr>
        <w:t>.2代理服务收费标准：</w:t>
      </w:r>
    </w:p>
    <w:p w14:paraId="013ACEA4">
      <w:pPr>
        <w:pStyle w:val="26"/>
        <w:snapToGrid w:val="0"/>
        <w:spacing w:line="360" w:lineRule="auto"/>
        <w:ind w:firstLine="420" w:firstLineChars="200"/>
        <w:rPr>
          <w:rFonts w:hint="eastAsia" w:ascii="宋体" w:hAnsi="宋体" w:eastAsia="宋体" w:cs="宋体"/>
          <w:color w:val="auto"/>
          <w:sz w:val="21"/>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5A8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2907110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67AB28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vAlign w:val="center"/>
          </w:tcPr>
          <w:p w14:paraId="78A20E24">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vAlign w:val="center"/>
          </w:tcPr>
          <w:p w14:paraId="7CD61D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vAlign w:val="center"/>
          </w:tcPr>
          <w:p w14:paraId="41C127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60F6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E46B53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14:paraId="3BE7E9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87" w:type="dxa"/>
          </w:tcPr>
          <w:p w14:paraId="1797C470">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tcPr>
          <w:p w14:paraId="4D4B7A9A">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14:paraId="5BF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EB7418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14:paraId="2DFAF39E">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687" w:type="dxa"/>
          </w:tcPr>
          <w:p w14:paraId="73D28076">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tcPr>
          <w:p w14:paraId="032F0B2E">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14:paraId="2E54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6B81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14:paraId="085DD7B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87" w:type="dxa"/>
          </w:tcPr>
          <w:p w14:paraId="4BC3061C">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tcPr>
          <w:p w14:paraId="7EFF9617">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3FC3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F97025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14:paraId="3190E6E8">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687" w:type="dxa"/>
          </w:tcPr>
          <w:p w14:paraId="7D258DE3">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tcPr>
          <w:p w14:paraId="21F8FE69">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14:paraId="79A2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1FF5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14:paraId="2BD2F4F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tcPr>
          <w:p w14:paraId="1C82388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tcPr>
          <w:p w14:paraId="6ECD3D5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bl>
    <w:p w14:paraId="20EAB4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D90B84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（1）按本表费率计算的收费为采购代理的收费基准价格；</w:t>
      </w:r>
    </w:p>
    <w:p w14:paraId="12964FC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（2）采购代理收费按差额定率累进法计算。</w:t>
      </w:r>
    </w:p>
    <w:p w14:paraId="1021C87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例如：某货物采购代理业务中标金额或者暂定价为200万元，计算采购代理收费额如下：</w:t>
      </w:r>
    </w:p>
    <w:p w14:paraId="4FB17B6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 万元×l.5 ％＝ 1.5 万元</w:t>
      </w:r>
    </w:p>
    <w:p w14:paraId="5554ECE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200 － 100 ）万元 ×1.1％＝1.1万元</w:t>
      </w:r>
    </w:p>
    <w:p w14:paraId="0C57DF4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合计收费＝ 1.5+1.1＝ 2.6 （万元）</w:t>
      </w:r>
    </w:p>
    <w:p w14:paraId="580EF9C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 需要补充的其他内容</w:t>
      </w:r>
    </w:p>
    <w:p w14:paraId="43863319">
      <w:pPr>
        <w:pStyle w:val="26"/>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.1本招标文件解释规则详见“投标人须知前附表”。</w:t>
      </w:r>
    </w:p>
    <w:p w14:paraId="2C78F8C1">
      <w:pPr>
        <w:pStyle w:val="26"/>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其他事项详见“投标人须知前附表”。</w:t>
      </w:r>
    </w:p>
    <w:p w14:paraId="6F8D7F57">
      <w:pPr>
        <w:pStyle w:val="26"/>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.3</w:t>
      </w:r>
      <w:bookmarkStart w:id="133" w:name="_Hlk65857140"/>
      <w:r>
        <w:rPr>
          <w:rFonts w:hint="eastAsia" w:ascii="宋体" w:hAnsi="宋体" w:eastAsia="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301AFF0">
      <w:pPr>
        <w:pStyle w:val="26"/>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BA2F826">
      <w:pPr>
        <w:pStyle w:val="26"/>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（2）在工程采购项目中，工程由中小企业承建，即工程施工单位为中小企业，不对其中涉及的货物的制造商和服务的承接商作出要求；</w:t>
      </w:r>
    </w:p>
    <w:p w14:paraId="74C67AB3">
      <w:pPr>
        <w:pStyle w:val="26"/>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E67C7F5">
      <w:pPr>
        <w:pStyle w:val="26"/>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00952E0">
      <w:pPr>
        <w:pStyle w:val="26"/>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依据本招标文件规定享受扶持政策获得政府采购合同的，小微企业不得将合同分包给大中型企业，中型企业不得将合同分包给大型企业。</w:t>
      </w:r>
      <w:bookmarkEnd w:id="133"/>
    </w:p>
    <w:p w14:paraId="31EF489E">
      <w:pPr>
        <w:pStyle w:val="2"/>
        <w:ind w:left="479" w:leftChars="114" w:hanging="240" w:hangingChars="1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6C0E74B">
      <w:pPr>
        <w:pStyle w:val="4"/>
        <w:jc w:val="center"/>
        <w:rPr>
          <w:rFonts w:hint="eastAsia" w:ascii="宋体" w:hAnsi="宋体" w:eastAsia="宋体" w:cs="宋体"/>
          <w:b/>
          <w:color w:val="auto"/>
          <w:sz w:val="24"/>
          <w:highlight w:val="none"/>
        </w:rPr>
      </w:pPr>
      <w:bookmarkStart w:id="134" w:name="_Toc16088"/>
      <w:bookmarkStart w:id="135" w:name="_Toc254970689"/>
      <w:bookmarkStart w:id="136" w:name="_Toc6057"/>
      <w:bookmarkStart w:id="137" w:name="_Toc330456896"/>
      <w:bookmarkStart w:id="138" w:name="_Toc254970548"/>
      <w:r>
        <w:rPr>
          <w:rFonts w:hint="eastAsia" w:ascii="宋体" w:hAnsi="宋体" w:eastAsia="宋体" w:cs="宋体"/>
          <w:color w:val="auto"/>
          <w:highlight w:val="none"/>
        </w:rPr>
        <w:t>第四章  评标方法及评标标准</w:t>
      </w:r>
      <w:bookmarkEnd w:id="134"/>
      <w:bookmarkEnd w:id="135"/>
      <w:bookmarkEnd w:id="136"/>
      <w:bookmarkEnd w:id="137"/>
      <w:bookmarkEnd w:id="138"/>
    </w:p>
    <w:p w14:paraId="685AA116">
      <w:pPr>
        <w:pStyle w:val="6"/>
        <w:keepNext w:val="0"/>
        <w:keepLines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一、评标方法</w:t>
      </w:r>
    </w:p>
    <w:p w14:paraId="1C97395F">
      <w:pPr>
        <w:pStyle w:val="26"/>
        <w:snapToGrid w:val="0"/>
        <w:spacing w:line="360" w:lineRule="auto"/>
        <w:ind w:left="1" w:firstLine="420"/>
        <w:rPr>
          <w:rFonts w:hint="eastAsia" w:ascii="宋体" w:hAnsi="宋体" w:eastAsia="宋体" w:cs="宋体"/>
          <w:b w:val="0"/>
          <w:bCs/>
          <w:color w:val="auto"/>
          <w:kern w:val="2"/>
          <w:sz w:val="21"/>
          <w:highlight w:val="none"/>
        </w:rPr>
      </w:pPr>
      <w:r>
        <w:rPr>
          <w:rFonts w:hint="eastAsia" w:ascii="宋体" w:hAnsi="宋体" w:eastAsia="宋体" w:cs="宋体"/>
          <w:b w:val="0"/>
          <w:bCs/>
          <w:color w:val="auto"/>
          <w:kern w:val="2"/>
          <w:sz w:val="21"/>
          <w:highlight w:val="none"/>
        </w:rPr>
        <w:t>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w:t>
      </w:r>
    </w:p>
    <w:p w14:paraId="4A176645">
      <w:pPr>
        <w:pStyle w:val="6"/>
        <w:keepNext w:val="0"/>
        <w:keepLines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二、评标程序</w:t>
      </w:r>
    </w:p>
    <w:p w14:paraId="263B7130">
      <w:pPr>
        <w:pStyle w:val="8"/>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4CA7E4B7">
      <w:pPr>
        <w:pStyle w:val="26"/>
        <w:snapToGrid w:val="0"/>
        <w:spacing w:line="360" w:lineRule="auto"/>
        <w:ind w:left="1" w:firstLine="420"/>
        <w:rPr>
          <w:rFonts w:hint="eastAsia" w:ascii="宋体" w:hAnsi="宋体" w:eastAsia="宋体" w:cs="宋体"/>
          <w:b w:val="0"/>
          <w:bCs/>
          <w:color w:val="auto"/>
          <w:kern w:val="2"/>
          <w:sz w:val="21"/>
          <w:highlight w:val="none"/>
        </w:rPr>
      </w:pPr>
      <w:r>
        <w:rPr>
          <w:rFonts w:hint="eastAsia" w:ascii="宋体" w:hAnsi="宋体" w:eastAsia="宋体" w:cs="宋体"/>
          <w:b w:val="0"/>
          <w:bCs/>
          <w:color w:val="auto"/>
          <w:kern w:val="2"/>
          <w:sz w:val="21"/>
          <w:highlight w:val="none"/>
        </w:rPr>
        <w:t>评标委员会应当对符合资格的投标人的投标文件进行投标报价、商务、技术等实质性内容符合性审查，以确定其是否满足招标文件的实质性要求。</w:t>
      </w:r>
    </w:p>
    <w:p w14:paraId="2FCCA99D">
      <w:pPr>
        <w:pStyle w:val="8"/>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6076B8EB">
      <w:p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投标人的投标文件中存在对招标文件的任何实质性要求和条件的负偏离，将被视为投标无效。</w:t>
      </w:r>
    </w:p>
    <w:p w14:paraId="4886583D">
      <w:pPr>
        <w:pStyle w:val="8"/>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3371562F">
      <w:pPr>
        <w:pStyle w:val="9"/>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pacing w:val="-6"/>
          <w:szCs w:val="21"/>
          <w:highlight w:val="none"/>
        </w:rPr>
        <w:t>报价文件</w:t>
      </w:r>
      <w:r>
        <w:rPr>
          <w:rFonts w:hint="eastAsia" w:ascii="宋体" w:hAnsi="宋体" w:eastAsia="宋体" w:cs="宋体"/>
          <w:b w:val="0"/>
          <w:bCs/>
          <w:color w:val="auto"/>
          <w:szCs w:val="21"/>
          <w:highlight w:val="none"/>
        </w:rPr>
        <w:t>未提供“投标人须知前附表”第13.1条规定中“必须提供”的文件资料的；</w:t>
      </w:r>
    </w:p>
    <w:p w14:paraId="64E25DA9">
      <w:pPr>
        <w:pStyle w:val="9"/>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未采用人民币报价或</w:t>
      </w:r>
      <w:r>
        <w:rPr>
          <w:rFonts w:hint="eastAsia" w:ascii="宋体" w:hAnsi="宋体" w:eastAsia="宋体" w:cs="宋体"/>
          <w:b w:val="0"/>
          <w:bCs/>
          <w:color w:val="auto"/>
          <w:szCs w:val="21"/>
          <w:highlight w:val="none"/>
        </w:rPr>
        <w:t>者未按照招标文件标明的币种报价的；</w:t>
      </w:r>
    </w:p>
    <w:p w14:paraId="14563375">
      <w:pPr>
        <w:pStyle w:val="9"/>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各分标报价超出招标文件相应分标规定最高限价或者超出相应分标采购预算金额的</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各项设备投标单价超出招标文件</w:t>
      </w:r>
      <w:r>
        <w:rPr>
          <w:rFonts w:hint="eastAsia" w:ascii="宋体" w:hAnsi="宋体" w:eastAsia="宋体" w:cs="宋体"/>
          <w:b w:val="0"/>
          <w:bCs/>
          <w:color w:val="auto"/>
          <w:szCs w:val="21"/>
          <w:highlight w:val="none"/>
          <w:lang w:val="en-US" w:eastAsia="zh-CN"/>
        </w:rPr>
        <w:t>对应设备的控制价单价</w:t>
      </w:r>
      <w:r>
        <w:rPr>
          <w:rFonts w:hint="eastAsia" w:ascii="宋体" w:hAnsi="宋体" w:eastAsia="宋体" w:cs="宋体"/>
          <w:b w:val="0"/>
          <w:bCs/>
          <w:color w:val="auto"/>
          <w:szCs w:val="21"/>
          <w:highlight w:val="none"/>
        </w:rPr>
        <w:t>；</w:t>
      </w:r>
    </w:p>
    <w:p w14:paraId="1729A105">
      <w:pPr>
        <w:pStyle w:val="9"/>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1DD92EA">
      <w:pPr>
        <w:pStyle w:val="9"/>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修正后的报价，投标人不确认的；</w:t>
      </w:r>
    </w:p>
    <w:p w14:paraId="618080DB">
      <w:pPr>
        <w:pStyle w:val="9"/>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投标人属于本章第5.1条（2）或者第5.2条（2）项情形的；</w:t>
      </w:r>
    </w:p>
    <w:p w14:paraId="6422230C">
      <w:pPr>
        <w:pStyle w:val="9"/>
        <w:numPr>
          <w:ilvl w:val="0"/>
          <w:numId w:val="1"/>
        </w:numPr>
        <w:spacing w:line="360" w:lineRule="auto"/>
        <w:ind w:firstLine="422"/>
        <w:rPr>
          <w:rFonts w:hint="eastAsia" w:ascii="宋体" w:hAnsi="宋体" w:eastAsia="宋体" w:cs="宋体"/>
          <w:b/>
          <w:color w:val="auto"/>
          <w:szCs w:val="21"/>
          <w:highlight w:val="none"/>
        </w:rPr>
      </w:pPr>
      <w:r>
        <w:rPr>
          <w:rFonts w:hint="eastAsia" w:ascii="宋体" w:hAnsi="宋体" w:eastAsia="宋体" w:cs="宋体"/>
          <w:b w:val="0"/>
          <w:bCs/>
          <w:color w:val="auto"/>
          <w:spacing w:val="-6"/>
          <w:szCs w:val="21"/>
          <w:highlight w:val="none"/>
        </w:rPr>
        <w:t>报价文件</w:t>
      </w:r>
      <w:r>
        <w:rPr>
          <w:rFonts w:hint="eastAsia" w:ascii="宋体" w:hAnsi="宋体" w:eastAsia="宋体" w:cs="宋体"/>
          <w:b w:val="0"/>
          <w:bCs/>
          <w:color w:val="auto"/>
          <w:szCs w:val="21"/>
          <w:highlight w:val="none"/>
        </w:rPr>
        <w:t>响应的标的数量及单位与招标文件要求实质性不一致的。</w:t>
      </w:r>
    </w:p>
    <w:p w14:paraId="3DC02532">
      <w:pPr>
        <w:pStyle w:val="8"/>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61C56266">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投标文件未按招标文件要求签署、盖章的；</w:t>
      </w:r>
    </w:p>
    <w:p w14:paraId="578B5075">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委托代理人未能出具有效身份证或者出具的身份证与授权委托书中的信息不符的；</w:t>
      </w:r>
    </w:p>
    <w:p w14:paraId="25588B6F">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为无效投标保证金的或者未按照招标文件的规定提交投标保证金的；</w:t>
      </w:r>
    </w:p>
    <w:p w14:paraId="3F174628">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投标文件未提供“投标人须知前附表”第13.1条规定中“必须提供”或者“委托时必须提供”的文件资料的；</w:t>
      </w:r>
    </w:p>
    <w:p w14:paraId="6BD38A78">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商务要求评审允许负偏离的条款数超过“投标人须知前附表”规定项数的；</w:t>
      </w:r>
    </w:p>
    <w:p w14:paraId="68E8A1D7">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投标文件的实质性内容未使用中文表述、使用计量单位不符合招标文件要求的；</w:t>
      </w:r>
    </w:p>
    <w:p w14:paraId="0D6287D2">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投标文件中的文件资料因填写不齐全或者内容虚假或者出现其他情形而导致被评标委员会认定无效的；</w:t>
      </w:r>
    </w:p>
    <w:p w14:paraId="432DB757">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投标文件含有采购人不能接受的附加条件的；</w:t>
      </w:r>
    </w:p>
    <w:p w14:paraId="24EA8984">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属于投标人须知正文第9.2条情形的；</w:t>
      </w:r>
    </w:p>
    <w:p w14:paraId="3EBE0D8E">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投标文件标注的项目名称或者项目编号与招标文件标注的项目名称或者项目编号不一致的；</w:t>
      </w:r>
    </w:p>
    <w:p w14:paraId="51AB9575">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招标文件明确不允许分包，投标文件拟分包的；</w:t>
      </w:r>
    </w:p>
    <w:p w14:paraId="4629DD43">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未响应招标文件实质性要求的；</w:t>
      </w:r>
    </w:p>
    <w:p w14:paraId="03C288A2">
      <w:pPr>
        <w:numPr>
          <w:ilvl w:val="0"/>
          <w:numId w:val="2"/>
        </w:num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法律、法规和招标文件规定的其他无效情形。</w:t>
      </w:r>
    </w:p>
    <w:p w14:paraId="4FD69DBF">
      <w:pPr>
        <w:pStyle w:val="8"/>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4A9CACD9">
      <w:pPr>
        <w:pStyle w:val="21"/>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（1）技术要求评审允许负偏离的条款数超过“投标人须知前附表”规定项数的；</w:t>
      </w:r>
    </w:p>
    <w:p w14:paraId="346D9660">
      <w:pPr>
        <w:pStyle w:val="21"/>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（2）投标文件未提供“投标人须知前附表”第13.1条规定中“必须提供”的文件资料的；</w:t>
      </w:r>
    </w:p>
    <w:p w14:paraId="24AE1F65">
      <w:pPr>
        <w:pStyle w:val="21"/>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（3）虚假投标或投标人的响应与事实不符，或者出现其他情形而导致被评标委员会认定无效的；</w:t>
      </w:r>
    </w:p>
    <w:p w14:paraId="459141C8">
      <w:pPr>
        <w:pStyle w:val="21"/>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（4）</w:t>
      </w:r>
      <w:bookmarkStart w:id="139" w:name="_Hlk71706244"/>
      <w:r>
        <w:rPr>
          <w:rFonts w:hint="eastAsia" w:ascii="宋体" w:hAnsi="宋体" w:eastAsia="宋体" w:cs="宋体"/>
          <w:b w:val="0"/>
          <w:bCs/>
          <w:color w:val="auto"/>
          <w:kern w:val="2"/>
          <w:sz w:val="21"/>
          <w:szCs w:val="21"/>
          <w:highlight w:val="none"/>
        </w:rPr>
        <w:t>招标文件未载明允许提供备选（替代）投标方案或明确不允许提供备选（替代）投标方案时，投标人提供了备选（替代）投标方案的；</w:t>
      </w:r>
      <w:bookmarkEnd w:id="139"/>
    </w:p>
    <w:p w14:paraId="71082479">
      <w:pPr>
        <w:pStyle w:val="21"/>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（5）未响应招标文件实质性要求的。</w:t>
      </w:r>
    </w:p>
    <w:p w14:paraId="3E3077BE">
      <w:pPr>
        <w:pStyle w:val="21"/>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2.4通过符合性审查的投标人不足3家，评标委员会不得继续评标，并出具评标报告。</w:t>
      </w:r>
    </w:p>
    <w:p w14:paraId="7608970D">
      <w:pPr>
        <w:pStyle w:val="8"/>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5F11833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0529433D">
      <w:pPr>
        <w:pStyle w:val="8"/>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12530365">
      <w:pPr>
        <w:pStyle w:val="8"/>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63927CCC">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（1）投标文件中开标一览表（报价表）内容与投标文件中相应内容不一致的，以开标一览表（报价表）为准；</w:t>
      </w:r>
    </w:p>
    <w:p w14:paraId="6E5195F5">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（2）大写金额和小写金额不一致的，以大写金额为准；</w:t>
      </w:r>
    </w:p>
    <w:p w14:paraId="6F073D56">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（3）单价金额小数点或者百分比有明显错位的，以开标一览表的总价为准，并修改单价；</w:t>
      </w:r>
    </w:p>
    <w:p w14:paraId="66AF8151">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（4）总价金额与按单价汇总金额不一致的，以单价金额计算结果为准。</w:t>
      </w:r>
    </w:p>
    <w:p w14:paraId="174A570C">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1"/>
          <w:highlight w:val="none"/>
        </w:rPr>
        <w:t>其投标无效</w:t>
      </w:r>
      <w:r>
        <w:rPr>
          <w:rFonts w:hint="eastAsia" w:ascii="宋体" w:hAnsi="宋体" w:eastAsia="宋体" w:cs="宋体"/>
          <w:color w:val="auto"/>
          <w:sz w:val="21"/>
          <w:highlight w:val="none"/>
        </w:rPr>
        <w:t>。</w:t>
      </w:r>
    </w:p>
    <w:p w14:paraId="1B15CF6A">
      <w:pPr>
        <w:pStyle w:val="8"/>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769A98D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50C83B91">
      <w:pPr>
        <w:pStyle w:val="8"/>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13F0490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5.1采用综合评分法的</w:t>
      </w:r>
    </w:p>
    <w:p w14:paraId="23AB360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评标委员会按照招标文件中规定的评标方法及评标标准，对符合性审查合格的投标文件进行商务和技术评估，综合比较与评价。</w:t>
      </w:r>
    </w:p>
    <w:p w14:paraId="379CA0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（2）评标委员会独立对每个投标人的投标文件进行评价，并汇总每个投标人的得分。</w:t>
      </w:r>
    </w:p>
    <w:p w14:paraId="6822D9FC">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val="0"/>
          <w:color w:val="auto"/>
          <w:kern w:val="2"/>
          <w:sz w:val="21"/>
          <w:highlight w:val="none"/>
        </w:rPr>
        <w:t>评标委员会认为投标人的报价明显低于其他通过符合性审查投标人的报价，有可能影响产品质量或者不能诚信履约的，应当要求其在评标现场合理的时间内提供书面说明【提交详细的报价明细说明文件及测算表，</w:t>
      </w:r>
      <w:r>
        <w:rPr>
          <w:rFonts w:hint="eastAsia" w:ascii="宋体" w:hAnsi="宋体" w:eastAsia="宋体" w:cs="宋体"/>
          <w:b/>
          <w:bCs w:val="0"/>
          <w:color w:val="auto"/>
          <w:kern w:val="2"/>
          <w:sz w:val="21"/>
          <w:highlight w:val="none"/>
          <w:lang w:val="en-US" w:eastAsia="zh-CN"/>
        </w:rPr>
        <w:t>至少</w:t>
      </w:r>
      <w:r>
        <w:rPr>
          <w:rFonts w:hint="eastAsia" w:ascii="宋体" w:hAnsi="宋体" w:eastAsia="宋体" w:cs="宋体"/>
          <w:b/>
          <w:bCs w:val="0"/>
          <w:color w:val="auto"/>
          <w:kern w:val="2"/>
          <w:sz w:val="21"/>
          <w:highlight w:val="none"/>
        </w:rPr>
        <w:t>包括项目的服务、货物、运输、安装、人工成本包括项目人员的数量、工作时间及其工资和福利支出成本，以及服务项目实施过程中可能涉及的其他费用】，必要时提交相关证明材料；投标人不能证明其报价合理性的，评标委员会应当将其作为无效投标处理</w:t>
      </w:r>
      <w:r>
        <w:rPr>
          <w:rFonts w:hint="eastAsia" w:ascii="宋体" w:hAnsi="宋体" w:eastAsia="宋体" w:cs="宋体"/>
          <w:bCs/>
          <w:color w:val="auto"/>
          <w:kern w:val="2"/>
          <w:sz w:val="21"/>
          <w:highlight w:val="none"/>
        </w:rPr>
        <w:t xml:space="preserve">。   </w:t>
      </w:r>
    </w:p>
    <w:p w14:paraId="218A7E1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（3）评标委员会按照招标文件中规定的评标方法和标准计算各投标人的报价得分</w:t>
      </w:r>
      <w:r>
        <w:rPr>
          <w:rFonts w:hint="eastAsia" w:ascii="宋体" w:hAnsi="宋体" w:eastAsia="宋体" w:cs="宋体"/>
          <w:color w:val="auto"/>
          <w:szCs w:val="21"/>
          <w:highlight w:val="none"/>
        </w:rPr>
        <w:t>。在计算过程中，不得去掉最高报价或者最低报价。</w:t>
      </w:r>
    </w:p>
    <w:p w14:paraId="63CFB6F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（4）各投标人的得分为所有评委的有效评分的算术平均数。</w:t>
      </w:r>
    </w:p>
    <w:p w14:paraId="544A992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（5）评标委员会按照招标文件中的规定推荐中标候选人。</w:t>
      </w:r>
    </w:p>
    <w:p w14:paraId="110BF2E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F2795D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5.2采用</w:t>
      </w:r>
      <w:r>
        <w:rPr>
          <w:rFonts w:hint="eastAsia" w:ascii="宋体" w:hAnsi="宋体" w:eastAsia="宋体" w:cs="宋体"/>
          <w:color w:val="auto"/>
          <w:highlight w:val="none"/>
        </w:rPr>
        <w:t>最低评标价法</w:t>
      </w:r>
      <w:r>
        <w:rPr>
          <w:rFonts w:hint="eastAsia" w:ascii="宋体" w:hAnsi="宋体" w:eastAsia="宋体" w:cs="宋体"/>
          <w:color w:val="auto"/>
          <w:szCs w:val="21"/>
          <w:highlight w:val="none"/>
        </w:rPr>
        <w:t>的</w:t>
      </w:r>
    </w:p>
    <w:p w14:paraId="44D48D0D">
      <w:pPr>
        <w:snapToGrid w:val="0"/>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（1）评标委员会按照招标文件中规定的评标方法及评标标准，对符合性审查合格的投标文件报价进行比较。</w:t>
      </w:r>
    </w:p>
    <w:p w14:paraId="50745510">
      <w:pPr>
        <w:snapToGrid w:val="0"/>
        <w:spacing w:line="360" w:lineRule="auto"/>
        <w:ind w:firstLine="399" w:firstLineChars="202"/>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pacing w:val="-6"/>
          <w:szCs w:val="21"/>
          <w:highlight w:val="none"/>
        </w:rPr>
        <w:t>投标人不能证明其报价合理性的，评标委员会将其作为无效投标处理</w:t>
      </w:r>
      <w:r>
        <w:rPr>
          <w:rFonts w:hint="eastAsia" w:ascii="宋体" w:hAnsi="宋体" w:eastAsia="宋体" w:cs="宋体"/>
          <w:color w:val="auto"/>
          <w:spacing w:val="-6"/>
          <w:szCs w:val="21"/>
          <w:highlight w:val="none"/>
        </w:rPr>
        <w:t>。</w:t>
      </w:r>
    </w:p>
    <w:p w14:paraId="0B42F4FD">
      <w:pPr>
        <w:snapToGrid w:val="0"/>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（3）评标委员会按照招标文件中的规定推荐中标候选人。</w:t>
      </w:r>
    </w:p>
    <w:p w14:paraId="265342F0">
      <w:pPr>
        <w:snapToGrid w:val="0"/>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30361C3">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三、评标标准</w:t>
      </w:r>
    </w:p>
    <w:p w14:paraId="7B061EB3">
      <w:pPr>
        <w:pStyle w:val="6"/>
        <w:keepNext w:val="0"/>
        <w:keepLines w:val="0"/>
        <w:spacing w:before="0" w:after="0"/>
        <w:jc w:val="center"/>
        <w:rPr>
          <w:rFonts w:hint="eastAsia" w:ascii="宋体" w:hAnsi="宋体" w:eastAsia="宋体" w:cs="宋体"/>
          <w:color w:val="auto"/>
          <w:highlight w:val="none"/>
        </w:rPr>
      </w:pPr>
      <w:r>
        <w:rPr>
          <w:rFonts w:hint="eastAsia" w:ascii="宋体" w:hAnsi="宋体" w:eastAsia="宋体" w:cs="宋体"/>
          <w:color w:val="auto"/>
          <w:highlight w:val="none"/>
        </w:rPr>
        <w:t>综合评分法</w:t>
      </w:r>
    </w:p>
    <w:tbl>
      <w:tblPr>
        <w:tblStyle w:val="48"/>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599"/>
      </w:tblGrid>
      <w:tr w14:paraId="6599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5F5473C7">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80" w:type="dxa"/>
            <w:vAlign w:val="center"/>
          </w:tcPr>
          <w:p w14:paraId="06E0402A">
            <w:pPr>
              <w:adjustRightInd w:val="0"/>
              <w:spacing w:line="3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709" w:type="dxa"/>
            <w:vAlign w:val="center"/>
          </w:tcPr>
          <w:p w14:paraId="7DFC568A">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7158" w:type="dxa"/>
            <w:gridSpan w:val="2"/>
            <w:vAlign w:val="center"/>
          </w:tcPr>
          <w:p w14:paraId="7BC3F4A3">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评标标准</w:t>
            </w:r>
          </w:p>
        </w:tc>
      </w:tr>
      <w:tr w14:paraId="5466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42F34C32">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280" w:type="dxa"/>
            <w:vAlign w:val="center"/>
          </w:tcPr>
          <w:p w14:paraId="2BFA2673">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c>
          <w:tcPr>
            <w:tcW w:w="709" w:type="dxa"/>
            <w:vAlign w:val="center"/>
          </w:tcPr>
          <w:p w14:paraId="75D325A6">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30分</w:t>
            </w:r>
          </w:p>
        </w:tc>
        <w:tc>
          <w:tcPr>
            <w:tcW w:w="7158" w:type="dxa"/>
            <w:gridSpan w:val="2"/>
            <w:vAlign w:val="center"/>
          </w:tcPr>
          <w:p w14:paraId="3EA3F5FC">
            <w:pPr>
              <w:pStyle w:val="26"/>
              <w:spacing w:line="340" w:lineRule="exac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rPr>
              <w:t>1分标、2分标、4分标</w:t>
            </w:r>
            <w:r>
              <w:rPr>
                <w:rFonts w:hint="eastAsia" w:hAnsi="宋体" w:cs="宋体"/>
                <w:b/>
                <w:bCs/>
                <w:color w:val="auto"/>
                <w:kern w:val="2"/>
                <w:sz w:val="24"/>
                <w:szCs w:val="24"/>
                <w:highlight w:val="none"/>
                <w:lang w:val="en-US" w:eastAsia="zh-CN"/>
              </w:rPr>
              <w:t>投标报价:</w:t>
            </w:r>
          </w:p>
          <w:p w14:paraId="32CD2B85">
            <w:pPr>
              <w:pStyle w:val="26"/>
              <w:spacing w:line="340" w:lineRule="exact"/>
              <w:rPr>
                <w:rFonts w:hint="eastAsia" w:ascii="宋体" w:hAnsi="宋体" w:eastAsia="宋体" w:cs="宋体"/>
                <w:b w:val="0"/>
                <w:bCs w:val="0"/>
                <w:color w:val="auto"/>
                <w:kern w:val="2"/>
                <w:sz w:val="21"/>
                <w:highlight w:val="none"/>
              </w:rPr>
            </w:pPr>
            <w:r>
              <w:rPr>
                <w:rFonts w:hint="eastAsia" w:hAnsi="宋体" w:cs="宋体"/>
                <w:b w:val="0"/>
                <w:bCs w:val="0"/>
                <w:color w:val="auto"/>
                <w:kern w:val="2"/>
                <w:sz w:val="21"/>
                <w:highlight w:val="none"/>
                <w:lang w:eastAsia="zh-CN"/>
              </w:rPr>
              <w:t>（</w:t>
            </w:r>
            <w:r>
              <w:rPr>
                <w:rFonts w:hint="eastAsia" w:hAnsi="宋体" w:cs="宋体"/>
                <w:b w:val="0"/>
                <w:bCs w:val="0"/>
                <w:color w:val="auto"/>
                <w:kern w:val="2"/>
                <w:sz w:val="21"/>
                <w:highlight w:val="none"/>
                <w:lang w:val="en-US" w:eastAsia="zh-CN"/>
              </w:rPr>
              <w:t>1</w:t>
            </w:r>
            <w:r>
              <w:rPr>
                <w:rFonts w:hint="eastAsia" w:hAnsi="宋体" w:cs="宋体"/>
                <w:b w:val="0"/>
                <w:bCs w:val="0"/>
                <w:color w:val="auto"/>
                <w:kern w:val="2"/>
                <w:sz w:val="21"/>
                <w:highlight w:val="none"/>
                <w:lang w:eastAsia="zh-CN"/>
              </w:rPr>
              <w:t>）</w:t>
            </w:r>
            <w:r>
              <w:rPr>
                <w:rFonts w:hint="eastAsia" w:ascii="宋体" w:hAnsi="宋体" w:eastAsia="宋体" w:cs="宋体"/>
                <w:b w:val="0"/>
                <w:bCs w:val="0"/>
                <w:color w:val="auto"/>
                <w:kern w:val="2"/>
                <w:sz w:val="21"/>
                <w:highlight w:val="none"/>
              </w:rPr>
              <w:t>政府采购政策扣除</w:t>
            </w:r>
          </w:p>
          <w:p w14:paraId="10DEE356">
            <w:pPr>
              <w:pStyle w:val="26"/>
              <w:spacing w:line="340" w:lineRule="exact"/>
              <w:ind w:firstLine="40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w:t>
            </w:r>
            <w:r>
              <w:rPr>
                <w:rFonts w:hint="eastAsia" w:hAnsi="宋体" w:cs="宋体"/>
                <w:b w:val="0"/>
                <w:bCs w:val="0"/>
                <w:color w:val="auto"/>
                <w:highlight w:val="none"/>
                <w:lang w:val="en-US" w:eastAsia="zh-CN"/>
              </w:rPr>
              <w:t>分标</w:t>
            </w:r>
            <w:r>
              <w:rPr>
                <w:rFonts w:hint="eastAsia" w:ascii="宋体" w:hAnsi="宋体" w:eastAsia="宋体" w:cs="宋体"/>
                <w:b w:val="0"/>
                <w:bCs w:val="0"/>
                <w:color w:val="auto"/>
                <w:highlight w:val="none"/>
              </w:rPr>
              <w:t>为专门面向中小企业采购，不再执行价格优惠政策。</w:t>
            </w:r>
          </w:p>
          <w:p w14:paraId="0C51D1FD">
            <w:pPr>
              <w:pStyle w:val="26"/>
              <w:spacing w:line="340" w:lineRule="exact"/>
              <w:outlineLvl w:val="0"/>
              <w:rPr>
                <w:rFonts w:hint="eastAsia" w:ascii="宋体" w:hAnsi="宋体" w:eastAsia="宋体" w:cs="宋体"/>
                <w:b w:val="0"/>
                <w:bCs w:val="0"/>
                <w:color w:val="auto"/>
                <w:sz w:val="21"/>
                <w:highlight w:val="none"/>
              </w:rPr>
            </w:pPr>
            <w:bookmarkStart w:id="140" w:name="_Toc2403"/>
            <w:bookmarkStart w:id="141" w:name="_Toc12995"/>
            <w:r>
              <w:rPr>
                <w:rFonts w:hint="eastAsia" w:hAnsi="宋体" w:cs="宋体"/>
                <w:b w:val="0"/>
                <w:bCs w:val="0"/>
                <w:color w:val="auto"/>
                <w:sz w:val="21"/>
                <w:highlight w:val="none"/>
                <w:lang w:eastAsia="zh-CN"/>
              </w:rPr>
              <w:t>（</w:t>
            </w:r>
            <w:r>
              <w:rPr>
                <w:rFonts w:hint="eastAsia" w:hAnsi="宋体" w:cs="宋体"/>
                <w:b w:val="0"/>
                <w:bCs w:val="0"/>
                <w:color w:val="auto"/>
                <w:sz w:val="21"/>
                <w:highlight w:val="none"/>
                <w:lang w:val="en-US" w:eastAsia="zh-CN"/>
              </w:rPr>
              <w:t>2</w:t>
            </w:r>
            <w:r>
              <w:rPr>
                <w:rFonts w:hint="eastAsia" w:hAnsi="宋体" w:cs="宋体"/>
                <w:b w:val="0"/>
                <w:bCs w:val="0"/>
                <w:color w:val="auto"/>
                <w:sz w:val="21"/>
                <w:highlight w:val="none"/>
                <w:lang w:eastAsia="zh-CN"/>
              </w:rPr>
              <w:t>）</w:t>
            </w:r>
            <w:r>
              <w:rPr>
                <w:rFonts w:hint="eastAsia" w:ascii="宋体" w:hAnsi="宋体" w:eastAsia="宋体" w:cs="宋体"/>
                <w:b w:val="0"/>
                <w:bCs w:val="0"/>
                <w:color w:val="auto"/>
                <w:sz w:val="21"/>
                <w:highlight w:val="none"/>
              </w:rPr>
              <w:t>投标报价分</w:t>
            </w:r>
            <w:bookmarkEnd w:id="140"/>
            <w:bookmarkEnd w:id="141"/>
          </w:p>
          <w:p w14:paraId="2F31D61A">
            <w:pPr>
              <w:pStyle w:val="26"/>
              <w:spacing w:line="340" w:lineRule="exact"/>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bCs/>
                <w:color w:val="auto"/>
                <w:sz w:val="21"/>
                <w:highlight w:val="none"/>
              </w:rPr>
              <w:t>投标报价分采用低价优先法计算，满足招标文件要求且评标价最低的有效投标人的投标报价为评标基准价，其投标报价分为满分。</w:t>
            </w:r>
          </w:p>
          <w:p w14:paraId="769B20B1">
            <w:pPr>
              <w:pStyle w:val="26"/>
              <w:spacing w:line="34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2、其他投标人的价格分统一按照下列公式计算：</w:t>
            </w:r>
          </w:p>
          <w:p w14:paraId="1E4D9BC6">
            <w:pPr>
              <w:pStyle w:val="26"/>
              <w:spacing w:line="34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某有效投标人的投标报价分=（评标基准价／某有效投标人投标报价）× 30分</w:t>
            </w:r>
          </w:p>
          <w:p w14:paraId="378C8C68">
            <w:pPr>
              <w:pStyle w:val="26"/>
              <w:spacing w:line="340" w:lineRule="exact"/>
              <w:rPr>
                <w:rFonts w:hint="eastAsia" w:ascii="宋体" w:hAnsi="宋体" w:eastAsia="宋体" w:cs="宋体"/>
                <w:b/>
                <w:bCs/>
                <w:color w:val="auto"/>
                <w:kern w:val="2"/>
                <w:sz w:val="24"/>
                <w:szCs w:val="24"/>
                <w:highlight w:val="none"/>
                <w:lang w:val="en-US" w:eastAsia="zh-CN"/>
              </w:rPr>
            </w:pPr>
          </w:p>
          <w:p w14:paraId="73660B39">
            <w:pPr>
              <w:pStyle w:val="26"/>
              <w:spacing w:line="340" w:lineRule="exac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rPr>
              <w:t>分标</w:t>
            </w:r>
            <w:r>
              <w:rPr>
                <w:rFonts w:hint="eastAsia" w:ascii="宋体" w:hAnsi="宋体" w:eastAsia="宋体" w:cs="宋体"/>
                <w:b/>
                <w:bCs/>
                <w:color w:val="auto"/>
                <w:kern w:val="2"/>
                <w:sz w:val="24"/>
                <w:szCs w:val="24"/>
                <w:highlight w:val="none"/>
                <w:lang w:val="en-US" w:eastAsia="zh-CN"/>
              </w:rPr>
              <w:t>投标报价:</w:t>
            </w:r>
          </w:p>
          <w:p w14:paraId="086A452F">
            <w:pPr>
              <w:spacing w:line="312"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（1）以满足招标文件要求且投标价格最低的投标报价为评标基准价，其价格分为满分。</w:t>
            </w:r>
          </w:p>
          <w:p w14:paraId="03AEC100">
            <w:pPr>
              <w:pStyle w:val="26"/>
              <w:spacing w:line="340" w:lineRule="exact"/>
              <w:ind w:firstLine="400" w:firstLineChars="200"/>
              <w:rPr>
                <w:rFonts w:hAnsi="宋体" w:cs="宋体"/>
                <w:bCs/>
                <w:color w:val="auto"/>
                <w:szCs w:val="21"/>
                <w:highlight w:val="none"/>
              </w:rPr>
            </w:pPr>
            <w:r>
              <w:rPr>
                <w:rFonts w:hint="eastAsia" w:hAnsi="宋体" w:cs="宋体"/>
                <w:bCs/>
                <w:color w:val="auto"/>
                <w:szCs w:val="21"/>
                <w:highlight w:val="none"/>
              </w:rPr>
              <w:t>（2）</w:t>
            </w:r>
            <w:r>
              <w:rPr>
                <w:rFonts w:hint="eastAsia" w:ascii="宋体" w:hAnsi="宋体" w:eastAsia="宋体" w:cs="宋体"/>
                <w:b w:val="0"/>
                <w:bCs w:val="0"/>
                <w:color w:val="auto"/>
                <w:highlight w:val="none"/>
              </w:rPr>
              <w:t>本</w:t>
            </w:r>
            <w:r>
              <w:rPr>
                <w:rFonts w:hint="eastAsia" w:hAnsi="宋体" w:cs="宋体"/>
                <w:b w:val="0"/>
                <w:bCs w:val="0"/>
                <w:color w:val="auto"/>
                <w:highlight w:val="none"/>
                <w:lang w:val="en-US" w:eastAsia="zh-CN"/>
              </w:rPr>
              <w:t>分标</w:t>
            </w:r>
            <w:r>
              <w:rPr>
                <w:rFonts w:hint="eastAsia" w:ascii="宋体" w:hAnsi="宋体" w:eastAsia="宋体" w:cs="宋体"/>
                <w:b w:val="0"/>
                <w:bCs w:val="0"/>
                <w:color w:val="auto"/>
                <w:highlight w:val="none"/>
              </w:rPr>
              <w:t>为</w:t>
            </w:r>
            <w:r>
              <w:rPr>
                <w:rFonts w:hint="eastAsia" w:ascii="宋体" w:hAnsi="宋体" w:eastAsia="宋体" w:cs="宋体"/>
                <w:b w:val="0"/>
                <w:bCs w:val="0"/>
                <w:color w:val="auto"/>
                <w:highlight w:val="none"/>
                <w:lang w:val="en-US" w:eastAsia="zh-CN"/>
              </w:rPr>
              <w:t>非</w:t>
            </w:r>
            <w:r>
              <w:rPr>
                <w:rFonts w:hint="eastAsia" w:ascii="宋体" w:hAnsi="宋体" w:eastAsia="宋体" w:cs="宋体"/>
                <w:b w:val="0"/>
                <w:bCs w:val="0"/>
                <w:color w:val="auto"/>
                <w:highlight w:val="none"/>
              </w:rPr>
              <w:t>专门面向中小企业采购，执行价格优惠政策。</w:t>
            </w:r>
            <w:r>
              <w:rPr>
                <w:rFonts w:hint="eastAsia" w:hAnsi="宋体" w:cs="宋体"/>
                <w:bCs/>
                <w:color w:val="auto"/>
                <w:szCs w:val="21"/>
                <w:highlight w:val="none"/>
              </w:rPr>
              <w:t>因落实政府采购政策进行价格调整的，以调整后的价格计算评标基准价和投标报价：</w:t>
            </w:r>
          </w:p>
          <w:p w14:paraId="7255F554">
            <w:pPr>
              <w:pStyle w:val="26"/>
              <w:spacing w:line="312" w:lineRule="auto"/>
              <w:ind w:firstLine="400" w:firstLineChars="200"/>
              <w:rPr>
                <w:rFonts w:hint="eastAsia" w:hAnsi="宋体" w:cs="宋体"/>
                <w:bCs/>
                <w:color w:val="auto"/>
                <w:szCs w:val="21"/>
                <w:highlight w:val="none"/>
              </w:rPr>
            </w:pPr>
            <w:r>
              <w:rPr>
                <w:rFonts w:hint="eastAsia" w:hAnsi="宋体" w:cs="宋体"/>
                <w:bCs/>
                <w:color w:val="auto"/>
                <w:szCs w:val="21"/>
                <w:highlight w:val="none"/>
              </w:rPr>
              <w:t>①</w:t>
            </w:r>
            <w:r>
              <w:rPr>
                <w:rFonts w:hint="eastAsia" w:ascii="宋体" w:hAnsi="宋体"/>
                <w:color w:val="auto"/>
                <w:szCs w:val="21"/>
                <w:highlight w:val="none"/>
              </w:rPr>
              <w:t>按《政府采购促进中小企业发展管理办法》财库〔2020〕46号及《广西壮族自治区财政厅关于持续优化政府采购营商环境推动高质量发展的通知》（桂财采〔</w:t>
            </w:r>
            <w:r>
              <w:rPr>
                <w:rFonts w:hint="eastAsia" w:hAnsi="宋体"/>
                <w:color w:val="auto"/>
                <w:szCs w:val="21"/>
                <w:highlight w:val="none"/>
                <w:lang w:eastAsia="zh-CN"/>
              </w:rPr>
              <w:t>2025</w:t>
            </w:r>
            <w:r>
              <w:rPr>
                <w:rFonts w:hint="eastAsia" w:ascii="宋体" w:hAnsi="宋体"/>
                <w:color w:val="auto"/>
                <w:szCs w:val="21"/>
                <w:highlight w:val="none"/>
              </w:rPr>
              <w:t>〕55 号）的规定</w:t>
            </w:r>
            <w:r>
              <w:rPr>
                <w:rFonts w:hint="eastAsia" w:hAnsi="宋体" w:cs="宋体"/>
                <w:bCs/>
                <w:color w:val="auto"/>
                <w:szCs w:val="21"/>
                <w:highlight w:val="none"/>
              </w:rPr>
              <w:t>,投标人在其投标文件中提供《中小企业声明函》，</w:t>
            </w:r>
            <w:r>
              <w:rPr>
                <w:rFonts w:hint="eastAsia" w:hAnsi="宋体" w:cs="宋体"/>
                <w:color w:val="auto"/>
                <w:szCs w:val="21"/>
                <w:highlight w:val="none"/>
              </w:rPr>
              <w:t>且提供的货物</w:t>
            </w:r>
            <w:r>
              <w:rPr>
                <w:rFonts w:hint="eastAsia" w:hAnsi="宋体" w:cs="宋体"/>
                <w:color w:val="auto"/>
                <w:szCs w:val="21"/>
                <w:highlight w:val="none"/>
                <w:lang w:eastAsia="zh-CN"/>
              </w:rPr>
              <w:t>（</w:t>
            </w:r>
            <w:r>
              <w:rPr>
                <w:rFonts w:hint="eastAsia" w:hAnsi="宋体" w:cs="宋体"/>
                <w:color w:val="auto"/>
                <w:szCs w:val="21"/>
                <w:highlight w:val="none"/>
                <w:lang w:val="en-US" w:eastAsia="zh-CN"/>
              </w:rPr>
              <w:t>系统</w:t>
            </w:r>
            <w:r>
              <w:rPr>
                <w:rFonts w:hint="eastAsia" w:hAnsi="宋体" w:cs="宋体"/>
                <w:color w:val="auto"/>
                <w:szCs w:val="21"/>
                <w:highlight w:val="none"/>
                <w:lang w:eastAsia="zh-CN"/>
              </w:rPr>
              <w:t>）</w:t>
            </w:r>
            <w:r>
              <w:rPr>
                <w:rFonts w:hint="eastAsia" w:hAnsi="宋体" w:cs="宋体"/>
                <w:color w:val="auto"/>
                <w:szCs w:val="21"/>
                <w:highlight w:val="none"/>
              </w:rPr>
              <w:t>全部由符合政策要求的小型、微型企业制造，即货物</w:t>
            </w:r>
            <w:r>
              <w:rPr>
                <w:rFonts w:hint="eastAsia" w:hAnsi="宋体" w:cs="宋体"/>
                <w:color w:val="auto"/>
                <w:szCs w:val="21"/>
                <w:highlight w:val="none"/>
                <w:lang w:eastAsia="zh-CN"/>
              </w:rPr>
              <w:t>（</w:t>
            </w:r>
            <w:r>
              <w:rPr>
                <w:rFonts w:hint="eastAsia" w:hAnsi="宋体" w:cs="宋体"/>
                <w:color w:val="auto"/>
                <w:szCs w:val="21"/>
                <w:highlight w:val="none"/>
                <w:lang w:val="en-US" w:eastAsia="zh-CN"/>
              </w:rPr>
              <w:t>系统</w:t>
            </w:r>
            <w:r>
              <w:rPr>
                <w:rFonts w:hint="eastAsia" w:hAnsi="宋体" w:cs="宋体"/>
                <w:color w:val="auto"/>
                <w:szCs w:val="21"/>
                <w:highlight w:val="none"/>
                <w:lang w:eastAsia="zh-CN"/>
              </w:rPr>
              <w:t>）</w:t>
            </w:r>
            <w:r>
              <w:rPr>
                <w:rFonts w:hint="eastAsia" w:hAnsi="宋体" w:cs="宋体"/>
                <w:color w:val="auto"/>
                <w:szCs w:val="21"/>
                <w:highlight w:val="none"/>
              </w:rPr>
              <w:t>由小型、微型企业生产且使用该小型、微型企业商号或者注册商标</w:t>
            </w:r>
            <w:r>
              <w:rPr>
                <w:rFonts w:hint="eastAsia" w:hAnsi="宋体" w:cs="宋体"/>
                <w:bCs/>
                <w:color w:val="auto"/>
                <w:szCs w:val="21"/>
                <w:highlight w:val="none"/>
              </w:rPr>
              <w:t>，对其最后报价给予</w:t>
            </w:r>
            <w:r>
              <w:rPr>
                <w:rFonts w:hint="eastAsia" w:hAnsi="宋体" w:cs="宋体"/>
                <w:bCs/>
                <w:color w:val="auto"/>
                <w:szCs w:val="21"/>
                <w:highlight w:val="none"/>
                <w:lang w:val="en-US" w:eastAsia="zh-CN"/>
              </w:rPr>
              <w:t>1</w:t>
            </w:r>
            <w:r>
              <w:rPr>
                <w:rFonts w:hint="eastAsia" w:hAnsi="宋体" w:cs="宋体"/>
                <w:bCs/>
                <w:color w:val="auto"/>
                <w:szCs w:val="21"/>
                <w:highlight w:val="none"/>
              </w:rPr>
              <w:t>0%的扣除。</w:t>
            </w:r>
          </w:p>
          <w:p w14:paraId="6D8C648F">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②按照《财政部、司法部关于政府采购支持监狱企业发展有关问题的通知》（财库〔2014〕68号）的规定，监狱企业视同小型、微型企业，享受小型、微型企业评审时投标价格给予</w:t>
            </w:r>
            <w:r>
              <w:rPr>
                <w:rFonts w:hint="eastAsia" w:hAnsi="宋体" w:cs="宋体"/>
                <w:bCs/>
                <w:color w:val="auto"/>
                <w:szCs w:val="21"/>
                <w:highlight w:val="none"/>
                <w:lang w:val="en-US" w:eastAsia="zh-CN"/>
              </w:rPr>
              <w:t>1</w:t>
            </w:r>
            <w:r>
              <w:rPr>
                <w:rFonts w:hint="eastAsia" w:hAnsi="宋体" w:cs="宋体"/>
                <w:bCs/>
                <w:color w:val="auto"/>
                <w:szCs w:val="21"/>
                <w:highlight w:val="none"/>
              </w:rPr>
              <w:t>0%扣除的政府采购政策。</w:t>
            </w:r>
          </w:p>
          <w:p w14:paraId="7BA68944">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③按照《关于促进残疾人就业政府采购政策的通知》（财库〔2017〕141号）的规定，残疾人福利性单位视同小型、微型企业，享受小型、微型企业评审时投标价格给予</w:t>
            </w:r>
            <w:r>
              <w:rPr>
                <w:rFonts w:hint="eastAsia" w:hAnsi="宋体" w:cs="宋体"/>
                <w:bCs/>
                <w:color w:val="auto"/>
                <w:szCs w:val="21"/>
                <w:highlight w:val="none"/>
                <w:lang w:val="en-US" w:eastAsia="zh-CN"/>
              </w:rPr>
              <w:t>1</w:t>
            </w:r>
            <w:r>
              <w:rPr>
                <w:rFonts w:hint="eastAsia" w:hAnsi="宋体" w:cs="宋体"/>
                <w:bCs/>
                <w:color w:val="auto"/>
                <w:szCs w:val="21"/>
                <w:highlight w:val="none"/>
              </w:rPr>
              <w:t>0%扣除的政府采购政策。</w:t>
            </w:r>
          </w:p>
          <w:p w14:paraId="726DB26B">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（3）政策性扣除计算方法。</w:t>
            </w:r>
          </w:p>
          <w:p w14:paraId="4D7824E3">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在设备采购项目中，设备由监狱企业或残疾人福利性单位或小型或微型的企业</w:t>
            </w:r>
            <w:r>
              <w:rPr>
                <w:rFonts w:hint="eastAsia" w:hAnsi="宋体" w:cs="宋体"/>
                <w:bCs/>
                <w:color w:val="auto"/>
                <w:szCs w:val="21"/>
                <w:highlight w:val="none"/>
                <w:lang w:val="en-US" w:eastAsia="zh-CN"/>
              </w:rPr>
              <w:t>制造</w:t>
            </w:r>
            <w:r>
              <w:rPr>
                <w:rFonts w:hint="eastAsia" w:hAnsi="宋体" w:cs="宋体"/>
                <w:bCs/>
                <w:color w:val="auto"/>
                <w:szCs w:val="21"/>
                <w:highlight w:val="none"/>
              </w:rPr>
              <w:t>的，该投标报价给予</w:t>
            </w:r>
            <w:r>
              <w:rPr>
                <w:rFonts w:hint="eastAsia" w:hAnsi="宋体" w:cs="宋体"/>
                <w:bCs/>
                <w:color w:val="auto"/>
                <w:szCs w:val="21"/>
                <w:highlight w:val="none"/>
                <w:lang w:val="en-US" w:eastAsia="zh-CN"/>
              </w:rPr>
              <w:t>1</w:t>
            </w:r>
            <w:r>
              <w:rPr>
                <w:rFonts w:hint="eastAsia" w:hAnsi="宋体" w:cs="宋体"/>
                <w:bCs/>
                <w:color w:val="auto"/>
                <w:szCs w:val="21"/>
                <w:highlight w:val="none"/>
              </w:rPr>
              <w:t>0%的扣除，用扣除后的价格参与评审（计算价格分）；大中型企业和其他自然人、法人或者其他组织与小型、微型企业组成联合体投标，且联合体协议中约定小型、微型企业的协议合同金额占到联合体协议合同总金额30%以上的，联合体投标价给予</w:t>
            </w:r>
            <w:r>
              <w:rPr>
                <w:rFonts w:hint="eastAsia" w:hAnsi="宋体" w:cs="宋体"/>
                <w:bCs/>
                <w:color w:val="auto"/>
                <w:szCs w:val="21"/>
                <w:highlight w:val="none"/>
                <w:lang w:val="en-US" w:eastAsia="zh-CN"/>
              </w:rPr>
              <w:t>3</w:t>
            </w:r>
            <w:r>
              <w:rPr>
                <w:rFonts w:hint="eastAsia" w:hAnsi="宋体" w:cs="宋体"/>
                <w:bCs/>
                <w:color w:val="auto"/>
                <w:szCs w:val="21"/>
                <w:highlight w:val="none"/>
              </w:rPr>
              <w:t>%的扣除，用扣除后的价格参与评审（计算价格分）。</w:t>
            </w:r>
          </w:p>
          <w:p w14:paraId="2D53957C">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投标人既属于残疾人福利性单位又属于小型、微型企业的，其报价只能享受一次的扣除，不重复享受政策。</w:t>
            </w:r>
          </w:p>
          <w:p w14:paraId="31E5CAF2">
            <w:pPr>
              <w:widowControl/>
              <w:spacing w:line="31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（4）价格分计算公式：</w:t>
            </w:r>
            <w:r>
              <w:rPr>
                <w:rFonts w:hint="eastAsia" w:ascii="宋体" w:hAnsi="宋体"/>
                <w:bCs/>
                <w:color w:val="auto"/>
                <w:kern w:val="0"/>
                <w:szCs w:val="21"/>
                <w:highlight w:val="none"/>
              </w:rPr>
              <w:t>投标报价得分</w:t>
            </w:r>
            <w:r>
              <w:rPr>
                <w:rFonts w:ascii="宋体" w:hAnsi="宋体"/>
                <w:bCs/>
                <w:color w:val="auto"/>
                <w:kern w:val="0"/>
                <w:szCs w:val="21"/>
                <w:highlight w:val="none"/>
              </w:rPr>
              <w:t>=</w:t>
            </w:r>
            <w:r>
              <w:rPr>
                <w:rFonts w:hint="eastAsia" w:ascii="宋体" w:hAnsi="宋体"/>
                <w:bCs/>
                <w:color w:val="auto"/>
                <w:kern w:val="0"/>
                <w:szCs w:val="21"/>
                <w:highlight w:val="none"/>
              </w:rPr>
              <w:t>（评标基准价</w:t>
            </w:r>
            <w:r>
              <w:rPr>
                <w:rFonts w:ascii="宋体" w:hAnsi="宋体"/>
                <w:bCs/>
                <w:color w:val="auto"/>
                <w:kern w:val="0"/>
                <w:szCs w:val="21"/>
                <w:highlight w:val="none"/>
              </w:rPr>
              <w:t>/</w:t>
            </w:r>
            <w:r>
              <w:rPr>
                <w:rFonts w:hint="eastAsia" w:ascii="宋体" w:hAnsi="宋体"/>
                <w:bCs/>
                <w:color w:val="auto"/>
                <w:kern w:val="0"/>
                <w:szCs w:val="21"/>
                <w:highlight w:val="none"/>
              </w:rPr>
              <w:t>投标报价）×</w:t>
            </w:r>
            <w:r>
              <w:rPr>
                <w:rFonts w:hint="eastAsia" w:ascii="宋体" w:hAnsi="宋体"/>
                <w:bCs/>
                <w:color w:val="auto"/>
                <w:kern w:val="0"/>
                <w:szCs w:val="21"/>
                <w:highlight w:val="none"/>
                <w:lang w:val="en-US" w:eastAsia="zh-CN"/>
              </w:rPr>
              <w:t>3</w:t>
            </w:r>
            <w:r>
              <w:rPr>
                <w:rFonts w:hint="eastAsia" w:ascii="宋体" w:hAnsi="宋体"/>
                <w:bCs/>
                <w:color w:val="auto"/>
                <w:kern w:val="0"/>
                <w:szCs w:val="21"/>
                <w:highlight w:val="none"/>
              </w:rPr>
              <w:t>0分</w:t>
            </w:r>
          </w:p>
          <w:p w14:paraId="587C425B">
            <w:pPr>
              <w:pStyle w:val="26"/>
              <w:spacing w:line="340" w:lineRule="exact"/>
              <w:ind w:firstLine="400" w:firstLineChars="200"/>
              <w:rPr>
                <w:rFonts w:hint="eastAsia" w:ascii="宋体" w:hAnsi="宋体" w:eastAsia="宋体" w:cs="宋体"/>
                <w:color w:val="auto"/>
                <w:highlight w:val="none"/>
              </w:rPr>
            </w:pPr>
            <w:r>
              <w:rPr>
                <w:rFonts w:hint="eastAsia" w:hAnsi="宋体" w:cs="宋体"/>
                <w:bCs/>
                <w:color w:val="auto"/>
                <w:szCs w:val="21"/>
                <w:highlight w:val="none"/>
              </w:rPr>
              <w:t>注：投标报价计算时均为投标人的实际投标报价进行政策性扣除后的价格，最终中标金额＝投标报价。</w:t>
            </w:r>
          </w:p>
        </w:tc>
      </w:tr>
      <w:tr w14:paraId="4D53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restart"/>
            <w:vAlign w:val="center"/>
          </w:tcPr>
          <w:p w14:paraId="63C06E5F">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280" w:type="dxa"/>
            <w:vMerge w:val="restart"/>
            <w:vAlign w:val="center"/>
          </w:tcPr>
          <w:p w14:paraId="66173D3C">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技术分</w:t>
            </w:r>
          </w:p>
        </w:tc>
        <w:tc>
          <w:tcPr>
            <w:tcW w:w="709" w:type="dxa"/>
            <w:vMerge w:val="restart"/>
            <w:vAlign w:val="center"/>
          </w:tcPr>
          <w:p w14:paraId="4E1DADE5">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52分</w:t>
            </w:r>
          </w:p>
        </w:tc>
        <w:tc>
          <w:tcPr>
            <w:tcW w:w="1559" w:type="dxa"/>
            <w:vAlign w:val="center"/>
          </w:tcPr>
          <w:p w14:paraId="0BB95D19">
            <w:pPr>
              <w:spacing w:line="340" w:lineRule="exact"/>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2.1基本分（满分35分）</w:t>
            </w:r>
          </w:p>
        </w:tc>
        <w:tc>
          <w:tcPr>
            <w:tcW w:w="5599" w:type="dxa"/>
            <w:vAlign w:val="center"/>
          </w:tcPr>
          <w:p w14:paraId="2F8B6AED">
            <w:pPr>
              <w:spacing w:line="340" w:lineRule="exact"/>
              <w:ind w:firstLine="42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技术参数响应完全满足招标文件要求得35分，一般参数及功能（不带</w:t>
            </w:r>
            <w:r>
              <w:rPr>
                <w:rFonts w:hint="eastAsia" w:ascii="宋体" w:hAnsi="宋体" w:eastAsia="宋体" w:cs="宋体"/>
                <w:color w:val="auto"/>
                <w:kern w:val="0"/>
                <w:szCs w:val="21"/>
                <w:highlight w:val="none"/>
              </w:rPr>
              <w:t>▲号</w:t>
            </w:r>
            <w:r>
              <w:rPr>
                <w:rFonts w:hint="eastAsia" w:ascii="宋体" w:hAnsi="宋体" w:eastAsia="宋体" w:cs="宋体"/>
                <w:bCs/>
                <w:color w:val="auto"/>
                <w:szCs w:val="21"/>
                <w:highlight w:val="none"/>
              </w:rPr>
              <w:t>的参数）负偏离一项扣5分，漏项的每一项扣5分。</w:t>
            </w:r>
          </w:p>
        </w:tc>
      </w:tr>
      <w:tr w14:paraId="00EF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continue"/>
            <w:vAlign w:val="center"/>
          </w:tcPr>
          <w:p w14:paraId="5663ED1F">
            <w:pPr>
              <w:adjustRightInd w:val="0"/>
              <w:spacing w:line="340" w:lineRule="exact"/>
              <w:jc w:val="center"/>
              <w:textAlignment w:val="baseline"/>
              <w:rPr>
                <w:rFonts w:hint="eastAsia" w:ascii="宋体" w:hAnsi="宋体" w:eastAsia="宋体" w:cs="宋体"/>
                <w:b/>
                <w:color w:val="auto"/>
                <w:szCs w:val="21"/>
                <w:highlight w:val="none"/>
              </w:rPr>
            </w:pPr>
          </w:p>
        </w:tc>
        <w:tc>
          <w:tcPr>
            <w:tcW w:w="1280" w:type="dxa"/>
            <w:vMerge w:val="continue"/>
            <w:vAlign w:val="center"/>
          </w:tcPr>
          <w:p w14:paraId="1F3F728F">
            <w:pPr>
              <w:adjustRightInd w:val="0"/>
              <w:spacing w:line="340" w:lineRule="exact"/>
              <w:jc w:val="center"/>
              <w:textAlignment w:val="baseline"/>
              <w:rPr>
                <w:rFonts w:hint="eastAsia" w:ascii="宋体" w:hAnsi="宋体" w:eastAsia="宋体" w:cs="宋体"/>
                <w:b/>
                <w:color w:val="auto"/>
                <w:szCs w:val="21"/>
                <w:highlight w:val="none"/>
              </w:rPr>
            </w:pPr>
          </w:p>
        </w:tc>
        <w:tc>
          <w:tcPr>
            <w:tcW w:w="709" w:type="dxa"/>
            <w:vMerge w:val="continue"/>
            <w:vAlign w:val="center"/>
          </w:tcPr>
          <w:p w14:paraId="121CAAE5">
            <w:pPr>
              <w:adjustRightInd w:val="0"/>
              <w:spacing w:line="340" w:lineRule="exact"/>
              <w:jc w:val="center"/>
              <w:textAlignment w:val="baseline"/>
              <w:rPr>
                <w:rFonts w:hint="eastAsia" w:ascii="宋体" w:hAnsi="宋体" w:eastAsia="宋体" w:cs="宋体"/>
                <w:b/>
                <w:color w:val="auto"/>
                <w:szCs w:val="21"/>
                <w:highlight w:val="none"/>
              </w:rPr>
            </w:pPr>
          </w:p>
        </w:tc>
        <w:tc>
          <w:tcPr>
            <w:tcW w:w="1559" w:type="dxa"/>
            <w:vAlign w:val="center"/>
          </w:tcPr>
          <w:p w14:paraId="20F6B69C">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2.2货物性能分（满分2分）</w:t>
            </w:r>
          </w:p>
        </w:tc>
        <w:tc>
          <w:tcPr>
            <w:tcW w:w="5599" w:type="dxa"/>
            <w:vAlign w:val="center"/>
          </w:tcPr>
          <w:p w14:paraId="1F0241FC">
            <w:pPr>
              <w:spacing w:line="34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技术参数完全满足招标文件的前提下，每有一项优于招标文件要求且评标时被评标接受的，得0.5分，满分2分。</w:t>
            </w:r>
          </w:p>
          <w:p w14:paraId="0E0D4131">
            <w:pPr>
              <w:spacing w:line="340" w:lineRule="exact"/>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（技术参数经评标委员会认可并能够提供相应证明材料，证明材料包括但不限于检测报告、技术说明书、彩页等有效材料）</w:t>
            </w:r>
          </w:p>
        </w:tc>
      </w:tr>
      <w:tr w14:paraId="1151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0" w:type="dxa"/>
            <w:vMerge w:val="continue"/>
            <w:vAlign w:val="center"/>
          </w:tcPr>
          <w:p w14:paraId="63433152">
            <w:pPr>
              <w:spacing w:line="340" w:lineRule="exact"/>
              <w:jc w:val="center"/>
              <w:rPr>
                <w:rFonts w:hint="eastAsia" w:ascii="宋体" w:hAnsi="宋体" w:eastAsia="宋体" w:cs="宋体"/>
                <w:color w:val="auto"/>
                <w:highlight w:val="none"/>
              </w:rPr>
            </w:pPr>
          </w:p>
        </w:tc>
        <w:tc>
          <w:tcPr>
            <w:tcW w:w="1280" w:type="dxa"/>
            <w:vMerge w:val="continue"/>
            <w:vAlign w:val="center"/>
          </w:tcPr>
          <w:p w14:paraId="61BF4033">
            <w:pPr>
              <w:spacing w:line="340" w:lineRule="exact"/>
              <w:jc w:val="center"/>
              <w:rPr>
                <w:rFonts w:hint="eastAsia" w:ascii="宋体" w:hAnsi="宋体" w:eastAsia="宋体" w:cs="宋体"/>
                <w:color w:val="auto"/>
                <w:highlight w:val="none"/>
              </w:rPr>
            </w:pPr>
          </w:p>
        </w:tc>
        <w:tc>
          <w:tcPr>
            <w:tcW w:w="709" w:type="dxa"/>
            <w:vMerge w:val="continue"/>
            <w:vAlign w:val="center"/>
          </w:tcPr>
          <w:p w14:paraId="62268609">
            <w:pPr>
              <w:spacing w:line="340" w:lineRule="exact"/>
              <w:jc w:val="center"/>
              <w:rPr>
                <w:rFonts w:hint="eastAsia" w:ascii="宋体" w:hAnsi="宋体" w:eastAsia="宋体" w:cs="宋体"/>
                <w:color w:val="auto"/>
                <w:highlight w:val="none"/>
              </w:rPr>
            </w:pPr>
          </w:p>
        </w:tc>
        <w:tc>
          <w:tcPr>
            <w:tcW w:w="1559" w:type="dxa"/>
            <w:vAlign w:val="center"/>
          </w:tcPr>
          <w:p w14:paraId="30B39ACF">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2.3 项目实施方案分（满分15分）</w:t>
            </w:r>
          </w:p>
        </w:tc>
        <w:tc>
          <w:tcPr>
            <w:tcW w:w="5599" w:type="dxa"/>
            <w:vAlign w:val="center"/>
          </w:tcPr>
          <w:p w14:paraId="0DD4180D">
            <w:pPr>
              <w:spacing w:line="340" w:lineRule="exact"/>
              <w:ind w:firstLine="42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评委根据投标供应商提供的项目实施方案（</w:t>
            </w:r>
            <w:r>
              <w:rPr>
                <w:rFonts w:hint="eastAsia" w:ascii="宋体" w:hAnsi="宋体" w:cs="宋体"/>
                <w:color w:val="auto"/>
                <w:kern w:val="0"/>
                <w:szCs w:val="21"/>
                <w:highlight w:val="none"/>
                <w:lang w:val="en-US" w:eastAsia="zh-CN"/>
              </w:rPr>
              <w:t>至少包括</w:t>
            </w:r>
            <w:r>
              <w:rPr>
                <w:rFonts w:hint="eastAsia" w:ascii="宋体" w:hAnsi="宋体" w:eastAsia="宋体" w:cs="宋体"/>
                <w:color w:val="auto"/>
                <w:szCs w:val="21"/>
                <w:highlight w:val="none"/>
              </w:rPr>
              <w:t>项目前期准备、项目实施计划、技术服务、技术培训、</w:t>
            </w:r>
            <w:r>
              <w:rPr>
                <w:rFonts w:hint="eastAsia" w:ascii="宋体" w:hAnsi="宋体" w:eastAsia="宋体" w:cs="宋体"/>
                <w:bCs/>
                <w:color w:val="auto"/>
                <w:szCs w:val="21"/>
                <w:highlight w:val="none"/>
              </w:rPr>
              <w:t>质量保证措施</w:t>
            </w:r>
            <w:r>
              <w:rPr>
                <w:rFonts w:hint="eastAsia" w:ascii="宋体" w:hAnsi="宋体" w:eastAsia="宋体" w:cs="宋体"/>
                <w:color w:val="auto"/>
                <w:kern w:val="0"/>
                <w:szCs w:val="21"/>
                <w:highlight w:val="none"/>
              </w:rPr>
              <w:t>）独立评分：</w:t>
            </w:r>
          </w:p>
          <w:p w14:paraId="3679008E">
            <w:pPr>
              <w:widowControl/>
              <w:snapToGrid w:val="0"/>
              <w:spacing w:line="400" w:lineRule="exact"/>
              <w:ind w:firstLine="44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一档（0 分）：未提供方案得 0 分。</w:t>
            </w:r>
          </w:p>
          <w:p w14:paraId="780A87D7">
            <w:pPr>
              <w:widowControl/>
              <w:snapToGrid w:val="0"/>
              <w:spacing w:line="400" w:lineRule="exact"/>
              <w:ind w:firstLine="44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二档（3分）：方案</w:t>
            </w:r>
            <w:r>
              <w:rPr>
                <w:rFonts w:hint="eastAsia" w:ascii="宋体" w:hAnsi="宋体" w:cs="宋体"/>
                <w:bCs/>
                <w:color w:val="auto"/>
                <w:szCs w:val="21"/>
                <w:highlight w:val="none"/>
                <w:lang w:val="en-US" w:eastAsia="zh-CN"/>
              </w:rPr>
              <w:t>内容简单</w:t>
            </w:r>
            <w:r>
              <w:rPr>
                <w:rFonts w:hint="eastAsia" w:ascii="宋体" w:hAnsi="宋体" w:eastAsia="宋体" w:cs="宋体"/>
                <w:bCs/>
                <w:color w:val="auto"/>
                <w:szCs w:val="21"/>
                <w:highlight w:val="none"/>
              </w:rPr>
              <w:t>，方案内容不完整。</w:t>
            </w:r>
          </w:p>
          <w:p w14:paraId="1DC5E385">
            <w:pPr>
              <w:widowControl/>
              <w:snapToGrid w:val="0"/>
              <w:spacing w:line="400" w:lineRule="exact"/>
              <w:ind w:firstLine="44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分）：方案较详细，包含</w:t>
            </w:r>
            <w:r>
              <w:rPr>
                <w:rFonts w:hint="eastAsia" w:ascii="宋体" w:hAnsi="宋体" w:eastAsia="宋体" w:cs="宋体"/>
                <w:color w:val="auto"/>
                <w:szCs w:val="21"/>
                <w:highlight w:val="none"/>
              </w:rPr>
              <w:t>项目前期准备、项目实施计划、技术服务、技术培训、</w:t>
            </w:r>
            <w:r>
              <w:rPr>
                <w:rFonts w:hint="eastAsia" w:ascii="宋体" w:hAnsi="宋体" w:eastAsia="宋体" w:cs="宋体"/>
                <w:bCs/>
                <w:color w:val="auto"/>
                <w:szCs w:val="21"/>
                <w:highlight w:val="none"/>
              </w:rPr>
              <w:t>质量保证措施，人员配备，整体方案满足要求的。</w:t>
            </w:r>
          </w:p>
          <w:p w14:paraId="1757C4FC">
            <w:pPr>
              <w:widowControl/>
              <w:snapToGrid w:val="0"/>
              <w:spacing w:line="400" w:lineRule="exact"/>
              <w:ind w:firstLine="44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四档（1</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分）：方案详细完善，包含</w:t>
            </w:r>
            <w:r>
              <w:rPr>
                <w:rFonts w:hint="eastAsia" w:ascii="宋体" w:hAnsi="宋体" w:eastAsia="宋体" w:cs="宋体"/>
                <w:color w:val="auto"/>
                <w:szCs w:val="21"/>
                <w:highlight w:val="none"/>
              </w:rPr>
              <w:t>项目前期准备、项目实施计划、技术服务、技术培训、</w:t>
            </w:r>
            <w:r>
              <w:rPr>
                <w:rFonts w:hint="eastAsia" w:ascii="宋体" w:hAnsi="宋体" w:eastAsia="宋体" w:cs="宋体"/>
                <w:bCs/>
                <w:color w:val="auto"/>
                <w:szCs w:val="21"/>
                <w:highlight w:val="none"/>
              </w:rPr>
              <w:t>质量保证措施，人员配备，整体方案能保证项目高质量完成。</w:t>
            </w:r>
          </w:p>
          <w:p w14:paraId="4A8BB429">
            <w:pPr>
              <w:widowControl/>
              <w:snapToGrid w:val="0"/>
              <w:spacing w:line="400" w:lineRule="exact"/>
              <w:ind w:firstLine="440"/>
              <w:contextualSpacing/>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五档（15分）：方案详细全面、完善，包含</w:t>
            </w:r>
            <w:r>
              <w:rPr>
                <w:rFonts w:hint="eastAsia" w:ascii="宋体" w:hAnsi="宋体" w:eastAsia="宋体" w:cs="宋体"/>
                <w:color w:val="auto"/>
                <w:szCs w:val="21"/>
                <w:highlight w:val="none"/>
              </w:rPr>
              <w:t>项目前期准备、项目实施计划、技术服务、技术培训、</w:t>
            </w:r>
            <w:r>
              <w:rPr>
                <w:rFonts w:hint="eastAsia" w:ascii="宋体" w:hAnsi="宋体" w:eastAsia="宋体" w:cs="宋体"/>
                <w:bCs/>
                <w:color w:val="auto"/>
                <w:szCs w:val="21"/>
                <w:highlight w:val="none"/>
              </w:rPr>
              <w:t>质量保证措施，人员配备，整体方案针对性强，切实满足采购单位工作需求，能保证项目高质量完成。</w:t>
            </w:r>
          </w:p>
        </w:tc>
      </w:tr>
      <w:tr w14:paraId="55FD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30" w:type="dxa"/>
            <w:vMerge w:val="restart"/>
            <w:vAlign w:val="center"/>
          </w:tcPr>
          <w:p w14:paraId="58AA385D">
            <w:pPr>
              <w:adjustRightInd w:val="0"/>
              <w:spacing w:line="340" w:lineRule="exact"/>
              <w:jc w:val="center"/>
              <w:textAlignment w:val="baseline"/>
              <w:rPr>
                <w:rFonts w:hint="eastAsia" w:ascii="宋体" w:hAnsi="宋体" w:eastAsia="宋体" w:cs="宋体"/>
                <w:color w:val="auto"/>
                <w:highlight w:val="none"/>
              </w:rPr>
            </w:pPr>
            <w:r>
              <w:rPr>
                <w:rFonts w:hint="eastAsia" w:ascii="宋体" w:hAnsi="宋体" w:eastAsia="宋体" w:cs="宋体"/>
                <w:b/>
                <w:color w:val="auto"/>
                <w:szCs w:val="21"/>
                <w:highlight w:val="none"/>
              </w:rPr>
              <w:t>3</w:t>
            </w:r>
          </w:p>
        </w:tc>
        <w:tc>
          <w:tcPr>
            <w:tcW w:w="1280" w:type="dxa"/>
            <w:vMerge w:val="restart"/>
            <w:vAlign w:val="center"/>
          </w:tcPr>
          <w:p w14:paraId="42D6CD35">
            <w:pPr>
              <w:adjustRightInd w:val="0"/>
              <w:spacing w:line="340" w:lineRule="exact"/>
              <w:jc w:val="center"/>
              <w:textAlignment w:val="baseline"/>
              <w:rPr>
                <w:rFonts w:hint="eastAsia" w:ascii="宋体" w:hAnsi="宋体" w:eastAsia="宋体" w:cs="宋体"/>
                <w:color w:val="auto"/>
                <w:highlight w:val="none"/>
              </w:rPr>
            </w:pPr>
            <w:r>
              <w:rPr>
                <w:rFonts w:hint="eastAsia" w:ascii="宋体" w:hAnsi="宋体" w:eastAsia="宋体" w:cs="宋体"/>
                <w:b/>
                <w:color w:val="auto"/>
                <w:szCs w:val="21"/>
                <w:highlight w:val="none"/>
              </w:rPr>
              <w:t>商务分</w:t>
            </w:r>
          </w:p>
        </w:tc>
        <w:tc>
          <w:tcPr>
            <w:tcW w:w="709" w:type="dxa"/>
            <w:vMerge w:val="restart"/>
            <w:vAlign w:val="center"/>
          </w:tcPr>
          <w:p w14:paraId="764FE127">
            <w:pPr>
              <w:adjustRightInd w:val="0"/>
              <w:spacing w:line="340" w:lineRule="exact"/>
              <w:jc w:val="center"/>
              <w:textAlignment w:val="baseline"/>
              <w:rPr>
                <w:rFonts w:hint="eastAsia" w:ascii="宋体" w:hAnsi="宋体" w:eastAsia="宋体" w:cs="宋体"/>
                <w:color w:val="auto"/>
                <w:highlight w:val="none"/>
              </w:rPr>
            </w:pPr>
            <w:r>
              <w:rPr>
                <w:rFonts w:hint="eastAsia" w:ascii="宋体" w:hAnsi="宋体" w:eastAsia="宋体" w:cs="宋体"/>
                <w:b/>
                <w:color w:val="auto"/>
                <w:szCs w:val="21"/>
                <w:highlight w:val="none"/>
              </w:rPr>
              <w:t>18分</w:t>
            </w:r>
          </w:p>
        </w:tc>
        <w:tc>
          <w:tcPr>
            <w:tcW w:w="1559" w:type="dxa"/>
            <w:vAlign w:val="center"/>
          </w:tcPr>
          <w:p w14:paraId="29FB4C6C">
            <w:pPr>
              <w:spacing w:line="340" w:lineRule="exact"/>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3.1售后服务方案分（满分10分）</w:t>
            </w:r>
          </w:p>
        </w:tc>
        <w:tc>
          <w:tcPr>
            <w:tcW w:w="5599" w:type="dxa"/>
            <w:vAlign w:val="center"/>
          </w:tcPr>
          <w:p w14:paraId="1B17B574">
            <w:pPr>
              <w:widowControl/>
              <w:snapToGrid w:val="0"/>
              <w:spacing w:line="400" w:lineRule="exact"/>
              <w:ind w:firstLine="440"/>
              <w:contextualSpacing/>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3.1.1 分标所有产品质保期在满足招标文件要求的基础上每延长6个月得0.5分，满分1分。</w:t>
            </w:r>
          </w:p>
          <w:p w14:paraId="6431AEBB">
            <w:pPr>
              <w:widowControl/>
              <w:snapToGrid w:val="0"/>
              <w:spacing w:line="400" w:lineRule="exact"/>
              <w:ind w:firstLine="44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3.1.2售后服务方案（满分9分）</w:t>
            </w:r>
          </w:p>
          <w:p w14:paraId="09F791BD">
            <w:pPr>
              <w:widowControl/>
              <w:snapToGrid w:val="0"/>
              <w:spacing w:line="400" w:lineRule="exact"/>
              <w:ind w:firstLine="44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根据对投标货物的售后服务方案（技术支持、服务情况、服务承诺）的服务质量进行评审：</w:t>
            </w:r>
          </w:p>
          <w:p w14:paraId="3097667B">
            <w:pPr>
              <w:widowControl/>
              <w:snapToGrid w:val="0"/>
              <w:spacing w:line="400" w:lineRule="exact"/>
              <w:ind w:firstLine="44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一档（3分）：售后服务方案包含了技术服务队伍、技术培训计划、响应时间、服务承诺等，满足项目需求。</w:t>
            </w:r>
          </w:p>
          <w:p w14:paraId="1EE60E26">
            <w:pPr>
              <w:widowControl/>
              <w:snapToGrid w:val="0"/>
              <w:spacing w:line="400" w:lineRule="exact"/>
              <w:ind w:firstLine="44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二档（6分）：售后服务方案包含了技术服务队伍、技术培训计划、服务承诺等，满足项目需求，提供服务保障体系，响应时间优于招标文件要求。</w:t>
            </w:r>
          </w:p>
          <w:p w14:paraId="51B792C2">
            <w:pPr>
              <w:widowControl/>
              <w:snapToGrid w:val="0"/>
              <w:spacing w:line="400" w:lineRule="exact"/>
              <w:ind w:firstLine="440"/>
              <w:contextualSpacing/>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三档（9分）：售后服务方案包含了技术服务队伍、技术培训计划、服务承诺等，满足项目需求，提供服务保障体系，响应时间优于招标文件要求，提供服务流程、应急预案、技术服务表单，整体方案符合采购需求，</w:t>
            </w:r>
            <w:r>
              <w:rPr>
                <w:rFonts w:hint="eastAsia" w:ascii="宋体" w:hAnsi="宋体" w:eastAsia="宋体" w:cs="宋体"/>
                <w:bCs/>
                <w:color w:val="auto"/>
                <w:szCs w:val="21"/>
                <w:highlight w:val="none"/>
              </w:rPr>
              <w:t>能保证项目的售后服务质量</w:t>
            </w:r>
            <w:r>
              <w:rPr>
                <w:rFonts w:hint="eastAsia" w:ascii="宋体" w:hAnsi="宋体" w:eastAsia="宋体" w:cs="宋体"/>
                <w:color w:val="auto"/>
                <w:kern w:val="0"/>
                <w:szCs w:val="21"/>
                <w:highlight w:val="none"/>
              </w:rPr>
              <w:t>。</w:t>
            </w:r>
          </w:p>
        </w:tc>
      </w:tr>
      <w:tr w14:paraId="5C27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vMerge w:val="continue"/>
            <w:vAlign w:val="center"/>
          </w:tcPr>
          <w:p w14:paraId="23252753">
            <w:pPr>
              <w:adjustRightInd w:val="0"/>
              <w:spacing w:line="340" w:lineRule="exact"/>
              <w:jc w:val="center"/>
              <w:textAlignment w:val="baseline"/>
              <w:rPr>
                <w:rFonts w:hint="eastAsia" w:ascii="宋体" w:hAnsi="宋体" w:eastAsia="宋体" w:cs="宋体"/>
                <w:color w:val="auto"/>
                <w:highlight w:val="none"/>
              </w:rPr>
            </w:pPr>
          </w:p>
        </w:tc>
        <w:tc>
          <w:tcPr>
            <w:tcW w:w="1280" w:type="dxa"/>
            <w:vMerge w:val="continue"/>
            <w:vAlign w:val="center"/>
          </w:tcPr>
          <w:p w14:paraId="744B1050">
            <w:pPr>
              <w:adjustRightInd w:val="0"/>
              <w:spacing w:line="340" w:lineRule="exact"/>
              <w:jc w:val="center"/>
              <w:textAlignment w:val="baseline"/>
              <w:rPr>
                <w:rFonts w:hint="eastAsia" w:ascii="宋体" w:hAnsi="宋体" w:eastAsia="宋体" w:cs="宋体"/>
                <w:color w:val="auto"/>
                <w:highlight w:val="none"/>
              </w:rPr>
            </w:pPr>
          </w:p>
        </w:tc>
        <w:tc>
          <w:tcPr>
            <w:tcW w:w="709" w:type="dxa"/>
            <w:vMerge w:val="continue"/>
            <w:vAlign w:val="center"/>
          </w:tcPr>
          <w:p w14:paraId="75632D66">
            <w:pPr>
              <w:adjustRightInd w:val="0"/>
              <w:spacing w:line="340" w:lineRule="exact"/>
              <w:jc w:val="center"/>
              <w:textAlignment w:val="baseline"/>
              <w:rPr>
                <w:rFonts w:hint="eastAsia" w:ascii="宋体" w:hAnsi="宋体" w:eastAsia="宋体" w:cs="宋体"/>
                <w:color w:val="auto"/>
                <w:highlight w:val="none"/>
              </w:rPr>
            </w:pPr>
          </w:p>
        </w:tc>
        <w:tc>
          <w:tcPr>
            <w:tcW w:w="1559" w:type="dxa"/>
            <w:vAlign w:val="center"/>
          </w:tcPr>
          <w:p w14:paraId="2843C5EA">
            <w:pPr>
              <w:spacing w:line="3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3.2业绩</w:t>
            </w:r>
            <w:r>
              <w:rPr>
                <w:rFonts w:hint="eastAsia" w:ascii="宋体" w:hAnsi="宋体" w:eastAsia="宋体" w:cs="宋体"/>
                <w:b/>
                <w:bCs/>
                <w:color w:val="auto"/>
                <w:szCs w:val="21"/>
                <w:highlight w:val="none"/>
              </w:rPr>
              <w:t>分（满分7分）</w:t>
            </w:r>
          </w:p>
        </w:tc>
        <w:tc>
          <w:tcPr>
            <w:tcW w:w="5599" w:type="dxa"/>
            <w:vAlign w:val="center"/>
          </w:tcPr>
          <w:p w14:paraId="214DCB62">
            <w:pPr>
              <w:pStyle w:val="26"/>
              <w:spacing w:line="340" w:lineRule="exact"/>
              <w:ind w:firstLine="420" w:firstLineChars="200"/>
              <w:jc w:val="left"/>
              <w:rPr>
                <w:rFonts w:hint="eastAsia" w:ascii="宋体" w:hAnsi="宋体" w:eastAsia="宋体" w:cs="宋体"/>
                <w:bCs/>
                <w:color w:val="auto"/>
                <w:highlight w:val="none"/>
              </w:rPr>
            </w:pPr>
            <w:r>
              <w:rPr>
                <w:rFonts w:hint="eastAsia" w:ascii="宋体" w:hAnsi="宋体" w:eastAsia="宋体" w:cs="宋体"/>
                <w:color w:val="auto"/>
                <w:sz w:val="21"/>
                <w:highlight w:val="none"/>
              </w:rPr>
              <w:t>3.2.1</w:t>
            </w:r>
            <w:r>
              <w:rPr>
                <w:rFonts w:hint="eastAsia" w:ascii="宋体" w:hAnsi="宋体" w:eastAsia="宋体" w:cs="宋体"/>
                <w:color w:val="auto"/>
                <w:highlight w:val="none"/>
              </w:rPr>
              <w:t>投标人或投标产品生产厂家自2021年1月1日以来具有</w:t>
            </w:r>
            <w:r>
              <w:rPr>
                <w:rFonts w:hint="eastAsia" w:ascii="宋体" w:hAnsi="宋体" w:eastAsia="宋体" w:cs="宋体"/>
                <w:bCs/>
                <w:color w:val="auto"/>
                <w:highlight w:val="none"/>
              </w:rPr>
              <w:t>同类（防火物资类）项目的业绩分，以提供的合同或中标（成交）通知书复印件为准，每份得1分，满分7分。</w:t>
            </w:r>
          </w:p>
        </w:tc>
      </w:tr>
      <w:tr w14:paraId="3AF1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30" w:type="dxa"/>
            <w:vMerge w:val="continue"/>
            <w:vAlign w:val="center"/>
          </w:tcPr>
          <w:p w14:paraId="76D1524A">
            <w:pPr>
              <w:adjustRightInd w:val="0"/>
              <w:spacing w:line="340" w:lineRule="exact"/>
              <w:jc w:val="center"/>
              <w:textAlignment w:val="baseline"/>
              <w:rPr>
                <w:rFonts w:hint="eastAsia" w:ascii="宋体" w:hAnsi="宋体" w:eastAsia="宋体" w:cs="宋体"/>
                <w:color w:val="auto"/>
                <w:highlight w:val="none"/>
              </w:rPr>
            </w:pPr>
          </w:p>
        </w:tc>
        <w:tc>
          <w:tcPr>
            <w:tcW w:w="1280" w:type="dxa"/>
            <w:vMerge w:val="continue"/>
            <w:vAlign w:val="center"/>
          </w:tcPr>
          <w:p w14:paraId="15632931">
            <w:pPr>
              <w:adjustRightInd w:val="0"/>
              <w:spacing w:line="340" w:lineRule="exact"/>
              <w:jc w:val="center"/>
              <w:textAlignment w:val="baseline"/>
              <w:rPr>
                <w:rFonts w:hint="eastAsia" w:ascii="宋体" w:hAnsi="宋体" w:eastAsia="宋体" w:cs="宋体"/>
                <w:color w:val="auto"/>
                <w:highlight w:val="none"/>
              </w:rPr>
            </w:pPr>
          </w:p>
        </w:tc>
        <w:tc>
          <w:tcPr>
            <w:tcW w:w="709" w:type="dxa"/>
            <w:vMerge w:val="continue"/>
            <w:vAlign w:val="center"/>
          </w:tcPr>
          <w:p w14:paraId="74423C6F">
            <w:pPr>
              <w:adjustRightInd w:val="0"/>
              <w:spacing w:line="340" w:lineRule="exact"/>
              <w:jc w:val="center"/>
              <w:textAlignment w:val="baseline"/>
              <w:rPr>
                <w:rFonts w:hint="eastAsia" w:ascii="宋体" w:hAnsi="宋体" w:eastAsia="宋体" w:cs="宋体"/>
                <w:color w:val="auto"/>
                <w:highlight w:val="none"/>
              </w:rPr>
            </w:pPr>
          </w:p>
        </w:tc>
        <w:tc>
          <w:tcPr>
            <w:tcW w:w="1559" w:type="dxa"/>
            <w:vAlign w:val="center"/>
          </w:tcPr>
          <w:p w14:paraId="3613A3ED">
            <w:pPr>
              <w:spacing w:line="340" w:lineRule="exact"/>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3.3政策功能分（满分1分）</w:t>
            </w:r>
          </w:p>
        </w:tc>
        <w:tc>
          <w:tcPr>
            <w:tcW w:w="5599" w:type="dxa"/>
            <w:vAlign w:val="center"/>
          </w:tcPr>
          <w:p w14:paraId="75331F9A">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3.3.1投标产品中包含列入政府采购品目清单中的优先采购产品并具有有效的节能产品认证证书的，每项产品得0.5分，满分0.5分（以有效的节能产品认证证书复印件为准，招标文件中有强制要求的除外）。</w:t>
            </w:r>
          </w:p>
          <w:p w14:paraId="629AF2B0">
            <w:pPr>
              <w:spacing w:line="3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3.3.2投标产品中包含列入政府采购品目清单中的优先采购产品并具有有效的环境标志产品认证证书，每项产品得0.5分，满分0.5分（以有效的环境标志产品认证证书复印件为准，招标文件中有强制要求的除外）。</w:t>
            </w:r>
          </w:p>
        </w:tc>
      </w:tr>
      <w:tr w14:paraId="2329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7" w:type="dxa"/>
            <w:gridSpan w:val="5"/>
            <w:vAlign w:val="center"/>
          </w:tcPr>
          <w:p w14:paraId="4BFFDA94">
            <w:pPr>
              <w:pStyle w:val="26"/>
              <w:spacing w:line="340" w:lineRule="exact"/>
              <w:rPr>
                <w:rFonts w:hint="eastAsia" w:ascii="宋体" w:hAnsi="宋体" w:eastAsia="宋体" w:cs="宋体"/>
                <w:bCs/>
                <w:color w:val="auto"/>
                <w:kern w:val="2"/>
                <w:sz w:val="21"/>
                <w:highlight w:val="none"/>
              </w:rPr>
            </w:pPr>
            <w:r>
              <w:rPr>
                <w:rFonts w:hint="eastAsia" w:ascii="宋体" w:hAnsi="宋体" w:eastAsia="宋体" w:cs="宋体"/>
                <w:b/>
                <w:bCs/>
                <w:color w:val="auto"/>
                <w:kern w:val="2"/>
                <w:sz w:val="21"/>
                <w:highlight w:val="none"/>
              </w:rPr>
              <w:t>总得分=1+2+3。</w:t>
            </w:r>
          </w:p>
        </w:tc>
      </w:tr>
    </w:tbl>
    <w:p w14:paraId="2A8E2CFA">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注：1.计分方法按四舍五入取至百分位；</w:t>
      </w:r>
    </w:p>
    <w:p w14:paraId="6F9C5AE6">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2.因落实政府采购政策进行价格调整的，以调整后的价格计算评标基准价和投标报价。</w:t>
      </w:r>
    </w:p>
    <w:p w14:paraId="740C4B4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DBB47DF">
      <w:pPr>
        <w:pStyle w:val="6"/>
        <w:keepNext w:val="0"/>
        <w:keepLines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四、中标候选人推荐原则</w:t>
      </w:r>
    </w:p>
    <w:p w14:paraId="4B1A1249">
      <w:pPr>
        <w:pStyle w:val="26"/>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6E4DEE88">
      <w:pPr>
        <w:pStyle w:val="26"/>
        <w:spacing w:line="360" w:lineRule="auto"/>
        <w:ind w:firstLine="400" w:firstLineChars="200"/>
        <w:contextualSpacing/>
        <w:rPr>
          <w:rFonts w:hAnsi="宋体"/>
          <w:color w:val="auto"/>
          <w:highlight w:val="none"/>
        </w:rPr>
      </w:pPr>
      <w:r>
        <w:rPr>
          <w:rFonts w:hint="eastAsia" w:hAnsi="宋体"/>
          <w:color w:val="auto"/>
          <w:highlight w:val="none"/>
        </w:rPr>
        <w:t>（2）商务技术评审因素为客观评分项的，应在评分项目或评分标准中予以标注为‘客观分’。对投标人的客观评分项目，各评标专家评分应当一致。</w:t>
      </w:r>
    </w:p>
    <w:p w14:paraId="663B73C9">
      <w:pPr>
        <w:pStyle w:val="26"/>
        <w:spacing w:line="360" w:lineRule="auto"/>
        <w:ind w:firstLine="420" w:firstLineChars="200"/>
        <w:contextualSpacing/>
        <w:rPr>
          <w:rFonts w:hint="eastAsia" w:ascii="宋体" w:hAnsi="宋体" w:eastAsia="宋体" w:cs="宋体"/>
          <w:color w:val="auto"/>
          <w:sz w:val="21"/>
          <w:highlight w:val="none"/>
        </w:rPr>
      </w:pPr>
    </w:p>
    <w:p w14:paraId="57E0BC79">
      <w:pPr>
        <w:pStyle w:val="6"/>
        <w:keepNext w:val="0"/>
        <w:keepLines w:val="0"/>
        <w:jc w:val="center"/>
        <w:rPr>
          <w:rFonts w:hint="eastAsia" w:ascii="宋体" w:hAnsi="宋体" w:eastAsia="宋体" w:cs="宋体"/>
          <w:color w:val="auto"/>
          <w:sz w:val="30"/>
          <w:szCs w:val="30"/>
          <w:highlight w:val="none"/>
        </w:rPr>
      </w:pPr>
      <w:bookmarkStart w:id="142" w:name="_Toc80093008"/>
      <w:r>
        <w:rPr>
          <w:rFonts w:hint="eastAsia" w:ascii="宋体" w:hAnsi="宋体" w:eastAsia="宋体" w:cs="宋体"/>
          <w:color w:val="auto"/>
          <w:sz w:val="30"/>
          <w:szCs w:val="30"/>
          <w:highlight w:val="none"/>
        </w:rPr>
        <w:t>第五节 评标报告</w:t>
      </w:r>
      <w:bookmarkEnd w:id="142"/>
    </w:p>
    <w:p w14:paraId="3B9FC26E">
      <w:pPr>
        <w:pStyle w:val="130"/>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7610E863">
      <w:pPr>
        <w:ind w:firstLine="420" w:firstLineChars="200"/>
        <w:rPr>
          <w:rFonts w:hint="eastAsia"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0D8730F1">
      <w:pPr>
        <w:ind w:firstLine="420" w:firstLineChars="200"/>
        <w:rPr>
          <w:color w:val="auto"/>
          <w:highlight w:val="none"/>
        </w:rPr>
      </w:pPr>
      <w:r>
        <w:rPr>
          <w:rFonts w:hint="eastAsia"/>
          <w:bCs/>
          <w:color w:val="auto"/>
          <w:kern w:val="0"/>
          <w:szCs w:val="21"/>
          <w:highlight w:val="none"/>
        </w:rPr>
        <w:t>采购人应当确定评审委员会推荐排名第一的中标候选人为中标人。排名第一的中标候选人放弃中标、因不可抗力或者自身原因提出不能履行合同，采购人可以确定排名第二的中标候选人为中标人。排名第二的中标候选人因前款规定的同样原因不能签订合同的，采购人、采购代理机构可以确定排名第三的中标候选人为中标人，采购人也可以决定重新采购。对采购过程、中标结果提出的质疑，合格供应商符合法定数量时，可以从合格的中标候选人中另行确定中标供应商的，应当依法另行确定中标供应商；否则应当重新开展采购活动。</w:t>
      </w:r>
    </w:p>
    <w:p w14:paraId="68C9B400">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1AEBD54A">
      <w:pPr>
        <w:pStyle w:val="26"/>
        <w:tabs>
          <w:tab w:val="left" w:pos="2472"/>
        </w:tabs>
        <w:spacing w:line="360" w:lineRule="auto"/>
        <w:ind w:firstLine="40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B17610C">
      <w:pPr>
        <w:pStyle w:val="26"/>
        <w:tabs>
          <w:tab w:val="left" w:pos="2472"/>
        </w:tabs>
        <w:spacing w:line="460" w:lineRule="exact"/>
        <w:rPr>
          <w:rFonts w:ascii="Times New Roman" w:hAnsi="Times New Roman"/>
          <w:b/>
          <w:color w:val="auto"/>
          <w:sz w:val="36"/>
          <w:highlight w:val="none"/>
        </w:rPr>
        <w:sectPr>
          <w:pgSz w:w="11906" w:h="16838"/>
          <w:pgMar w:top="1361" w:right="1361" w:bottom="1361" w:left="1361" w:header="720" w:footer="720" w:gutter="0"/>
          <w:pgNumType w:fmt="decimal"/>
          <w:cols w:space="720" w:num="1"/>
          <w:rtlGutter w:val="0"/>
          <w:docGrid w:type="lines" w:linePitch="331" w:charSpace="0"/>
        </w:sectPr>
      </w:pPr>
    </w:p>
    <w:p w14:paraId="7426973A">
      <w:pPr>
        <w:pStyle w:val="5"/>
        <w:keepNext w:val="0"/>
        <w:keepLines w:val="0"/>
        <w:jc w:val="center"/>
        <w:rPr>
          <w:rFonts w:hint="eastAsia" w:ascii="宋体" w:hAnsi="宋体" w:eastAsia="宋体" w:cs="宋体"/>
          <w:color w:val="auto"/>
          <w:highlight w:val="none"/>
        </w:rPr>
      </w:pPr>
    </w:p>
    <w:p w14:paraId="681CCC49">
      <w:pPr>
        <w:pStyle w:val="5"/>
        <w:keepNext w:val="0"/>
        <w:keepLines w:val="0"/>
        <w:jc w:val="center"/>
        <w:rPr>
          <w:rFonts w:hint="eastAsia" w:ascii="宋体" w:hAnsi="宋体" w:eastAsia="宋体" w:cs="宋体"/>
          <w:color w:val="auto"/>
          <w:highlight w:val="none"/>
        </w:rPr>
      </w:pPr>
    </w:p>
    <w:p w14:paraId="543786B9">
      <w:pPr>
        <w:pStyle w:val="5"/>
        <w:keepNext w:val="0"/>
        <w:keepLines w:val="0"/>
        <w:jc w:val="center"/>
        <w:rPr>
          <w:rFonts w:hint="eastAsia" w:ascii="宋体" w:hAnsi="宋体" w:eastAsia="宋体" w:cs="宋体"/>
          <w:color w:val="auto"/>
          <w:highlight w:val="none"/>
        </w:rPr>
      </w:pPr>
    </w:p>
    <w:p w14:paraId="4488553E">
      <w:pPr>
        <w:pStyle w:val="5"/>
        <w:keepNext w:val="0"/>
        <w:keepLines w:val="0"/>
        <w:jc w:val="center"/>
        <w:rPr>
          <w:rFonts w:hint="eastAsia" w:ascii="宋体" w:hAnsi="宋体" w:eastAsia="宋体" w:cs="宋体"/>
          <w:color w:val="auto"/>
          <w:highlight w:val="none"/>
        </w:rPr>
      </w:pPr>
    </w:p>
    <w:p w14:paraId="6154CE29">
      <w:pPr>
        <w:pStyle w:val="4"/>
        <w:jc w:val="center"/>
        <w:rPr>
          <w:rFonts w:hint="eastAsia" w:ascii="宋体" w:hAnsi="宋体" w:eastAsia="宋体" w:cs="宋体"/>
          <w:color w:val="auto"/>
          <w:highlight w:val="none"/>
        </w:rPr>
      </w:pPr>
      <w:bookmarkStart w:id="143" w:name="_Toc1071"/>
      <w:bookmarkStart w:id="144" w:name="_Toc1985"/>
      <w:r>
        <w:rPr>
          <w:rFonts w:hint="eastAsia" w:ascii="宋体" w:hAnsi="宋体" w:eastAsia="宋体" w:cs="宋体"/>
          <w:color w:val="auto"/>
          <w:highlight w:val="none"/>
        </w:rPr>
        <w:t>第五章  拟签订的合同文本</w:t>
      </w:r>
      <w:bookmarkEnd w:id="143"/>
      <w:bookmarkEnd w:id="144"/>
    </w:p>
    <w:p w14:paraId="3B9F3D0C">
      <w:pPr>
        <w:snapToGrid w:val="0"/>
        <w:jc w:val="center"/>
        <w:rPr>
          <w:rFonts w:hint="eastAsia" w:ascii="宋体" w:hAnsi="宋体" w:eastAsia="宋体" w:cs="宋体"/>
          <w:bCs/>
          <w:color w:val="auto"/>
          <w:sz w:val="32"/>
          <w:szCs w:val="32"/>
          <w:highlight w:val="none"/>
        </w:rPr>
      </w:pPr>
    </w:p>
    <w:p w14:paraId="019842DC">
      <w:pPr>
        <w:snapToGrid w:val="0"/>
        <w:jc w:val="center"/>
        <w:rPr>
          <w:rFonts w:hint="eastAsia" w:ascii="宋体" w:hAnsi="宋体" w:eastAsia="宋体" w:cs="宋体"/>
          <w:bCs/>
          <w:color w:val="auto"/>
          <w:sz w:val="32"/>
          <w:szCs w:val="32"/>
          <w:highlight w:val="none"/>
        </w:rPr>
      </w:pPr>
    </w:p>
    <w:p w14:paraId="2D8A717A">
      <w:pPr>
        <w:snapToGrid w:val="0"/>
        <w:jc w:val="center"/>
        <w:rPr>
          <w:rFonts w:hint="eastAsia" w:ascii="宋体" w:hAnsi="宋体" w:eastAsia="宋体" w:cs="宋体"/>
          <w:bCs/>
          <w:color w:val="auto"/>
          <w:sz w:val="32"/>
          <w:szCs w:val="32"/>
          <w:highlight w:val="none"/>
        </w:rPr>
      </w:pPr>
    </w:p>
    <w:p w14:paraId="0AF3FA77">
      <w:pPr>
        <w:snapToGrid w:val="0"/>
        <w:jc w:val="center"/>
        <w:rPr>
          <w:rFonts w:hint="eastAsia" w:ascii="宋体" w:hAnsi="宋体" w:eastAsia="宋体" w:cs="宋体"/>
          <w:bCs/>
          <w:color w:val="auto"/>
          <w:sz w:val="32"/>
          <w:szCs w:val="32"/>
          <w:highlight w:val="none"/>
        </w:rPr>
      </w:pPr>
    </w:p>
    <w:p w14:paraId="75DECF8C">
      <w:pPr>
        <w:snapToGrid w:val="0"/>
        <w:jc w:val="center"/>
        <w:rPr>
          <w:rFonts w:hint="eastAsia" w:ascii="宋体" w:hAnsi="宋体" w:eastAsia="宋体" w:cs="宋体"/>
          <w:bCs/>
          <w:color w:val="auto"/>
          <w:sz w:val="32"/>
          <w:szCs w:val="32"/>
          <w:highlight w:val="none"/>
        </w:rPr>
      </w:pPr>
    </w:p>
    <w:p w14:paraId="3A54530F">
      <w:pPr>
        <w:snapToGrid w:val="0"/>
        <w:jc w:val="center"/>
        <w:rPr>
          <w:rFonts w:hint="eastAsia" w:ascii="宋体" w:hAnsi="宋体" w:eastAsia="宋体" w:cs="宋体"/>
          <w:bCs/>
          <w:color w:val="auto"/>
          <w:sz w:val="32"/>
          <w:szCs w:val="32"/>
          <w:highlight w:val="none"/>
        </w:rPr>
      </w:pPr>
    </w:p>
    <w:p w14:paraId="085F2C69">
      <w:pPr>
        <w:snapToGrid w:val="0"/>
        <w:jc w:val="center"/>
        <w:rPr>
          <w:rFonts w:hint="eastAsia" w:ascii="宋体" w:hAnsi="宋体" w:eastAsia="宋体" w:cs="宋体"/>
          <w:bCs/>
          <w:color w:val="auto"/>
          <w:sz w:val="32"/>
          <w:szCs w:val="32"/>
          <w:highlight w:val="none"/>
        </w:rPr>
      </w:pPr>
    </w:p>
    <w:p w14:paraId="4A1CC8F3">
      <w:pPr>
        <w:snapToGrid w:val="0"/>
        <w:jc w:val="center"/>
        <w:rPr>
          <w:rFonts w:hint="eastAsia" w:ascii="宋体" w:hAnsi="宋体" w:eastAsia="宋体" w:cs="宋体"/>
          <w:bCs/>
          <w:color w:val="auto"/>
          <w:sz w:val="32"/>
          <w:szCs w:val="32"/>
          <w:highlight w:val="none"/>
        </w:rPr>
      </w:pPr>
    </w:p>
    <w:p w14:paraId="05A6AF47">
      <w:pPr>
        <w:snapToGrid w:val="0"/>
        <w:jc w:val="center"/>
        <w:rPr>
          <w:rFonts w:hint="eastAsia" w:ascii="宋体" w:hAnsi="宋体" w:eastAsia="宋体" w:cs="宋体"/>
          <w:bCs/>
          <w:color w:val="auto"/>
          <w:sz w:val="32"/>
          <w:szCs w:val="32"/>
          <w:highlight w:val="none"/>
        </w:rPr>
      </w:pPr>
    </w:p>
    <w:p w14:paraId="38B31D79">
      <w:pPr>
        <w:snapToGrid w:val="0"/>
        <w:jc w:val="center"/>
        <w:rPr>
          <w:rFonts w:hint="eastAsia" w:ascii="宋体" w:hAnsi="宋体" w:eastAsia="宋体" w:cs="宋体"/>
          <w:bCs/>
          <w:color w:val="auto"/>
          <w:sz w:val="32"/>
          <w:szCs w:val="32"/>
          <w:highlight w:val="none"/>
        </w:rPr>
      </w:pPr>
    </w:p>
    <w:p w14:paraId="2D5632B7">
      <w:pPr>
        <w:snapToGrid w:val="0"/>
        <w:jc w:val="center"/>
        <w:rPr>
          <w:rFonts w:hint="eastAsia" w:ascii="宋体" w:hAnsi="宋体" w:eastAsia="宋体" w:cs="宋体"/>
          <w:bCs/>
          <w:color w:val="auto"/>
          <w:sz w:val="32"/>
          <w:szCs w:val="32"/>
          <w:highlight w:val="none"/>
        </w:rPr>
      </w:pPr>
    </w:p>
    <w:p w14:paraId="60D58EDB">
      <w:pPr>
        <w:snapToGrid w:val="0"/>
        <w:jc w:val="center"/>
        <w:rPr>
          <w:rFonts w:hint="eastAsia" w:ascii="宋体" w:hAnsi="宋体" w:eastAsia="宋体" w:cs="宋体"/>
          <w:bCs/>
          <w:color w:val="auto"/>
          <w:sz w:val="32"/>
          <w:szCs w:val="32"/>
          <w:highlight w:val="none"/>
        </w:rPr>
      </w:pPr>
    </w:p>
    <w:p w14:paraId="2ADD15B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Cs/>
          <w:color w:val="auto"/>
          <w:sz w:val="32"/>
          <w:szCs w:val="32"/>
          <w:highlight w:val="none"/>
        </w:rPr>
        <w:br w:type="page"/>
      </w:r>
      <w:bookmarkStart w:id="145" w:name="_Hlk55381736"/>
      <w:r>
        <w:rPr>
          <w:rFonts w:hint="eastAsia" w:ascii="宋体" w:hAnsi="宋体" w:eastAsia="宋体" w:cs="宋体"/>
          <w:b/>
          <w:bCs/>
          <w:color w:val="auto"/>
          <w:sz w:val="32"/>
          <w:szCs w:val="32"/>
          <w:highlight w:val="none"/>
        </w:rPr>
        <w:t>政府采购合同</w:t>
      </w:r>
      <w:r>
        <w:rPr>
          <w:rFonts w:hint="eastAsia" w:ascii="宋体" w:hAnsi="宋体" w:eastAsia="宋体" w:cs="宋体"/>
          <w:b/>
          <w:color w:val="auto"/>
          <w:sz w:val="32"/>
          <w:szCs w:val="32"/>
          <w:highlight w:val="none"/>
        </w:rPr>
        <w:t>文本</w:t>
      </w:r>
    </w:p>
    <w:p w14:paraId="5DF900F2">
      <w:pPr>
        <w:snapToGrid w:val="0"/>
        <w:spacing w:line="400" w:lineRule="exact"/>
        <w:ind w:right="480" w:firstLine="7770" w:firstLineChars="37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14:paraId="10341F9C">
      <w:pPr>
        <w:snapToGrid w:val="0"/>
        <w:spacing w:line="360" w:lineRule="exact"/>
        <w:rPr>
          <w:rFonts w:hint="eastAsia" w:ascii="宋体" w:hAnsi="宋体" w:eastAsia="宋体" w:cs="宋体"/>
          <w:color w:val="auto"/>
          <w:szCs w:val="21"/>
          <w:highlight w:val="none"/>
        </w:rPr>
      </w:pPr>
    </w:p>
    <w:p w14:paraId="33C4050A">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pacing w:val="-20"/>
          <w:szCs w:val="21"/>
          <w:highlight w:val="none"/>
        </w:rPr>
        <w:t>采 购 计 划 号</w:t>
      </w:r>
    </w:p>
    <w:p w14:paraId="7B310027">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 应 商（乙方）项 目</w:t>
      </w:r>
      <w:r>
        <w:rPr>
          <w:rFonts w:hint="eastAsia" w:ascii="宋体" w:hAnsi="宋体" w:eastAsia="宋体" w:cs="宋体"/>
          <w:color w:val="auto"/>
          <w:spacing w:val="-20"/>
          <w:szCs w:val="21"/>
          <w:highlight w:val="none"/>
        </w:rPr>
        <w:t xml:space="preserve">  编  号</w:t>
      </w:r>
    </w:p>
    <w:p w14:paraId="0D7FAEA0">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  订  地  点  签 订 时 间</w:t>
      </w:r>
    </w:p>
    <w:p w14:paraId="4CA95E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本合同为中小企业预留合同：</w:t>
      </w:r>
      <w:r>
        <w:rPr>
          <w:rFonts w:hint="eastAsia" w:ascii="宋体" w:hAnsi="宋体" w:eastAsia="宋体" w:cs="宋体"/>
          <w:color w:val="auto"/>
          <w:szCs w:val="21"/>
          <w:highlight w:val="none"/>
          <w:u w:val="single"/>
        </w:rPr>
        <w:t>（是/否）</w:t>
      </w:r>
      <w:r>
        <w:rPr>
          <w:rFonts w:hint="eastAsia" w:ascii="宋体" w:hAnsi="宋体" w:eastAsia="宋体" w:cs="宋体"/>
          <w:color w:val="auto"/>
          <w:szCs w:val="21"/>
          <w:highlight w:val="none"/>
        </w:rPr>
        <w:t>。</w:t>
      </w:r>
    </w:p>
    <w:p w14:paraId="54D5437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根据《中华人民共和国政府采购法》、《中华人民共和国民法典》等法律、法规规定，按照招标文件规定条款和中标供应商承诺，甲乙双方签订本合同。</w:t>
      </w:r>
    </w:p>
    <w:p w14:paraId="6BB708E2">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14:paraId="4E69AAE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1.供货一览表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292"/>
        <w:gridCol w:w="1210"/>
        <w:gridCol w:w="908"/>
        <w:gridCol w:w="908"/>
        <w:gridCol w:w="668"/>
        <w:gridCol w:w="947"/>
        <w:gridCol w:w="1189"/>
      </w:tblGrid>
      <w:tr w14:paraId="3FEC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40ED2EF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33" w:type="dxa"/>
            <w:vAlign w:val="center"/>
          </w:tcPr>
          <w:p w14:paraId="18EA663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2292" w:type="dxa"/>
            <w:vAlign w:val="center"/>
          </w:tcPr>
          <w:p w14:paraId="1423005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品牌、规格型号</w:t>
            </w:r>
          </w:p>
        </w:tc>
        <w:tc>
          <w:tcPr>
            <w:tcW w:w="1210" w:type="dxa"/>
            <w:vAlign w:val="center"/>
          </w:tcPr>
          <w:p w14:paraId="2354883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生产厂家</w:t>
            </w:r>
          </w:p>
        </w:tc>
        <w:tc>
          <w:tcPr>
            <w:tcW w:w="908" w:type="dxa"/>
            <w:vAlign w:val="center"/>
          </w:tcPr>
          <w:p w14:paraId="2BA56A0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908" w:type="dxa"/>
            <w:vAlign w:val="center"/>
          </w:tcPr>
          <w:p w14:paraId="5B40F6C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668" w:type="dxa"/>
            <w:vAlign w:val="center"/>
          </w:tcPr>
          <w:p w14:paraId="0D779B3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947" w:type="dxa"/>
            <w:vAlign w:val="center"/>
          </w:tcPr>
          <w:p w14:paraId="4F7E6AC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价</w:t>
            </w:r>
          </w:p>
          <w:p w14:paraId="20DAF45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1189" w:type="dxa"/>
            <w:vAlign w:val="center"/>
          </w:tcPr>
          <w:p w14:paraId="0F39334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p w14:paraId="00DAED5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r>
      <w:tr w14:paraId="3542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3CBEDC7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3" w:type="dxa"/>
            <w:vAlign w:val="center"/>
          </w:tcPr>
          <w:p w14:paraId="29B5AD95">
            <w:pPr>
              <w:snapToGrid w:val="0"/>
              <w:spacing w:line="360" w:lineRule="auto"/>
              <w:jc w:val="center"/>
              <w:rPr>
                <w:rFonts w:hint="eastAsia" w:ascii="宋体" w:hAnsi="宋体" w:eastAsia="宋体" w:cs="宋体"/>
                <w:color w:val="auto"/>
                <w:szCs w:val="21"/>
                <w:highlight w:val="none"/>
              </w:rPr>
            </w:pPr>
          </w:p>
        </w:tc>
        <w:tc>
          <w:tcPr>
            <w:tcW w:w="2292" w:type="dxa"/>
            <w:vAlign w:val="center"/>
          </w:tcPr>
          <w:p w14:paraId="0B723D54">
            <w:pPr>
              <w:snapToGrid w:val="0"/>
              <w:spacing w:line="360" w:lineRule="auto"/>
              <w:jc w:val="center"/>
              <w:rPr>
                <w:rFonts w:hint="eastAsia" w:ascii="宋体" w:hAnsi="宋体" w:eastAsia="宋体" w:cs="宋体"/>
                <w:color w:val="auto"/>
                <w:szCs w:val="21"/>
                <w:highlight w:val="none"/>
              </w:rPr>
            </w:pPr>
          </w:p>
        </w:tc>
        <w:tc>
          <w:tcPr>
            <w:tcW w:w="1210" w:type="dxa"/>
          </w:tcPr>
          <w:p w14:paraId="5D847598">
            <w:pPr>
              <w:snapToGrid w:val="0"/>
              <w:spacing w:line="360" w:lineRule="auto"/>
              <w:jc w:val="center"/>
              <w:rPr>
                <w:rFonts w:hint="eastAsia" w:ascii="宋体" w:hAnsi="宋体" w:eastAsia="宋体" w:cs="宋体"/>
                <w:color w:val="auto"/>
                <w:szCs w:val="21"/>
                <w:highlight w:val="none"/>
              </w:rPr>
            </w:pPr>
          </w:p>
        </w:tc>
        <w:tc>
          <w:tcPr>
            <w:tcW w:w="908" w:type="dxa"/>
          </w:tcPr>
          <w:p w14:paraId="767FA42F">
            <w:pPr>
              <w:snapToGrid w:val="0"/>
              <w:spacing w:line="360" w:lineRule="auto"/>
              <w:jc w:val="center"/>
              <w:rPr>
                <w:rFonts w:hint="eastAsia" w:ascii="宋体" w:hAnsi="宋体" w:eastAsia="宋体" w:cs="宋体"/>
                <w:color w:val="auto"/>
                <w:szCs w:val="21"/>
                <w:highlight w:val="none"/>
              </w:rPr>
            </w:pPr>
          </w:p>
        </w:tc>
        <w:tc>
          <w:tcPr>
            <w:tcW w:w="908" w:type="dxa"/>
          </w:tcPr>
          <w:p w14:paraId="5D02AA5F">
            <w:pPr>
              <w:snapToGrid w:val="0"/>
              <w:spacing w:line="360" w:lineRule="auto"/>
              <w:jc w:val="center"/>
              <w:rPr>
                <w:rFonts w:hint="eastAsia" w:ascii="宋体" w:hAnsi="宋体" w:eastAsia="宋体" w:cs="宋体"/>
                <w:color w:val="auto"/>
                <w:szCs w:val="21"/>
                <w:highlight w:val="none"/>
              </w:rPr>
            </w:pPr>
          </w:p>
        </w:tc>
        <w:tc>
          <w:tcPr>
            <w:tcW w:w="668" w:type="dxa"/>
          </w:tcPr>
          <w:p w14:paraId="0F60EC0C">
            <w:pPr>
              <w:snapToGrid w:val="0"/>
              <w:spacing w:line="360" w:lineRule="auto"/>
              <w:jc w:val="center"/>
              <w:rPr>
                <w:rFonts w:hint="eastAsia" w:ascii="宋体" w:hAnsi="宋体" w:eastAsia="宋体" w:cs="宋体"/>
                <w:color w:val="auto"/>
                <w:szCs w:val="21"/>
                <w:highlight w:val="none"/>
              </w:rPr>
            </w:pPr>
          </w:p>
        </w:tc>
        <w:tc>
          <w:tcPr>
            <w:tcW w:w="947" w:type="dxa"/>
            <w:vAlign w:val="center"/>
          </w:tcPr>
          <w:p w14:paraId="6C91B7A9">
            <w:pPr>
              <w:snapToGrid w:val="0"/>
              <w:spacing w:line="360" w:lineRule="auto"/>
              <w:jc w:val="center"/>
              <w:rPr>
                <w:rFonts w:hint="eastAsia" w:ascii="宋体" w:hAnsi="宋体" w:eastAsia="宋体" w:cs="宋体"/>
                <w:color w:val="auto"/>
                <w:szCs w:val="21"/>
                <w:highlight w:val="none"/>
              </w:rPr>
            </w:pPr>
          </w:p>
        </w:tc>
        <w:tc>
          <w:tcPr>
            <w:tcW w:w="1189" w:type="dxa"/>
            <w:vAlign w:val="center"/>
          </w:tcPr>
          <w:p w14:paraId="1C553DDF">
            <w:pPr>
              <w:snapToGrid w:val="0"/>
              <w:spacing w:line="360" w:lineRule="auto"/>
              <w:jc w:val="center"/>
              <w:rPr>
                <w:rFonts w:hint="eastAsia" w:ascii="宋体" w:hAnsi="宋体" w:eastAsia="宋体" w:cs="宋体"/>
                <w:color w:val="auto"/>
                <w:szCs w:val="21"/>
                <w:highlight w:val="none"/>
              </w:rPr>
            </w:pPr>
          </w:p>
        </w:tc>
      </w:tr>
      <w:tr w14:paraId="00DC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04CD049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33" w:type="dxa"/>
            <w:vAlign w:val="center"/>
          </w:tcPr>
          <w:p w14:paraId="159912A6">
            <w:pPr>
              <w:snapToGrid w:val="0"/>
              <w:spacing w:line="360" w:lineRule="auto"/>
              <w:jc w:val="center"/>
              <w:rPr>
                <w:rFonts w:hint="eastAsia" w:ascii="宋体" w:hAnsi="宋体" w:eastAsia="宋体" w:cs="宋体"/>
                <w:color w:val="auto"/>
                <w:szCs w:val="21"/>
                <w:highlight w:val="none"/>
              </w:rPr>
            </w:pPr>
          </w:p>
        </w:tc>
        <w:tc>
          <w:tcPr>
            <w:tcW w:w="2292" w:type="dxa"/>
            <w:vAlign w:val="center"/>
          </w:tcPr>
          <w:p w14:paraId="07EC1EF3">
            <w:pPr>
              <w:snapToGrid w:val="0"/>
              <w:spacing w:line="360" w:lineRule="auto"/>
              <w:jc w:val="center"/>
              <w:rPr>
                <w:rFonts w:hint="eastAsia" w:ascii="宋体" w:hAnsi="宋体" w:eastAsia="宋体" w:cs="宋体"/>
                <w:color w:val="auto"/>
                <w:szCs w:val="21"/>
                <w:highlight w:val="none"/>
              </w:rPr>
            </w:pPr>
          </w:p>
        </w:tc>
        <w:tc>
          <w:tcPr>
            <w:tcW w:w="1210" w:type="dxa"/>
          </w:tcPr>
          <w:p w14:paraId="6B4EAC58">
            <w:pPr>
              <w:snapToGrid w:val="0"/>
              <w:spacing w:line="360" w:lineRule="auto"/>
              <w:jc w:val="center"/>
              <w:rPr>
                <w:rFonts w:hint="eastAsia" w:ascii="宋体" w:hAnsi="宋体" w:eastAsia="宋体" w:cs="宋体"/>
                <w:color w:val="auto"/>
                <w:szCs w:val="21"/>
                <w:highlight w:val="none"/>
              </w:rPr>
            </w:pPr>
          </w:p>
        </w:tc>
        <w:tc>
          <w:tcPr>
            <w:tcW w:w="908" w:type="dxa"/>
          </w:tcPr>
          <w:p w14:paraId="03001C51">
            <w:pPr>
              <w:snapToGrid w:val="0"/>
              <w:spacing w:line="360" w:lineRule="auto"/>
              <w:jc w:val="center"/>
              <w:rPr>
                <w:rFonts w:hint="eastAsia" w:ascii="宋体" w:hAnsi="宋体" w:eastAsia="宋体" w:cs="宋体"/>
                <w:color w:val="auto"/>
                <w:szCs w:val="21"/>
                <w:highlight w:val="none"/>
              </w:rPr>
            </w:pPr>
          </w:p>
        </w:tc>
        <w:tc>
          <w:tcPr>
            <w:tcW w:w="908" w:type="dxa"/>
          </w:tcPr>
          <w:p w14:paraId="3A46A442">
            <w:pPr>
              <w:snapToGrid w:val="0"/>
              <w:spacing w:line="360" w:lineRule="auto"/>
              <w:jc w:val="center"/>
              <w:rPr>
                <w:rFonts w:hint="eastAsia" w:ascii="宋体" w:hAnsi="宋体" w:eastAsia="宋体" w:cs="宋体"/>
                <w:color w:val="auto"/>
                <w:szCs w:val="21"/>
                <w:highlight w:val="none"/>
              </w:rPr>
            </w:pPr>
          </w:p>
        </w:tc>
        <w:tc>
          <w:tcPr>
            <w:tcW w:w="668" w:type="dxa"/>
          </w:tcPr>
          <w:p w14:paraId="59E0B98B">
            <w:pPr>
              <w:snapToGrid w:val="0"/>
              <w:spacing w:line="360" w:lineRule="auto"/>
              <w:jc w:val="center"/>
              <w:rPr>
                <w:rFonts w:hint="eastAsia" w:ascii="宋体" w:hAnsi="宋体" w:eastAsia="宋体" w:cs="宋体"/>
                <w:color w:val="auto"/>
                <w:szCs w:val="21"/>
                <w:highlight w:val="none"/>
              </w:rPr>
            </w:pPr>
          </w:p>
        </w:tc>
        <w:tc>
          <w:tcPr>
            <w:tcW w:w="947" w:type="dxa"/>
            <w:vAlign w:val="center"/>
          </w:tcPr>
          <w:p w14:paraId="372E0BB8">
            <w:pPr>
              <w:snapToGrid w:val="0"/>
              <w:spacing w:line="360" w:lineRule="auto"/>
              <w:jc w:val="center"/>
              <w:rPr>
                <w:rFonts w:hint="eastAsia" w:ascii="宋体" w:hAnsi="宋体" w:eastAsia="宋体" w:cs="宋体"/>
                <w:color w:val="auto"/>
                <w:szCs w:val="21"/>
                <w:highlight w:val="none"/>
              </w:rPr>
            </w:pPr>
          </w:p>
        </w:tc>
        <w:tc>
          <w:tcPr>
            <w:tcW w:w="1189" w:type="dxa"/>
            <w:vAlign w:val="center"/>
          </w:tcPr>
          <w:p w14:paraId="6ACEB23B">
            <w:pPr>
              <w:snapToGrid w:val="0"/>
              <w:spacing w:line="360" w:lineRule="auto"/>
              <w:jc w:val="center"/>
              <w:rPr>
                <w:rFonts w:hint="eastAsia" w:ascii="宋体" w:hAnsi="宋体" w:eastAsia="宋体" w:cs="宋体"/>
                <w:color w:val="auto"/>
                <w:szCs w:val="21"/>
                <w:highlight w:val="none"/>
              </w:rPr>
            </w:pPr>
          </w:p>
        </w:tc>
      </w:tr>
      <w:tr w14:paraId="62EC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064" w:type="dxa"/>
            <w:gridSpan w:val="9"/>
            <w:vAlign w:val="center"/>
          </w:tcPr>
          <w:p w14:paraId="257A56C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人民币合计金额（大写）                          （小写）                 </w:t>
            </w:r>
          </w:p>
        </w:tc>
      </w:tr>
    </w:tbl>
    <w:p w14:paraId="0E352854">
      <w:pPr>
        <w:snapToGrid w:val="0"/>
        <w:spacing w:line="360" w:lineRule="auto"/>
        <w:ind w:righ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2.合同合计金额包括服务及货物价款，安装、调试、检验、技术培训及技术资料和包装、运输等全部费用。如招投标文件对其另有规定的，从其规定。</w:t>
      </w:r>
    </w:p>
    <w:p w14:paraId="4BBE0F49">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质量要求</w:t>
      </w:r>
    </w:p>
    <w:p w14:paraId="361E6CB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1.乙方所提供的货物型号、技术规格、技术参数等质量必须与招投标文件和承诺相一致。</w:t>
      </w:r>
    </w:p>
    <w:p w14:paraId="6517243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2.乙方所提供的货物必须是全新、未使用的原装产品，且在正常安装、使用和保养条件下，其使用寿命期内各项指标均达到质量要求。</w:t>
      </w:r>
    </w:p>
    <w:p w14:paraId="38AD195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3.满足乙方在投标文件中对质量承诺和采购人对项目总体要求。</w:t>
      </w:r>
    </w:p>
    <w:p w14:paraId="216091DD">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14:paraId="6B9043B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1.乙方应保证所提供货物在使用时不会侵犯任何第三方的专利权、商标权、工业设计权或其他权利。</w:t>
      </w:r>
    </w:p>
    <w:p w14:paraId="619562A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2.乙方应按招标文件规定的时间向甲方提供使用货物的有关技术资料(包括系统的相关软件)。</w:t>
      </w:r>
    </w:p>
    <w:p w14:paraId="611DC3C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89825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4.乙方保证所交付的货物的所有权完全属于乙方且无任何抵押、质押、查封等产权瑕疵。</w:t>
      </w:r>
    </w:p>
    <w:p w14:paraId="29D51D68">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包装和运输</w:t>
      </w:r>
    </w:p>
    <w:p w14:paraId="307C130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1.乙方提供的货物均应按招标文件规定或者投标文件承诺的要求的包装材料、包装标准、包装方式进行包装，每一包装单元内应附详细的装箱单和质量合格证。</w:t>
      </w:r>
    </w:p>
    <w:p w14:paraId="636E694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2.货物的运输方式：。</w:t>
      </w:r>
    </w:p>
    <w:p w14:paraId="2505A660">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3.乙方负责货物运输，货物运输合理损耗及计算方法：。</w:t>
      </w:r>
    </w:p>
    <w:p w14:paraId="032C9F50">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交付和验收</w:t>
      </w:r>
    </w:p>
    <w:p w14:paraId="3114167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1.交货时间：；交付地点：。</w:t>
      </w:r>
    </w:p>
    <w:p w14:paraId="2EB74F8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2.乙方提供不符合招标文件规定或者投标文件承诺的和本合同规定的货物，甲方有权拒绝接受。</w:t>
      </w:r>
    </w:p>
    <w:p w14:paraId="5E2978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C93127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4.甲方应当在到货（安装、调试完）后七个工作日内进行验收，逾期不验收的，乙方可视同验收合格。验收合格后由甲乙双方签署货物验收单并加盖采购人公章，甲乙双方各执一份。</w:t>
      </w:r>
    </w:p>
    <w:p w14:paraId="69DA3B7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E66FFA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6.甲方对验收有异议的，在验收后五个工作日内以书面形式向乙方提出，乙方应自收到甲方书面异议后日内及时予以解决。</w:t>
      </w:r>
    </w:p>
    <w:p w14:paraId="6B182A9C">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安装和培训</w:t>
      </w:r>
    </w:p>
    <w:p w14:paraId="566A04F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14:paraId="35B48CA1">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2.乙方投标文件承诺负责甲方有关人员的培训。培训时间、地点：</w:t>
      </w:r>
      <w:r>
        <w:rPr>
          <w:rFonts w:hint="eastAsia" w:ascii="宋体" w:hAnsi="宋体" w:eastAsia="宋体" w:cs="宋体"/>
          <w:color w:val="auto"/>
          <w:szCs w:val="21"/>
          <w:highlight w:val="none"/>
          <w:u w:val="single"/>
        </w:rPr>
        <w:t xml:space="preserve">                   。</w:t>
      </w:r>
    </w:p>
    <w:p w14:paraId="279AED57">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售后服务、保修期</w:t>
      </w:r>
    </w:p>
    <w:p w14:paraId="35619BE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1.乙方应按照国家有关法律法规和“三包”规定以及本合同所附的《服务承诺》，为甲方提供售后服务。</w:t>
      </w:r>
    </w:p>
    <w:p w14:paraId="2A3788FC">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2.在保修期内，乙方应对货物出现的质量及安全问题负责处理解决并承担一切费用。</w:t>
      </w:r>
    </w:p>
    <w:p w14:paraId="3B4453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3.上述的货物保修期为年，因人为因素出现的故障不在免费保修范围内。超过保修期的机器设备，终生维修，维修时只收部件成本费。</w:t>
      </w:r>
    </w:p>
    <w:p w14:paraId="352B3A0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4.乙方提供的服务承诺和售后服务及保修期责任等其它具体约定事项。（见合同附件）</w:t>
      </w:r>
    </w:p>
    <w:p w14:paraId="33F6FD6C">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付款方式</w:t>
      </w:r>
    </w:p>
    <w:p w14:paraId="717AAC75">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1</w:t>
      </w:r>
      <w:r>
        <w:rPr>
          <w:rFonts w:hint="eastAsia" w:ascii="宋体" w:hAnsi="宋体" w:eastAsia="宋体" w:cs="宋体"/>
          <w:color w:val="auto"/>
          <w:sz w:val="21"/>
          <w:highlight w:val="none"/>
        </w:rPr>
        <w:t>.当采购数量与实际使用数量不一致时，乙方应根据实际使用量供货，合同的最终结算金额按实际使用量乘以中标单价进行计算，但不得超出合同价的10%。</w:t>
      </w:r>
    </w:p>
    <w:p w14:paraId="1B3580A0">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2.</w:t>
      </w:r>
      <w:r>
        <w:rPr>
          <w:rFonts w:hint="eastAsia" w:ascii="宋体" w:hAnsi="宋体" w:eastAsia="宋体" w:cs="宋体"/>
          <w:color w:val="auto"/>
          <w:sz w:val="21"/>
          <w:highlight w:val="none"/>
        </w:rPr>
        <w:t>付款方式：</w:t>
      </w:r>
    </w:p>
    <w:p w14:paraId="2D002FAE">
      <w:pPr>
        <w:rPr>
          <w:rFonts w:hint="eastAsia" w:ascii="宋体" w:hAnsi="宋体" w:eastAsia="宋体" w:cs="宋体"/>
          <w:color w:val="auto"/>
          <w:highlight w:val="none"/>
        </w:rPr>
      </w:pPr>
      <w:r>
        <w:rPr>
          <w:rFonts w:hint="eastAsia" w:ascii="宋体" w:hAnsi="宋体" w:eastAsia="宋体" w:cs="宋体"/>
          <w:color w:val="auto"/>
          <w:highlight w:val="none"/>
        </w:rPr>
        <w:t xml:space="preserve">    具体详见《第二章  采购需求》付款条件</w:t>
      </w:r>
    </w:p>
    <w:p w14:paraId="0F88E49E">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履约保证金：</w:t>
      </w:r>
    </w:p>
    <w:p w14:paraId="77B7BD8D">
      <w:pPr>
        <w:snapToGrid w:val="0"/>
        <w:spacing w:line="360" w:lineRule="auto"/>
        <w:ind w:left="-61" w:firstLine="5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履约保证金金额：按中标金额的%。即人民币：</w:t>
      </w:r>
      <w:r>
        <w:rPr>
          <w:rFonts w:hint="eastAsia" w:ascii="宋体" w:hAnsi="宋体" w:eastAsia="宋体" w:cs="宋体"/>
          <w:bCs/>
          <w:color w:val="auto"/>
          <w:szCs w:val="21"/>
          <w:highlight w:val="none"/>
          <w:u w:val="single"/>
        </w:rPr>
        <w:t xml:space="preserve">   （¥ ）</w:t>
      </w:r>
      <w:r>
        <w:rPr>
          <w:rFonts w:hint="eastAsia" w:ascii="宋体" w:hAnsi="宋体" w:eastAsia="宋体" w:cs="宋体"/>
          <w:bCs/>
          <w:color w:val="auto"/>
          <w:szCs w:val="21"/>
          <w:highlight w:val="none"/>
        </w:rPr>
        <w:t>。乙方应在合同签订前按中标金额的%向甲方指定账户提交履约保证金，凭履约保证金缴纳凭证签订合同。</w:t>
      </w:r>
    </w:p>
    <w:p w14:paraId="59D130E1">
      <w:pPr>
        <w:snapToGrid w:val="0"/>
        <w:spacing w:line="360" w:lineRule="auto"/>
        <w:ind w:left="-61" w:firstLine="5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履约保证金递交方式：以银行转账、支票、汇票、本票或者金融机构、担保机构出具的保函等非现金方式，银行转账、支票、汇票、本票由乙方直接缴入以下甲方账户：</w:t>
      </w:r>
    </w:p>
    <w:p w14:paraId="17A471A9">
      <w:pPr>
        <w:snapToGrid w:val="0"/>
        <w:spacing w:line="360" w:lineRule="auto"/>
        <w:ind w:left="-61" w:firstLine="51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开户名称：广西壮族自治区林业局</w:t>
      </w:r>
    </w:p>
    <w:p w14:paraId="05FA3780">
      <w:pPr>
        <w:snapToGrid w:val="0"/>
        <w:spacing w:line="360" w:lineRule="auto"/>
        <w:ind w:left="-61" w:firstLine="51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p w14:paraId="69701D8B">
      <w:pPr>
        <w:snapToGrid w:val="0"/>
        <w:spacing w:line="360" w:lineRule="auto"/>
        <w:ind w:left="-61" w:firstLine="514"/>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账号：</w:t>
      </w:r>
    </w:p>
    <w:p w14:paraId="316A88F1">
      <w:pPr>
        <w:snapToGrid w:val="0"/>
        <w:spacing w:line="360" w:lineRule="auto"/>
        <w:ind w:left="-61" w:firstLine="51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注：履约金转账时备注项目名称或项目编号+履约保证金。</w:t>
      </w:r>
    </w:p>
    <w:p w14:paraId="40F1267D">
      <w:pPr>
        <w:snapToGrid w:val="0"/>
        <w:spacing w:line="360" w:lineRule="auto"/>
        <w:ind w:left="-61" w:firstLine="514"/>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履约保证金退付：乙方若不能完全履行合同，履约保证金不返还；乙方若完全履行合同及质量保证义务，且没有任何未解决的质量问题，货到验收合格且质保期满年后乙方凭履约保证金退付申请书和履约保证金汇款（转账）单到甲方办理无息退还手续。</w:t>
      </w:r>
    </w:p>
    <w:p w14:paraId="0222C6FB">
      <w:pPr>
        <w:snapToGrid w:val="0"/>
        <w:spacing w:line="360" w:lineRule="auto"/>
        <w:ind w:left="-61" w:firstLine="51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税费</w:t>
      </w:r>
    </w:p>
    <w:p w14:paraId="7AC92724">
      <w:pPr>
        <w:snapToGrid w:val="0"/>
        <w:spacing w:line="360" w:lineRule="auto"/>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14:paraId="48642DA9">
      <w:pPr>
        <w:snapToGrid w:val="0"/>
        <w:spacing w:line="360" w:lineRule="auto"/>
        <w:ind w:left="-61"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质量保证、质保期</w:t>
      </w:r>
    </w:p>
    <w:p w14:paraId="1AAB7F03">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1.</w:t>
      </w:r>
      <w:r>
        <w:rPr>
          <w:rFonts w:hint="eastAsia" w:ascii="宋体" w:hAnsi="宋体" w:eastAsia="宋体" w:cs="宋体"/>
          <w:color w:val="auto"/>
          <w:sz w:val="21"/>
          <w:highlight w:val="none"/>
        </w:rPr>
        <w:t>乙方应按招标文件规定的产品名称、商标品牌、生产厂家、规格型号、技术参数、质量标准向甲方提供未经使用的全新产品。不符合要求的，根据实际情况，经双方协商，可按以下办法处理：</w:t>
      </w:r>
    </w:p>
    <w:p w14:paraId="7F225EA2">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⑴更换：由乙方承担所发生的全部费用。</w:t>
      </w:r>
    </w:p>
    <w:p w14:paraId="6C9605B3">
      <w:pPr>
        <w:pStyle w:val="26"/>
        <w:snapToGrid w:val="0"/>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⑵贬值处理：由甲乙双方合议定价。</w:t>
      </w:r>
    </w:p>
    <w:p w14:paraId="57E8DA08">
      <w:pPr>
        <w:pStyle w:val="26"/>
        <w:snapToGrid w:val="0"/>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⑶退货处理：乙方应退还甲方支付的合同款，同时应承担该货物的直接费用（运输、保险、检验、货款利息及银行手续费等）。</w:t>
      </w:r>
    </w:p>
    <w:p w14:paraId="4DF6E736">
      <w:pPr>
        <w:pStyle w:val="26"/>
        <w:snapToGrid w:val="0"/>
        <w:spacing w:line="360" w:lineRule="auto"/>
        <w:ind w:firstLine="40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2.货物质保期：</w:t>
      </w:r>
      <w:r>
        <w:rPr>
          <w:rFonts w:hint="eastAsia" w:ascii="宋体" w:hAnsi="宋体" w:eastAsia="宋体" w:cs="宋体"/>
          <w:color w:val="auto"/>
          <w:highlight w:val="none"/>
          <w:u w:val="single"/>
        </w:rPr>
        <w:t xml:space="preserve">                                          。</w:t>
      </w:r>
    </w:p>
    <w:p w14:paraId="7FB171C2">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3.如在使用过程中发生质量问题，乙方在接到甲方通知后到达甲方现场处理的时间（</w:t>
      </w:r>
      <w:r>
        <w:rPr>
          <w:rFonts w:hint="eastAsia" w:ascii="宋体" w:hAnsi="宋体" w:eastAsia="宋体" w:cs="宋体"/>
          <w:color w:val="auto"/>
          <w:sz w:val="21"/>
          <w:highlight w:val="none"/>
          <w:u w:val="single"/>
        </w:rPr>
        <w:t>按投标文件承诺的数据填写</w:t>
      </w:r>
      <w:r>
        <w:rPr>
          <w:rFonts w:hint="eastAsia" w:ascii="宋体" w:hAnsi="宋体" w:eastAsia="宋体" w:cs="宋体"/>
          <w:color w:val="auto"/>
          <w:sz w:val="21"/>
          <w:highlight w:val="none"/>
        </w:rPr>
        <w:t>）小时内。</w:t>
      </w:r>
    </w:p>
    <w:p w14:paraId="54522094">
      <w:pPr>
        <w:snapToGrid w:val="0"/>
        <w:spacing w:line="360" w:lineRule="auto"/>
        <w:ind w:left="-61" w:firstLine="51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  调试和验收</w:t>
      </w:r>
    </w:p>
    <w:p w14:paraId="4669116D">
      <w:pPr>
        <w:pStyle w:val="26"/>
        <w:snapToGrid w:val="0"/>
        <w:spacing w:line="360" w:lineRule="auto"/>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9EC176E">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2.乙方交货前应对产品作出全面检查和对验收文件进行整理，并列出清单，作为甲方收货验收和使用的技术条件依据，检验的结果应随货物交甲方。</w:t>
      </w:r>
    </w:p>
    <w:p w14:paraId="6B281DA7">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3.甲方对乙方提供的货物在使用前进行调试时，乙方需负责安装并培训甲方的使用操作人员，并协助甲方一起调试，直到符合技术要求，甲方才做最终验收。</w:t>
      </w:r>
    </w:p>
    <w:p w14:paraId="43312CDD">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4.对技术复杂的货物，甲方应请国家认可的专业检测机构参与初步验收及最终验收，并由其出具质量检测报告。</w:t>
      </w:r>
    </w:p>
    <w:p w14:paraId="1BE3DCEF">
      <w:pPr>
        <w:snapToGrid w:val="0"/>
        <w:spacing w:line="360" w:lineRule="auto"/>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5. 验收时乙方必须在现场，验收完毕后作出验收结果报告；验收费用按招标文件约定承担方负责。</w:t>
      </w:r>
    </w:p>
    <w:p w14:paraId="077098C9">
      <w:pPr>
        <w:pStyle w:val="26"/>
        <w:snapToGrid w:val="0"/>
        <w:spacing w:line="360" w:lineRule="auto"/>
        <w:ind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第十三条  货物包装、发运及运输</w:t>
      </w:r>
    </w:p>
    <w:p w14:paraId="3285440D">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1.乙方应在货物发运前对其进行满足运输距离、防潮、防震、防锈和防破损装卸等要求包装，以保证货物安全运达甲方指定地点。</w:t>
      </w:r>
    </w:p>
    <w:p w14:paraId="133E5AD6">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 使用说明书（货物属于进口产品的，供货时应同时附上中文使用说明书）、质量检验证明书、随配附件和工具以及清单一并附于货物内。</w:t>
      </w:r>
    </w:p>
    <w:p w14:paraId="0A547386">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3.乙方在货物发运手续办理完毕后二十四小时内或者货到甲方四十八小时前通知甲方，以准备接货。</w:t>
      </w:r>
    </w:p>
    <w:p w14:paraId="34EC4D1D">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4.货物在交付甲方前发生的风险均由乙方负责。</w:t>
      </w:r>
    </w:p>
    <w:p w14:paraId="3FEC2C9D">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5.货物在规</w:t>
      </w:r>
      <w:r>
        <w:rPr>
          <w:rFonts w:hint="eastAsia" w:ascii="宋体" w:hAnsi="宋体" w:eastAsia="宋体" w:cs="宋体"/>
          <w:color w:val="auto"/>
          <w:spacing w:val="-8"/>
          <w:sz w:val="21"/>
          <w:highlight w:val="none"/>
        </w:rPr>
        <w:t>定的交付期限内由乙方送达甲方指定的地点视为交付，乙方同时需通知甲方货物已送达。</w:t>
      </w:r>
    </w:p>
    <w:p w14:paraId="51F8EA95">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违约责任</w:t>
      </w:r>
    </w:p>
    <w:p w14:paraId="52BB1D2A">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39EED5F5">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2.乙方提供的货物如侵犯了第三方合法权益而引发的任何纠纷或者诉讼，均由乙方负责交涉并承担全部责任。</w:t>
      </w:r>
    </w:p>
    <w:p w14:paraId="4F7C5E9D">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3.因包装、运输引起的货物损坏，按质量不合格处罚。</w:t>
      </w:r>
    </w:p>
    <w:p w14:paraId="23938FA1">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4.甲方无故延期接收货物、乙方逾期交货的，每天向对方偿付违约货款额3‰违约金，但违约金累计不得超过违约货款额5%，超过</w:t>
      </w:r>
      <w:r>
        <w:rPr>
          <w:rFonts w:hint="eastAsia" w:ascii="宋体" w:hAnsi="宋体" w:eastAsia="宋体" w:cs="宋体"/>
          <w:color w:val="auto"/>
          <w:sz w:val="21"/>
          <w:highlight w:val="none"/>
          <w:u w:val="single"/>
        </w:rPr>
        <w:t>20</w:t>
      </w:r>
      <w:r>
        <w:rPr>
          <w:rFonts w:hint="eastAsia" w:ascii="宋体" w:hAnsi="宋体" w:eastAsia="宋体" w:cs="宋体"/>
          <w:color w:val="auto"/>
          <w:sz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5EA9D5F8">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 乙方未按本合同和投标文件中规定的服务承诺提供售后服务的，乙方应按本合同合计金额 5%向甲方支付违约金。</w:t>
      </w:r>
    </w:p>
    <w:p w14:paraId="7922DEE8">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 乙方提供的货物在质量保证期内，因设计、工艺或者材料的缺陷和其它质量原因造成的问题，由乙方负责，费用从余款或者履约保证金中扣除，不足另补。</w:t>
      </w:r>
    </w:p>
    <w:p w14:paraId="1EB831EF">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 甲乙双方有其它违约行为的，由违约方向对方支付违约内容涉及货款额的5%，违约内容涉及货款额的5%不足以赔偿经济损失的按实际赔偿。</w:t>
      </w:r>
    </w:p>
    <w:p w14:paraId="6DEC971C">
      <w:pPr>
        <w:pStyle w:val="26"/>
        <w:snapToGrid w:val="0"/>
        <w:spacing w:line="360" w:lineRule="auto"/>
        <w:ind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第十五条  不可抗力事件处理</w:t>
      </w:r>
    </w:p>
    <w:p w14:paraId="5CEAEC71">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1.在合同有效期内，任何一方因不可抗力事件导致不能履行合同，则合同履行期可延长，其延长期与不可抗力影响期相同。</w:t>
      </w:r>
    </w:p>
    <w:p w14:paraId="68EB0597">
      <w:pPr>
        <w:pStyle w:val="2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2.不可抗力事件发生后，应立即通知对方，并寄送有关权威机构出具的证明。</w:t>
      </w:r>
    </w:p>
    <w:p w14:paraId="4B98D6C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14:paraId="5CE41395">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第十六条  合同争议解决</w:t>
      </w:r>
    </w:p>
    <w:p w14:paraId="39D1D01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因货物质量问题发生争议的，应邀请国家认可的质量检测机构对货物质量进行鉴定。货物符合标准的，鉴定费由甲方承担；货物不符合标准的，鉴定费由乙方承担。</w:t>
      </w:r>
    </w:p>
    <w:p w14:paraId="1098119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因履行本合同引起的或者与本合同有关的争议，甲乙双方应首先通过友好协商解决，如果协商不能解决，可向甲方所在地有管辖权的人民法院提起诉讼。</w:t>
      </w:r>
    </w:p>
    <w:p w14:paraId="09DDA87F">
      <w:pPr>
        <w:snapToGrid w:val="0"/>
        <w:spacing w:line="360" w:lineRule="auto"/>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2D82DFD7">
      <w:pPr>
        <w:pStyle w:val="26"/>
        <w:snapToGrid w:val="0"/>
        <w:spacing w:line="360" w:lineRule="auto"/>
        <w:ind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第十七条  合同生效及其它</w:t>
      </w:r>
    </w:p>
    <w:p w14:paraId="110E0E8A">
      <w:pPr>
        <w:pStyle w:val="26"/>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 合同经双方法定代表人或者委托代理人签字并加盖单位公章后生效（委托代理人签字的需后附授权委托书，格式自拟）。</w:t>
      </w:r>
    </w:p>
    <w:p w14:paraId="4C458635">
      <w:pPr>
        <w:pStyle w:val="26"/>
        <w:snapToGrid w:val="0"/>
        <w:spacing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2.合同执行中涉及采购资金和采购内容修改或者补充的，须经财政部门审批，并签书面补充协议报财政部门备案，方可作为主合同不可分割的一部分。</w:t>
      </w:r>
    </w:p>
    <w:p w14:paraId="2FF04E22">
      <w:pPr>
        <w:pStyle w:val="26"/>
        <w:snapToGrid w:val="0"/>
        <w:spacing w:line="360" w:lineRule="auto"/>
        <w:ind w:left="420" w:left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3.本合同未尽事宜，遵照《中华人民共和国民法典》有关条文执行。</w:t>
      </w:r>
    </w:p>
    <w:p w14:paraId="67A6A334">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第十八条　合同的变更、终止与转让</w:t>
      </w:r>
    </w:p>
    <w:p w14:paraId="4463EBA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除《中华人民共和国政府采购法》第五十条规定的情形外，本合同一经签订，甲乙双方不得擅自变更、中止或者终止。</w:t>
      </w:r>
    </w:p>
    <w:p w14:paraId="1A766BC5">
      <w:pPr>
        <w:snapToGrid w:val="0"/>
        <w:spacing w:line="360" w:lineRule="auto"/>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乙方不得擅自转让（无进口资格的供应商委托进口货物除外）其应履行的合同义务。</w:t>
      </w:r>
    </w:p>
    <w:p w14:paraId="6DD0899E">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第十九条　</w:t>
      </w:r>
      <w:r>
        <w:rPr>
          <w:rFonts w:hint="eastAsia" w:ascii="宋体" w:hAnsi="宋体" w:eastAsia="宋体" w:cs="宋体"/>
          <w:color w:val="auto"/>
          <w:spacing w:val="-2"/>
          <w:kern w:val="0"/>
          <w:szCs w:val="21"/>
          <w:highlight w:val="none"/>
        </w:rPr>
        <w:t>本</w:t>
      </w:r>
      <w:r>
        <w:rPr>
          <w:rFonts w:hint="eastAsia" w:ascii="宋体" w:hAnsi="宋体" w:eastAsia="宋体" w:cs="宋体"/>
          <w:color w:val="auto"/>
          <w:kern w:val="0"/>
          <w:szCs w:val="21"/>
          <w:highlight w:val="none"/>
        </w:rPr>
        <w:t>合同书</w:t>
      </w:r>
      <w:r>
        <w:rPr>
          <w:rFonts w:hint="eastAsia" w:ascii="宋体" w:hAnsi="宋体" w:eastAsia="宋体" w:cs="宋体"/>
          <w:color w:val="auto"/>
          <w:spacing w:val="-2"/>
          <w:kern w:val="0"/>
          <w:szCs w:val="21"/>
          <w:highlight w:val="none"/>
        </w:rPr>
        <w:t>与</w:t>
      </w:r>
      <w:r>
        <w:rPr>
          <w:rFonts w:hint="eastAsia" w:ascii="宋体" w:hAnsi="宋体" w:eastAsia="宋体" w:cs="宋体"/>
          <w:color w:val="auto"/>
          <w:kern w:val="0"/>
          <w:szCs w:val="21"/>
          <w:highlight w:val="none"/>
        </w:rPr>
        <w:t>下</w:t>
      </w:r>
      <w:r>
        <w:rPr>
          <w:rFonts w:hint="eastAsia" w:ascii="宋体" w:hAnsi="宋体" w:eastAsia="宋体" w:cs="宋体"/>
          <w:color w:val="auto"/>
          <w:spacing w:val="-2"/>
          <w:kern w:val="0"/>
          <w:szCs w:val="21"/>
          <w:highlight w:val="none"/>
        </w:rPr>
        <w:t>列</w:t>
      </w:r>
      <w:r>
        <w:rPr>
          <w:rFonts w:hint="eastAsia" w:ascii="宋体" w:hAnsi="宋体" w:eastAsia="宋体" w:cs="宋体"/>
          <w:color w:val="auto"/>
          <w:kern w:val="0"/>
          <w:szCs w:val="21"/>
          <w:highlight w:val="none"/>
        </w:rPr>
        <w:t>文</w:t>
      </w:r>
      <w:r>
        <w:rPr>
          <w:rFonts w:hint="eastAsia" w:ascii="宋体" w:hAnsi="宋体" w:eastAsia="宋体" w:cs="宋体"/>
          <w:color w:val="auto"/>
          <w:spacing w:val="-2"/>
          <w:kern w:val="0"/>
          <w:szCs w:val="21"/>
          <w:highlight w:val="none"/>
        </w:rPr>
        <w:t>件一</w:t>
      </w:r>
      <w:r>
        <w:rPr>
          <w:rFonts w:hint="eastAsia" w:ascii="宋体" w:hAnsi="宋体" w:eastAsia="宋体" w:cs="宋体"/>
          <w:color w:val="auto"/>
          <w:kern w:val="0"/>
          <w:szCs w:val="21"/>
          <w:highlight w:val="none"/>
        </w:rPr>
        <w:t>起构</w:t>
      </w:r>
      <w:r>
        <w:rPr>
          <w:rFonts w:hint="eastAsia" w:ascii="宋体" w:hAnsi="宋体" w:eastAsia="宋体" w:cs="宋体"/>
          <w:color w:val="auto"/>
          <w:spacing w:val="-2"/>
          <w:kern w:val="0"/>
          <w:szCs w:val="21"/>
          <w:highlight w:val="none"/>
        </w:rPr>
        <w:t>成</w:t>
      </w:r>
      <w:r>
        <w:rPr>
          <w:rFonts w:hint="eastAsia" w:ascii="宋体" w:hAnsi="宋体" w:eastAsia="宋体" w:cs="宋体"/>
          <w:color w:val="auto"/>
          <w:kern w:val="0"/>
          <w:szCs w:val="21"/>
          <w:highlight w:val="none"/>
        </w:rPr>
        <w:t>合</w:t>
      </w:r>
      <w:r>
        <w:rPr>
          <w:rFonts w:hint="eastAsia" w:ascii="宋体" w:hAnsi="宋体" w:eastAsia="宋体" w:cs="宋体"/>
          <w:color w:val="auto"/>
          <w:spacing w:val="-2"/>
          <w:kern w:val="0"/>
          <w:szCs w:val="21"/>
          <w:highlight w:val="none"/>
        </w:rPr>
        <w:t>同</w:t>
      </w:r>
      <w:r>
        <w:rPr>
          <w:rFonts w:hint="eastAsia" w:ascii="宋体" w:hAnsi="宋体" w:eastAsia="宋体" w:cs="宋体"/>
          <w:color w:val="auto"/>
          <w:kern w:val="0"/>
          <w:szCs w:val="21"/>
          <w:highlight w:val="none"/>
        </w:rPr>
        <w:t>文</w:t>
      </w:r>
      <w:r>
        <w:rPr>
          <w:rFonts w:hint="eastAsia" w:ascii="宋体" w:hAnsi="宋体" w:eastAsia="宋体" w:cs="宋体"/>
          <w:color w:val="auto"/>
          <w:spacing w:val="-2"/>
          <w:kern w:val="0"/>
          <w:szCs w:val="21"/>
          <w:highlight w:val="none"/>
        </w:rPr>
        <w:t>件</w:t>
      </w:r>
    </w:p>
    <w:p w14:paraId="42FC40CD">
      <w:pPr>
        <w:pStyle w:val="26"/>
        <w:snapToGrid w:val="0"/>
        <w:spacing w:line="360" w:lineRule="auto"/>
        <w:ind w:left="420" w:left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1.中标通知书；</w:t>
      </w:r>
    </w:p>
    <w:p w14:paraId="6E7BA077">
      <w:pPr>
        <w:pStyle w:val="26"/>
        <w:snapToGrid w:val="0"/>
        <w:spacing w:line="360" w:lineRule="auto"/>
        <w:ind w:left="420" w:left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2.投标函；</w:t>
      </w:r>
    </w:p>
    <w:p w14:paraId="622E510A">
      <w:pPr>
        <w:pStyle w:val="26"/>
        <w:snapToGrid w:val="0"/>
        <w:spacing w:line="360" w:lineRule="auto"/>
        <w:ind w:left="420" w:left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3.商务要求偏离表和技术要求偏离表；</w:t>
      </w:r>
    </w:p>
    <w:p w14:paraId="66471BBF">
      <w:pPr>
        <w:pStyle w:val="26"/>
        <w:snapToGrid w:val="0"/>
        <w:spacing w:line="360" w:lineRule="auto"/>
        <w:ind w:left="420" w:left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4.采购需求；</w:t>
      </w:r>
    </w:p>
    <w:p w14:paraId="5E9290B5">
      <w:pPr>
        <w:pStyle w:val="26"/>
        <w:snapToGrid w:val="0"/>
        <w:spacing w:line="360" w:lineRule="auto"/>
        <w:ind w:left="420" w:left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5.开标一览表；</w:t>
      </w:r>
    </w:p>
    <w:p w14:paraId="34DA1B2C">
      <w:pPr>
        <w:pStyle w:val="26"/>
        <w:snapToGrid w:val="0"/>
        <w:spacing w:line="360" w:lineRule="auto"/>
        <w:ind w:left="420" w:left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6.设备性能配置清单；</w:t>
      </w:r>
    </w:p>
    <w:p w14:paraId="7544C695">
      <w:pPr>
        <w:pStyle w:val="26"/>
        <w:snapToGrid w:val="0"/>
        <w:spacing w:line="360" w:lineRule="auto"/>
        <w:ind w:left="420" w:left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7.其他合同文件。</w:t>
      </w:r>
    </w:p>
    <w:p w14:paraId="378B3D21">
      <w:pPr>
        <w:pStyle w:val="26"/>
        <w:snapToGrid w:val="0"/>
        <w:spacing w:line="360" w:lineRule="auto"/>
        <w:ind w:left="420" w:leftChars="200"/>
        <w:rPr>
          <w:rFonts w:hint="eastAsia" w:ascii="宋体" w:hAnsi="宋体" w:eastAsia="宋体" w:cs="宋体"/>
          <w:b/>
          <w:color w:val="auto"/>
          <w:sz w:val="21"/>
          <w:highlight w:val="none"/>
        </w:rPr>
      </w:pPr>
      <w:r>
        <w:rPr>
          <w:rFonts w:hint="eastAsia" w:ascii="宋体" w:hAnsi="宋体" w:eastAsia="宋体" w:cs="宋体"/>
          <w:color w:val="auto"/>
          <w:sz w:val="21"/>
          <w:highlight w:val="none"/>
        </w:rPr>
        <w:t>8.上述合同文件互相补充和解释。如果合同文件之间存在矛盾或者不一致之处，以上述文件 的排列顺序在先者为准。</w:t>
      </w:r>
    </w:p>
    <w:p w14:paraId="5B3CE1E2">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第二十条　</w:t>
      </w:r>
      <w:r>
        <w:rPr>
          <w:rFonts w:hint="eastAsia" w:ascii="宋体" w:hAnsi="宋体" w:eastAsia="宋体" w:cs="宋体"/>
          <w:color w:val="auto"/>
          <w:szCs w:val="21"/>
          <w:highlight w:val="none"/>
        </w:rPr>
        <w:t>本合同一式五份，具有同等法律效力，甲乙双方各两份，采购代理机构存一份，（可根据需要另增加）。</w:t>
      </w:r>
    </w:p>
    <w:p w14:paraId="3CC6A562">
      <w:pPr>
        <w:snapToGrid w:val="0"/>
        <w:spacing w:line="360" w:lineRule="auto"/>
        <w:ind w:left="-61" w:firstLine="51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14:paraId="1F1057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p w14:paraId="61A4A604">
      <w:pPr>
        <w:snapToGrid w:val="0"/>
        <w:spacing w:line="360" w:lineRule="auto"/>
        <w:rPr>
          <w:rFonts w:hint="eastAsia" w:ascii="宋体" w:hAnsi="宋体" w:eastAsia="宋体" w:cs="宋体"/>
          <w:color w:val="auto"/>
          <w:szCs w:val="21"/>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B6B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7F12DA5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甲方（章）广西壮族自治区林业局</w:t>
            </w:r>
          </w:p>
          <w:p w14:paraId="69EAD9E9">
            <w:pPr>
              <w:snapToGrid w:val="0"/>
              <w:spacing w:line="360" w:lineRule="auto"/>
              <w:rPr>
                <w:rFonts w:hint="eastAsia" w:ascii="宋体" w:hAnsi="宋体" w:eastAsia="宋体" w:cs="宋体"/>
                <w:color w:val="auto"/>
                <w:szCs w:val="21"/>
                <w:highlight w:val="none"/>
              </w:rPr>
            </w:pPr>
          </w:p>
          <w:p w14:paraId="247A5976">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17" w:type="dxa"/>
            <w:vAlign w:val="center"/>
          </w:tcPr>
          <w:p w14:paraId="0889D3A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156DD555">
            <w:pPr>
              <w:snapToGrid w:val="0"/>
              <w:spacing w:line="360" w:lineRule="auto"/>
              <w:rPr>
                <w:rFonts w:hint="eastAsia" w:ascii="宋体" w:hAnsi="宋体" w:eastAsia="宋体" w:cs="宋体"/>
                <w:color w:val="auto"/>
                <w:szCs w:val="21"/>
                <w:highlight w:val="none"/>
              </w:rPr>
            </w:pPr>
          </w:p>
          <w:p w14:paraId="0C07D03B">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5E3F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301FEBE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单位地址：广西南宁市青秀区云景路21号</w:t>
            </w:r>
          </w:p>
        </w:tc>
        <w:tc>
          <w:tcPr>
            <w:tcW w:w="4517" w:type="dxa"/>
            <w:vAlign w:val="center"/>
          </w:tcPr>
          <w:p w14:paraId="394878E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6F76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5F1C1D3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法定代表人或者委托代理人：</w:t>
            </w:r>
          </w:p>
        </w:tc>
        <w:tc>
          <w:tcPr>
            <w:tcW w:w="4517" w:type="dxa"/>
          </w:tcPr>
          <w:p w14:paraId="6B8ABF7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法定代表人或者委托代理人：</w:t>
            </w:r>
          </w:p>
        </w:tc>
      </w:tr>
      <w:tr w14:paraId="0131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2402FCC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电话：0771-6783551</w:t>
            </w:r>
          </w:p>
        </w:tc>
        <w:tc>
          <w:tcPr>
            <w:tcW w:w="4517" w:type="dxa"/>
            <w:vAlign w:val="center"/>
          </w:tcPr>
          <w:p w14:paraId="219E259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0FF1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06DC14B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517" w:type="dxa"/>
            <w:vAlign w:val="center"/>
          </w:tcPr>
          <w:p w14:paraId="2D45AB9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6907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22E21B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517" w:type="dxa"/>
            <w:vAlign w:val="center"/>
          </w:tcPr>
          <w:p w14:paraId="238CA08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312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4D7B3B3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17" w:type="dxa"/>
            <w:vAlign w:val="center"/>
          </w:tcPr>
          <w:p w14:paraId="3DEE6ED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1F7F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C7DE60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17" w:type="dxa"/>
            <w:vAlign w:val="center"/>
          </w:tcPr>
          <w:p w14:paraId="25F98E0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1E8334D2">
      <w:pPr>
        <w:snapToGrid w:val="0"/>
        <w:spacing w:line="360" w:lineRule="auto"/>
        <w:ind w:left="420" w:hanging="420" w:hangingChars="200"/>
        <w:rPr>
          <w:rFonts w:hint="eastAsia" w:ascii="宋体" w:hAnsi="宋体" w:eastAsia="宋体" w:cs="宋体"/>
          <w:color w:val="auto"/>
          <w:szCs w:val="21"/>
          <w:highlight w:val="none"/>
        </w:rPr>
      </w:pPr>
    </w:p>
    <w:p w14:paraId="7407399F">
      <w:pPr>
        <w:snapToGrid w:val="0"/>
        <w:spacing w:line="360" w:lineRule="auto"/>
        <w:jc w:val="center"/>
        <w:rPr>
          <w:rFonts w:hint="eastAsia" w:ascii="宋体" w:hAnsi="宋体" w:eastAsia="宋体" w:cs="宋体"/>
          <w:color w:val="auto"/>
          <w:szCs w:val="21"/>
          <w:highlight w:val="none"/>
        </w:rPr>
      </w:pPr>
    </w:p>
    <w:p w14:paraId="22D56E5D">
      <w:pPr>
        <w:snapToGrid w:val="0"/>
        <w:spacing w:line="360" w:lineRule="auto"/>
        <w:jc w:val="left"/>
        <w:rPr>
          <w:rFonts w:hint="eastAsia" w:ascii="宋体" w:hAnsi="宋体" w:eastAsia="宋体" w:cs="宋体"/>
          <w:color w:val="auto"/>
          <w:szCs w:val="21"/>
          <w:highlight w:val="none"/>
        </w:rPr>
      </w:pPr>
    </w:p>
    <w:p w14:paraId="1E22D45B">
      <w:pPr>
        <w:snapToGrid w:val="0"/>
        <w:jc w:val="center"/>
        <w:rPr>
          <w:rFonts w:hint="eastAsia" w:ascii="宋体" w:hAnsi="宋体" w:eastAsia="宋体" w:cs="宋体"/>
          <w:bCs/>
          <w:color w:val="auto"/>
          <w:sz w:val="32"/>
          <w:szCs w:val="32"/>
          <w:highlight w:val="none"/>
        </w:rPr>
      </w:pPr>
      <w:r>
        <w:rPr>
          <w:rFonts w:hint="eastAsia" w:ascii="宋体" w:hAnsi="宋体" w:eastAsia="宋体" w:cs="宋体"/>
          <w:b/>
          <w:color w:val="auto"/>
          <w:sz w:val="32"/>
          <w:szCs w:val="32"/>
          <w:highlight w:val="none"/>
        </w:rPr>
        <w:br w:type="page"/>
      </w:r>
    </w:p>
    <w:bookmarkEnd w:id="145"/>
    <w:p w14:paraId="2D0A6117">
      <w:pPr>
        <w:snapToGrid w:val="0"/>
        <w:spacing w:line="480" w:lineRule="auto"/>
        <w:rPr>
          <w:rFonts w:hint="eastAsia" w:ascii="宋体" w:hAnsi="宋体" w:eastAsia="宋体" w:cs="宋体"/>
          <w:bCs/>
          <w:color w:val="auto"/>
          <w:sz w:val="32"/>
          <w:szCs w:val="32"/>
          <w:highlight w:val="none"/>
        </w:rPr>
      </w:pPr>
    </w:p>
    <w:p w14:paraId="762091CC">
      <w:pPr>
        <w:snapToGrid w:val="0"/>
        <w:jc w:val="center"/>
        <w:rPr>
          <w:rFonts w:hint="eastAsia" w:ascii="宋体" w:hAnsi="宋体" w:eastAsia="宋体" w:cs="宋体"/>
          <w:bCs/>
          <w:color w:val="auto"/>
          <w:sz w:val="32"/>
          <w:szCs w:val="32"/>
          <w:highlight w:val="none"/>
        </w:rPr>
      </w:pPr>
    </w:p>
    <w:p w14:paraId="65C76CB0">
      <w:pPr>
        <w:snapToGrid w:val="0"/>
        <w:jc w:val="center"/>
        <w:rPr>
          <w:rFonts w:hint="eastAsia" w:ascii="宋体" w:hAnsi="宋体" w:eastAsia="宋体" w:cs="宋体"/>
          <w:bCs/>
          <w:color w:val="auto"/>
          <w:sz w:val="32"/>
          <w:szCs w:val="32"/>
          <w:highlight w:val="none"/>
        </w:rPr>
      </w:pPr>
    </w:p>
    <w:p w14:paraId="30095463">
      <w:pPr>
        <w:snapToGrid w:val="0"/>
        <w:jc w:val="center"/>
        <w:rPr>
          <w:rFonts w:hint="eastAsia" w:ascii="宋体" w:hAnsi="宋体" w:eastAsia="宋体" w:cs="宋体"/>
          <w:bCs/>
          <w:color w:val="auto"/>
          <w:sz w:val="32"/>
          <w:szCs w:val="32"/>
          <w:highlight w:val="none"/>
        </w:rPr>
      </w:pPr>
    </w:p>
    <w:p w14:paraId="7EEA12D8">
      <w:pPr>
        <w:snapToGrid w:val="0"/>
        <w:jc w:val="center"/>
        <w:rPr>
          <w:rFonts w:hint="eastAsia" w:ascii="宋体" w:hAnsi="宋体" w:eastAsia="宋体" w:cs="宋体"/>
          <w:bCs/>
          <w:color w:val="auto"/>
          <w:sz w:val="32"/>
          <w:szCs w:val="32"/>
          <w:highlight w:val="none"/>
        </w:rPr>
      </w:pPr>
    </w:p>
    <w:p w14:paraId="4B59E6D4">
      <w:pPr>
        <w:snapToGrid w:val="0"/>
        <w:jc w:val="center"/>
        <w:rPr>
          <w:rFonts w:hint="eastAsia" w:ascii="宋体" w:hAnsi="宋体" w:eastAsia="宋体" w:cs="宋体"/>
          <w:bCs/>
          <w:color w:val="auto"/>
          <w:sz w:val="32"/>
          <w:szCs w:val="32"/>
          <w:highlight w:val="none"/>
        </w:rPr>
      </w:pPr>
    </w:p>
    <w:p w14:paraId="62FBDA20">
      <w:pPr>
        <w:snapToGrid w:val="0"/>
        <w:jc w:val="center"/>
        <w:rPr>
          <w:rFonts w:hint="eastAsia" w:ascii="宋体" w:hAnsi="宋体" w:eastAsia="宋体" w:cs="宋体"/>
          <w:bCs/>
          <w:color w:val="auto"/>
          <w:sz w:val="32"/>
          <w:szCs w:val="32"/>
          <w:highlight w:val="none"/>
        </w:rPr>
      </w:pPr>
    </w:p>
    <w:p w14:paraId="392765DD">
      <w:pPr>
        <w:snapToGrid w:val="0"/>
        <w:jc w:val="center"/>
        <w:rPr>
          <w:rFonts w:hint="eastAsia" w:ascii="宋体" w:hAnsi="宋体" w:eastAsia="宋体" w:cs="宋体"/>
          <w:bCs/>
          <w:color w:val="auto"/>
          <w:sz w:val="32"/>
          <w:szCs w:val="32"/>
          <w:highlight w:val="none"/>
        </w:rPr>
      </w:pPr>
    </w:p>
    <w:p w14:paraId="168C4E99">
      <w:pPr>
        <w:snapToGrid w:val="0"/>
        <w:jc w:val="center"/>
        <w:rPr>
          <w:rFonts w:hint="eastAsia" w:ascii="宋体" w:hAnsi="宋体" w:eastAsia="宋体" w:cs="宋体"/>
          <w:bCs/>
          <w:color w:val="auto"/>
          <w:sz w:val="32"/>
          <w:szCs w:val="32"/>
          <w:highlight w:val="none"/>
        </w:rPr>
      </w:pPr>
    </w:p>
    <w:p w14:paraId="1687400F">
      <w:pPr>
        <w:snapToGrid w:val="0"/>
        <w:jc w:val="center"/>
        <w:rPr>
          <w:rFonts w:hint="eastAsia" w:ascii="宋体" w:hAnsi="宋体" w:eastAsia="宋体" w:cs="宋体"/>
          <w:bCs/>
          <w:color w:val="auto"/>
          <w:sz w:val="32"/>
          <w:szCs w:val="32"/>
          <w:highlight w:val="none"/>
        </w:rPr>
      </w:pPr>
    </w:p>
    <w:p w14:paraId="4BBB6F02">
      <w:pPr>
        <w:snapToGrid w:val="0"/>
        <w:jc w:val="center"/>
        <w:rPr>
          <w:rFonts w:hint="eastAsia" w:ascii="宋体" w:hAnsi="宋体" w:eastAsia="宋体" w:cs="宋体"/>
          <w:bCs/>
          <w:color w:val="auto"/>
          <w:sz w:val="32"/>
          <w:szCs w:val="32"/>
          <w:highlight w:val="none"/>
        </w:rPr>
      </w:pPr>
    </w:p>
    <w:p w14:paraId="62E98B6A">
      <w:pPr>
        <w:pStyle w:val="4"/>
        <w:jc w:val="center"/>
        <w:rPr>
          <w:rFonts w:hint="eastAsia" w:ascii="宋体" w:hAnsi="宋体" w:eastAsia="宋体" w:cs="宋体"/>
          <w:color w:val="auto"/>
          <w:highlight w:val="none"/>
        </w:rPr>
      </w:pPr>
      <w:bookmarkStart w:id="146" w:name="_Toc10032"/>
      <w:bookmarkStart w:id="147" w:name="_Toc598"/>
      <w:r>
        <w:rPr>
          <w:rFonts w:hint="eastAsia" w:ascii="宋体" w:hAnsi="宋体" w:eastAsia="宋体" w:cs="宋体"/>
          <w:color w:val="auto"/>
          <w:highlight w:val="none"/>
        </w:rPr>
        <w:t>第六章　投标文件格式</w:t>
      </w:r>
      <w:bookmarkEnd w:id="146"/>
      <w:bookmarkEnd w:id="147"/>
    </w:p>
    <w:p w14:paraId="56940F96">
      <w:pPr>
        <w:snapToGrid w:val="0"/>
        <w:spacing w:before="50" w:after="50"/>
        <w:outlineLvl w:val="1"/>
        <w:rPr>
          <w:rFonts w:hint="eastAsia" w:ascii="宋体" w:hAnsi="宋体" w:eastAsia="宋体" w:cs="宋体"/>
          <w:color w:val="auto"/>
          <w:sz w:val="32"/>
          <w:szCs w:val="20"/>
          <w:highlight w:val="none"/>
        </w:rPr>
      </w:pPr>
    </w:p>
    <w:p w14:paraId="69488E67">
      <w:pPr>
        <w:snapToGrid w:val="0"/>
        <w:spacing w:before="50" w:after="50"/>
        <w:outlineLvl w:val="1"/>
        <w:rPr>
          <w:rFonts w:hint="eastAsia" w:ascii="宋体" w:hAnsi="宋体" w:eastAsia="宋体" w:cs="宋体"/>
          <w:color w:val="auto"/>
          <w:sz w:val="32"/>
          <w:szCs w:val="20"/>
          <w:highlight w:val="none"/>
        </w:rPr>
      </w:pPr>
    </w:p>
    <w:p w14:paraId="1D1F7191">
      <w:pPr>
        <w:snapToGrid w:val="0"/>
        <w:spacing w:before="50" w:after="50"/>
        <w:outlineLvl w:val="1"/>
        <w:rPr>
          <w:rFonts w:hint="eastAsia" w:ascii="宋体" w:hAnsi="宋体" w:eastAsia="宋体" w:cs="宋体"/>
          <w:color w:val="auto"/>
          <w:sz w:val="32"/>
          <w:szCs w:val="20"/>
          <w:highlight w:val="none"/>
        </w:rPr>
      </w:pPr>
    </w:p>
    <w:p w14:paraId="2E8CCF4F">
      <w:pPr>
        <w:snapToGrid w:val="0"/>
        <w:spacing w:before="50" w:after="50"/>
        <w:outlineLvl w:val="1"/>
        <w:rPr>
          <w:rFonts w:hint="eastAsia" w:ascii="宋体" w:hAnsi="宋体" w:eastAsia="宋体" w:cs="宋体"/>
          <w:color w:val="auto"/>
          <w:sz w:val="32"/>
          <w:szCs w:val="20"/>
          <w:highlight w:val="none"/>
        </w:rPr>
      </w:pPr>
    </w:p>
    <w:p w14:paraId="799881E2">
      <w:pPr>
        <w:snapToGrid w:val="0"/>
        <w:spacing w:before="50" w:after="50"/>
        <w:outlineLvl w:val="1"/>
        <w:rPr>
          <w:rFonts w:hint="eastAsia" w:ascii="宋体" w:hAnsi="宋体" w:eastAsia="宋体" w:cs="宋体"/>
          <w:color w:val="auto"/>
          <w:sz w:val="32"/>
          <w:szCs w:val="20"/>
          <w:highlight w:val="none"/>
        </w:rPr>
      </w:pPr>
    </w:p>
    <w:p w14:paraId="7FDC5D1B">
      <w:pPr>
        <w:snapToGrid w:val="0"/>
        <w:spacing w:before="50" w:after="50"/>
        <w:outlineLvl w:val="1"/>
        <w:rPr>
          <w:rFonts w:hint="eastAsia" w:ascii="宋体" w:hAnsi="宋体" w:eastAsia="宋体" w:cs="宋体"/>
          <w:color w:val="auto"/>
          <w:sz w:val="32"/>
          <w:szCs w:val="20"/>
          <w:highlight w:val="none"/>
        </w:rPr>
      </w:pPr>
    </w:p>
    <w:p w14:paraId="2BA4729B">
      <w:pPr>
        <w:snapToGrid w:val="0"/>
        <w:spacing w:before="50" w:after="50"/>
        <w:outlineLvl w:val="1"/>
        <w:rPr>
          <w:rFonts w:hint="eastAsia" w:ascii="宋体" w:hAnsi="宋体" w:eastAsia="宋体" w:cs="宋体"/>
          <w:color w:val="auto"/>
          <w:sz w:val="32"/>
          <w:szCs w:val="20"/>
          <w:highlight w:val="none"/>
        </w:rPr>
      </w:pPr>
    </w:p>
    <w:p w14:paraId="50D58231">
      <w:pPr>
        <w:snapToGrid w:val="0"/>
        <w:spacing w:before="50" w:after="50"/>
        <w:outlineLvl w:val="1"/>
        <w:rPr>
          <w:rFonts w:hint="eastAsia" w:ascii="宋体" w:hAnsi="宋体" w:eastAsia="宋体" w:cs="宋体"/>
          <w:color w:val="auto"/>
          <w:sz w:val="32"/>
          <w:szCs w:val="20"/>
          <w:highlight w:val="none"/>
        </w:rPr>
      </w:pPr>
    </w:p>
    <w:p w14:paraId="18FB24BA">
      <w:pPr>
        <w:snapToGrid w:val="0"/>
        <w:spacing w:before="50" w:after="50"/>
        <w:outlineLvl w:val="1"/>
        <w:rPr>
          <w:rFonts w:hint="eastAsia" w:ascii="宋体" w:hAnsi="宋体" w:eastAsia="宋体" w:cs="宋体"/>
          <w:color w:val="auto"/>
          <w:sz w:val="32"/>
          <w:szCs w:val="20"/>
          <w:highlight w:val="none"/>
        </w:rPr>
      </w:pPr>
    </w:p>
    <w:p w14:paraId="78B8F55B">
      <w:pPr>
        <w:snapToGrid w:val="0"/>
        <w:spacing w:before="50" w:after="50"/>
        <w:outlineLvl w:val="1"/>
        <w:rPr>
          <w:rFonts w:hint="eastAsia" w:ascii="宋体" w:hAnsi="宋体" w:eastAsia="宋体" w:cs="宋体"/>
          <w:color w:val="auto"/>
          <w:sz w:val="32"/>
          <w:szCs w:val="20"/>
          <w:highlight w:val="none"/>
        </w:rPr>
      </w:pPr>
    </w:p>
    <w:p w14:paraId="4237CEB8">
      <w:pPr>
        <w:snapToGrid w:val="0"/>
        <w:spacing w:before="50" w:after="50"/>
        <w:outlineLvl w:val="1"/>
        <w:rPr>
          <w:rFonts w:hint="eastAsia" w:ascii="宋体" w:hAnsi="宋体" w:eastAsia="宋体" w:cs="宋体"/>
          <w:color w:val="auto"/>
          <w:sz w:val="32"/>
          <w:szCs w:val="20"/>
          <w:highlight w:val="none"/>
        </w:rPr>
      </w:pPr>
    </w:p>
    <w:p w14:paraId="2B43C621">
      <w:pPr>
        <w:snapToGrid w:val="0"/>
        <w:spacing w:beforeLines="50" w:after="50"/>
        <w:jc w:val="center"/>
        <w:outlineLvl w:val="1"/>
        <w:rPr>
          <w:rFonts w:hint="eastAsia" w:ascii="宋体" w:hAnsi="宋体" w:eastAsia="宋体" w:cs="宋体"/>
          <w:color w:val="auto"/>
          <w:highlight w:val="none"/>
        </w:rPr>
      </w:pPr>
    </w:p>
    <w:p w14:paraId="444CCE07">
      <w:pPr>
        <w:rPr>
          <w:rFonts w:hint="eastAsia" w:ascii="宋体" w:hAnsi="宋体" w:eastAsia="宋体" w:cs="宋体"/>
          <w:b/>
          <w:color w:val="auto"/>
          <w:sz w:val="28"/>
          <w:szCs w:val="28"/>
          <w:highlight w:val="none"/>
        </w:rPr>
      </w:pPr>
      <w:bookmarkStart w:id="148" w:name="_Toc19686836"/>
      <w:bookmarkStart w:id="149" w:name="_Toc254970698"/>
      <w:bookmarkStart w:id="150" w:name="_Toc254970557"/>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一、报价文件格式</w:t>
      </w:r>
      <w:bookmarkEnd w:id="148"/>
    </w:p>
    <w:p w14:paraId="324D808A">
      <w:pPr>
        <w:snapToGrid w:val="0"/>
        <w:spacing w:beforeLines="50" w:after="50" w:line="360" w:lineRule="auto"/>
        <w:ind w:left="142"/>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14:paraId="7E3B8C3E">
      <w:pPr>
        <w:snapToGrid w:val="0"/>
        <w:spacing w:beforeLines="50" w:after="50" w:line="400" w:lineRule="exact"/>
        <w:rPr>
          <w:rFonts w:hint="eastAsia" w:ascii="宋体" w:hAnsi="宋体" w:eastAsia="宋体" w:cs="宋体"/>
          <w:bCs/>
          <w:color w:val="auto"/>
          <w:sz w:val="32"/>
          <w:szCs w:val="20"/>
          <w:highlight w:val="none"/>
        </w:rPr>
      </w:pPr>
    </w:p>
    <w:p w14:paraId="340327CB">
      <w:pPr>
        <w:snapToGrid w:val="0"/>
        <w:spacing w:beforeLines="50" w:after="50" w:line="400" w:lineRule="exact"/>
        <w:jc w:val="center"/>
        <w:rPr>
          <w:rFonts w:hint="eastAsia" w:ascii="宋体" w:hAnsi="宋体" w:eastAsia="宋体" w:cs="宋体"/>
          <w:bCs/>
          <w:color w:val="auto"/>
          <w:sz w:val="24"/>
          <w:szCs w:val="20"/>
          <w:highlight w:val="none"/>
        </w:rPr>
      </w:pPr>
    </w:p>
    <w:p w14:paraId="0355569A">
      <w:pPr>
        <w:snapToGrid w:val="0"/>
        <w:spacing w:beforeLines="50" w:after="5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117D033F">
      <w:pPr>
        <w:snapToGrid w:val="0"/>
        <w:spacing w:beforeLines="50" w:after="50" w:line="400" w:lineRule="exact"/>
        <w:jc w:val="center"/>
        <w:rPr>
          <w:rFonts w:hint="eastAsia" w:ascii="宋体" w:hAnsi="宋体" w:eastAsia="宋体" w:cs="宋体"/>
          <w:bCs/>
          <w:color w:val="auto"/>
          <w:sz w:val="32"/>
          <w:szCs w:val="32"/>
          <w:highlight w:val="none"/>
        </w:rPr>
      </w:pPr>
    </w:p>
    <w:p w14:paraId="73AC4CAD">
      <w:pPr>
        <w:snapToGrid w:val="0"/>
        <w:spacing w:beforeLines="50" w:after="50" w:line="4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报  价  文  件</w:t>
      </w:r>
    </w:p>
    <w:p w14:paraId="66F835E1">
      <w:pPr>
        <w:snapToGrid w:val="0"/>
        <w:spacing w:beforeLines="50" w:after="50" w:line="400" w:lineRule="exact"/>
        <w:rPr>
          <w:rFonts w:hint="eastAsia" w:ascii="宋体" w:hAnsi="宋体" w:eastAsia="宋体" w:cs="宋体"/>
          <w:bCs/>
          <w:color w:val="auto"/>
          <w:sz w:val="24"/>
          <w:szCs w:val="20"/>
          <w:highlight w:val="none"/>
        </w:rPr>
      </w:pPr>
    </w:p>
    <w:p w14:paraId="2EFD1539">
      <w:pPr>
        <w:snapToGrid w:val="0"/>
        <w:spacing w:beforeLines="50" w:after="50" w:line="400" w:lineRule="exact"/>
        <w:rPr>
          <w:rFonts w:hint="eastAsia" w:ascii="宋体" w:hAnsi="宋体" w:eastAsia="宋体" w:cs="宋体"/>
          <w:bCs/>
          <w:color w:val="auto"/>
          <w:sz w:val="24"/>
          <w:szCs w:val="20"/>
          <w:highlight w:val="none"/>
        </w:rPr>
      </w:pPr>
    </w:p>
    <w:p w14:paraId="55AE7CA5">
      <w:pPr>
        <w:snapToGrid w:val="0"/>
        <w:spacing w:beforeLines="50" w:after="50" w:line="400" w:lineRule="exact"/>
        <w:rPr>
          <w:rFonts w:hint="eastAsia" w:ascii="宋体" w:hAnsi="宋体" w:eastAsia="宋体" w:cs="宋体"/>
          <w:bCs/>
          <w:color w:val="auto"/>
          <w:sz w:val="24"/>
          <w:szCs w:val="20"/>
          <w:highlight w:val="none"/>
        </w:rPr>
      </w:pPr>
    </w:p>
    <w:p w14:paraId="7C020305">
      <w:pPr>
        <w:snapToGrid w:val="0"/>
        <w:spacing w:beforeLines="50" w:after="50" w:line="400" w:lineRule="exact"/>
        <w:rPr>
          <w:rFonts w:hint="eastAsia" w:ascii="宋体" w:hAnsi="宋体" w:eastAsia="宋体" w:cs="宋体"/>
          <w:bCs/>
          <w:color w:val="auto"/>
          <w:sz w:val="24"/>
          <w:szCs w:val="20"/>
          <w:highlight w:val="none"/>
        </w:rPr>
      </w:pPr>
    </w:p>
    <w:p w14:paraId="194DA724">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03A70487">
      <w:pPr>
        <w:snapToGrid w:val="0"/>
        <w:spacing w:beforeLines="50" w:after="50" w:line="400" w:lineRule="exact"/>
        <w:ind w:firstLine="360" w:firstLineChars="150"/>
        <w:rPr>
          <w:rFonts w:hint="eastAsia" w:ascii="宋体" w:hAnsi="宋体" w:eastAsia="宋体" w:cs="宋体"/>
          <w:bCs/>
          <w:color w:val="auto"/>
          <w:sz w:val="24"/>
          <w:highlight w:val="none"/>
        </w:rPr>
      </w:pPr>
    </w:p>
    <w:p w14:paraId="3C1A0153">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606517D8">
      <w:pPr>
        <w:snapToGrid w:val="0"/>
        <w:spacing w:beforeLines="50" w:after="50" w:line="400" w:lineRule="exact"/>
        <w:ind w:firstLine="360" w:firstLineChars="150"/>
        <w:rPr>
          <w:rFonts w:hint="eastAsia" w:ascii="宋体" w:hAnsi="宋体" w:eastAsia="宋体" w:cs="宋体"/>
          <w:bCs/>
          <w:color w:val="auto"/>
          <w:sz w:val="24"/>
          <w:highlight w:val="none"/>
        </w:rPr>
      </w:pPr>
    </w:p>
    <w:p w14:paraId="25837F19">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21EF273">
      <w:pPr>
        <w:snapToGrid w:val="0"/>
        <w:spacing w:beforeLines="50" w:after="50" w:line="400" w:lineRule="exact"/>
        <w:ind w:firstLine="360" w:firstLineChars="150"/>
        <w:rPr>
          <w:rFonts w:hint="eastAsia" w:ascii="宋体" w:hAnsi="宋体" w:eastAsia="宋体" w:cs="宋体"/>
          <w:bCs/>
          <w:color w:val="auto"/>
          <w:sz w:val="24"/>
          <w:highlight w:val="none"/>
        </w:rPr>
      </w:pPr>
    </w:p>
    <w:p w14:paraId="4B539184">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29BACA3">
      <w:pPr>
        <w:snapToGrid w:val="0"/>
        <w:spacing w:beforeLines="50" w:after="50" w:line="400" w:lineRule="exact"/>
        <w:ind w:firstLine="360" w:firstLineChars="150"/>
        <w:rPr>
          <w:rFonts w:hint="eastAsia" w:ascii="宋体" w:hAnsi="宋体" w:eastAsia="宋体" w:cs="宋体"/>
          <w:bCs/>
          <w:color w:val="auto"/>
          <w:sz w:val="24"/>
          <w:highlight w:val="none"/>
        </w:rPr>
      </w:pPr>
    </w:p>
    <w:p w14:paraId="72B7D765">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101D3FA1">
      <w:pPr>
        <w:pStyle w:val="9"/>
        <w:snapToGrid w:val="0"/>
        <w:spacing w:before="50" w:after="50" w:line="400" w:lineRule="exact"/>
        <w:ind w:firstLine="960" w:firstLineChars="400"/>
        <w:rPr>
          <w:rFonts w:hint="eastAsia" w:ascii="宋体" w:hAnsi="宋体" w:eastAsia="宋体" w:cs="宋体"/>
          <w:bCs/>
          <w:color w:val="auto"/>
          <w:sz w:val="24"/>
          <w:szCs w:val="24"/>
          <w:highlight w:val="none"/>
        </w:rPr>
      </w:pPr>
    </w:p>
    <w:p w14:paraId="6DED0483">
      <w:pPr>
        <w:snapToGrid w:val="0"/>
        <w:spacing w:beforeLines="50" w:after="50" w:line="40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08D99087">
      <w:pPr>
        <w:snapToGrid w:val="0"/>
        <w:spacing w:beforeLines="50" w:after="50" w:line="360" w:lineRule="auto"/>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14:paraId="44E2CC69">
      <w:pPr>
        <w:snapToGrid w:val="0"/>
        <w:spacing w:before="50" w:afterLines="50" w:line="360" w:lineRule="auto"/>
        <w:jc w:val="left"/>
        <w:rPr>
          <w:rFonts w:hint="eastAsia" w:ascii="宋体" w:hAnsi="宋体" w:eastAsia="宋体" w:cs="宋体"/>
          <w:b/>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58E19DB8">
      <w:pPr>
        <w:snapToGrid w:val="0"/>
        <w:spacing w:beforeLines="50" w:after="50"/>
        <w:rPr>
          <w:rFonts w:hint="eastAsia" w:ascii="宋体" w:hAnsi="宋体" w:eastAsia="宋体" w:cs="宋体"/>
          <w:b/>
          <w:color w:val="auto"/>
          <w:sz w:val="24"/>
          <w:highlight w:val="none"/>
        </w:rPr>
      </w:pPr>
    </w:p>
    <w:p w14:paraId="52DD3BCF">
      <w:pPr>
        <w:snapToGrid w:val="0"/>
        <w:spacing w:beforeLines="50" w:after="50"/>
        <w:rPr>
          <w:rFonts w:hint="eastAsia" w:ascii="宋体" w:hAnsi="宋体" w:eastAsia="宋体" w:cs="宋体"/>
          <w:b/>
          <w:color w:val="auto"/>
          <w:sz w:val="24"/>
          <w:highlight w:val="none"/>
        </w:rPr>
      </w:pPr>
    </w:p>
    <w:p w14:paraId="1BA351D6">
      <w:pPr>
        <w:snapToGrid w:val="0"/>
        <w:spacing w:beforeLines="50" w:after="50"/>
        <w:rPr>
          <w:rFonts w:hint="eastAsia" w:ascii="宋体" w:hAnsi="宋体" w:eastAsia="宋体" w:cs="宋体"/>
          <w:b/>
          <w:color w:val="auto"/>
          <w:sz w:val="24"/>
          <w:highlight w:val="none"/>
        </w:rPr>
      </w:pPr>
    </w:p>
    <w:p w14:paraId="743B6144">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14:paraId="3098642C">
      <w:pPr>
        <w:snapToGrid w:val="0"/>
        <w:spacing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投 标 函</w:t>
      </w:r>
    </w:p>
    <w:p w14:paraId="00997FCD">
      <w:pPr>
        <w:spacing w:line="440" w:lineRule="exact"/>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采购人名称</w:t>
      </w:r>
    </w:p>
    <w:p w14:paraId="16457C95">
      <w:pPr>
        <w:spacing w:line="440" w:lineRule="exact"/>
        <w:ind w:firstLine="48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w:t>
      </w:r>
      <w:r>
        <w:rPr>
          <w:rFonts w:hint="eastAsia" w:ascii="宋体" w:hAnsi="宋体" w:eastAsia="宋体" w:cs="宋体"/>
          <w:color w:val="auto"/>
          <w:sz w:val="22"/>
          <w:szCs w:val="22"/>
          <w:highlight w:val="none"/>
          <w:u w:val="single"/>
        </w:rPr>
        <w:t xml:space="preserve"> 项目名称</w:t>
      </w:r>
      <w:r>
        <w:rPr>
          <w:rFonts w:hint="eastAsia" w:ascii="宋体" w:hAnsi="宋体" w:cs="宋体"/>
          <w:color w:val="auto"/>
          <w:sz w:val="22"/>
          <w:szCs w:val="22"/>
          <w:highlight w:val="none"/>
          <w:u w:val="single"/>
          <w:lang w:val="en-US" w:eastAsia="zh-CN"/>
        </w:rPr>
        <w:t>+标段</w:t>
      </w:r>
      <w:r>
        <w:rPr>
          <w:rFonts w:hint="eastAsia" w:ascii="宋体" w:hAnsi="宋体" w:eastAsia="宋体" w:cs="宋体"/>
          <w:color w:val="auto"/>
          <w:sz w:val="22"/>
          <w:szCs w:val="22"/>
          <w:highlight w:val="none"/>
        </w:rPr>
        <w:t>（项目编号：）的招标公告，签字代表______（姓名）经正式授权并代表投标人（投标人名称）提交投标文件。</w:t>
      </w:r>
    </w:p>
    <w:p w14:paraId="3F28E587">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据此函，我方宣布同意如下：</w:t>
      </w:r>
    </w:p>
    <w:p w14:paraId="0E82DFF2">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5608F30">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2.我方在投标之前已经完全理解并接受招标文件的各项规定和要求，对招标文件的合理性、合法性不再有异议。</w:t>
      </w:r>
    </w:p>
    <w:p w14:paraId="4325D350">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3.本投标有效期自投标截止之日起日。</w:t>
      </w:r>
    </w:p>
    <w:p w14:paraId="71543D09">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4.如中标，本投标文件至本项目合同履行完毕止均保持有效，我方将按“招标文件”及政府采购法律、法规的规定履行合同责任和义务。</w:t>
      </w:r>
    </w:p>
    <w:p w14:paraId="3AB65C54">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5.我方同意按照贵方要求提供与投标有关的一切数据或者资料。</w:t>
      </w:r>
    </w:p>
    <w:p w14:paraId="12FA94BA">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6.我方向贵方提交的所有投标文件、资料都是准确的和真实的。</w:t>
      </w:r>
    </w:p>
    <w:p w14:paraId="5CD51E4B">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7.以上事项如有虚假或者隐瞒，我方愿意承担一切后果，并不再寻求任何旨在减轻或者免除法律责任的辩解。</w:t>
      </w:r>
    </w:p>
    <w:p w14:paraId="6E229EC7">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0A1955A8">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□我方本次投标文件</w:t>
      </w:r>
      <w:r>
        <w:rPr>
          <w:rFonts w:hint="eastAsia" w:ascii="宋体" w:hAnsi="宋体" w:eastAsia="宋体" w:cs="宋体"/>
          <w:color w:val="auto"/>
          <w:kern w:val="0"/>
          <w:sz w:val="22"/>
          <w:szCs w:val="22"/>
          <w:highlight w:val="none"/>
        </w:rPr>
        <w:t>内容中</w:t>
      </w:r>
      <w:r>
        <w:rPr>
          <w:rFonts w:hint="eastAsia" w:ascii="宋体" w:hAnsi="宋体" w:eastAsia="宋体" w:cs="宋体"/>
          <w:color w:val="auto"/>
          <w:sz w:val="22"/>
          <w:szCs w:val="22"/>
          <w:highlight w:val="none"/>
        </w:rPr>
        <w:t>未</w:t>
      </w:r>
      <w:r>
        <w:rPr>
          <w:rFonts w:hint="eastAsia" w:ascii="宋体" w:hAnsi="宋体" w:eastAsia="宋体" w:cs="宋体"/>
          <w:color w:val="auto"/>
          <w:kern w:val="0"/>
          <w:sz w:val="22"/>
          <w:szCs w:val="22"/>
          <w:highlight w:val="none"/>
        </w:rPr>
        <w:t>涉及商业秘密；</w:t>
      </w:r>
    </w:p>
    <w:p w14:paraId="407A1816">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□我方本次投标文件</w:t>
      </w:r>
      <w:r>
        <w:rPr>
          <w:rFonts w:hint="eastAsia" w:ascii="宋体" w:hAnsi="宋体" w:eastAsia="宋体" w:cs="宋体"/>
          <w:color w:val="auto"/>
          <w:kern w:val="0"/>
          <w:sz w:val="22"/>
          <w:szCs w:val="22"/>
          <w:highlight w:val="none"/>
        </w:rPr>
        <w:t>涉及商业秘密的内容有：；</w:t>
      </w:r>
    </w:p>
    <w:p w14:paraId="216C6BB4">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9.与本投标有关的一切正式往来信函请寄：</w:t>
      </w:r>
    </w:p>
    <w:p w14:paraId="122E12F5">
      <w:pPr>
        <w:spacing w:line="440" w:lineRule="exact"/>
        <w:ind w:firstLine="440" w:firstLineChars="200"/>
        <w:contextualSpacing/>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地址：邮编：</w:t>
      </w:r>
    </w:p>
    <w:p w14:paraId="4F63E7DD">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电话：传真：</w:t>
      </w:r>
    </w:p>
    <w:p w14:paraId="0121E718">
      <w:pPr>
        <w:spacing w:line="440" w:lineRule="exact"/>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p w14:paraId="503C1F41">
      <w:pPr>
        <w:spacing w:line="440" w:lineRule="exact"/>
        <w:ind w:firstLine="440" w:firstLineChars="2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银行帐号：</w:t>
      </w:r>
    </w:p>
    <w:p w14:paraId="4208FEC9">
      <w:pPr>
        <w:spacing w:line="440" w:lineRule="exact"/>
        <w:ind w:firstLine="440" w:firstLineChars="2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法定代表人或者委托代理人签字:___________ </w:t>
      </w:r>
    </w:p>
    <w:p w14:paraId="0F136FD0">
      <w:pPr>
        <w:pStyle w:val="26"/>
        <w:spacing w:line="440" w:lineRule="exact"/>
        <w:ind w:firstLine="440" w:firstLineChars="200"/>
        <w:contextualSpacing/>
        <w:jc w:val="both"/>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投标人名称（电子签章）：</w:t>
      </w:r>
    </w:p>
    <w:p w14:paraId="4945865A">
      <w:pPr>
        <w:pStyle w:val="26"/>
        <w:spacing w:line="440" w:lineRule="exact"/>
        <w:ind w:firstLine="880" w:firstLineChars="4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p>
    <w:p w14:paraId="57AA5879">
      <w:pPr>
        <w:snapToGrid w:val="0"/>
        <w:spacing w:beforeLines="50" w:after="50" w:line="440" w:lineRule="exact"/>
        <w:jc w:val="left"/>
        <w:rPr>
          <w:rFonts w:hint="eastAsia" w:ascii="宋体" w:hAnsi="宋体" w:eastAsia="宋体" w:cs="宋体"/>
          <w:b/>
          <w:color w:val="auto"/>
          <w:sz w:val="24"/>
          <w:szCs w:val="20"/>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sz w:val="24"/>
          <w:highlight w:val="none"/>
        </w:rPr>
        <w:t>4. 开标一览表（货物类格式）</w:t>
      </w:r>
    </w:p>
    <w:p w14:paraId="630D14C2">
      <w:pPr>
        <w:snapToGrid w:val="0"/>
        <w:spacing w:before="50" w:after="5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14:paraId="079C716C">
      <w:pPr>
        <w:snapToGrid w:val="0"/>
        <w:spacing w:before="50" w:after="50"/>
        <w:jc w:val="center"/>
        <w:rPr>
          <w:rFonts w:hint="eastAsia" w:ascii="宋体" w:hAnsi="宋体" w:eastAsia="宋体" w:cs="宋体"/>
          <w:b/>
          <w:color w:val="auto"/>
          <w:sz w:val="30"/>
          <w:szCs w:val="20"/>
          <w:highlight w:val="none"/>
        </w:rPr>
      </w:pPr>
    </w:p>
    <w:p w14:paraId="1921685A">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项目名称：项目编号：         分标：</w:t>
      </w:r>
    </w:p>
    <w:p w14:paraId="4CFC873C">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779"/>
        <w:gridCol w:w="780"/>
        <w:gridCol w:w="709"/>
        <w:gridCol w:w="1417"/>
        <w:gridCol w:w="1558"/>
        <w:gridCol w:w="727"/>
        <w:gridCol w:w="1389"/>
      </w:tblGrid>
      <w:tr w14:paraId="071DC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35FB6E7C">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160DFF40">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货物名称</w:t>
            </w:r>
          </w:p>
        </w:tc>
        <w:tc>
          <w:tcPr>
            <w:tcW w:w="779" w:type="dxa"/>
            <w:tcBorders>
              <w:top w:val="single" w:color="auto" w:sz="4" w:space="0"/>
              <w:left w:val="single" w:color="auto" w:sz="4" w:space="0"/>
              <w:bottom w:val="single" w:color="auto" w:sz="4" w:space="0"/>
              <w:right w:val="single" w:color="auto" w:sz="4" w:space="0"/>
            </w:tcBorders>
            <w:vAlign w:val="center"/>
          </w:tcPr>
          <w:p w14:paraId="3C2299A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p w14:paraId="17B36EBF">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①</w:t>
            </w:r>
          </w:p>
        </w:tc>
        <w:tc>
          <w:tcPr>
            <w:tcW w:w="780" w:type="dxa"/>
            <w:tcBorders>
              <w:top w:val="single" w:color="auto" w:sz="4" w:space="0"/>
              <w:left w:val="single" w:color="auto" w:sz="4" w:space="0"/>
              <w:bottom w:val="single" w:color="auto" w:sz="4" w:space="0"/>
              <w:right w:val="single" w:color="auto" w:sz="4" w:space="0"/>
            </w:tcBorders>
            <w:vAlign w:val="center"/>
          </w:tcPr>
          <w:p w14:paraId="0F365008">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0E56D7C3">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产地</w:t>
            </w:r>
          </w:p>
        </w:tc>
        <w:tc>
          <w:tcPr>
            <w:tcW w:w="1417" w:type="dxa"/>
            <w:tcBorders>
              <w:top w:val="single" w:color="auto" w:sz="4" w:space="0"/>
              <w:left w:val="single" w:color="auto" w:sz="4" w:space="0"/>
              <w:bottom w:val="single" w:color="auto" w:sz="4" w:space="0"/>
              <w:right w:val="single" w:color="auto" w:sz="4" w:space="0"/>
            </w:tcBorders>
            <w:vAlign w:val="center"/>
          </w:tcPr>
          <w:p w14:paraId="6EE627DC">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p w14:paraId="2428A87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58" w:type="dxa"/>
            <w:tcBorders>
              <w:top w:val="single" w:color="auto" w:sz="4" w:space="0"/>
              <w:left w:val="single" w:color="auto" w:sz="4" w:space="0"/>
              <w:bottom w:val="single" w:color="auto" w:sz="4" w:space="0"/>
              <w:right w:val="single" w:color="auto" w:sz="4" w:space="0"/>
            </w:tcBorders>
            <w:vAlign w:val="center"/>
          </w:tcPr>
          <w:p w14:paraId="6E997AED">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14:paraId="6C42F4E4">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p w14:paraId="2EA72FAF">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134DDA40">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p w14:paraId="309BC65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③=①×②</w:t>
            </w:r>
          </w:p>
        </w:tc>
      </w:tr>
      <w:tr w14:paraId="538A1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1506D3A">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436D01DA">
            <w:pPr>
              <w:rPr>
                <w:rFonts w:hint="eastAsia" w:ascii="宋体" w:hAnsi="宋体" w:eastAsia="宋体" w:cs="宋体"/>
                <w:color w:val="auto"/>
                <w:kern w:val="0"/>
                <w:szCs w:val="21"/>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5A68F6CA">
            <w:pPr>
              <w:rPr>
                <w:rFonts w:hint="eastAsia" w:ascii="宋体" w:hAnsi="宋体" w:eastAsia="宋体" w:cs="宋体"/>
                <w:color w:val="auto"/>
                <w:kern w:val="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4D28C2D3">
            <w:pPr>
              <w:rPr>
                <w:rFonts w:hint="eastAsia" w:ascii="宋体" w:hAnsi="宋体" w:eastAsia="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497A05F">
            <w:pPr>
              <w:rPr>
                <w:rFonts w:hint="eastAsia" w:ascii="宋体" w:hAnsi="宋体" w:eastAsia="宋体" w:cs="宋体"/>
                <w:b/>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9324908">
            <w:pPr>
              <w:rPr>
                <w:rFonts w:hint="eastAsia" w:ascii="宋体" w:hAnsi="宋体" w:eastAsia="宋体" w:cs="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190E43A7">
            <w:pPr>
              <w:rPr>
                <w:rFonts w:hint="eastAsia" w:ascii="宋体" w:hAnsi="宋体" w:eastAsia="宋体" w:cs="宋体"/>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E05DF3D">
            <w:pPr>
              <w:rPr>
                <w:rFonts w:hint="eastAsia" w:ascii="宋体" w:hAnsi="宋体" w:eastAsia="宋体" w:cs="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176FAF9E">
            <w:pPr>
              <w:rPr>
                <w:rFonts w:hint="eastAsia" w:ascii="宋体" w:hAnsi="宋体" w:eastAsia="宋体" w:cs="宋体"/>
                <w:color w:val="auto"/>
                <w:sz w:val="24"/>
                <w:highlight w:val="none"/>
              </w:rPr>
            </w:pPr>
          </w:p>
        </w:tc>
      </w:tr>
      <w:tr w14:paraId="7DA98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65C2808D">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122E8361">
            <w:pPr>
              <w:rPr>
                <w:rFonts w:hint="eastAsia" w:ascii="宋体" w:hAnsi="宋体" w:eastAsia="宋体" w:cs="宋体"/>
                <w:color w:val="auto"/>
                <w:kern w:val="0"/>
                <w:szCs w:val="21"/>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5584C561">
            <w:pPr>
              <w:rPr>
                <w:rFonts w:hint="eastAsia" w:ascii="宋体" w:hAnsi="宋体" w:eastAsia="宋体" w:cs="宋体"/>
                <w:color w:val="auto"/>
                <w:kern w:val="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3F151837">
            <w:pPr>
              <w:rPr>
                <w:rFonts w:hint="eastAsia" w:ascii="宋体" w:hAnsi="宋体" w:eastAsia="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4F98467">
            <w:pPr>
              <w:rPr>
                <w:rFonts w:hint="eastAsia" w:ascii="宋体" w:hAnsi="宋体" w:eastAsia="宋体" w:cs="宋体"/>
                <w:b/>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D480BA2">
            <w:pPr>
              <w:rPr>
                <w:rFonts w:hint="eastAsia" w:ascii="宋体" w:hAnsi="宋体" w:eastAsia="宋体" w:cs="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1A5CF6F1">
            <w:pPr>
              <w:rPr>
                <w:rFonts w:hint="eastAsia" w:ascii="宋体" w:hAnsi="宋体" w:eastAsia="宋体" w:cs="宋体"/>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4F733C00">
            <w:pPr>
              <w:rPr>
                <w:rFonts w:hint="eastAsia" w:ascii="宋体" w:hAnsi="宋体" w:eastAsia="宋体" w:cs="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1F368F03">
            <w:pPr>
              <w:rPr>
                <w:rFonts w:hint="eastAsia" w:ascii="宋体" w:hAnsi="宋体" w:eastAsia="宋体" w:cs="宋体"/>
                <w:color w:val="auto"/>
                <w:sz w:val="24"/>
                <w:highlight w:val="none"/>
              </w:rPr>
            </w:pPr>
          </w:p>
        </w:tc>
      </w:tr>
      <w:tr w14:paraId="40191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09CA964">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18" w:type="dxa"/>
            <w:tcBorders>
              <w:top w:val="single" w:color="auto" w:sz="4" w:space="0"/>
              <w:left w:val="single" w:color="auto" w:sz="4" w:space="0"/>
              <w:bottom w:val="single" w:color="auto" w:sz="4" w:space="0"/>
              <w:right w:val="single" w:color="auto" w:sz="4" w:space="0"/>
            </w:tcBorders>
            <w:vAlign w:val="center"/>
          </w:tcPr>
          <w:p w14:paraId="380158C8">
            <w:pPr>
              <w:rPr>
                <w:rFonts w:hint="eastAsia" w:ascii="宋体" w:hAnsi="宋体" w:eastAsia="宋体" w:cs="宋体"/>
                <w:color w:val="auto"/>
                <w:kern w:val="0"/>
                <w:szCs w:val="21"/>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683E580F">
            <w:pPr>
              <w:rPr>
                <w:rFonts w:hint="eastAsia" w:ascii="宋体" w:hAnsi="宋体" w:eastAsia="宋体" w:cs="宋体"/>
                <w:color w:val="auto"/>
                <w:kern w:val="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00871A58">
            <w:pPr>
              <w:rPr>
                <w:rFonts w:hint="eastAsia" w:ascii="宋体" w:hAnsi="宋体" w:eastAsia="宋体" w:cs="宋体"/>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2012B2A">
            <w:pPr>
              <w:rPr>
                <w:rFonts w:hint="eastAsia" w:ascii="宋体" w:hAnsi="宋体" w:eastAsia="宋体" w:cs="宋体"/>
                <w:b/>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480914C">
            <w:pPr>
              <w:rPr>
                <w:rFonts w:hint="eastAsia" w:ascii="宋体" w:hAnsi="宋体" w:eastAsia="宋体" w:cs="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4C4613B6">
            <w:pPr>
              <w:rPr>
                <w:rFonts w:hint="eastAsia" w:ascii="宋体" w:hAnsi="宋体" w:eastAsia="宋体" w:cs="宋体"/>
                <w:color w:val="auto"/>
                <w:sz w:val="24"/>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10C04285">
            <w:pPr>
              <w:rPr>
                <w:rFonts w:hint="eastAsia" w:ascii="宋体" w:hAnsi="宋体" w:eastAsia="宋体" w:cs="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5C7C05EA">
            <w:pPr>
              <w:rPr>
                <w:rFonts w:hint="eastAsia" w:ascii="宋体" w:hAnsi="宋体" w:eastAsia="宋体" w:cs="宋体"/>
                <w:color w:val="auto"/>
                <w:sz w:val="24"/>
                <w:highlight w:val="none"/>
              </w:rPr>
            </w:pPr>
          </w:p>
        </w:tc>
      </w:tr>
      <w:tr w14:paraId="06F3F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1D7785C1">
            <w:pPr>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合计总金额</w:t>
            </w:r>
            <w:r>
              <w:rPr>
                <w:rFonts w:hint="eastAsia" w:ascii="宋体" w:hAnsi="宋体" w:eastAsia="宋体" w:cs="宋体"/>
                <w:color w:val="auto"/>
                <w:spacing w:val="20"/>
                <w:sz w:val="24"/>
                <w:highlight w:val="none"/>
              </w:rPr>
              <w:t>（</w:t>
            </w:r>
            <w:r>
              <w:rPr>
                <w:rFonts w:hint="eastAsia" w:ascii="宋体" w:hAnsi="宋体" w:eastAsia="宋体" w:cs="宋体"/>
                <w:color w:val="auto"/>
                <w:sz w:val="24"/>
                <w:highlight w:val="none"/>
              </w:rPr>
              <w:t>大写）：</w:t>
            </w:r>
            <w:r>
              <w:rPr>
                <w:rFonts w:hint="eastAsia" w:ascii="宋体" w:hAnsi="宋体" w:eastAsia="宋体" w:cs="宋体"/>
                <w:color w:val="auto"/>
                <w:spacing w:val="20"/>
                <w:sz w:val="24"/>
                <w:highlight w:val="none"/>
                <w:u w:val="single"/>
              </w:rPr>
              <w:t>人民币</w:t>
            </w:r>
            <w:r>
              <w:rPr>
                <w:rFonts w:hint="eastAsia" w:ascii="宋体" w:hAnsi="宋体" w:eastAsia="宋体" w:cs="宋体"/>
                <w:color w:val="auto"/>
                <w:sz w:val="24"/>
                <w:highlight w:val="none"/>
                <w:u w:val="single"/>
              </w:rPr>
              <w:t xml:space="preserve">                     元整</w:t>
            </w:r>
            <w:r>
              <w:rPr>
                <w:rFonts w:hint="eastAsia" w:ascii="宋体" w:hAnsi="宋体" w:eastAsia="宋体" w:cs="宋体"/>
                <w:color w:val="auto"/>
                <w:spacing w:val="20"/>
                <w:sz w:val="24"/>
                <w:highlight w:val="none"/>
                <w:u w:val="single"/>
              </w:rPr>
              <w:t>（¥</w:t>
            </w:r>
            <w:r>
              <w:rPr>
                <w:rFonts w:hint="eastAsia" w:ascii="宋体" w:hAnsi="宋体" w:eastAsia="宋体" w:cs="宋体"/>
                <w:color w:val="auto"/>
                <w:spacing w:val="20"/>
                <w:sz w:val="24"/>
                <w:highlight w:val="none"/>
              </w:rPr>
              <w:t>）</w:t>
            </w:r>
          </w:p>
        </w:tc>
      </w:tr>
      <w:tr w14:paraId="37205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055E6753">
            <w:pPr>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交货时间</w:t>
            </w:r>
            <w:r>
              <w:rPr>
                <w:rFonts w:hint="eastAsia" w:ascii="宋体" w:hAnsi="宋体" w:eastAsia="宋体" w:cs="宋体"/>
                <w:color w:val="auto"/>
                <w:sz w:val="24"/>
                <w:highlight w:val="none"/>
              </w:rPr>
              <w:t>：</w:t>
            </w:r>
          </w:p>
        </w:tc>
      </w:tr>
    </w:tbl>
    <w:p w14:paraId="47DA2476">
      <w:pPr>
        <w:snapToGrid w:val="0"/>
        <w:spacing w:before="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E3F7EAF">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1.投标人的开标一览表必须加盖投标人公章并由法定代表人或者委托代理人签字，</w:t>
      </w:r>
      <w:r>
        <w:rPr>
          <w:rFonts w:hint="eastAsia" w:ascii="宋体" w:hAnsi="宋体" w:eastAsia="宋体" w:cs="宋体"/>
          <w:b/>
          <w:color w:val="auto"/>
          <w:sz w:val="24"/>
          <w:highlight w:val="none"/>
        </w:rPr>
        <w:t>否则其投标作无效标处理</w:t>
      </w:r>
      <w:r>
        <w:rPr>
          <w:rFonts w:hint="eastAsia" w:ascii="宋体" w:hAnsi="宋体" w:eastAsia="宋体" w:cs="宋体"/>
          <w:color w:val="auto"/>
          <w:sz w:val="24"/>
          <w:highlight w:val="none"/>
        </w:rPr>
        <w:t>。</w:t>
      </w:r>
    </w:p>
    <w:p w14:paraId="2FF2FE8C">
      <w:pPr>
        <w:snapToGrid w:val="0"/>
        <w:spacing w:before="50" w:after="50"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报价一经涂改，应在涂改处加盖投标人公章或者由法定代表人或者委托代理人签字或者盖章</w:t>
      </w:r>
      <w:r>
        <w:rPr>
          <w:rFonts w:hint="eastAsia" w:ascii="宋体" w:hAnsi="宋体" w:eastAsia="宋体" w:cs="宋体"/>
          <w:b/>
          <w:color w:val="auto"/>
          <w:sz w:val="24"/>
          <w:highlight w:val="none"/>
        </w:rPr>
        <w:t>，否则其投标作无效标处理。</w:t>
      </w:r>
    </w:p>
    <w:p w14:paraId="2FFEE864">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3.招标文件中列明采购专用耗材的，应按招标文件规定的耗材量或者按耗材的常规试用量提供报价。</w:t>
      </w:r>
    </w:p>
    <w:p w14:paraId="019C1BED">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4.如为联合体投标，“投标人名称”处必须列明联合体各方名称，并标注联合体牵头人名称，</w:t>
      </w:r>
      <w:r>
        <w:rPr>
          <w:rFonts w:hint="eastAsia" w:ascii="宋体" w:hAnsi="宋体" w:eastAsia="宋体" w:cs="宋体"/>
          <w:b/>
          <w:color w:val="auto"/>
          <w:sz w:val="24"/>
          <w:highlight w:val="none"/>
        </w:rPr>
        <w:t>否则其投标作无效标处理。</w:t>
      </w:r>
    </w:p>
    <w:p w14:paraId="7AAB7D59">
      <w:pPr>
        <w:snapToGrid w:val="0"/>
        <w:spacing w:before="50" w:after="50" w:line="360" w:lineRule="auto"/>
        <w:ind w:firstLine="456"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5.如为联合体投标，盖章处须加盖联合体各方公章，</w:t>
      </w:r>
      <w:r>
        <w:rPr>
          <w:rFonts w:hint="eastAsia" w:ascii="宋体" w:hAnsi="宋体" w:eastAsia="宋体" w:cs="宋体"/>
          <w:b/>
          <w:color w:val="auto"/>
          <w:spacing w:val="-6"/>
          <w:sz w:val="24"/>
          <w:highlight w:val="none"/>
        </w:rPr>
        <w:t>否则其投标作无效标处理。</w:t>
      </w:r>
    </w:p>
    <w:p w14:paraId="6DF69140">
      <w:pPr>
        <w:snapToGrid w:val="0"/>
        <w:spacing w:before="50" w:after="50"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6.如有多分标，按分标分别提供开标一览表，</w:t>
      </w:r>
      <w:r>
        <w:rPr>
          <w:rFonts w:hint="eastAsia" w:ascii="宋体" w:hAnsi="宋体" w:eastAsia="宋体" w:cs="宋体"/>
          <w:b/>
          <w:color w:val="auto"/>
          <w:sz w:val="24"/>
          <w:highlight w:val="none"/>
        </w:rPr>
        <w:t>否则投标无效。</w:t>
      </w:r>
    </w:p>
    <w:p w14:paraId="6A03C73D">
      <w:pPr>
        <w:snapToGrid w:val="0"/>
        <w:spacing w:before="50" w:after="50" w:line="360" w:lineRule="auto"/>
        <w:ind w:firstLine="482" w:firstLineChars="200"/>
        <w:rPr>
          <w:rFonts w:hint="eastAsia" w:ascii="宋体" w:hAnsi="宋体" w:eastAsia="宋体" w:cs="宋体"/>
          <w:b/>
          <w:color w:val="auto"/>
          <w:sz w:val="24"/>
          <w:highlight w:val="none"/>
        </w:rPr>
      </w:pPr>
    </w:p>
    <w:p w14:paraId="0154BC0D">
      <w:pPr>
        <w:snapToGrid w:val="0"/>
        <w:spacing w:before="50" w:after="50" w:line="360" w:lineRule="auto"/>
        <w:ind w:left="-2" w:leftChars="-1" w:right="-817" w:rightChars="-38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                    </w:t>
      </w:r>
    </w:p>
    <w:p w14:paraId="21F9EBD7">
      <w:pPr>
        <w:snapToGrid w:val="0"/>
        <w:spacing w:before="50" w:after="50" w:line="360" w:lineRule="auto"/>
        <w:ind w:left="-3" w:leftChars="-15" w:right="-817" w:rightChars="-389" w:hanging="28" w:hangingChars="1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投标人名称（电子签章）：                                 </w:t>
      </w:r>
    </w:p>
    <w:p w14:paraId="270B3D83">
      <w:pPr>
        <w:snapToGrid w:val="0"/>
        <w:spacing w:before="50" w:after="50" w:line="360" w:lineRule="auto"/>
        <w:ind w:left="-3" w:leftChars="-15" w:right="-817" w:rightChars="-389" w:hanging="28" w:hangingChars="12"/>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14:paraId="165E6974">
      <w:pPr>
        <w:rPr>
          <w:rFonts w:hint="eastAsia" w:ascii="宋体" w:hAnsi="宋体" w:eastAsia="宋体" w:cs="宋体"/>
          <w:b/>
          <w:color w:val="auto"/>
          <w:sz w:val="28"/>
          <w:szCs w:val="28"/>
          <w:highlight w:val="none"/>
        </w:rPr>
      </w:pPr>
      <w:r>
        <w:rPr>
          <w:rFonts w:hint="eastAsia" w:ascii="宋体" w:hAnsi="宋体" w:eastAsia="宋体" w:cs="宋体"/>
          <w:b/>
          <w:bCs/>
          <w:color w:val="auto"/>
          <w:sz w:val="24"/>
          <w:highlight w:val="none"/>
        </w:rPr>
        <w:br w:type="page"/>
      </w:r>
      <w:bookmarkStart w:id="151" w:name="_Toc19686837"/>
      <w:r>
        <w:rPr>
          <w:rFonts w:hint="eastAsia" w:ascii="宋体" w:hAnsi="宋体" w:eastAsia="宋体" w:cs="宋体"/>
          <w:b/>
          <w:color w:val="auto"/>
          <w:sz w:val="28"/>
          <w:szCs w:val="28"/>
          <w:highlight w:val="none"/>
        </w:rPr>
        <w:t>二、资格证明文件格式</w:t>
      </w:r>
      <w:bookmarkEnd w:id="149"/>
      <w:bookmarkEnd w:id="150"/>
      <w:bookmarkEnd w:id="151"/>
    </w:p>
    <w:p w14:paraId="100A9C6A">
      <w:pPr>
        <w:numPr>
          <w:ilvl w:val="2"/>
          <w:numId w:val="3"/>
        </w:numPr>
        <w:snapToGrid w:val="0"/>
        <w:spacing w:beforeLines="50" w:after="50" w:line="360" w:lineRule="auto"/>
        <w:ind w:lef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资格证明文件封面格式： </w:t>
      </w:r>
    </w:p>
    <w:p w14:paraId="57DCE7DC">
      <w:pPr>
        <w:snapToGrid w:val="0"/>
        <w:spacing w:beforeLines="50" w:after="50"/>
        <w:rPr>
          <w:rFonts w:hint="eastAsia" w:ascii="宋体" w:hAnsi="宋体" w:eastAsia="宋体" w:cs="宋体"/>
          <w:bCs/>
          <w:color w:val="auto"/>
          <w:sz w:val="32"/>
          <w:szCs w:val="20"/>
          <w:highlight w:val="none"/>
        </w:rPr>
      </w:pPr>
    </w:p>
    <w:p w14:paraId="2A788C8A">
      <w:pPr>
        <w:snapToGrid w:val="0"/>
        <w:spacing w:beforeLines="50" w:after="50"/>
        <w:rPr>
          <w:rFonts w:hint="eastAsia" w:ascii="宋体" w:hAnsi="宋体" w:eastAsia="宋体" w:cs="宋体"/>
          <w:color w:val="auto"/>
          <w:sz w:val="24"/>
          <w:szCs w:val="20"/>
          <w:highlight w:val="none"/>
        </w:rPr>
      </w:pPr>
    </w:p>
    <w:p w14:paraId="4D95521B">
      <w:pPr>
        <w:snapToGrid w:val="0"/>
        <w:spacing w:beforeLines="50" w:after="50"/>
        <w:rPr>
          <w:rFonts w:hint="eastAsia" w:ascii="宋体" w:hAnsi="宋体" w:eastAsia="宋体" w:cs="宋体"/>
          <w:color w:val="auto"/>
          <w:sz w:val="24"/>
          <w:szCs w:val="20"/>
          <w:highlight w:val="none"/>
        </w:rPr>
      </w:pPr>
    </w:p>
    <w:p w14:paraId="19C3EBC2">
      <w:pPr>
        <w:snapToGrid w:val="0"/>
        <w:spacing w:beforeLines="50" w:after="5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020611CD">
      <w:pPr>
        <w:snapToGrid w:val="0"/>
        <w:spacing w:beforeLines="50" w:after="50"/>
        <w:rPr>
          <w:rFonts w:hint="eastAsia" w:ascii="宋体" w:hAnsi="宋体" w:eastAsia="宋体" w:cs="宋体"/>
          <w:color w:val="auto"/>
          <w:sz w:val="24"/>
          <w:szCs w:val="20"/>
          <w:highlight w:val="none"/>
        </w:rPr>
      </w:pPr>
    </w:p>
    <w:p w14:paraId="027D41CA">
      <w:pPr>
        <w:snapToGrid w:val="0"/>
        <w:spacing w:beforeLines="50" w:after="50"/>
        <w:rPr>
          <w:rFonts w:hint="eastAsia" w:ascii="宋体" w:hAnsi="宋体" w:eastAsia="宋体" w:cs="宋体"/>
          <w:color w:val="auto"/>
          <w:sz w:val="24"/>
          <w:szCs w:val="20"/>
          <w:highlight w:val="none"/>
        </w:rPr>
      </w:pPr>
    </w:p>
    <w:p w14:paraId="5DDB7C5F">
      <w:pPr>
        <w:snapToGrid w:val="0"/>
        <w:spacing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 格 证 明 文 件</w:t>
      </w:r>
    </w:p>
    <w:p w14:paraId="5E54AF5D">
      <w:pPr>
        <w:snapToGrid w:val="0"/>
        <w:spacing w:beforeLines="50" w:after="50"/>
        <w:rPr>
          <w:rFonts w:hint="eastAsia" w:ascii="宋体" w:hAnsi="宋体" w:eastAsia="宋体" w:cs="宋体"/>
          <w:bCs/>
          <w:color w:val="auto"/>
          <w:sz w:val="24"/>
          <w:szCs w:val="20"/>
          <w:highlight w:val="none"/>
        </w:rPr>
      </w:pPr>
    </w:p>
    <w:p w14:paraId="17D5AE72">
      <w:pPr>
        <w:snapToGrid w:val="0"/>
        <w:spacing w:beforeLines="50" w:after="50"/>
        <w:rPr>
          <w:rFonts w:hint="eastAsia" w:ascii="宋体" w:hAnsi="宋体" w:eastAsia="宋体" w:cs="宋体"/>
          <w:bCs/>
          <w:color w:val="auto"/>
          <w:sz w:val="24"/>
          <w:szCs w:val="20"/>
          <w:highlight w:val="none"/>
        </w:rPr>
      </w:pPr>
    </w:p>
    <w:p w14:paraId="02647382">
      <w:pPr>
        <w:snapToGrid w:val="0"/>
        <w:spacing w:beforeLines="50" w:after="50"/>
        <w:rPr>
          <w:rFonts w:hint="eastAsia" w:ascii="宋体" w:hAnsi="宋体" w:eastAsia="宋体" w:cs="宋体"/>
          <w:bCs/>
          <w:color w:val="auto"/>
          <w:sz w:val="24"/>
          <w:szCs w:val="20"/>
          <w:highlight w:val="none"/>
        </w:rPr>
      </w:pPr>
    </w:p>
    <w:p w14:paraId="0F69D20A">
      <w:pPr>
        <w:snapToGrid w:val="0"/>
        <w:spacing w:beforeLines="50" w:after="50"/>
        <w:rPr>
          <w:rFonts w:hint="eastAsia" w:ascii="宋体" w:hAnsi="宋体" w:eastAsia="宋体" w:cs="宋体"/>
          <w:bCs/>
          <w:color w:val="auto"/>
          <w:sz w:val="24"/>
          <w:szCs w:val="20"/>
          <w:highlight w:val="none"/>
        </w:rPr>
      </w:pPr>
    </w:p>
    <w:p w14:paraId="5F77D309">
      <w:pPr>
        <w:snapToGrid w:val="0"/>
        <w:spacing w:beforeLines="50" w:after="50"/>
        <w:rPr>
          <w:rFonts w:hint="eastAsia" w:ascii="宋体" w:hAnsi="宋体" w:eastAsia="宋体" w:cs="宋体"/>
          <w:bCs/>
          <w:color w:val="auto"/>
          <w:sz w:val="24"/>
          <w:szCs w:val="20"/>
          <w:highlight w:val="none"/>
        </w:rPr>
      </w:pPr>
    </w:p>
    <w:p w14:paraId="48F2BEC0">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0BA99B08">
      <w:pPr>
        <w:snapToGrid w:val="0"/>
        <w:spacing w:beforeLines="50" w:after="50"/>
        <w:ind w:firstLine="540" w:firstLineChars="225"/>
        <w:rPr>
          <w:rFonts w:hint="eastAsia" w:ascii="宋体" w:hAnsi="宋体" w:eastAsia="宋体" w:cs="宋体"/>
          <w:bCs/>
          <w:color w:val="auto"/>
          <w:sz w:val="24"/>
          <w:szCs w:val="20"/>
          <w:highlight w:val="none"/>
        </w:rPr>
      </w:pPr>
    </w:p>
    <w:p w14:paraId="1F37CFB4">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6504860C">
      <w:pPr>
        <w:snapToGrid w:val="0"/>
        <w:spacing w:beforeLines="50" w:after="50"/>
        <w:ind w:firstLine="540" w:firstLineChars="225"/>
        <w:rPr>
          <w:rFonts w:hint="eastAsia" w:ascii="宋体" w:hAnsi="宋体" w:eastAsia="宋体" w:cs="宋体"/>
          <w:bCs/>
          <w:color w:val="auto"/>
          <w:sz w:val="24"/>
          <w:szCs w:val="20"/>
          <w:highlight w:val="none"/>
        </w:rPr>
      </w:pPr>
    </w:p>
    <w:p w14:paraId="6BC9821E">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018A7A0F">
      <w:pPr>
        <w:pStyle w:val="9"/>
        <w:snapToGrid w:val="0"/>
        <w:spacing w:before="50" w:after="50"/>
        <w:ind w:firstLine="540" w:firstLineChars="225"/>
        <w:rPr>
          <w:rFonts w:hint="eastAsia" w:ascii="宋体" w:hAnsi="宋体" w:eastAsia="宋体" w:cs="宋体"/>
          <w:bCs/>
          <w:color w:val="auto"/>
          <w:sz w:val="24"/>
          <w:szCs w:val="24"/>
          <w:highlight w:val="none"/>
        </w:rPr>
      </w:pPr>
    </w:p>
    <w:p w14:paraId="2CE70FD6">
      <w:pPr>
        <w:pStyle w:val="9"/>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5A8D968E">
      <w:pPr>
        <w:pStyle w:val="9"/>
        <w:snapToGrid w:val="0"/>
        <w:spacing w:before="50" w:after="50"/>
        <w:ind w:firstLine="540" w:firstLineChars="225"/>
        <w:rPr>
          <w:rFonts w:hint="eastAsia" w:ascii="宋体" w:hAnsi="宋体" w:eastAsia="宋体" w:cs="宋体"/>
          <w:bCs/>
          <w:color w:val="auto"/>
          <w:sz w:val="24"/>
          <w:szCs w:val="24"/>
          <w:highlight w:val="none"/>
        </w:rPr>
      </w:pPr>
    </w:p>
    <w:p w14:paraId="6F8232E9">
      <w:pPr>
        <w:pStyle w:val="9"/>
        <w:snapToGrid w:val="0"/>
        <w:spacing w:before="50" w:after="50"/>
        <w:ind w:firstLine="960" w:firstLineChars="400"/>
        <w:rPr>
          <w:rFonts w:hint="eastAsia" w:ascii="宋体" w:hAnsi="宋体" w:eastAsia="宋体" w:cs="宋体"/>
          <w:bCs/>
          <w:color w:val="auto"/>
          <w:sz w:val="24"/>
          <w:szCs w:val="24"/>
          <w:highlight w:val="none"/>
        </w:rPr>
      </w:pPr>
    </w:p>
    <w:p w14:paraId="2E2A88E9">
      <w:pPr>
        <w:snapToGrid w:val="0"/>
        <w:spacing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2217AA4">
      <w:pPr>
        <w:snapToGrid w:val="0"/>
        <w:spacing w:beforeLines="50" w:after="50"/>
        <w:rPr>
          <w:rFonts w:hint="eastAsia" w:ascii="宋体" w:hAnsi="宋体" w:eastAsia="宋体" w:cs="宋体"/>
          <w:color w:val="auto"/>
          <w:sz w:val="24"/>
          <w:szCs w:val="20"/>
          <w:highlight w:val="none"/>
        </w:rPr>
      </w:pPr>
    </w:p>
    <w:p w14:paraId="3210D285">
      <w:pPr>
        <w:snapToGrid w:val="0"/>
        <w:spacing w:beforeLines="50" w:after="50"/>
        <w:rPr>
          <w:rFonts w:hint="eastAsia" w:ascii="宋体" w:hAnsi="宋体" w:eastAsia="宋体" w:cs="宋体"/>
          <w:color w:val="auto"/>
          <w:sz w:val="24"/>
          <w:szCs w:val="20"/>
          <w:highlight w:val="none"/>
        </w:rPr>
      </w:pPr>
    </w:p>
    <w:p w14:paraId="60F233D1">
      <w:pPr>
        <w:numPr>
          <w:ilvl w:val="2"/>
          <w:numId w:val="3"/>
        </w:numPr>
        <w:snapToGrid w:val="0"/>
        <w:spacing w:beforeLines="50" w:after="50" w:line="360" w:lineRule="auto"/>
        <w:ind w:left="0" w:firstLine="0"/>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资格证明文件目录</w:t>
      </w:r>
    </w:p>
    <w:p w14:paraId="2AA2479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根据招标文件规定及投标人提供的材料自行编写目录。</w:t>
      </w:r>
    </w:p>
    <w:p w14:paraId="68DF536A">
      <w:pPr>
        <w:snapToGrid w:val="0"/>
        <w:spacing w:before="50" w:afterLines="50"/>
        <w:jc w:val="left"/>
        <w:rPr>
          <w:rFonts w:hint="eastAsia" w:ascii="宋体" w:hAnsi="宋体" w:eastAsia="宋体" w:cs="宋体"/>
          <w:color w:val="auto"/>
          <w:sz w:val="24"/>
          <w:highlight w:val="none"/>
        </w:rPr>
      </w:pPr>
    </w:p>
    <w:p w14:paraId="2D4A0A57">
      <w:pPr>
        <w:snapToGrid w:val="0"/>
        <w:spacing w:before="50" w:afterLines="50"/>
        <w:jc w:val="left"/>
        <w:rPr>
          <w:rFonts w:hint="eastAsia" w:ascii="宋体" w:hAnsi="宋体" w:eastAsia="宋体" w:cs="宋体"/>
          <w:color w:val="auto"/>
          <w:sz w:val="24"/>
          <w:highlight w:val="none"/>
        </w:rPr>
      </w:pPr>
    </w:p>
    <w:p w14:paraId="55618863">
      <w:pPr>
        <w:numPr>
          <w:ilvl w:val="2"/>
          <w:numId w:val="3"/>
        </w:numPr>
        <w:snapToGrid w:val="0"/>
        <w:spacing w:beforeLines="50" w:after="50"/>
        <w:ind w:lef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rPr>
        <w:t>投标人直接控股、管理关系信息表</w:t>
      </w:r>
    </w:p>
    <w:p w14:paraId="46254887">
      <w:pPr>
        <w:snapToGrid w:val="0"/>
        <w:spacing w:before="50" w:afterLines="50"/>
        <w:jc w:val="center"/>
        <w:rPr>
          <w:rFonts w:hint="eastAsia" w:ascii="宋体" w:hAnsi="宋体" w:eastAsia="宋体" w:cs="宋体"/>
          <w:b/>
          <w:color w:val="auto"/>
          <w:sz w:val="28"/>
          <w:szCs w:val="28"/>
          <w:highlight w:val="none"/>
        </w:rPr>
      </w:pPr>
    </w:p>
    <w:p w14:paraId="611A5FDF">
      <w:pPr>
        <w:snapToGrid w:val="0"/>
        <w:spacing w:before="5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投标人直接控股股东信息表</w:t>
      </w:r>
    </w:p>
    <w:tbl>
      <w:tblPr>
        <w:tblStyle w:val="48"/>
        <w:tblW w:w="0" w:type="auto"/>
        <w:jc w:val="center"/>
        <w:shd w:val="clear" w:color="auto" w:fill="FBFBFB"/>
        <w:tblLayout w:type="fixed"/>
        <w:tblCellMar>
          <w:top w:w="0" w:type="dxa"/>
          <w:left w:w="0" w:type="dxa"/>
          <w:bottom w:w="0" w:type="dxa"/>
          <w:right w:w="0" w:type="dxa"/>
        </w:tblCellMar>
      </w:tblPr>
      <w:tblGrid>
        <w:gridCol w:w="828"/>
        <w:gridCol w:w="2269"/>
        <w:gridCol w:w="1239"/>
        <w:gridCol w:w="4148"/>
        <w:gridCol w:w="992"/>
      </w:tblGrid>
      <w:tr w14:paraId="3D7AB469">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4715FC">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46453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C5C023">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14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7CC669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CAB5E9">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02B13CF">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5B1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5409AE">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668288">
            <w:pPr>
              <w:spacing w:line="360" w:lineRule="auto"/>
              <w:jc w:val="center"/>
              <w:rPr>
                <w:rFonts w:hint="eastAsia" w:ascii="宋体" w:hAnsi="宋体" w:eastAsia="宋体"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82AE16">
            <w:pPr>
              <w:spacing w:line="360" w:lineRule="auto"/>
              <w:jc w:val="center"/>
              <w:rPr>
                <w:rFonts w:hint="eastAsia" w:ascii="宋体" w:hAnsi="宋体" w:eastAsia="宋体"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57F2D8">
            <w:pPr>
              <w:spacing w:line="360" w:lineRule="auto"/>
              <w:jc w:val="center"/>
              <w:rPr>
                <w:rFonts w:hint="eastAsia" w:ascii="宋体" w:hAnsi="宋体" w:eastAsia="宋体" w:cs="宋体"/>
                <w:color w:val="auto"/>
                <w:kern w:val="0"/>
                <w:sz w:val="24"/>
                <w:highlight w:val="none"/>
              </w:rPr>
            </w:pPr>
          </w:p>
        </w:tc>
      </w:tr>
      <w:tr w14:paraId="360D6D89">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1F251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1CE39B">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215AFC">
            <w:pPr>
              <w:spacing w:line="360" w:lineRule="auto"/>
              <w:jc w:val="center"/>
              <w:rPr>
                <w:rFonts w:hint="eastAsia" w:ascii="宋体" w:hAnsi="宋体" w:eastAsia="宋体"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1EDC87">
            <w:pPr>
              <w:spacing w:line="360" w:lineRule="auto"/>
              <w:jc w:val="center"/>
              <w:rPr>
                <w:rFonts w:hint="eastAsia" w:ascii="宋体" w:hAnsi="宋体" w:eastAsia="宋体"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14C66F">
            <w:pPr>
              <w:spacing w:line="360" w:lineRule="auto"/>
              <w:jc w:val="center"/>
              <w:rPr>
                <w:rFonts w:hint="eastAsia" w:ascii="宋体" w:hAnsi="宋体" w:eastAsia="宋体" w:cs="宋体"/>
                <w:color w:val="auto"/>
                <w:kern w:val="0"/>
                <w:sz w:val="24"/>
                <w:highlight w:val="none"/>
              </w:rPr>
            </w:pPr>
          </w:p>
        </w:tc>
      </w:tr>
      <w:tr w14:paraId="4FC0E5CB">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8A894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F1C0B1">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B5BA6">
            <w:pPr>
              <w:spacing w:line="360" w:lineRule="auto"/>
              <w:jc w:val="center"/>
              <w:rPr>
                <w:rFonts w:hint="eastAsia" w:ascii="宋体" w:hAnsi="宋体" w:eastAsia="宋体"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402362">
            <w:pPr>
              <w:spacing w:line="360" w:lineRule="auto"/>
              <w:jc w:val="center"/>
              <w:rPr>
                <w:rFonts w:hint="eastAsia" w:ascii="宋体" w:hAnsi="宋体" w:eastAsia="宋体"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06B05A">
            <w:pPr>
              <w:spacing w:line="360" w:lineRule="auto"/>
              <w:jc w:val="center"/>
              <w:rPr>
                <w:rFonts w:hint="eastAsia" w:ascii="宋体" w:hAnsi="宋体" w:eastAsia="宋体" w:cs="宋体"/>
                <w:color w:val="auto"/>
                <w:kern w:val="0"/>
                <w:sz w:val="24"/>
                <w:highlight w:val="none"/>
              </w:rPr>
            </w:pPr>
          </w:p>
        </w:tc>
      </w:tr>
      <w:tr w14:paraId="1309B6EE">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A6908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27C06D">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54ADC3">
            <w:pPr>
              <w:spacing w:line="360" w:lineRule="auto"/>
              <w:jc w:val="center"/>
              <w:rPr>
                <w:rFonts w:hint="eastAsia" w:ascii="宋体" w:hAnsi="宋体" w:eastAsia="宋体" w:cs="宋体"/>
                <w:color w:val="auto"/>
                <w:kern w:val="0"/>
                <w:sz w:val="24"/>
                <w:highlight w:val="none"/>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64AB68">
            <w:pPr>
              <w:spacing w:line="360" w:lineRule="auto"/>
              <w:jc w:val="center"/>
              <w:rPr>
                <w:rFonts w:hint="eastAsia" w:ascii="宋体" w:hAnsi="宋体" w:eastAsia="宋体" w:cs="宋体"/>
                <w:color w:val="auto"/>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F2D4B5">
            <w:pPr>
              <w:spacing w:line="360" w:lineRule="auto"/>
              <w:jc w:val="center"/>
              <w:rPr>
                <w:rFonts w:hint="eastAsia" w:ascii="宋体" w:hAnsi="宋体" w:eastAsia="宋体" w:cs="宋体"/>
                <w:color w:val="auto"/>
                <w:kern w:val="0"/>
                <w:sz w:val="24"/>
                <w:highlight w:val="none"/>
              </w:rPr>
            </w:pPr>
          </w:p>
        </w:tc>
      </w:tr>
    </w:tbl>
    <w:p w14:paraId="13C206B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EB2BDA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193666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4E501D9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1BBDA331">
      <w:pPr>
        <w:snapToGrid w:val="0"/>
        <w:spacing w:line="360" w:lineRule="auto"/>
        <w:jc w:val="left"/>
        <w:rPr>
          <w:rFonts w:hint="eastAsia" w:ascii="宋体" w:hAnsi="宋体" w:eastAsia="宋体" w:cs="宋体"/>
          <w:color w:val="auto"/>
          <w:sz w:val="24"/>
          <w:highlight w:val="none"/>
        </w:rPr>
      </w:pPr>
    </w:p>
    <w:p w14:paraId="5655FCB8">
      <w:pPr>
        <w:snapToGrid w:val="0"/>
        <w:spacing w:line="360" w:lineRule="auto"/>
        <w:jc w:val="left"/>
        <w:rPr>
          <w:rFonts w:hint="eastAsia" w:ascii="宋体" w:hAnsi="宋体" w:eastAsia="宋体" w:cs="宋体"/>
          <w:color w:val="auto"/>
          <w:sz w:val="24"/>
          <w:highlight w:val="none"/>
        </w:rPr>
      </w:pPr>
    </w:p>
    <w:p w14:paraId="244528CD">
      <w:pPr>
        <w:snapToGrid w:val="0"/>
        <w:spacing w:line="360" w:lineRule="auto"/>
        <w:jc w:val="left"/>
        <w:rPr>
          <w:rFonts w:hint="eastAsia" w:ascii="宋体" w:hAnsi="宋体" w:eastAsia="宋体" w:cs="宋体"/>
          <w:color w:val="auto"/>
          <w:sz w:val="24"/>
          <w:highlight w:val="none"/>
        </w:rPr>
      </w:pPr>
    </w:p>
    <w:p w14:paraId="28F36DC4">
      <w:pPr>
        <w:snapToGrid w:val="0"/>
        <w:spacing w:line="360" w:lineRule="auto"/>
        <w:jc w:val="left"/>
        <w:rPr>
          <w:rFonts w:hint="eastAsia" w:ascii="宋体" w:hAnsi="宋体" w:eastAsia="宋体" w:cs="宋体"/>
          <w:color w:val="auto"/>
          <w:sz w:val="24"/>
          <w:highlight w:val="none"/>
        </w:rPr>
      </w:pPr>
    </w:p>
    <w:p w14:paraId="4104D963">
      <w:pPr>
        <w:snapToGrid w:val="0"/>
        <w:spacing w:line="360" w:lineRule="auto"/>
        <w:jc w:val="left"/>
        <w:rPr>
          <w:rFonts w:hint="eastAsia" w:ascii="宋体" w:hAnsi="宋体" w:eastAsia="宋体" w:cs="宋体"/>
          <w:color w:val="auto"/>
          <w:sz w:val="24"/>
          <w:highlight w:val="none"/>
        </w:rPr>
      </w:pPr>
    </w:p>
    <w:p w14:paraId="024F8E2B">
      <w:pPr>
        <w:snapToGrid w:val="0"/>
        <w:spacing w:beforeLines="50" w:line="360" w:lineRule="auto"/>
        <w:ind w:right="480" w:firstLine="3967" w:firstLineChars="165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p>
    <w:p w14:paraId="5A6C1EFA">
      <w:pPr>
        <w:snapToGrid w:val="0"/>
        <w:spacing w:beforeLines="50" w:after="50" w:line="360" w:lineRule="auto"/>
        <w:ind w:right="480" w:firstLine="5520" w:firstLineChars="2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投标人名称（电子签章）：</w:t>
      </w:r>
    </w:p>
    <w:p w14:paraId="14340AB2">
      <w:pPr>
        <w:snapToGrid w:val="0"/>
        <w:spacing w:beforeLines="50" w:after="50" w:line="360" w:lineRule="auto"/>
        <w:ind w:right="480" w:firstLine="5520" w:firstLineChars="2300"/>
        <w:rPr>
          <w:rFonts w:hint="eastAsia" w:ascii="宋体" w:hAnsi="宋体" w:eastAsia="宋体" w:cs="宋体"/>
          <w:color w:val="auto"/>
          <w:szCs w:val="21"/>
          <w:highlight w:val="none"/>
        </w:rPr>
      </w:pPr>
      <w:r>
        <w:rPr>
          <w:rFonts w:hint="eastAsia" w:ascii="宋体" w:hAnsi="宋体" w:eastAsia="宋体" w:cs="宋体"/>
          <w:color w:val="auto"/>
          <w:sz w:val="24"/>
          <w:highlight w:val="none"/>
        </w:rPr>
        <w:t>年    月    日</w:t>
      </w:r>
    </w:p>
    <w:p w14:paraId="1218FC8E">
      <w:pPr>
        <w:snapToGrid w:val="0"/>
        <w:jc w:val="center"/>
        <w:rPr>
          <w:rFonts w:hint="eastAsia" w:ascii="宋体" w:hAnsi="宋体" w:eastAsia="宋体" w:cs="宋体"/>
          <w:b/>
          <w:color w:val="auto"/>
          <w:sz w:val="28"/>
          <w:szCs w:val="28"/>
          <w:highlight w:val="none"/>
        </w:rPr>
      </w:pPr>
    </w:p>
    <w:p w14:paraId="44BF1A98">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投标人直接管理关系信息表</w:t>
      </w:r>
    </w:p>
    <w:tbl>
      <w:tblPr>
        <w:tblStyle w:val="48"/>
        <w:tblW w:w="0" w:type="auto"/>
        <w:jc w:val="center"/>
        <w:tblLayout w:type="fixed"/>
        <w:tblCellMar>
          <w:top w:w="0" w:type="dxa"/>
          <w:left w:w="0" w:type="dxa"/>
          <w:bottom w:w="0" w:type="dxa"/>
          <w:right w:w="0" w:type="dxa"/>
        </w:tblCellMar>
      </w:tblPr>
      <w:tblGrid>
        <w:gridCol w:w="1005"/>
        <w:gridCol w:w="2659"/>
        <w:gridCol w:w="3924"/>
        <w:gridCol w:w="2064"/>
      </w:tblGrid>
      <w:tr w14:paraId="17EEEE1A">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3D38E58">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845D8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2FF25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4D791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F27FC38">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49B8D9">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96F393">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9B8D58">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2738812">
            <w:pPr>
              <w:spacing w:line="360" w:lineRule="auto"/>
              <w:jc w:val="center"/>
              <w:rPr>
                <w:rFonts w:hint="eastAsia" w:ascii="宋体" w:hAnsi="宋体" w:eastAsia="宋体" w:cs="宋体"/>
                <w:color w:val="auto"/>
                <w:kern w:val="0"/>
                <w:sz w:val="24"/>
                <w:highlight w:val="none"/>
              </w:rPr>
            </w:pPr>
          </w:p>
        </w:tc>
      </w:tr>
      <w:tr w14:paraId="15F0E39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87C16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AFCE03">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354A8E">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BE9F4B">
            <w:pPr>
              <w:spacing w:line="360" w:lineRule="auto"/>
              <w:jc w:val="center"/>
              <w:rPr>
                <w:rFonts w:hint="eastAsia" w:ascii="宋体" w:hAnsi="宋体" w:eastAsia="宋体" w:cs="宋体"/>
                <w:color w:val="auto"/>
                <w:kern w:val="0"/>
                <w:sz w:val="24"/>
                <w:highlight w:val="none"/>
              </w:rPr>
            </w:pPr>
          </w:p>
        </w:tc>
      </w:tr>
      <w:tr w14:paraId="1F0752F6">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F6F26F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510267">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6D0B57">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ABDA4E">
            <w:pPr>
              <w:spacing w:line="360" w:lineRule="auto"/>
              <w:jc w:val="center"/>
              <w:rPr>
                <w:rFonts w:hint="eastAsia" w:ascii="宋体" w:hAnsi="宋体" w:eastAsia="宋体" w:cs="宋体"/>
                <w:color w:val="auto"/>
                <w:kern w:val="0"/>
                <w:sz w:val="24"/>
                <w:highlight w:val="none"/>
              </w:rPr>
            </w:pPr>
          </w:p>
        </w:tc>
      </w:tr>
      <w:tr w14:paraId="63F294E5">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83E03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89EB16">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1E1692">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961A45">
            <w:pPr>
              <w:spacing w:line="360" w:lineRule="auto"/>
              <w:jc w:val="center"/>
              <w:rPr>
                <w:rFonts w:hint="eastAsia" w:ascii="宋体" w:hAnsi="宋体" w:eastAsia="宋体" w:cs="宋体"/>
                <w:color w:val="auto"/>
                <w:kern w:val="0"/>
                <w:sz w:val="24"/>
                <w:highlight w:val="none"/>
              </w:rPr>
            </w:pPr>
          </w:p>
        </w:tc>
      </w:tr>
    </w:tbl>
    <w:p w14:paraId="365ABBA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004810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0DFE824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343EF7A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24940620">
      <w:pPr>
        <w:snapToGrid w:val="0"/>
        <w:spacing w:line="360" w:lineRule="auto"/>
        <w:jc w:val="left"/>
        <w:rPr>
          <w:rFonts w:hint="eastAsia" w:ascii="宋体" w:hAnsi="宋体" w:eastAsia="宋体" w:cs="宋体"/>
          <w:color w:val="auto"/>
          <w:sz w:val="24"/>
          <w:highlight w:val="none"/>
        </w:rPr>
      </w:pPr>
    </w:p>
    <w:p w14:paraId="7C1AFD68">
      <w:pPr>
        <w:snapToGrid w:val="0"/>
        <w:spacing w:line="360" w:lineRule="auto"/>
        <w:jc w:val="left"/>
        <w:rPr>
          <w:rFonts w:hint="eastAsia" w:ascii="宋体" w:hAnsi="宋体" w:eastAsia="宋体" w:cs="宋体"/>
          <w:color w:val="auto"/>
          <w:sz w:val="24"/>
          <w:highlight w:val="none"/>
        </w:rPr>
      </w:pPr>
    </w:p>
    <w:p w14:paraId="46C0F11A">
      <w:pPr>
        <w:snapToGrid w:val="0"/>
        <w:spacing w:line="360" w:lineRule="auto"/>
        <w:jc w:val="left"/>
        <w:rPr>
          <w:rFonts w:hint="eastAsia" w:ascii="宋体" w:hAnsi="宋体" w:eastAsia="宋体" w:cs="宋体"/>
          <w:color w:val="auto"/>
          <w:sz w:val="24"/>
          <w:highlight w:val="none"/>
        </w:rPr>
      </w:pPr>
    </w:p>
    <w:p w14:paraId="357C9B37">
      <w:pPr>
        <w:snapToGrid w:val="0"/>
        <w:spacing w:line="360" w:lineRule="auto"/>
        <w:jc w:val="left"/>
        <w:rPr>
          <w:rFonts w:hint="eastAsia" w:ascii="宋体" w:hAnsi="宋体" w:eastAsia="宋体" w:cs="宋体"/>
          <w:color w:val="auto"/>
          <w:sz w:val="24"/>
          <w:highlight w:val="none"/>
        </w:rPr>
      </w:pPr>
    </w:p>
    <w:p w14:paraId="6619B48F">
      <w:pPr>
        <w:snapToGrid w:val="0"/>
        <w:spacing w:line="360" w:lineRule="auto"/>
        <w:jc w:val="left"/>
        <w:rPr>
          <w:rFonts w:hint="eastAsia" w:ascii="宋体" w:hAnsi="宋体" w:eastAsia="宋体" w:cs="宋体"/>
          <w:color w:val="auto"/>
          <w:sz w:val="24"/>
          <w:highlight w:val="none"/>
        </w:rPr>
      </w:pPr>
    </w:p>
    <w:p w14:paraId="013EEB04">
      <w:pPr>
        <w:snapToGrid w:val="0"/>
        <w:spacing w:line="360" w:lineRule="auto"/>
        <w:jc w:val="left"/>
        <w:rPr>
          <w:rFonts w:hint="eastAsia" w:ascii="宋体" w:hAnsi="宋体" w:eastAsia="宋体" w:cs="宋体"/>
          <w:color w:val="auto"/>
          <w:sz w:val="24"/>
          <w:highlight w:val="none"/>
        </w:rPr>
      </w:pPr>
    </w:p>
    <w:p w14:paraId="2920A464">
      <w:pPr>
        <w:snapToGrid w:val="0"/>
        <w:spacing w:line="360" w:lineRule="auto"/>
        <w:jc w:val="left"/>
        <w:rPr>
          <w:rFonts w:hint="eastAsia" w:ascii="宋体" w:hAnsi="宋体" w:eastAsia="宋体" w:cs="宋体"/>
          <w:color w:val="auto"/>
          <w:sz w:val="24"/>
          <w:highlight w:val="none"/>
        </w:rPr>
      </w:pPr>
    </w:p>
    <w:p w14:paraId="46AF5EAE">
      <w:pPr>
        <w:snapToGrid w:val="0"/>
        <w:spacing w:beforeLines="50" w:line="360" w:lineRule="auto"/>
        <w:ind w:right="480" w:firstLine="3967" w:firstLineChars="165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p>
    <w:p w14:paraId="45094098">
      <w:pPr>
        <w:snapToGrid w:val="0"/>
        <w:spacing w:beforeLines="50" w:after="50" w:line="360" w:lineRule="auto"/>
        <w:ind w:right="480"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7851D3C6">
      <w:pPr>
        <w:snapToGrid w:val="0"/>
        <w:spacing w:beforeLines="50" w:after="50" w:line="360" w:lineRule="auto"/>
        <w:ind w:right="480" w:firstLine="240" w:firstLineChars="1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AED269A">
      <w:pPr>
        <w:snapToGrid w:val="0"/>
        <w:spacing w:before="50" w:afterLines="50"/>
        <w:jc w:val="left"/>
        <w:rPr>
          <w:rFonts w:hint="eastAsia" w:ascii="宋体" w:hAnsi="宋体" w:eastAsia="宋体" w:cs="宋体"/>
          <w:color w:val="auto"/>
          <w:szCs w:val="21"/>
          <w:highlight w:val="none"/>
        </w:rPr>
      </w:pPr>
    </w:p>
    <w:p w14:paraId="4869E0C0">
      <w:pPr>
        <w:snapToGrid w:val="0"/>
        <w:spacing w:beforeLines="50" w:after="50"/>
        <w:jc w:val="left"/>
        <w:rPr>
          <w:rFonts w:hint="eastAsia" w:ascii="宋体" w:hAnsi="宋体" w:eastAsia="宋体" w:cs="宋体"/>
          <w:b/>
          <w:color w:val="auto"/>
          <w:sz w:val="24"/>
          <w:szCs w:val="20"/>
          <w:highlight w:val="none"/>
        </w:rPr>
      </w:pPr>
    </w:p>
    <w:p w14:paraId="787F2D7C">
      <w:pPr>
        <w:numPr>
          <w:ilvl w:val="2"/>
          <w:numId w:val="3"/>
        </w:numPr>
        <w:snapToGrid w:val="0"/>
        <w:spacing w:beforeLines="50" w:after="50"/>
        <w:ind w:left="0" w:firstLine="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投标声明格式</w:t>
      </w:r>
    </w:p>
    <w:p w14:paraId="31B39217">
      <w:pPr>
        <w:snapToGrid w:val="0"/>
        <w:spacing w:before="50" w:afterLines="50"/>
        <w:jc w:val="left"/>
        <w:rPr>
          <w:rFonts w:hint="eastAsia" w:ascii="宋体" w:hAnsi="宋体" w:eastAsia="宋体" w:cs="宋体"/>
          <w:color w:val="auto"/>
          <w:highlight w:val="none"/>
        </w:rPr>
      </w:pPr>
    </w:p>
    <w:p w14:paraId="6F5BB105">
      <w:pPr>
        <w:snapToGrid w:val="0"/>
        <w:spacing w:before="50" w:afterLines="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投标声明</w:t>
      </w:r>
    </w:p>
    <w:p w14:paraId="44AB52B7">
      <w:pPr>
        <w:snapToGrid w:val="0"/>
        <w:spacing w:before="50" w:afterLines="50"/>
        <w:jc w:val="center"/>
        <w:rPr>
          <w:rFonts w:hint="eastAsia" w:ascii="宋体" w:hAnsi="宋体" w:eastAsia="宋体" w:cs="宋体"/>
          <w:bCs/>
          <w:color w:val="auto"/>
          <w:sz w:val="44"/>
          <w:szCs w:val="44"/>
          <w:highlight w:val="none"/>
        </w:rPr>
      </w:pPr>
    </w:p>
    <w:p w14:paraId="12738B9D">
      <w:pPr>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0E3179FD">
      <w:pPr>
        <w:spacing w:line="400" w:lineRule="exact"/>
        <w:ind w:firstLine="523" w:firstLineChars="218"/>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我方参加贵单位组织项目（项目编号：）的政府采购活动。我方在此郑重声明：</w:t>
      </w:r>
    </w:p>
    <w:p w14:paraId="3F5F8E61">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F10899C">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4729F02E">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我方承诺符合《中华人民共和国政府采购法》第二十二条规定：</w:t>
      </w:r>
    </w:p>
    <w:p w14:paraId="42AAE19E">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14:paraId="3E8BA9F5">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206D8CF8">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14:paraId="08ED7DFE">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14:paraId="4D746282">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59C8D71A">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14:paraId="357351BA">
      <w:pPr>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4.以上事项如有虚假或者隐瞒，我方愿意承担一切后果，并不再寻求任何旨在减轻或者免除法律责任的辩解。</w:t>
      </w:r>
    </w:p>
    <w:p w14:paraId="0B15DD14">
      <w:pPr>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14:paraId="075F6CF2">
      <w:pPr>
        <w:spacing w:line="400" w:lineRule="exact"/>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注：如为联合体投标，盖章处须加盖联合体各方公章并由联合体各方法定代表人分别签字，否则投标无效。</w:t>
      </w:r>
    </w:p>
    <w:p w14:paraId="63FCF192">
      <w:pPr>
        <w:spacing w:line="400" w:lineRule="exact"/>
        <w:contextualSpacing/>
        <w:jc w:val="left"/>
        <w:rPr>
          <w:rFonts w:hint="eastAsia" w:ascii="宋体" w:hAnsi="宋体" w:eastAsia="宋体" w:cs="宋体"/>
          <w:color w:val="auto"/>
          <w:sz w:val="24"/>
          <w:highlight w:val="none"/>
        </w:rPr>
      </w:pPr>
    </w:p>
    <w:p w14:paraId="24BA75F8">
      <w:pPr>
        <w:spacing w:line="400" w:lineRule="exact"/>
        <w:contextualSpacing/>
        <w:jc w:val="left"/>
        <w:rPr>
          <w:rFonts w:hint="eastAsia" w:ascii="宋体" w:hAnsi="宋体" w:eastAsia="宋体" w:cs="宋体"/>
          <w:color w:val="auto"/>
          <w:sz w:val="24"/>
          <w:highlight w:val="none"/>
        </w:rPr>
      </w:pPr>
    </w:p>
    <w:p w14:paraId="483678DB">
      <w:pPr>
        <w:spacing w:line="400" w:lineRule="exact"/>
        <w:contextualSpacing/>
        <w:jc w:val="left"/>
        <w:rPr>
          <w:rFonts w:hint="eastAsia" w:ascii="宋体" w:hAnsi="宋体" w:eastAsia="宋体" w:cs="宋体"/>
          <w:color w:val="auto"/>
          <w:sz w:val="24"/>
          <w:highlight w:val="none"/>
        </w:rPr>
      </w:pPr>
    </w:p>
    <w:p w14:paraId="428959E2">
      <w:pPr>
        <w:spacing w:line="400" w:lineRule="exact"/>
        <w:ind w:firstLine="3840" w:firstLineChars="16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法定代表人（签字或者盖章）：</w:t>
      </w:r>
    </w:p>
    <w:p w14:paraId="64A60AF1">
      <w:pPr>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14:paraId="6280EF27">
      <w:pPr>
        <w:spacing w:line="400" w:lineRule="exact"/>
        <w:contextualSpacing/>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年    月    日</w:t>
      </w:r>
    </w:p>
    <w:p w14:paraId="2E7A4987">
      <w:pPr>
        <w:rPr>
          <w:rFonts w:hint="eastAsia" w:ascii="宋体" w:hAnsi="宋体" w:eastAsia="宋体" w:cs="宋体"/>
          <w:b/>
          <w:color w:val="auto"/>
          <w:sz w:val="28"/>
          <w:szCs w:val="28"/>
          <w:highlight w:val="none"/>
        </w:rPr>
      </w:pPr>
      <w:bookmarkStart w:id="152" w:name="_Toc19686838"/>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三、商务文件格式</w:t>
      </w:r>
      <w:bookmarkEnd w:id="152"/>
    </w:p>
    <w:p w14:paraId="38E39322">
      <w:pPr>
        <w:snapToGrid w:val="0"/>
        <w:spacing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1.商务文件封面格式： </w:t>
      </w:r>
    </w:p>
    <w:p w14:paraId="07227A5F">
      <w:pPr>
        <w:snapToGrid w:val="0"/>
        <w:spacing w:beforeLines="50" w:after="50"/>
        <w:rPr>
          <w:rFonts w:hint="eastAsia" w:ascii="宋体" w:hAnsi="宋体" w:eastAsia="宋体" w:cs="宋体"/>
          <w:bCs/>
          <w:color w:val="auto"/>
          <w:sz w:val="32"/>
          <w:szCs w:val="20"/>
          <w:highlight w:val="none"/>
        </w:rPr>
      </w:pPr>
    </w:p>
    <w:p w14:paraId="4918AB79">
      <w:pPr>
        <w:snapToGrid w:val="0"/>
        <w:spacing w:beforeLines="50" w:after="50"/>
        <w:rPr>
          <w:rFonts w:hint="eastAsia" w:ascii="宋体" w:hAnsi="宋体" w:eastAsia="宋体" w:cs="宋体"/>
          <w:color w:val="auto"/>
          <w:sz w:val="24"/>
          <w:szCs w:val="20"/>
          <w:highlight w:val="none"/>
        </w:rPr>
      </w:pPr>
    </w:p>
    <w:p w14:paraId="27A6A2F7">
      <w:pPr>
        <w:snapToGrid w:val="0"/>
        <w:spacing w:beforeLines="50" w:after="50"/>
        <w:rPr>
          <w:rFonts w:hint="eastAsia" w:ascii="宋体" w:hAnsi="宋体" w:eastAsia="宋体" w:cs="宋体"/>
          <w:color w:val="auto"/>
          <w:sz w:val="24"/>
          <w:szCs w:val="20"/>
          <w:highlight w:val="none"/>
        </w:rPr>
      </w:pPr>
    </w:p>
    <w:p w14:paraId="7A0541BA">
      <w:pPr>
        <w:snapToGrid w:val="0"/>
        <w:spacing w:beforeLines="50" w:after="50"/>
        <w:rPr>
          <w:rFonts w:hint="eastAsia" w:ascii="宋体" w:hAnsi="宋体" w:eastAsia="宋体" w:cs="宋体"/>
          <w:color w:val="auto"/>
          <w:sz w:val="24"/>
          <w:szCs w:val="20"/>
          <w:highlight w:val="none"/>
        </w:rPr>
      </w:pPr>
    </w:p>
    <w:p w14:paraId="1950014C">
      <w:pPr>
        <w:snapToGrid w:val="0"/>
        <w:spacing w:beforeLines="50" w:after="5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6F83E911">
      <w:pPr>
        <w:snapToGrid w:val="0"/>
        <w:spacing w:beforeLines="50" w:after="50"/>
        <w:rPr>
          <w:rFonts w:hint="eastAsia" w:ascii="宋体" w:hAnsi="宋体" w:eastAsia="宋体" w:cs="宋体"/>
          <w:color w:val="auto"/>
          <w:sz w:val="24"/>
          <w:szCs w:val="20"/>
          <w:highlight w:val="none"/>
        </w:rPr>
      </w:pPr>
    </w:p>
    <w:p w14:paraId="1A8E21CB">
      <w:pPr>
        <w:snapToGrid w:val="0"/>
        <w:spacing w:beforeLines="50" w:after="50"/>
        <w:rPr>
          <w:rFonts w:hint="eastAsia" w:ascii="宋体" w:hAnsi="宋体" w:eastAsia="宋体" w:cs="宋体"/>
          <w:color w:val="auto"/>
          <w:sz w:val="24"/>
          <w:szCs w:val="20"/>
          <w:highlight w:val="none"/>
        </w:rPr>
      </w:pPr>
    </w:p>
    <w:p w14:paraId="5CF771DD">
      <w:pPr>
        <w:snapToGrid w:val="0"/>
        <w:spacing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  务  文  件</w:t>
      </w:r>
    </w:p>
    <w:p w14:paraId="3C2E0F63">
      <w:pPr>
        <w:snapToGrid w:val="0"/>
        <w:spacing w:beforeLines="50" w:after="50"/>
        <w:rPr>
          <w:rFonts w:hint="eastAsia" w:ascii="宋体" w:hAnsi="宋体" w:eastAsia="宋体" w:cs="宋体"/>
          <w:bCs/>
          <w:color w:val="auto"/>
          <w:sz w:val="24"/>
          <w:szCs w:val="20"/>
          <w:highlight w:val="none"/>
        </w:rPr>
      </w:pPr>
    </w:p>
    <w:p w14:paraId="4496E727">
      <w:pPr>
        <w:snapToGrid w:val="0"/>
        <w:spacing w:beforeLines="50" w:after="50"/>
        <w:ind w:firstLine="540" w:firstLineChars="225"/>
        <w:rPr>
          <w:rFonts w:hint="eastAsia" w:ascii="宋体" w:hAnsi="宋体" w:eastAsia="宋体" w:cs="宋体"/>
          <w:bCs/>
          <w:color w:val="auto"/>
          <w:sz w:val="24"/>
          <w:highlight w:val="none"/>
        </w:rPr>
      </w:pPr>
    </w:p>
    <w:p w14:paraId="1289606B">
      <w:pPr>
        <w:snapToGrid w:val="0"/>
        <w:spacing w:beforeLines="50" w:after="50"/>
        <w:ind w:firstLine="540" w:firstLineChars="225"/>
        <w:rPr>
          <w:rFonts w:hint="eastAsia" w:ascii="宋体" w:hAnsi="宋体" w:eastAsia="宋体" w:cs="宋体"/>
          <w:bCs/>
          <w:color w:val="auto"/>
          <w:sz w:val="24"/>
          <w:highlight w:val="none"/>
        </w:rPr>
      </w:pPr>
    </w:p>
    <w:p w14:paraId="02C5CDAB">
      <w:pPr>
        <w:snapToGrid w:val="0"/>
        <w:spacing w:beforeLines="50" w:after="50"/>
        <w:ind w:firstLine="540" w:firstLineChars="225"/>
        <w:rPr>
          <w:rFonts w:hint="eastAsia" w:ascii="宋体" w:hAnsi="宋体" w:eastAsia="宋体" w:cs="宋体"/>
          <w:bCs/>
          <w:color w:val="auto"/>
          <w:sz w:val="24"/>
          <w:highlight w:val="none"/>
        </w:rPr>
      </w:pPr>
    </w:p>
    <w:p w14:paraId="0D8EA551">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67E70514">
      <w:pPr>
        <w:snapToGrid w:val="0"/>
        <w:spacing w:beforeLines="50" w:after="50"/>
        <w:ind w:firstLine="540" w:firstLineChars="225"/>
        <w:rPr>
          <w:rFonts w:hint="eastAsia" w:ascii="宋体" w:hAnsi="宋体" w:eastAsia="宋体" w:cs="宋体"/>
          <w:bCs/>
          <w:color w:val="auto"/>
          <w:sz w:val="24"/>
          <w:szCs w:val="20"/>
          <w:highlight w:val="none"/>
        </w:rPr>
      </w:pPr>
    </w:p>
    <w:p w14:paraId="6B0895B6">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42E464DC">
      <w:pPr>
        <w:snapToGrid w:val="0"/>
        <w:spacing w:beforeLines="50" w:after="50"/>
        <w:ind w:firstLine="540" w:firstLineChars="225"/>
        <w:rPr>
          <w:rFonts w:hint="eastAsia" w:ascii="宋体" w:hAnsi="宋体" w:eastAsia="宋体" w:cs="宋体"/>
          <w:bCs/>
          <w:color w:val="auto"/>
          <w:sz w:val="24"/>
          <w:szCs w:val="20"/>
          <w:highlight w:val="none"/>
        </w:rPr>
      </w:pPr>
    </w:p>
    <w:p w14:paraId="790034A2">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E2B9100">
      <w:pPr>
        <w:snapToGrid w:val="0"/>
        <w:spacing w:beforeLines="50" w:after="50"/>
        <w:ind w:firstLine="540" w:firstLineChars="225"/>
        <w:rPr>
          <w:rFonts w:hint="eastAsia" w:ascii="宋体" w:hAnsi="宋体" w:eastAsia="宋体" w:cs="宋体"/>
          <w:bCs/>
          <w:color w:val="auto"/>
          <w:sz w:val="24"/>
          <w:szCs w:val="20"/>
          <w:highlight w:val="none"/>
        </w:rPr>
      </w:pPr>
    </w:p>
    <w:p w14:paraId="0D2C5213">
      <w:pPr>
        <w:pStyle w:val="9"/>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0E9DA7C0">
      <w:pPr>
        <w:pStyle w:val="9"/>
        <w:snapToGrid w:val="0"/>
        <w:spacing w:before="50" w:after="50"/>
        <w:ind w:firstLine="540" w:firstLineChars="225"/>
        <w:rPr>
          <w:rFonts w:hint="eastAsia" w:ascii="宋体" w:hAnsi="宋体" w:eastAsia="宋体" w:cs="宋体"/>
          <w:bCs/>
          <w:color w:val="auto"/>
          <w:sz w:val="24"/>
          <w:szCs w:val="24"/>
          <w:highlight w:val="none"/>
        </w:rPr>
      </w:pPr>
    </w:p>
    <w:p w14:paraId="226AFF4C">
      <w:pPr>
        <w:pStyle w:val="9"/>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42C8DB3C">
      <w:pPr>
        <w:pStyle w:val="9"/>
        <w:snapToGrid w:val="0"/>
        <w:spacing w:before="50" w:after="50"/>
        <w:ind w:firstLine="960" w:firstLineChars="400"/>
        <w:rPr>
          <w:rFonts w:hint="eastAsia" w:ascii="宋体" w:hAnsi="宋体" w:eastAsia="宋体" w:cs="宋体"/>
          <w:bCs/>
          <w:color w:val="auto"/>
          <w:sz w:val="24"/>
          <w:szCs w:val="24"/>
          <w:highlight w:val="none"/>
        </w:rPr>
      </w:pPr>
    </w:p>
    <w:p w14:paraId="6AF08DF9">
      <w:pPr>
        <w:snapToGrid w:val="0"/>
        <w:spacing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01001D4">
      <w:pPr>
        <w:snapToGrid w:val="0"/>
        <w:spacing w:beforeLines="50" w:after="50"/>
        <w:rPr>
          <w:rFonts w:hint="eastAsia" w:ascii="宋体" w:hAnsi="宋体" w:eastAsia="宋体" w:cs="宋体"/>
          <w:color w:val="auto"/>
          <w:sz w:val="24"/>
          <w:szCs w:val="20"/>
          <w:highlight w:val="none"/>
        </w:rPr>
      </w:pPr>
    </w:p>
    <w:p w14:paraId="170ADEE5">
      <w:pPr>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bCs/>
          <w:color w:val="auto"/>
          <w:sz w:val="24"/>
          <w:highlight w:val="none"/>
        </w:rPr>
        <w:t>2.商务文件目录</w:t>
      </w:r>
    </w:p>
    <w:p w14:paraId="5E92AF0F">
      <w:pPr>
        <w:snapToGrid w:val="0"/>
        <w:spacing w:before="50" w:afterLines="50" w:line="360" w:lineRule="auto"/>
        <w:ind w:firstLine="480" w:firstLineChars="200"/>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根据招标文件规定及投标人提供的材料自行编写目录。</w:t>
      </w:r>
    </w:p>
    <w:p w14:paraId="33249F62">
      <w:pPr>
        <w:snapToGrid w:val="0"/>
        <w:spacing w:before="50" w:afterLines="50"/>
        <w:jc w:val="left"/>
        <w:rPr>
          <w:rFonts w:hint="eastAsia" w:ascii="宋体" w:hAnsi="宋体" w:eastAsia="宋体" w:cs="宋体"/>
          <w:color w:val="auto"/>
          <w:highlight w:val="none"/>
        </w:rPr>
      </w:pPr>
    </w:p>
    <w:p w14:paraId="6E54593D">
      <w:pPr>
        <w:snapToGrid w:val="0"/>
        <w:spacing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3.投标人参加本项目无围标串标行为的承诺</w:t>
      </w:r>
    </w:p>
    <w:p w14:paraId="6D91426A">
      <w:pPr>
        <w:snapToGrid w:val="0"/>
        <w:spacing w:beforeLines="50" w:after="50"/>
        <w:jc w:val="left"/>
        <w:rPr>
          <w:rFonts w:hint="eastAsia" w:ascii="宋体" w:hAnsi="宋体" w:eastAsia="宋体" w:cs="宋体"/>
          <w:b/>
          <w:color w:val="auto"/>
          <w:sz w:val="24"/>
          <w:highlight w:val="none"/>
        </w:rPr>
      </w:pPr>
    </w:p>
    <w:p w14:paraId="61F8C647">
      <w:pPr>
        <w:spacing w:line="360" w:lineRule="auto"/>
        <w:ind w:left="420"/>
        <w:contextualSpacing/>
        <w:jc w:val="center"/>
        <w:rPr>
          <w:rFonts w:hint="eastAsia" w:ascii="宋体" w:hAnsi="宋体" w:eastAsia="宋体" w:cs="宋体"/>
          <w:b/>
          <w:color w:val="auto"/>
          <w:sz w:val="24"/>
          <w:highlight w:val="none"/>
        </w:rPr>
      </w:pPr>
      <w:r>
        <w:rPr>
          <w:rFonts w:hint="eastAsia" w:ascii="宋体" w:hAnsi="宋体" w:eastAsia="宋体" w:cs="宋体"/>
          <w:bCs/>
          <w:color w:val="auto"/>
          <w:spacing w:val="-11"/>
          <w:sz w:val="44"/>
          <w:szCs w:val="44"/>
          <w:highlight w:val="none"/>
        </w:rPr>
        <w:t>投标人参加本项目无围标串标行为的承诺函</w:t>
      </w:r>
    </w:p>
    <w:p w14:paraId="53403913">
      <w:pPr>
        <w:spacing w:line="440" w:lineRule="exact"/>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一、我方承诺无下列相互串通投标的情形：</w:t>
      </w:r>
    </w:p>
    <w:p w14:paraId="546DD450">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1.不同投标人的投标文件由同一单位或者个人编制；</w:t>
      </w:r>
    </w:p>
    <w:p w14:paraId="65DA7AA9">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14:paraId="6F1D9C45">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3.不同的投标人的投标文件载明的项目管理员为同一个人；</w:t>
      </w:r>
    </w:p>
    <w:p w14:paraId="1BEF5941">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14:paraId="2A405338">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14:paraId="09CC968F">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6.不同投标人的投标保证金从同一单位或者个人账户转出。</w:t>
      </w:r>
    </w:p>
    <w:p w14:paraId="5B0520CF">
      <w:pPr>
        <w:spacing w:line="440" w:lineRule="exact"/>
        <w:contextualSpacing/>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二、我方承诺无下列恶意串通的情形：</w:t>
      </w:r>
    </w:p>
    <w:p w14:paraId="0F2A8B2C">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1.投标人直接或者间接从采购人或者采购代理机构处获得其他投标人的相关信息并修改其投标文件或者响应文件；</w:t>
      </w:r>
    </w:p>
    <w:p w14:paraId="4A0CA126">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2.投标人按照采购人或者采购代理机构的授意撤换、修改投标文件或者响应文件；</w:t>
      </w:r>
    </w:p>
    <w:p w14:paraId="40F18C26">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3.投标人直接或者间接从采购人或者采购代理机构处获得评标委员会成员信息；</w:t>
      </w:r>
    </w:p>
    <w:p w14:paraId="6208C765">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4.投标人之间协商报价、技术方案等投标文件或者响应文件的实质性内容；</w:t>
      </w:r>
    </w:p>
    <w:p w14:paraId="1E7F57CE">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5.属于同一集团、协会、商会等组织成员的投标人按照该组织要求协同参加政府采购活动；</w:t>
      </w:r>
    </w:p>
    <w:p w14:paraId="4DC6D98D">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6.投标人之间事先约定一致抬高或者压低投标报价，或者在招标项目中事先约定轮流以高价位或者低价位中标，或者事先约定由某一特定投标人中标，然后再参加投标；</w:t>
      </w:r>
    </w:p>
    <w:p w14:paraId="46844266">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7.投标人之间商定部分投标人放弃参加政府采购活动或者放弃中标；</w:t>
      </w:r>
    </w:p>
    <w:p w14:paraId="5E30D85F">
      <w:pPr>
        <w:spacing w:line="44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8.投标人与采购人或者采购代理机构之间、投标人相互之间，为谋求特定投标人中标或者排斥其他投标人的其他串通行为。</w:t>
      </w:r>
    </w:p>
    <w:p w14:paraId="50E5EE84">
      <w:pPr>
        <w:spacing w:line="440" w:lineRule="exact"/>
        <w:ind w:firstLine="472" w:firstLineChars="196"/>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以上情形一经核查属实，我方愿意承担一切后果，并不再寻求任何旨在减轻或者免除法律责任的辩解。</w:t>
      </w:r>
    </w:p>
    <w:p w14:paraId="19C9F4AC">
      <w:pPr>
        <w:pStyle w:val="26"/>
        <w:spacing w:line="440" w:lineRule="exact"/>
        <w:ind w:firstLine="6840" w:firstLineChars="2850"/>
        <w:contextualSpacing/>
        <w:rPr>
          <w:rFonts w:hint="eastAsia" w:ascii="宋体" w:hAnsi="宋体" w:eastAsia="宋体" w:cs="宋体"/>
          <w:color w:val="auto"/>
          <w:sz w:val="24"/>
          <w:szCs w:val="24"/>
          <w:highlight w:val="none"/>
        </w:rPr>
      </w:pPr>
    </w:p>
    <w:p w14:paraId="3062B131">
      <w:pPr>
        <w:pStyle w:val="26"/>
        <w:spacing w:line="44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p>
    <w:p w14:paraId="32910A89">
      <w:pPr>
        <w:pStyle w:val="26"/>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505C4475">
      <w:pPr>
        <w:snapToGrid w:val="0"/>
        <w:spacing w:beforeLines="50" w:after="50"/>
        <w:jc w:val="left"/>
        <w:rPr>
          <w:rFonts w:hint="eastAsia" w:ascii="宋体" w:hAnsi="宋体" w:eastAsia="宋体" w:cs="宋体"/>
          <w:b/>
          <w:color w:val="auto"/>
          <w:sz w:val="24"/>
          <w:highlight w:val="none"/>
        </w:rPr>
      </w:pPr>
    </w:p>
    <w:p w14:paraId="517D4C2F">
      <w:pPr>
        <w:snapToGrid w:val="0"/>
        <w:spacing w:beforeLines="50" w:after="50"/>
        <w:jc w:val="left"/>
        <w:rPr>
          <w:rFonts w:hint="eastAsia" w:ascii="宋体" w:hAnsi="宋体" w:eastAsia="宋体" w:cs="宋体"/>
          <w:b/>
          <w:color w:val="auto"/>
          <w:sz w:val="24"/>
          <w:highlight w:val="none"/>
        </w:rPr>
      </w:pPr>
    </w:p>
    <w:p w14:paraId="77E7D2FB">
      <w:pPr>
        <w:snapToGrid w:val="0"/>
        <w:spacing w:beforeLines="50" w:after="50"/>
        <w:jc w:val="left"/>
        <w:rPr>
          <w:rFonts w:hint="eastAsia" w:ascii="宋体" w:hAnsi="宋体" w:eastAsia="宋体" w:cs="宋体"/>
          <w:b/>
          <w:color w:val="auto"/>
          <w:sz w:val="24"/>
          <w:highlight w:val="none"/>
        </w:rPr>
      </w:pPr>
    </w:p>
    <w:p w14:paraId="18EC3301">
      <w:pPr>
        <w:snapToGrid w:val="0"/>
        <w:spacing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4.投标人廉洁承诺函</w:t>
      </w:r>
    </w:p>
    <w:p w14:paraId="66D91A70">
      <w:pPr>
        <w:snapToGrid w:val="0"/>
        <w:spacing w:beforeLines="50" w:after="50"/>
        <w:jc w:val="left"/>
        <w:rPr>
          <w:rFonts w:hint="eastAsia" w:ascii="宋体" w:hAnsi="宋体" w:eastAsia="宋体" w:cs="宋体"/>
          <w:b/>
          <w:color w:val="auto"/>
          <w:sz w:val="24"/>
          <w:highlight w:val="none"/>
        </w:rPr>
      </w:pPr>
    </w:p>
    <w:p w14:paraId="1A8C9D07">
      <w:pPr>
        <w:spacing w:line="360" w:lineRule="auto"/>
        <w:ind w:left="420"/>
        <w:contextualSpacing/>
        <w:jc w:val="center"/>
        <w:rPr>
          <w:rFonts w:hint="eastAsia" w:ascii="宋体" w:hAnsi="宋体" w:eastAsia="宋体" w:cs="宋体"/>
          <w:b/>
          <w:color w:val="auto"/>
          <w:sz w:val="24"/>
          <w:highlight w:val="none"/>
        </w:rPr>
      </w:pPr>
      <w:r>
        <w:rPr>
          <w:rFonts w:hint="eastAsia" w:ascii="宋体" w:hAnsi="宋体" w:eastAsia="宋体" w:cs="宋体"/>
          <w:bCs/>
          <w:color w:val="auto"/>
          <w:spacing w:val="-11"/>
          <w:sz w:val="44"/>
          <w:szCs w:val="44"/>
          <w:highlight w:val="none"/>
        </w:rPr>
        <w:t>投标人廉洁承诺函</w:t>
      </w:r>
    </w:p>
    <w:p w14:paraId="2BBC2257">
      <w:pPr>
        <w:spacing w:line="400" w:lineRule="exact"/>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广西壮族自治区林业局：</w:t>
      </w:r>
    </w:p>
    <w:p w14:paraId="1C88F88B">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为了积极配合贵单位进行的</w:t>
      </w:r>
      <w:r>
        <w:rPr>
          <w:rFonts w:hint="eastAsia" w:ascii="宋体" w:hAnsi="宋体" w:eastAsia="宋体" w:cs="宋体"/>
          <w:color w:val="auto"/>
          <w:sz w:val="24"/>
          <w:highlight w:val="none"/>
          <w:u w:val="single"/>
          <w:lang w:eastAsia="zh-CN"/>
        </w:rPr>
        <w:t>2025年林业森林防火物资采购项目</w:t>
      </w:r>
      <w:r>
        <w:rPr>
          <w:rFonts w:hint="eastAsia" w:ascii="宋体" w:hAnsi="宋体" w:eastAsia="宋体" w:cs="宋体"/>
          <w:color w:val="auto"/>
          <w:sz w:val="24"/>
          <w:highlight w:val="none"/>
        </w:rPr>
        <w:t>项目招标工作，有效遏制不公平竞争和违规违纪行为的发生，确保招标工作的公平、公正、公开、有序进行，我们保证认真贯彻执行《中华人民共和国政府采购法》、《中华人民共和国政府采购法实施条例》等法律法规以及与廉洁有关的规章制度，特向贵单位承诺如下事项：</w:t>
      </w:r>
    </w:p>
    <w:p w14:paraId="14AB8422">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一、自觉遵守国家有关法律法规及廉洁规定。</w:t>
      </w:r>
    </w:p>
    <w:p w14:paraId="6238B939">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二、不与招标单位工作人员及代理机构工作人员串通投标，损害国家利益、企业利益以及他人的合法利益；不与其他投标人相互串通投标报价，不排挤其他投标人，不损害招标人或其他投标人的合法权益。</w:t>
      </w:r>
    </w:p>
    <w:p w14:paraId="53CDF8A0">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三、不以任何名义为参与招标、评标工作的有关人员报销应由参与招标、评标工作的有关人员支付的任何费用。</w:t>
      </w:r>
    </w:p>
    <w:p w14:paraId="480D908E">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不得借故到贵单位相关领导、部门负责人及相关工作人员家中访谈并提供任何好处费；不以任何名义向参与招标、评标工作的有关人员赠送回扣、红包、礼金、购物卡、有价证券、贵重物品和好处费、感谢费等。</w:t>
      </w:r>
    </w:p>
    <w:p w14:paraId="3D40E47D">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五、不以任何名义向参与招标、评标工作的有关人员提供高消费宴请及娱乐活动。</w:t>
      </w:r>
    </w:p>
    <w:p w14:paraId="3E586560">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六、不以谋取非正当利益为目的，擅自与参与招标、评标工作的有关人员就业务问题进行私下商谈或者达成利益默契。</w:t>
      </w:r>
    </w:p>
    <w:p w14:paraId="7BAF0119">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七、不以任何名义接受或暗示为参与招标、评标工作的有关人员装修住房、</w:t>
      </w:r>
      <w:r>
        <w:rPr>
          <w:rFonts w:hint="eastAsia" w:ascii="宋体" w:hAnsi="宋体" w:cs="宋体"/>
          <w:color w:val="auto"/>
          <w:sz w:val="24"/>
          <w:highlight w:val="none"/>
          <w:lang w:eastAsia="zh-CN"/>
        </w:rPr>
        <w:t>婚丧嫁娶</w:t>
      </w:r>
      <w:r>
        <w:rPr>
          <w:rFonts w:hint="eastAsia" w:ascii="宋体" w:hAnsi="宋体" w:eastAsia="宋体" w:cs="宋体"/>
          <w:color w:val="auto"/>
          <w:sz w:val="24"/>
          <w:highlight w:val="none"/>
        </w:rPr>
        <w:t>、配偶子女的工作安排以及境内外旅游等提供方便。</w:t>
      </w:r>
    </w:p>
    <w:p w14:paraId="4E336FD1">
      <w:pPr>
        <w:spacing w:line="400" w:lineRule="exact"/>
        <w:ind w:firstLine="472" w:firstLineChars="196"/>
        <w:contextualSpacing/>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以上情形一经核查属实，我方愿意承担一切后果，并不再寻求任何旨在减轻或者免除法律责任的辩解</w:t>
      </w:r>
      <w:r>
        <w:rPr>
          <w:rFonts w:hint="eastAsia" w:ascii="宋体" w:hAnsi="宋体" w:eastAsia="宋体" w:cs="宋体"/>
          <w:color w:val="auto"/>
          <w:sz w:val="24"/>
          <w:highlight w:val="none"/>
        </w:rPr>
        <w:t>。如违反以上承诺，我单位自愿接受广西壮族自治区林业局依据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14:paraId="397B00C4">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本廉洁承诺书为我单位应答此次采购项目正式文件的附件，与其他投标文件具有同等法律效力，经我单位法定代表人或其授权委托人签字盖章后立即生效。</w:t>
      </w:r>
    </w:p>
    <w:p w14:paraId="633B84F0">
      <w:pPr>
        <w:pStyle w:val="26"/>
        <w:spacing w:line="44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投标人名称：（电子签章）</w:t>
      </w:r>
    </w:p>
    <w:p w14:paraId="559B05EB">
      <w:pPr>
        <w:pStyle w:val="26"/>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法定代表人或其授权委托人（签章）：</w:t>
      </w:r>
    </w:p>
    <w:p w14:paraId="7A66460D">
      <w:pPr>
        <w:pStyle w:val="26"/>
        <w:spacing w:line="440" w:lineRule="exact"/>
        <w:contextualSpacing/>
        <w:jc w:val="right"/>
        <w:rPr>
          <w:rFonts w:hint="eastAsia" w:ascii="宋体" w:hAnsi="宋体" w:eastAsia="宋体" w:cs="宋体"/>
          <w:b/>
          <w:color w:val="auto"/>
          <w:sz w:val="24"/>
          <w:highlight w:val="none"/>
        </w:rPr>
      </w:pPr>
      <w:r>
        <w:rPr>
          <w:rFonts w:hint="eastAsia" w:ascii="宋体" w:hAnsi="宋体" w:eastAsia="宋体" w:cs="宋体"/>
          <w:color w:val="auto"/>
          <w:sz w:val="24"/>
          <w:highlight w:val="none"/>
        </w:rPr>
        <w:t>年月日</w:t>
      </w:r>
    </w:p>
    <w:p w14:paraId="3284C008">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48B97EF6">
      <w:pPr>
        <w:snapToGrid w:val="0"/>
        <w:spacing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5.法定代表人身份证明</w:t>
      </w:r>
    </w:p>
    <w:p w14:paraId="4492B6C1">
      <w:pPr>
        <w:spacing w:beforeLines="100" w:afterLines="50"/>
        <w:ind w:left="540"/>
        <w:jc w:val="center"/>
        <w:rPr>
          <w:rFonts w:hint="eastAsia" w:ascii="宋体" w:hAnsi="宋体" w:eastAsia="宋体" w:cs="宋体"/>
          <w:bCs/>
          <w:color w:val="auto"/>
          <w:sz w:val="44"/>
          <w:szCs w:val="44"/>
          <w:highlight w:val="none"/>
        </w:rPr>
      </w:pPr>
    </w:p>
    <w:p w14:paraId="1AF8F0BE">
      <w:pPr>
        <w:spacing w:beforeLines="100" w:afterLines="50"/>
        <w:ind w:left="54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法定代表人身份证明</w:t>
      </w:r>
    </w:p>
    <w:p w14:paraId="4B518677">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p>
    <w:p w14:paraId="6951C67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268653A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名：性      别：</w:t>
      </w:r>
    </w:p>
    <w:p w14:paraId="4AEF1A9C">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龄：职      务：</w:t>
      </w:r>
    </w:p>
    <w:p w14:paraId="612DB928">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004F9AE9">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31E04C5F">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A6E1640">
      <w:pPr>
        <w:spacing w:line="500" w:lineRule="exact"/>
        <w:ind w:left="540"/>
        <w:rPr>
          <w:rFonts w:hint="eastAsia" w:ascii="宋体" w:hAnsi="宋体" w:eastAsia="宋体" w:cs="宋体"/>
          <w:color w:val="auto"/>
          <w:sz w:val="24"/>
          <w:highlight w:val="none"/>
        </w:rPr>
      </w:pPr>
    </w:p>
    <w:p w14:paraId="2CA37FED">
      <w:pPr>
        <w:spacing w:line="500" w:lineRule="exact"/>
        <w:ind w:left="540"/>
        <w:rPr>
          <w:rFonts w:hint="eastAsia" w:ascii="宋体" w:hAnsi="宋体" w:eastAsia="宋体" w:cs="宋体"/>
          <w:color w:val="auto"/>
          <w:sz w:val="24"/>
          <w:highlight w:val="none"/>
        </w:rPr>
      </w:pPr>
    </w:p>
    <w:p w14:paraId="00B7174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C533897">
      <w:pPr>
        <w:spacing w:line="500" w:lineRule="exact"/>
        <w:ind w:left="540"/>
        <w:rPr>
          <w:rFonts w:hint="eastAsia" w:ascii="宋体" w:hAnsi="宋体" w:eastAsia="宋体" w:cs="宋体"/>
          <w:color w:val="auto"/>
          <w:sz w:val="24"/>
          <w:highlight w:val="none"/>
        </w:rPr>
      </w:pPr>
    </w:p>
    <w:p w14:paraId="654C292D">
      <w:pPr>
        <w:spacing w:line="500" w:lineRule="exact"/>
        <w:ind w:left="5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56BAFD43">
      <w:pPr>
        <w:spacing w:line="500" w:lineRule="exact"/>
        <w:ind w:left="540"/>
        <w:jc w:val="right"/>
        <w:rPr>
          <w:rFonts w:hint="eastAsia" w:ascii="宋体" w:hAnsi="宋体" w:eastAsia="宋体" w:cs="宋体"/>
          <w:color w:val="auto"/>
          <w:sz w:val="24"/>
          <w:highlight w:val="none"/>
        </w:rPr>
      </w:pPr>
    </w:p>
    <w:p w14:paraId="06B89268">
      <w:pPr>
        <w:snapToGrid w:val="0"/>
        <w:spacing w:beforeLines="50" w:after="50"/>
        <w:ind w:left="5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1AD335CB">
      <w:pPr>
        <w:snapToGrid w:val="0"/>
        <w:spacing w:beforeLines="50" w:after="50"/>
        <w:jc w:val="center"/>
        <w:rPr>
          <w:rFonts w:hint="eastAsia" w:ascii="宋体" w:hAnsi="宋体" w:eastAsia="宋体" w:cs="宋体"/>
          <w:b/>
          <w:color w:val="auto"/>
          <w:sz w:val="24"/>
          <w:highlight w:val="none"/>
        </w:rPr>
      </w:pPr>
    </w:p>
    <w:p w14:paraId="6D910E1E">
      <w:pPr>
        <w:snapToGrid w:val="0"/>
        <w:spacing w:beforeLines="50" w:after="50"/>
        <w:jc w:val="left"/>
        <w:rPr>
          <w:rFonts w:hint="eastAsia" w:ascii="宋体" w:hAnsi="宋体" w:eastAsia="宋体" w:cs="宋体"/>
          <w:b/>
          <w:color w:val="auto"/>
          <w:sz w:val="24"/>
          <w:szCs w:val="20"/>
          <w:highlight w:val="none"/>
        </w:rPr>
      </w:pPr>
      <w:r>
        <w:rPr>
          <w:rFonts w:hint="eastAsia" w:ascii="宋体" w:hAnsi="宋体" w:eastAsia="宋体" w:cs="宋体"/>
          <w:color w:val="auto"/>
          <w:sz w:val="24"/>
          <w:highlight w:val="none"/>
        </w:rPr>
        <w:t>注：自然人投标的无需提供</w:t>
      </w:r>
    </w:p>
    <w:p w14:paraId="1A10D8B5">
      <w:pPr>
        <w:snapToGrid w:val="0"/>
        <w:spacing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6.授权委托书格式</w:t>
      </w:r>
    </w:p>
    <w:p w14:paraId="40716EFD">
      <w:pPr>
        <w:snapToGrid w:val="0"/>
        <w:spacing w:beforeLines="50" w:after="50"/>
        <w:jc w:val="center"/>
        <w:rPr>
          <w:rFonts w:hint="eastAsia" w:ascii="宋体" w:hAnsi="宋体" w:eastAsia="宋体" w:cs="宋体"/>
          <w:b/>
          <w:color w:val="auto"/>
          <w:sz w:val="44"/>
          <w:szCs w:val="44"/>
          <w:highlight w:val="none"/>
        </w:rPr>
      </w:pPr>
    </w:p>
    <w:p w14:paraId="146F6DFD">
      <w:pPr>
        <w:spacing w:line="360" w:lineRule="auto"/>
        <w:contextualSpacing/>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授权委托书</w:t>
      </w:r>
    </w:p>
    <w:p w14:paraId="758C6DF8">
      <w:pPr>
        <w:spacing w:line="360" w:lineRule="auto"/>
        <w:contextualSpacing/>
        <w:jc w:val="center"/>
        <w:rPr>
          <w:rFonts w:hint="eastAsia" w:ascii="宋体" w:hAnsi="宋体" w:eastAsia="宋体" w:cs="宋体"/>
          <w:bCs/>
          <w:color w:val="auto"/>
          <w:sz w:val="24"/>
          <w:highlight w:val="none"/>
        </w:rPr>
      </w:pPr>
      <w:r>
        <w:rPr>
          <w:rFonts w:hint="eastAsia" w:ascii="宋体" w:hAnsi="宋体" w:eastAsia="宋体" w:cs="宋体"/>
          <w:bCs/>
          <w:color w:val="auto"/>
          <w:sz w:val="32"/>
          <w:szCs w:val="32"/>
          <w:highlight w:val="none"/>
        </w:rPr>
        <w:t>（如有委托时）</w:t>
      </w:r>
    </w:p>
    <w:p w14:paraId="40FB6FBF">
      <w:pPr>
        <w:spacing w:line="440" w:lineRule="exact"/>
        <w:contextualSpacing/>
        <w:jc w:val="center"/>
        <w:rPr>
          <w:rFonts w:hint="eastAsia" w:ascii="宋体" w:hAnsi="宋体" w:eastAsia="宋体" w:cs="宋体"/>
          <w:b/>
          <w:color w:val="auto"/>
          <w:sz w:val="24"/>
          <w:highlight w:val="none"/>
        </w:rPr>
      </w:pPr>
    </w:p>
    <w:p w14:paraId="22A42821">
      <w:pPr>
        <w:spacing w:line="440" w:lineRule="exact"/>
        <w:contextualSpacing/>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6623CF39">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我（姓名）系（投标人名称）的法定代表人，现授权委托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cs="宋体"/>
          <w:color w:val="auto"/>
          <w:sz w:val="24"/>
          <w:highlight w:val="none"/>
          <w:u w:val="single"/>
          <w:lang w:val="en-US" w:eastAsia="zh-CN"/>
        </w:rPr>
        <w:t xml:space="preserve">   （项目名称、编号、分标）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0CA21B40">
      <w:pPr>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560FCA7A">
      <w:pPr>
        <w:spacing w:line="440" w:lineRule="exact"/>
        <w:ind w:firstLine="48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286EA1BB">
      <w:pPr>
        <w:spacing w:line="440" w:lineRule="exact"/>
        <w:ind w:firstLine="48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C22A985">
      <w:pPr>
        <w:spacing w:line="440" w:lineRule="exact"/>
        <w:ind w:firstLine="48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附：法定代表人身份证明及委托代理人有效身份证正反面复印件</w:t>
      </w:r>
    </w:p>
    <w:p w14:paraId="1684EEA7">
      <w:pPr>
        <w:spacing w:line="440" w:lineRule="exact"/>
        <w:contextualSpacing/>
        <w:rPr>
          <w:rFonts w:hint="eastAsia" w:ascii="宋体" w:hAnsi="宋体" w:eastAsia="宋体" w:cs="宋体"/>
          <w:color w:val="auto"/>
          <w:sz w:val="24"/>
          <w:highlight w:val="none"/>
        </w:rPr>
      </w:pPr>
    </w:p>
    <w:p w14:paraId="3FF31876">
      <w:pPr>
        <w:spacing w:line="440" w:lineRule="exact"/>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            法定代表人（签字或者盖章）：</w:t>
      </w:r>
    </w:p>
    <w:p w14:paraId="491ADCEF">
      <w:pPr>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委托代理人身份证号码：</w:t>
      </w:r>
    </w:p>
    <w:p w14:paraId="17ECB112">
      <w:pPr>
        <w:spacing w:line="440" w:lineRule="exact"/>
        <w:contextualSpacing/>
        <w:jc w:val="center"/>
        <w:rPr>
          <w:rFonts w:hint="eastAsia" w:ascii="宋体" w:hAnsi="宋体" w:eastAsia="宋体" w:cs="宋体"/>
          <w:color w:val="auto"/>
          <w:sz w:val="24"/>
          <w:highlight w:val="none"/>
        </w:rPr>
      </w:pPr>
    </w:p>
    <w:p w14:paraId="1DBE8BB9">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14:paraId="54044C2D">
      <w:pPr>
        <w:spacing w:line="44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A191B20">
      <w:pPr>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注：1.</w:t>
      </w:r>
      <w:bookmarkStart w:id="153" w:name="_Hlk65851555"/>
      <w:bookmarkStart w:id="154" w:name="_Hlk65851620"/>
      <w:r>
        <w:rPr>
          <w:rFonts w:hint="eastAsia" w:ascii="宋体" w:hAnsi="宋体" w:eastAsia="宋体" w:cs="宋体"/>
          <w:color w:val="auto"/>
          <w:sz w:val="24"/>
          <w:highlight w:val="none"/>
        </w:rPr>
        <w:t>法定代表人必须在授权委托书上亲笔签字或者盖章，</w:t>
      </w:r>
      <w:bookmarkEnd w:id="153"/>
      <w:r>
        <w:rPr>
          <w:rFonts w:hint="eastAsia" w:ascii="宋体" w:hAnsi="宋体" w:eastAsia="宋体" w:cs="宋体"/>
          <w:color w:val="auto"/>
          <w:sz w:val="24"/>
          <w:highlight w:val="none"/>
        </w:rPr>
        <w:t>委托代理人必须在授权委托书上亲笔签字，</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bookmarkEnd w:id="154"/>
    </w:p>
    <w:p w14:paraId="1C680D15">
      <w:pPr>
        <w:spacing w:line="4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2.法人、其他组织投标时“我方”是指“我单位”，自然人投标时“我方”是指“本人”。</w:t>
      </w:r>
    </w:p>
    <w:p w14:paraId="387BD242">
      <w:pPr>
        <w:snapToGrid w:val="0"/>
        <w:spacing w:beforeLines="50" w:after="50"/>
        <w:ind w:firstLine="566" w:firstLineChars="236"/>
        <w:jc w:val="center"/>
        <w:rPr>
          <w:rFonts w:hint="eastAsia" w:ascii="宋体" w:hAnsi="宋体" w:eastAsia="宋体" w:cs="宋体"/>
          <w:color w:val="auto"/>
          <w:sz w:val="44"/>
          <w:szCs w:val="4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44"/>
          <w:szCs w:val="44"/>
          <w:highlight w:val="none"/>
        </w:rPr>
        <w:t>授权委托书</w:t>
      </w:r>
    </w:p>
    <w:p w14:paraId="21F7578F">
      <w:pPr>
        <w:snapToGrid w:val="0"/>
        <w:spacing w:beforeLines="50" w:after="50"/>
        <w:ind w:firstLine="755" w:firstLineChars="236"/>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（联合体投标格式）</w:t>
      </w:r>
    </w:p>
    <w:p w14:paraId="7CA67147">
      <w:pPr>
        <w:snapToGrid w:val="0"/>
        <w:spacing w:beforeLines="50" w:after="50"/>
        <w:ind w:firstLine="755" w:firstLineChars="236"/>
        <w:jc w:val="center"/>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t>（如有委托时）</w:t>
      </w:r>
    </w:p>
    <w:p w14:paraId="3A0A9932">
      <w:pPr>
        <w:spacing w:line="440" w:lineRule="exact"/>
        <w:contextualSpacing/>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704B1F20">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根据 </w:t>
      </w:r>
      <w:r>
        <w:rPr>
          <w:rFonts w:hint="eastAsia" w:ascii="宋体" w:hAnsi="宋体" w:eastAsia="宋体" w:cs="宋体"/>
          <w:color w:val="auto"/>
          <w:sz w:val="24"/>
          <w:highlight w:val="none"/>
          <w:u w:val="single"/>
        </w:rPr>
        <w:t xml:space="preserve"> （牵头人名称）</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（联合体其他成员名称）</w:t>
      </w:r>
      <w:r>
        <w:rPr>
          <w:rFonts w:hint="eastAsia" w:ascii="宋体" w:hAnsi="宋体" w:eastAsia="宋体" w:cs="宋体"/>
          <w:color w:val="auto"/>
          <w:sz w:val="24"/>
          <w:highlight w:val="none"/>
        </w:rPr>
        <w:t>签订的《联合体投标协议书》的内容，</w:t>
      </w:r>
      <w:r>
        <w:rPr>
          <w:rFonts w:hint="eastAsia" w:ascii="宋体" w:hAnsi="宋体" w:eastAsia="宋体" w:cs="宋体"/>
          <w:color w:val="auto"/>
          <w:sz w:val="24"/>
          <w:highlight w:val="none"/>
          <w:u w:val="single"/>
        </w:rPr>
        <w:t>（牵头人名称）</w:t>
      </w:r>
      <w:r>
        <w:rPr>
          <w:rFonts w:hint="eastAsia" w:ascii="宋体" w:hAnsi="宋体" w:eastAsia="宋体" w:cs="宋体"/>
          <w:color w:val="auto"/>
          <w:sz w:val="24"/>
          <w:highlight w:val="none"/>
        </w:rPr>
        <w:t>的法定代表人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cs="宋体"/>
          <w:color w:val="auto"/>
          <w:sz w:val="24"/>
          <w:highlight w:val="none"/>
          <w:u w:val="single"/>
          <w:lang w:val="en-US" w:eastAsia="zh-CN"/>
        </w:rPr>
        <w:t xml:space="preserve">   （项目名称、编号、分标）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233E415C">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17453AB1">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AEFBC94">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0536AF3">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附：牵头人法定代表人身份证明及委托代理人有效身份证正反面复印件</w:t>
      </w:r>
    </w:p>
    <w:p w14:paraId="593621F8">
      <w:pPr>
        <w:spacing w:line="440" w:lineRule="exact"/>
        <w:ind w:firstLine="566" w:firstLineChars="236"/>
        <w:contextualSpacing/>
        <w:rPr>
          <w:rFonts w:hint="eastAsia" w:ascii="宋体" w:hAnsi="宋体" w:eastAsia="宋体" w:cs="宋体"/>
          <w:color w:val="auto"/>
          <w:sz w:val="24"/>
          <w:highlight w:val="none"/>
        </w:rPr>
      </w:pPr>
    </w:p>
    <w:p w14:paraId="0D3030ED">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牵头人法定代表人（签字或者盖章）：</w:t>
      </w:r>
    </w:p>
    <w:p w14:paraId="21161435">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2BF2A712">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F326CDD">
      <w:pPr>
        <w:spacing w:line="440" w:lineRule="exact"/>
        <w:ind w:firstLine="566" w:firstLineChars="236"/>
        <w:contextualSpacing/>
        <w:rPr>
          <w:rFonts w:hint="eastAsia" w:ascii="宋体" w:hAnsi="宋体" w:eastAsia="宋体" w:cs="宋体"/>
          <w:color w:val="auto"/>
          <w:sz w:val="24"/>
          <w:highlight w:val="none"/>
        </w:rPr>
      </w:pPr>
    </w:p>
    <w:p w14:paraId="29E59AD8">
      <w:pPr>
        <w:spacing w:line="440" w:lineRule="exact"/>
        <w:ind w:firstLine="566" w:firstLineChars="236"/>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67A59DA6">
      <w:pPr>
        <w:spacing w:line="440" w:lineRule="exact"/>
        <w:ind w:firstLine="566" w:firstLineChars="236"/>
        <w:contextualSpacing/>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日期：    年   月   日</w:t>
      </w:r>
    </w:p>
    <w:p w14:paraId="51A0E47B">
      <w:pPr>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法定代表人必须在授权委托书上亲笔签字或者盖章，委托代理人必须在授权委托书上亲笔签字，</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p>
    <w:p w14:paraId="1EB50481">
      <w:pPr>
        <w:spacing w:line="4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2.本授权委托书应由联合体牵头人的法定代表人按上述规定签字。</w:t>
      </w:r>
    </w:p>
    <w:p w14:paraId="07FEFF33">
      <w:pPr>
        <w:spacing w:line="44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3.法人、其他组织投标时“我方”是指“我单位”，自然人投标时“我方”是指“本人”。</w:t>
      </w:r>
    </w:p>
    <w:p w14:paraId="4A744140">
      <w:pPr>
        <w:snapToGrid w:val="0"/>
        <w:spacing w:before="50" w:afterLines="50"/>
        <w:ind w:firstLine="480" w:firstLineChars="200"/>
        <w:jc w:val="left"/>
        <w:rPr>
          <w:rFonts w:hint="eastAsia" w:ascii="宋体" w:hAnsi="宋体" w:eastAsia="宋体" w:cs="宋体"/>
          <w:color w:val="auto"/>
          <w:sz w:val="24"/>
          <w:highlight w:val="none"/>
        </w:rPr>
        <w:sectPr>
          <w:footerReference r:id="rId6" w:type="default"/>
          <w:pgSz w:w="11906" w:h="16838"/>
          <w:pgMar w:top="1361" w:right="1361" w:bottom="1361" w:left="1361" w:header="851" w:footer="567" w:gutter="0"/>
          <w:pgNumType w:fmt="decimal"/>
          <w:cols w:space="720" w:num="1"/>
          <w:rtlGutter w:val="0"/>
          <w:docGrid w:linePitch="312" w:charSpace="0"/>
        </w:sectPr>
      </w:pPr>
    </w:p>
    <w:p w14:paraId="2DD1D43E">
      <w:pPr>
        <w:rPr>
          <w:rFonts w:hint="eastAsia" w:ascii="宋体" w:hAnsi="宋体" w:eastAsia="宋体" w:cs="宋体"/>
          <w:color w:val="auto"/>
          <w:sz w:val="24"/>
          <w:highlight w:val="none"/>
        </w:rPr>
      </w:pPr>
    </w:p>
    <w:p w14:paraId="79F4D2D4">
      <w:pP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7.商务要求偏离表格式（注：按项目需求表具体项目修改）</w:t>
      </w:r>
    </w:p>
    <w:p w14:paraId="246939D8">
      <w:pPr>
        <w:snapToGrid w:val="0"/>
        <w:spacing w:before="50"/>
        <w:jc w:val="left"/>
        <w:rPr>
          <w:rFonts w:hint="eastAsia" w:ascii="宋体" w:hAnsi="宋体" w:eastAsia="宋体" w:cs="宋体"/>
          <w:color w:val="auto"/>
          <w:sz w:val="24"/>
          <w:highlight w:val="none"/>
        </w:rPr>
      </w:pPr>
    </w:p>
    <w:p w14:paraId="4197B7C5">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所投分标：分标</w:t>
      </w:r>
    </w:p>
    <w:p w14:paraId="522CE992">
      <w:pPr>
        <w:snapToGrid w:val="0"/>
        <w:spacing w:before="50"/>
        <w:jc w:val="left"/>
        <w:rPr>
          <w:rFonts w:hint="eastAsia" w:ascii="宋体" w:hAnsi="宋体" w:eastAsia="宋体" w:cs="宋体"/>
          <w:color w:val="auto"/>
          <w:sz w:val="24"/>
          <w:highlight w:val="none"/>
          <w:u w:val="single"/>
        </w:rPr>
      </w:pPr>
    </w:p>
    <w:tbl>
      <w:tblPr>
        <w:tblStyle w:val="4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FAC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98C9E49">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35681F9">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EE1F7F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3D7CC0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856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86EC2D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0C5A71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86F298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DAFBF5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925CD7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6E391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F3F74E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497BC0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211F93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1DF7808C">
            <w:pPr>
              <w:spacing w:line="300" w:lineRule="exact"/>
              <w:rPr>
                <w:rFonts w:hint="eastAsia" w:ascii="宋体" w:hAnsi="宋体" w:eastAsia="宋体" w:cs="宋体"/>
                <w:color w:val="auto"/>
                <w:szCs w:val="21"/>
                <w:highlight w:val="none"/>
              </w:rPr>
            </w:pPr>
          </w:p>
        </w:tc>
      </w:tr>
      <w:tr w14:paraId="2073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39FE0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388AE5D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E3A4FF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260022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E695E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6E297C7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51BA6A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AAFA34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B907CA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F8BB796">
            <w:pPr>
              <w:spacing w:line="300" w:lineRule="exact"/>
              <w:rPr>
                <w:rFonts w:hint="eastAsia" w:ascii="宋体" w:hAnsi="宋体" w:eastAsia="宋体" w:cs="宋体"/>
                <w:color w:val="auto"/>
                <w:szCs w:val="21"/>
                <w:highlight w:val="none"/>
              </w:rPr>
            </w:pPr>
          </w:p>
        </w:tc>
      </w:tr>
      <w:tr w14:paraId="429F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406F54C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3001F6D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DD3219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3713C0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672509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13CB2CB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52DA8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5789FF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9C633F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631A24F">
            <w:pPr>
              <w:spacing w:line="300" w:lineRule="exact"/>
              <w:rPr>
                <w:rFonts w:hint="eastAsia" w:ascii="宋体" w:hAnsi="宋体" w:eastAsia="宋体" w:cs="宋体"/>
                <w:color w:val="auto"/>
                <w:szCs w:val="21"/>
                <w:highlight w:val="none"/>
              </w:rPr>
            </w:pPr>
          </w:p>
        </w:tc>
      </w:tr>
    </w:tbl>
    <w:p w14:paraId="4D414B2E">
      <w:pPr>
        <w:snapToGrid w:val="0"/>
        <w:spacing w:before="50"/>
        <w:jc w:val="left"/>
        <w:rPr>
          <w:rFonts w:hint="eastAsia" w:ascii="宋体" w:hAnsi="宋体" w:eastAsia="宋体" w:cs="宋体"/>
          <w:color w:val="auto"/>
          <w:sz w:val="24"/>
          <w:highlight w:val="none"/>
          <w:u w:val="single"/>
        </w:rPr>
      </w:pPr>
    </w:p>
    <w:p w14:paraId="75E0A19B">
      <w:pPr>
        <w:pStyle w:val="20"/>
        <w:rPr>
          <w:rFonts w:hint="eastAsia" w:ascii="宋体" w:hAnsi="宋体" w:eastAsia="宋体" w:cs="宋体"/>
          <w:color w:val="auto"/>
          <w:highlight w:val="none"/>
        </w:rPr>
      </w:pPr>
      <w:r>
        <w:rPr>
          <w:rFonts w:hint="eastAsia" w:ascii="宋体" w:hAnsi="宋体" w:eastAsia="宋体" w:cs="宋体"/>
          <w:color w:val="auto"/>
          <w:highlight w:val="none"/>
        </w:rPr>
        <w:t>注：</w:t>
      </w:r>
    </w:p>
    <w:p w14:paraId="43798440">
      <w:pPr>
        <w:pStyle w:val="21"/>
        <w:spacing w:line="520" w:lineRule="exact"/>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1.说明：应对照招标文件“第二章 采购需求”中的商务要求逐条作明确的投标响应，并作出偏离说明。</w:t>
      </w:r>
    </w:p>
    <w:p w14:paraId="4E20837F">
      <w:pPr>
        <w:pStyle w:val="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2.投标人应根据自身的承诺，对照招标文件要求在“偏离说明”中注明“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14:paraId="7C33FC3B">
      <w:pPr>
        <w:snapToGrid w:val="0"/>
        <w:spacing w:before="50" w:after="50"/>
        <w:rPr>
          <w:rFonts w:hint="eastAsia" w:ascii="宋体" w:hAnsi="宋体" w:eastAsia="宋体" w:cs="宋体"/>
          <w:color w:val="auto"/>
          <w:sz w:val="24"/>
          <w:highlight w:val="none"/>
        </w:rPr>
      </w:pPr>
    </w:p>
    <w:p w14:paraId="714480DD">
      <w:pPr>
        <w:snapToGrid w:val="0"/>
        <w:spacing w:before="50" w:after="50"/>
        <w:rPr>
          <w:rFonts w:hint="eastAsia" w:ascii="宋体" w:hAnsi="宋体" w:eastAsia="宋体" w:cs="宋体"/>
          <w:color w:val="auto"/>
          <w:sz w:val="24"/>
          <w:highlight w:val="none"/>
        </w:rPr>
      </w:pPr>
    </w:p>
    <w:p w14:paraId="5B8DF35D">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0B2085DF">
      <w:pPr>
        <w:snapToGrid w:val="0"/>
        <w:spacing w:beforeLines="5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投标人名称（电子签章）：</w:t>
      </w:r>
    </w:p>
    <w:p w14:paraId="039EF5CA">
      <w:pPr>
        <w:snapToGrid w:val="0"/>
        <w:spacing w:beforeLines="50"/>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p>
    <w:p w14:paraId="7CC3FCF9">
      <w:pPr>
        <w:snapToGrid w:val="0"/>
        <w:spacing w:beforeLines="50"/>
        <w:rPr>
          <w:rFonts w:hint="eastAsia" w:ascii="宋体" w:hAnsi="宋体" w:eastAsia="宋体" w:cs="宋体"/>
          <w:color w:val="auto"/>
          <w:sz w:val="24"/>
          <w:szCs w:val="20"/>
          <w:highlight w:val="none"/>
        </w:rPr>
      </w:pPr>
    </w:p>
    <w:p w14:paraId="0AF2DC25">
      <w:pPr>
        <w:snapToGrid w:val="0"/>
        <w:spacing w:beforeLines="50" w:after="50"/>
        <w:jc w:val="left"/>
        <w:rPr>
          <w:rFonts w:hint="eastAsia" w:ascii="宋体" w:hAnsi="宋体" w:eastAsia="宋体" w:cs="宋体"/>
          <w:color w:val="auto"/>
          <w:sz w:val="24"/>
          <w:szCs w:val="20"/>
          <w:highlight w:val="none"/>
        </w:rPr>
      </w:pPr>
    </w:p>
    <w:p w14:paraId="0F3FF16A">
      <w:pPr>
        <w:snapToGrid w:val="0"/>
        <w:spacing w:beforeLines="50" w:after="50"/>
        <w:jc w:val="left"/>
        <w:rPr>
          <w:rFonts w:hint="eastAsia" w:ascii="宋体" w:hAnsi="宋体" w:eastAsia="宋体" w:cs="宋体"/>
          <w:b/>
          <w:color w:val="auto"/>
          <w:sz w:val="24"/>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color w:val="auto"/>
          <w:sz w:val="24"/>
          <w:highlight w:val="none"/>
        </w:rPr>
        <w:t>8.投标人业绩证明材料</w:t>
      </w:r>
    </w:p>
    <w:p w14:paraId="7209753D">
      <w:pPr>
        <w:pStyle w:val="36"/>
        <w:snapToGrid w:val="0"/>
        <w:ind w:left="480" w:hanging="480"/>
        <w:rPr>
          <w:rFonts w:hint="eastAsia" w:ascii="宋体" w:hAnsi="宋体" w:eastAsia="宋体" w:cs="宋体"/>
          <w:color w:val="auto"/>
          <w:sz w:val="24"/>
          <w:highlight w:val="none"/>
        </w:rPr>
      </w:pPr>
    </w:p>
    <w:p w14:paraId="72C83FA4">
      <w:pPr>
        <w:pStyle w:val="36"/>
        <w:snapToGrid w:val="0"/>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投标人业绩情况一览表格式： </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50"/>
        <w:gridCol w:w="1951"/>
        <w:gridCol w:w="1951"/>
        <w:gridCol w:w="3148"/>
      </w:tblGrid>
      <w:tr w14:paraId="70D2C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28E2197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4B421D7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4F05D3EF">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350BC4F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3996F22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599E9F2F">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6AB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4D759D18">
            <w:pPr>
              <w:jc w:val="left"/>
              <w:rPr>
                <w:rFonts w:hint="eastAsia" w:ascii="宋体" w:hAnsi="宋体" w:eastAsia="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56EBA35">
            <w:pPr>
              <w:jc w:val="left"/>
              <w:rPr>
                <w:rFonts w:hint="eastAsia" w:ascii="宋体" w:hAnsi="宋体" w:eastAsia="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D39ABFA">
            <w:pPr>
              <w:jc w:val="left"/>
              <w:rPr>
                <w:rFonts w:hint="eastAsia" w:ascii="宋体" w:hAnsi="宋体" w:eastAsia="宋体" w:cs="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FD93517">
            <w:pPr>
              <w:jc w:val="left"/>
              <w:rPr>
                <w:rFonts w:hint="eastAsia" w:ascii="宋体" w:hAnsi="宋体" w:eastAsia="宋体" w:cs="宋体"/>
                <w:color w:val="auto"/>
                <w:sz w:val="24"/>
                <w:highlight w:val="none"/>
              </w:rPr>
            </w:pPr>
          </w:p>
        </w:tc>
      </w:tr>
      <w:tr w14:paraId="6490D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250" w:type="pct"/>
            <w:tcBorders>
              <w:top w:val="single" w:color="auto" w:sz="4" w:space="0"/>
              <w:left w:val="single" w:color="auto" w:sz="4" w:space="0"/>
              <w:bottom w:val="single" w:color="auto" w:sz="4" w:space="0"/>
              <w:right w:val="single" w:color="auto" w:sz="4" w:space="0"/>
            </w:tcBorders>
          </w:tcPr>
          <w:p w14:paraId="320C1A69">
            <w:pPr>
              <w:snapToGrid w:val="0"/>
              <w:spacing w:line="24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3E65766">
            <w:pPr>
              <w:snapToGrid w:val="0"/>
              <w:spacing w:line="24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1723120">
            <w:pPr>
              <w:snapToGrid w:val="0"/>
              <w:spacing w:line="240" w:lineRule="exact"/>
              <w:jc w:val="left"/>
              <w:rPr>
                <w:rFonts w:hint="eastAsia" w:ascii="宋体" w:hAnsi="宋体" w:eastAsia="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2E6F88A">
            <w:pPr>
              <w:snapToGrid w:val="0"/>
              <w:spacing w:line="240" w:lineRule="exact"/>
              <w:jc w:val="left"/>
              <w:rPr>
                <w:rFonts w:hint="eastAsia" w:ascii="宋体" w:hAnsi="宋体" w:eastAsia="宋体" w:cs="宋体"/>
                <w:color w:val="auto"/>
                <w:sz w:val="24"/>
                <w:highlight w:val="none"/>
              </w:rPr>
            </w:pPr>
          </w:p>
        </w:tc>
      </w:tr>
      <w:tr w14:paraId="0136E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0A24C7B6">
            <w:pPr>
              <w:snapToGrid w:val="0"/>
              <w:spacing w:before="50" w:afterLines="50" w:line="40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2FE190A">
            <w:pPr>
              <w:snapToGrid w:val="0"/>
              <w:spacing w:before="50" w:afterLines="50" w:line="40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CD74BFE">
            <w:pPr>
              <w:snapToGrid w:val="0"/>
              <w:spacing w:before="50" w:afterLines="50" w:line="400" w:lineRule="exact"/>
              <w:jc w:val="left"/>
              <w:rPr>
                <w:rFonts w:hint="eastAsia" w:ascii="宋体" w:hAnsi="宋体" w:eastAsia="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C1B748C">
            <w:pPr>
              <w:snapToGrid w:val="0"/>
              <w:spacing w:before="50" w:afterLines="50" w:line="400" w:lineRule="exact"/>
              <w:jc w:val="left"/>
              <w:rPr>
                <w:rFonts w:hint="eastAsia" w:ascii="宋体" w:hAnsi="宋体" w:eastAsia="宋体" w:cs="宋体"/>
                <w:color w:val="auto"/>
                <w:sz w:val="24"/>
                <w:highlight w:val="none"/>
              </w:rPr>
            </w:pPr>
          </w:p>
        </w:tc>
      </w:tr>
      <w:tr w14:paraId="0DD41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50" w:type="pct"/>
            <w:tcBorders>
              <w:top w:val="single" w:color="auto" w:sz="4" w:space="0"/>
              <w:left w:val="single" w:color="auto" w:sz="4" w:space="0"/>
              <w:bottom w:val="single" w:color="auto" w:sz="4" w:space="0"/>
              <w:right w:val="single" w:color="auto" w:sz="4" w:space="0"/>
            </w:tcBorders>
          </w:tcPr>
          <w:p w14:paraId="4FA3F106">
            <w:pPr>
              <w:snapToGrid w:val="0"/>
              <w:spacing w:before="50" w:afterLines="50" w:line="40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7C0FB8C">
            <w:pPr>
              <w:snapToGrid w:val="0"/>
              <w:spacing w:before="50" w:afterLines="50" w:line="40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A823338">
            <w:pPr>
              <w:snapToGrid w:val="0"/>
              <w:spacing w:before="50" w:afterLines="50" w:line="400" w:lineRule="exact"/>
              <w:jc w:val="left"/>
              <w:rPr>
                <w:rFonts w:hint="eastAsia" w:ascii="宋体" w:hAnsi="宋体" w:eastAsia="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776DDA40">
            <w:pPr>
              <w:snapToGrid w:val="0"/>
              <w:spacing w:before="50" w:afterLines="50" w:line="400" w:lineRule="exact"/>
              <w:jc w:val="left"/>
              <w:rPr>
                <w:rFonts w:hint="eastAsia" w:ascii="宋体" w:hAnsi="宋体" w:eastAsia="宋体" w:cs="宋体"/>
                <w:color w:val="auto"/>
                <w:sz w:val="24"/>
                <w:highlight w:val="none"/>
              </w:rPr>
            </w:pPr>
          </w:p>
        </w:tc>
      </w:tr>
      <w:tr w14:paraId="62FEF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250" w:type="pct"/>
            <w:tcBorders>
              <w:top w:val="single" w:color="auto" w:sz="4" w:space="0"/>
              <w:left w:val="single" w:color="auto" w:sz="4" w:space="0"/>
              <w:bottom w:val="single" w:color="auto" w:sz="4" w:space="0"/>
              <w:right w:val="single" w:color="auto" w:sz="4" w:space="0"/>
            </w:tcBorders>
          </w:tcPr>
          <w:p w14:paraId="5D218655">
            <w:pPr>
              <w:snapToGrid w:val="0"/>
              <w:spacing w:before="50" w:afterLines="50" w:line="40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0F5105C">
            <w:pPr>
              <w:snapToGrid w:val="0"/>
              <w:spacing w:before="50" w:afterLines="50" w:line="40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630995F">
            <w:pPr>
              <w:snapToGrid w:val="0"/>
              <w:spacing w:before="50" w:afterLines="50" w:line="400" w:lineRule="exact"/>
              <w:jc w:val="left"/>
              <w:rPr>
                <w:rFonts w:hint="eastAsia" w:ascii="宋体" w:hAnsi="宋体" w:eastAsia="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2A82390">
            <w:pPr>
              <w:snapToGrid w:val="0"/>
              <w:spacing w:before="50" w:afterLines="50" w:line="400" w:lineRule="exact"/>
              <w:jc w:val="left"/>
              <w:rPr>
                <w:rFonts w:hint="eastAsia" w:ascii="宋体" w:hAnsi="宋体" w:eastAsia="宋体" w:cs="宋体"/>
                <w:color w:val="auto"/>
                <w:sz w:val="24"/>
                <w:highlight w:val="none"/>
              </w:rPr>
            </w:pPr>
          </w:p>
        </w:tc>
      </w:tr>
      <w:tr w14:paraId="79027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250" w:type="pct"/>
            <w:tcBorders>
              <w:top w:val="single" w:color="auto" w:sz="4" w:space="0"/>
              <w:left w:val="single" w:color="auto" w:sz="4" w:space="0"/>
              <w:bottom w:val="single" w:color="auto" w:sz="4" w:space="0"/>
              <w:right w:val="single" w:color="auto" w:sz="4" w:space="0"/>
            </w:tcBorders>
          </w:tcPr>
          <w:p w14:paraId="68F46FD6">
            <w:pPr>
              <w:snapToGrid w:val="0"/>
              <w:spacing w:before="50" w:afterLines="50" w:line="40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C7E6709">
            <w:pPr>
              <w:snapToGrid w:val="0"/>
              <w:spacing w:before="50" w:afterLines="50" w:line="400" w:lineRule="exact"/>
              <w:jc w:val="left"/>
              <w:rPr>
                <w:rFonts w:hint="eastAsia" w:ascii="宋体" w:hAnsi="宋体" w:eastAsia="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7C2DEB7">
            <w:pPr>
              <w:snapToGrid w:val="0"/>
              <w:spacing w:before="50" w:afterLines="50" w:line="400" w:lineRule="exact"/>
              <w:jc w:val="left"/>
              <w:rPr>
                <w:rFonts w:hint="eastAsia" w:ascii="宋体" w:hAnsi="宋体" w:eastAsia="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4364A442">
            <w:pPr>
              <w:snapToGrid w:val="0"/>
              <w:spacing w:before="50" w:afterLines="50" w:line="400" w:lineRule="exact"/>
              <w:jc w:val="left"/>
              <w:rPr>
                <w:rFonts w:hint="eastAsia" w:ascii="宋体" w:hAnsi="宋体" w:eastAsia="宋体" w:cs="宋体"/>
                <w:color w:val="auto"/>
                <w:sz w:val="24"/>
                <w:highlight w:val="none"/>
              </w:rPr>
            </w:pPr>
          </w:p>
        </w:tc>
      </w:tr>
    </w:tbl>
    <w:p w14:paraId="304D5DA2">
      <w:pPr>
        <w:pStyle w:val="17"/>
        <w:spacing w:before="0" w:after="0" w:line="360" w:lineRule="auto"/>
        <w:contextualSpacing/>
        <w:rPr>
          <w:rFonts w:hint="eastAsia" w:ascii="宋体" w:hAnsi="宋体" w:eastAsia="宋体" w:cs="宋体"/>
          <w:color w:val="auto"/>
          <w:sz w:val="24"/>
          <w:szCs w:val="24"/>
          <w:highlight w:val="none"/>
        </w:rPr>
      </w:pPr>
    </w:p>
    <w:p w14:paraId="46FAC35E">
      <w:pPr>
        <w:pStyle w:val="17"/>
        <w:spacing w:before="0" w:after="0" w:line="360" w:lineRule="auto"/>
        <w:contextualSpacing/>
        <w:rPr>
          <w:rFonts w:hint="eastAsia" w:ascii="宋体" w:hAnsi="宋体" w:eastAsia="宋体" w:cs="宋体"/>
          <w:color w:val="auto"/>
          <w:sz w:val="24"/>
          <w:szCs w:val="24"/>
          <w:highlight w:val="none"/>
        </w:rPr>
      </w:pPr>
    </w:p>
    <w:p w14:paraId="5BA940E5">
      <w:pPr>
        <w:pStyle w:val="17"/>
        <w:spacing w:before="0" w:after="0" w:line="360" w:lineRule="auto"/>
        <w:contextualSpacing/>
        <w:rPr>
          <w:rFonts w:hint="eastAsia" w:ascii="宋体" w:hAnsi="宋体" w:eastAsia="宋体" w:cs="宋体"/>
          <w:color w:val="auto"/>
          <w:sz w:val="24"/>
          <w:szCs w:val="24"/>
          <w:highlight w:val="none"/>
        </w:rPr>
      </w:pPr>
    </w:p>
    <w:p w14:paraId="3A0E7238">
      <w:pPr>
        <w:pStyle w:val="17"/>
        <w:spacing w:before="0" w:after="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28172E6A">
      <w:pPr>
        <w:pStyle w:val="17"/>
        <w:spacing w:before="0" w:after="0" w:line="360" w:lineRule="auto"/>
        <w:contextualSpacing/>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w:t>
      </w:r>
    </w:p>
    <w:p w14:paraId="70AD4387">
      <w:pPr>
        <w:spacing w:line="360" w:lineRule="auto"/>
        <w:ind w:right="480"/>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投标人名称（电子签章）：                                                               年    月    日</w:t>
      </w:r>
    </w:p>
    <w:p w14:paraId="216EF94A">
      <w:pPr>
        <w:snapToGrid w:val="0"/>
        <w:spacing w:before="50"/>
        <w:ind w:firstLine="480" w:firstLineChars="200"/>
        <w:jc w:val="left"/>
        <w:rPr>
          <w:rFonts w:hint="eastAsia" w:ascii="宋体" w:hAnsi="宋体" w:eastAsia="宋体" w:cs="宋体"/>
          <w:color w:val="auto"/>
          <w:sz w:val="24"/>
          <w:szCs w:val="20"/>
          <w:highlight w:val="none"/>
        </w:rPr>
      </w:pPr>
    </w:p>
    <w:p w14:paraId="6B1F6A30">
      <w:pPr>
        <w:snapToGrid w:val="0"/>
        <w:spacing w:before="50"/>
        <w:jc w:val="left"/>
        <w:rPr>
          <w:rFonts w:hint="eastAsia" w:ascii="宋体" w:hAnsi="宋体" w:eastAsia="宋体" w:cs="宋体"/>
          <w:color w:val="auto"/>
          <w:sz w:val="24"/>
          <w:highlight w:val="none"/>
        </w:rPr>
      </w:pPr>
    </w:p>
    <w:p w14:paraId="53E06383">
      <w:pPr>
        <w:snapToGrid w:val="0"/>
        <w:spacing w:beforeLines="50"/>
        <w:rPr>
          <w:rFonts w:hint="eastAsia" w:ascii="宋体" w:hAnsi="宋体" w:eastAsia="宋体" w:cs="宋体"/>
          <w:color w:val="auto"/>
          <w:sz w:val="24"/>
          <w:szCs w:val="20"/>
          <w:highlight w:val="none"/>
        </w:rPr>
        <w:sectPr>
          <w:pgSz w:w="11906" w:h="16838"/>
          <w:pgMar w:top="1361" w:right="1361" w:bottom="1361" w:left="1361" w:header="851" w:footer="992" w:gutter="0"/>
          <w:pgNumType w:fmt="decimal"/>
          <w:cols w:space="720" w:num="1"/>
          <w:rtlGutter w:val="0"/>
          <w:docGrid w:linePitch="312" w:charSpace="0"/>
        </w:sectPr>
      </w:pPr>
    </w:p>
    <w:p w14:paraId="632AF31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四、技术文件格式</w:t>
      </w:r>
    </w:p>
    <w:p w14:paraId="6FA69684">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 技术文件封面格式： </w:t>
      </w:r>
    </w:p>
    <w:p w14:paraId="0C58C7CA">
      <w:pPr>
        <w:snapToGrid w:val="0"/>
        <w:spacing w:beforeLines="50" w:after="50"/>
        <w:rPr>
          <w:rFonts w:hint="eastAsia" w:ascii="宋体" w:hAnsi="宋体" w:eastAsia="宋体" w:cs="宋体"/>
          <w:b/>
          <w:bCs/>
          <w:color w:val="auto"/>
          <w:sz w:val="32"/>
          <w:szCs w:val="20"/>
          <w:highlight w:val="none"/>
        </w:rPr>
      </w:pPr>
    </w:p>
    <w:p w14:paraId="5654FA53">
      <w:pPr>
        <w:snapToGrid w:val="0"/>
        <w:spacing w:beforeLines="50" w:after="50"/>
        <w:rPr>
          <w:rFonts w:hint="eastAsia" w:ascii="宋体" w:hAnsi="宋体" w:eastAsia="宋体" w:cs="宋体"/>
          <w:color w:val="auto"/>
          <w:sz w:val="24"/>
          <w:szCs w:val="20"/>
          <w:highlight w:val="none"/>
        </w:rPr>
      </w:pPr>
    </w:p>
    <w:p w14:paraId="3D219D3C">
      <w:pPr>
        <w:snapToGrid w:val="0"/>
        <w:spacing w:beforeLines="50" w:after="50"/>
        <w:rPr>
          <w:rFonts w:hint="eastAsia" w:ascii="宋体" w:hAnsi="宋体" w:eastAsia="宋体" w:cs="宋体"/>
          <w:color w:val="auto"/>
          <w:sz w:val="24"/>
          <w:szCs w:val="20"/>
          <w:highlight w:val="none"/>
        </w:rPr>
      </w:pPr>
    </w:p>
    <w:p w14:paraId="59E8975C">
      <w:pPr>
        <w:snapToGrid w:val="0"/>
        <w:spacing w:beforeLines="50" w:after="5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14:paraId="6F96FF7B">
      <w:pPr>
        <w:snapToGrid w:val="0"/>
        <w:spacing w:beforeLines="50" w:after="50"/>
        <w:rPr>
          <w:rFonts w:hint="eastAsia" w:ascii="宋体" w:hAnsi="宋体" w:eastAsia="宋体" w:cs="宋体"/>
          <w:color w:val="auto"/>
          <w:sz w:val="24"/>
          <w:szCs w:val="20"/>
          <w:highlight w:val="none"/>
        </w:rPr>
      </w:pPr>
    </w:p>
    <w:p w14:paraId="68D10EED">
      <w:pPr>
        <w:snapToGrid w:val="0"/>
        <w:spacing w:beforeLines="50" w:after="50"/>
        <w:rPr>
          <w:rFonts w:hint="eastAsia" w:ascii="宋体" w:hAnsi="宋体" w:eastAsia="宋体" w:cs="宋体"/>
          <w:color w:val="auto"/>
          <w:sz w:val="24"/>
          <w:szCs w:val="20"/>
          <w:highlight w:val="none"/>
        </w:rPr>
      </w:pPr>
    </w:p>
    <w:p w14:paraId="03E12058">
      <w:pPr>
        <w:snapToGrid w:val="0"/>
        <w:spacing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  术  文  件</w:t>
      </w:r>
    </w:p>
    <w:p w14:paraId="6F64D7E3">
      <w:pPr>
        <w:snapToGrid w:val="0"/>
        <w:spacing w:beforeLines="50" w:after="50"/>
        <w:rPr>
          <w:rFonts w:hint="eastAsia" w:ascii="宋体" w:hAnsi="宋体" w:eastAsia="宋体" w:cs="宋体"/>
          <w:bCs/>
          <w:color w:val="auto"/>
          <w:sz w:val="24"/>
          <w:szCs w:val="20"/>
          <w:highlight w:val="none"/>
        </w:rPr>
      </w:pPr>
    </w:p>
    <w:p w14:paraId="5A365FD4">
      <w:pPr>
        <w:snapToGrid w:val="0"/>
        <w:spacing w:beforeLines="50" w:after="50"/>
        <w:rPr>
          <w:rFonts w:hint="eastAsia" w:ascii="宋体" w:hAnsi="宋体" w:eastAsia="宋体" w:cs="宋体"/>
          <w:bCs/>
          <w:color w:val="auto"/>
          <w:sz w:val="24"/>
          <w:szCs w:val="20"/>
          <w:highlight w:val="none"/>
        </w:rPr>
      </w:pPr>
    </w:p>
    <w:p w14:paraId="0C22F5FB">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6EDC7702">
      <w:pPr>
        <w:snapToGrid w:val="0"/>
        <w:spacing w:beforeLines="50" w:after="50" w:line="400" w:lineRule="exact"/>
        <w:ind w:firstLine="360" w:firstLineChars="150"/>
        <w:rPr>
          <w:rFonts w:hint="eastAsia" w:ascii="宋体" w:hAnsi="宋体" w:eastAsia="宋体" w:cs="宋体"/>
          <w:bCs/>
          <w:color w:val="auto"/>
          <w:sz w:val="24"/>
          <w:szCs w:val="20"/>
          <w:highlight w:val="none"/>
        </w:rPr>
      </w:pPr>
    </w:p>
    <w:p w14:paraId="224444FF">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3A1D7C7D">
      <w:pPr>
        <w:snapToGrid w:val="0"/>
        <w:spacing w:beforeLines="50" w:after="50" w:line="400" w:lineRule="exact"/>
        <w:ind w:firstLine="360" w:firstLineChars="150"/>
        <w:rPr>
          <w:rFonts w:hint="eastAsia" w:ascii="宋体" w:hAnsi="宋体" w:eastAsia="宋体" w:cs="宋体"/>
          <w:bCs/>
          <w:color w:val="auto"/>
          <w:sz w:val="24"/>
          <w:highlight w:val="none"/>
        </w:rPr>
      </w:pPr>
    </w:p>
    <w:p w14:paraId="330C06F2">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08CC448D">
      <w:pPr>
        <w:snapToGrid w:val="0"/>
        <w:spacing w:beforeLines="50" w:after="50" w:line="400" w:lineRule="exact"/>
        <w:ind w:firstLine="360" w:firstLineChars="150"/>
        <w:rPr>
          <w:rFonts w:hint="eastAsia" w:ascii="宋体" w:hAnsi="宋体" w:eastAsia="宋体" w:cs="宋体"/>
          <w:bCs/>
          <w:color w:val="auto"/>
          <w:sz w:val="24"/>
          <w:highlight w:val="none"/>
        </w:rPr>
      </w:pPr>
    </w:p>
    <w:p w14:paraId="658570EB">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3478AD28">
      <w:pPr>
        <w:snapToGrid w:val="0"/>
        <w:spacing w:beforeLines="50" w:after="50" w:line="400" w:lineRule="exact"/>
        <w:ind w:firstLine="360" w:firstLineChars="150"/>
        <w:rPr>
          <w:rFonts w:hint="eastAsia" w:ascii="宋体" w:hAnsi="宋体" w:eastAsia="宋体" w:cs="宋体"/>
          <w:bCs/>
          <w:color w:val="auto"/>
          <w:sz w:val="24"/>
          <w:highlight w:val="none"/>
        </w:rPr>
      </w:pPr>
    </w:p>
    <w:p w14:paraId="40EBD5B5">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173A7E2">
      <w:pPr>
        <w:snapToGrid w:val="0"/>
        <w:spacing w:beforeLines="50" w:after="50" w:line="400" w:lineRule="exact"/>
        <w:ind w:firstLine="360" w:firstLineChars="150"/>
        <w:rPr>
          <w:rFonts w:hint="eastAsia" w:ascii="宋体" w:hAnsi="宋体" w:eastAsia="宋体" w:cs="宋体"/>
          <w:bCs/>
          <w:color w:val="auto"/>
          <w:sz w:val="24"/>
          <w:highlight w:val="none"/>
        </w:rPr>
      </w:pPr>
    </w:p>
    <w:p w14:paraId="1E604428">
      <w:pPr>
        <w:snapToGrid w:val="0"/>
        <w:spacing w:beforeLines="50" w:after="50"/>
        <w:ind w:firstLine="645"/>
        <w:jc w:val="center"/>
        <w:rPr>
          <w:rFonts w:hint="eastAsia" w:ascii="宋体" w:hAnsi="宋体" w:eastAsia="宋体" w:cs="宋体"/>
          <w:color w:val="auto"/>
          <w:sz w:val="24"/>
          <w:highlight w:val="none"/>
        </w:rPr>
      </w:pPr>
    </w:p>
    <w:p w14:paraId="27D5FE75">
      <w:pPr>
        <w:snapToGrid w:val="0"/>
        <w:spacing w:beforeLines="50" w:after="50"/>
        <w:ind w:firstLine="645"/>
        <w:jc w:val="center"/>
        <w:rPr>
          <w:rFonts w:hint="eastAsia" w:ascii="宋体" w:hAnsi="宋体" w:eastAsia="宋体" w:cs="宋体"/>
          <w:color w:val="auto"/>
          <w:sz w:val="24"/>
          <w:highlight w:val="none"/>
        </w:rPr>
      </w:pPr>
    </w:p>
    <w:p w14:paraId="18D3E303">
      <w:pPr>
        <w:snapToGrid w:val="0"/>
        <w:spacing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E550386">
      <w:pPr>
        <w:snapToGrid w:val="0"/>
        <w:spacing w:beforeLines="50" w:after="50"/>
        <w:ind w:firstLine="645"/>
        <w:jc w:val="center"/>
        <w:rPr>
          <w:rFonts w:hint="eastAsia" w:ascii="宋体" w:hAnsi="宋体" w:eastAsia="宋体" w:cs="宋体"/>
          <w:color w:val="auto"/>
          <w:sz w:val="24"/>
          <w:szCs w:val="20"/>
          <w:highlight w:val="none"/>
        </w:rPr>
      </w:pPr>
    </w:p>
    <w:p w14:paraId="63970B34">
      <w:pPr>
        <w:snapToGrid w:val="0"/>
        <w:spacing w:beforeLines="50" w:after="50"/>
        <w:ind w:left="14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2.技术文件目录</w:t>
      </w:r>
    </w:p>
    <w:p w14:paraId="492FFA52">
      <w:pPr>
        <w:snapToGrid w:val="0"/>
        <w:spacing w:before="50" w:afterLines="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根据招标文件规定及投标人提供的材料自行编写目录。</w:t>
      </w:r>
    </w:p>
    <w:p w14:paraId="0BC330A0">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设备性能配置清单格式</w:t>
      </w:r>
    </w:p>
    <w:p w14:paraId="47578AB6">
      <w:pPr>
        <w:snapToGrid w:val="0"/>
        <w:spacing w:beforeLines="50" w:after="50"/>
        <w:ind w:left="142"/>
        <w:jc w:val="left"/>
        <w:rPr>
          <w:rFonts w:hint="eastAsia" w:ascii="宋体" w:hAnsi="宋体" w:eastAsia="宋体" w:cs="宋体"/>
          <w:b/>
          <w:color w:val="auto"/>
          <w:sz w:val="24"/>
          <w:highlight w:val="none"/>
        </w:rPr>
      </w:pPr>
    </w:p>
    <w:p w14:paraId="3FE4A2C2">
      <w:pPr>
        <w:snapToGrid w:val="0"/>
        <w:spacing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设备性能配置清单</w:t>
      </w:r>
    </w:p>
    <w:p w14:paraId="3BE8FEB1">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所投分标：分标</w:t>
      </w:r>
    </w:p>
    <w:tbl>
      <w:tblPr>
        <w:tblStyle w:val="48"/>
        <w:tblW w:w="53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1309"/>
        <w:gridCol w:w="1004"/>
        <w:gridCol w:w="781"/>
        <w:gridCol w:w="1875"/>
        <w:gridCol w:w="1309"/>
        <w:gridCol w:w="776"/>
        <w:gridCol w:w="2135"/>
      </w:tblGrid>
      <w:tr w14:paraId="22396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F528898">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57" w:type="pct"/>
            <w:tcBorders>
              <w:top w:val="single" w:color="auto" w:sz="4" w:space="0"/>
              <w:left w:val="single" w:color="auto" w:sz="4" w:space="0"/>
              <w:bottom w:val="single" w:color="auto" w:sz="4" w:space="0"/>
              <w:right w:val="single" w:color="auto" w:sz="4" w:space="0"/>
            </w:tcBorders>
            <w:vAlign w:val="center"/>
          </w:tcPr>
          <w:p w14:paraId="6182479E">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504" w:type="pct"/>
            <w:tcBorders>
              <w:top w:val="single" w:color="auto" w:sz="4" w:space="0"/>
              <w:left w:val="single" w:color="auto" w:sz="4" w:space="0"/>
              <w:bottom w:val="single" w:color="auto" w:sz="4" w:space="0"/>
              <w:right w:val="single" w:color="auto" w:sz="4" w:space="0"/>
            </w:tcBorders>
            <w:vAlign w:val="center"/>
          </w:tcPr>
          <w:p w14:paraId="48B82DE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392" w:type="pct"/>
            <w:tcBorders>
              <w:top w:val="single" w:color="auto" w:sz="4" w:space="0"/>
              <w:left w:val="single" w:color="auto" w:sz="4" w:space="0"/>
              <w:bottom w:val="single" w:color="auto" w:sz="4" w:space="0"/>
              <w:right w:val="single" w:color="auto" w:sz="4" w:space="0"/>
            </w:tcBorders>
            <w:vAlign w:val="center"/>
          </w:tcPr>
          <w:p w14:paraId="79591CE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941" w:type="pct"/>
            <w:tcBorders>
              <w:top w:val="single" w:color="auto" w:sz="4" w:space="0"/>
              <w:left w:val="single" w:color="auto" w:sz="4" w:space="0"/>
              <w:bottom w:val="single" w:color="auto" w:sz="4" w:space="0"/>
              <w:right w:val="single" w:color="auto" w:sz="4" w:space="0"/>
            </w:tcBorders>
          </w:tcPr>
          <w:p w14:paraId="1B8B4F6E">
            <w:pPr>
              <w:snapToGrid w:val="0"/>
              <w:spacing w:before="50" w:after="50"/>
              <w:jc w:val="center"/>
              <w:rPr>
                <w:rFonts w:hint="eastAsia" w:ascii="宋体" w:hAnsi="宋体" w:eastAsia="宋体" w:cs="宋体"/>
                <w:color w:val="auto"/>
                <w:sz w:val="24"/>
                <w:highlight w:val="none"/>
              </w:rPr>
            </w:pPr>
          </w:p>
          <w:p w14:paraId="57564C53">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657" w:type="pct"/>
            <w:tcBorders>
              <w:top w:val="single" w:color="auto" w:sz="4" w:space="0"/>
              <w:left w:val="single" w:color="auto" w:sz="4" w:space="0"/>
              <w:bottom w:val="single" w:color="auto" w:sz="4" w:space="0"/>
              <w:right w:val="single" w:color="auto" w:sz="4" w:space="0"/>
            </w:tcBorders>
            <w:vAlign w:val="center"/>
          </w:tcPr>
          <w:p w14:paraId="32DC0941">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389" w:type="pct"/>
            <w:tcBorders>
              <w:top w:val="single" w:color="auto" w:sz="4" w:space="0"/>
              <w:left w:val="single" w:color="auto" w:sz="4" w:space="0"/>
              <w:bottom w:val="single" w:color="auto" w:sz="4" w:space="0"/>
              <w:right w:val="single" w:color="auto" w:sz="4" w:space="0"/>
            </w:tcBorders>
            <w:vAlign w:val="center"/>
          </w:tcPr>
          <w:p w14:paraId="46F3288D">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1071" w:type="pct"/>
            <w:tcBorders>
              <w:top w:val="single" w:color="auto" w:sz="4" w:space="0"/>
              <w:left w:val="single" w:color="auto" w:sz="4" w:space="0"/>
              <w:bottom w:val="single" w:color="auto" w:sz="4" w:space="0"/>
              <w:right w:val="single" w:color="auto" w:sz="4" w:space="0"/>
            </w:tcBorders>
            <w:vAlign w:val="center"/>
          </w:tcPr>
          <w:p w14:paraId="260CEA3F">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70B53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4F45C91B">
            <w:pPr>
              <w:snapToGrid w:val="0"/>
              <w:spacing w:before="50" w:after="50"/>
              <w:jc w:val="center"/>
              <w:rPr>
                <w:rFonts w:hint="eastAsia" w:ascii="宋体" w:hAnsi="宋体" w:eastAsia="宋体" w:cs="宋体"/>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3EE07384">
            <w:pPr>
              <w:snapToGrid w:val="0"/>
              <w:spacing w:before="50" w:after="50"/>
              <w:jc w:val="center"/>
              <w:rPr>
                <w:rFonts w:hint="eastAsia" w:ascii="宋体" w:hAnsi="宋体" w:eastAsia="宋体" w:cs="宋体"/>
                <w:color w:val="auto"/>
                <w:sz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33FBBD46">
            <w:pPr>
              <w:snapToGrid w:val="0"/>
              <w:spacing w:before="50" w:after="50"/>
              <w:jc w:val="center"/>
              <w:rPr>
                <w:rFonts w:hint="eastAsia" w:ascii="宋体" w:hAnsi="宋体" w:eastAsia="宋体" w:cs="宋体"/>
                <w:color w:val="auto"/>
                <w:sz w:val="24"/>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14:paraId="438D04DD">
            <w:pPr>
              <w:snapToGrid w:val="0"/>
              <w:spacing w:before="50" w:after="50"/>
              <w:jc w:val="center"/>
              <w:rPr>
                <w:rFonts w:hint="eastAsia" w:ascii="宋体" w:hAnsi="宋体" w:eastAsia="宋体" w:cs="宋体"/>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tcPr>
          <w:p w14:paraId="4469102C">
            <w:pPr>
              <w:snapToGrid w:val="0"/>
              <w:spacing w:before="50" w:after="50"/>
              <w:jc w:val="center"/>
              <w:rPr>
                <w:rFonts w:hint="eastAsia" w:ascii="宋体" w:hAnsi="宋体" w:eastAsia="宋体" w:cs="宋体"/>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06D980F7">
            <w:pPr>
              <w:snapToGrid w:val="0"/>
              <w:spacing w:before="50" w:after="50"/>
              <w:jc w:val="center"/>
              <w:rPr>
                <w:rFonts w:hint="eastAsia" w:ascii="宋体" w:hAnsi="宋体" w:eastAsia="宋体" w:cs="宋体"/>
                <w:color w:val="auto"/>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3F7CB6CB">
            <w:pPr>
              <w:snapToGrid w:val="0"/>
              <w:spacing w:before="50" w:after="50"/>
              <w:jc w:val="center"/>
              <w:rPr>
                <w:rFonts w:hint="eastAsia" w:ascii="宋体" w:hAnsi="宋体" w:eastAsia="宋体" w:cs="宋体"/>
                <w:color w:val="auto"/>
                <w:sz w:val="24"/>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314971B1">
            <w:pPr>
              <w:snapToGrid w:val="0"/>
              <w:spacing w:before="50" w:after="50"/>
              <w:jc w:val="center"/>
              <w:rPr>
                <w:rFonts w:hint="eastAsia" w:ascii="宋体" w:hAnsi="宋体" w:eastAsia="宋体" w:cs="宋体"/>
                <w:color w:val="auto"/>
                <w:sz w:val="24"/>
                <w:highlight w:val="none"/>
              </w:rPr>
            </w:pPr>
          </w:p>
        </w:tc>
      </w:tr>
      <w:tr w14:paraId="45D3E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67142F08">
            <w:pPr>
              <w:snapToGrid w:val="0"/>
              <w:spacing w:before="50" w:after="50"/>
              <w:jc w:val="center"/>
              <w:rPr>
                <w:rFonts w:hint="eastAsia" w:ascii="宋体" w:hAnsi="宋体" w:eastAsia="宋体" w:cs="宋体"/>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5974053A">
            <w:pPr>
              <w:snapToGrid w:val="0"/>
              <w:spacing w:before="50" w:after="50"/>
              <w:jc w:val="center"/>
              <w:rPr>
                <w:rFonts w:hint="eastAsia" w:ascii="宋体" w:hAnsi="宋体" w:eastAsia="宋体" w:cs="宋体"/>
                <w:color w:val="auto"/>
                <w:sz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524A4FCF">
            <w:pPr>
              <w:snapToGrid w:val="0"/>
              <w:spacing w:before="50" w:after="50"/>
              <w:jc w:val="center"/>
              <w:rPr>
                <w:rFonts w:hint="eastAsia" w:ascii="宋体" w:hAnsi="宋体" w:eastAsia="宋体" w:cs="宋体"/>
                <w:color w:val="auto"/>
                <w:sz w:val="24"/>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14:paraId="14352815">
            <w:pPr>
              <w:snapToGrid w:val="0"/>
              <w:spacing w:before="50" w:after="50"/>
              <w:jc w:val="center"/>
              <w:rPr>
                <w:rFonts w:hint="eastAsia" w:ascii="宋体" w:hAnsi="宋体" w:eastAsia="宋体" w:cs="宋体"/>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tcPr>
          <w:p w14:paraId="0A3776B1">
            <w:pPr>
              <w:snapToGrid w:val="0"/>
              <w:spacing w:before="50" w:after="50"/>
              <w:jc w:val="center"/>
              <w:rPr>
                <w:rFonts w:hint="eastAsia" w:ascii="宋体" w:hAnsi="宋体" w:eastAsia="宋体" w:cs="宋体"/>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62D00A7F">
            <w:pPr>
              <w:snapToGrid w:val="0"/>
              <w:spacing w:before="50" w:after="50"/>
              <w:jc w:val="center"/>
              <w:rPr>
                <w:rFonts w:hint="eastAsia" w:ascii="宋体" w:hAnsi="宋体" w:eastAsia="宋体" w:cs="宋体"/>
                <w:color w:val="auto"/>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14771484">
            <w:pPr>
              <w:snapToGrid w:val="0"/>
              <w:spacing w:before="50" w:after="50"/>
              <w:jc w:val="center"/>
              <w:rPr>
                <w:rFonts w:hint="eastAsia" w:ascii="宋体" w:hAnsi="宋体" w:eastAsia="宋体" w:cs="宋体"/>
                <w:color w:val="auto"/>
                <w:sz w:val="24"/>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2E192430">
            <w:pPr>
              <w:snapToGrid w:val="0"/>
              <w:spacing w:before="50" w:after="50"/>
              <w:jc w:val="center"/>
              <w:rPr>
                <w:rFonts w:hint="eastAsia" w:ascii="宋体" w:hAnsi="宋体" w:eastAsia="宋体" w:cs="宋体"/>
                <w:color w:val="auto"/>
                <w:sz w:val="24"/>
                <w:highlight w:val="none"/>
              </w:rPr>
            </w:pPr>
          </w:p>
        </w:tc>
      </w:tr>
      <w:tr w14:paraId="58811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F9326A2">
            <w:pPr>
              <w:snapToGrid w:val="0"/>
              <w:spacing w:before="50" w:after="50"/>
              <w:jc w:val="center"/>
              <w:rPr>
                <w:rFonts w:hint="eastAsia" w:ascii="宋体" w:hAnsi="宋体" w:eastAsia="宋体" w:cs="宋体"/>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280CD387">
            <w:pPr>
              <w:snapToGrid w:val="0"/>
              <w:spacing w:before="50" w:after="50"/>
              <w:jc w:val="center"/>
              <w:rPr>
                <w:rFonts w:hint="eastAsia" w:ascii="宋体" w:hAnsi="宋体" w:eastAsia="宋体" w:cs="宋体"/>
                <w:color w:val="auto"/>
                <w:sz w:val="24"/>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7C88FFD4">
            <w:pPr>
              <w:snapToGrid w:val="0"/>
              <w:spacing w:before="50" w:after="50"/>
              <w:jc w:val="center"/>
              <w:rPr>
                <w:rFonts w:hint="eastAsia" w:ascii="宋体" w:hAnsi="宋体" w:eastAsia="宋体" w:cs="宋体"/>
                <w:color w:val="auto"/>
                <w:sz w:val="24"/>
                <w:highlight w:val="none"/>
              </w:rPr>
            </w:pPr>
          </w:p>
        </w:tc>
        <w:tc>
          <w:tcPr>
            <w:tcW w:w="392" w:type="pct"/>
            <w:tcBorders>
              <w:top w:val="single" w:color="auto" w:sz="4" w:space="0"/>
              <w:left w:val="single" w:color="auto" w:sz="4" w:space="0"/>
              <w:bottom w:val="single" w:color="auto" w:sz="4" w:space="0"/>
              <w:right w:val="single" w:color="auto" w:sz="4" w:space="0"/>
            </w:tcBorders>
            <w:vAlign w:val="center"/>
          </w:tcPr>
          <w:p w14:paraId="240A9F40">
            <w:pPr>
              <w:snapToGrid w:val="0"/>
              <w:spacing w:before="50" w:after="50"/>
              <w:jc w:val="center"/>
              <w:rPr>
                <w:rFonts w:hint="eastAsia" w:ascii="宋体" w:hAnsi="宋体" w:eastAsia="宋体" w:cs="宋体"/>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tcPr>
          <w:p w14:paraId="02963201">
            <w:pPr>
              <w:snapToGrid w:val="0"/>
              <w:spacing w:before="50" w:after="50"/>
              <w:jc w:val="center"/>
              <w:rPr>
                <w:rFonts w:hint="eastAsia" w:ascii="宋体" w:hAnsi="宋体" w:eastAsia="宋体" w:cs="宋体"/>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vAlign w:val="center"/>
          </w:tcPr>
          <w:p w14:paraId="6C560BC9">
            <w:pPr>
              <w:snapToGrid w:val="0"/>
              <w:spacing w:before="50" w:after="50"/>
              <w:jc w:val="center"/>
              <w:rPr>
                <w:rFonts w:hint="eastAsia" w:ascii="宋体" w:hAnsi="宋体" w:eastAsia="宋体" w:cs="宋体"/>
                <w:color w:val="auto"/>
                <w:sz w:val="24"/>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00D4F2BE">
            <w:pPr>
              <w:snapToGrid w:val="0"/>
              <w:spacing w:before="50" w:after="50"/>
              <w:jc w:val="center"/>
              <w:rPr>
                <w:rFonts w:hint="eastAsia" w:ascii="宋体" w:hAnsi="宋体" w:eastAsia="宋体" w:cs="宋体"/>
                <w:color w:val="auto"/>
                <w:sz w:val="24"/>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BD883E4">
            <w:pPr>
              <w:snapToGrid w:val="0"/>
              <w:spacing w:before="50" w:after="50"/>
              <w:jc w:val="center"/>
              <w:rPr>
                <w:rFonts w:hint="eastAsia" w:ascii="宋体" w:hAnsi="宋体" w:eastAsia="宋体" w:cs="宋体"/>
                <w:color w:val="auto"/>
                <w:sz w:val="24"/>
                <w:highlight w:val="none"/>
              </w:rPr>
            </w:pPr>
          </w:p>
        </w:tc>
      </w:tr>
    </w:tbl>
    <w:p w14:paraId="07F2CA0C">
      <w:pPr>
        <w:spacing w:line="360" w:lineRule="auto"/>
        <w:contextualSpacing/>
        <w:rPr>
          <w:rFonts w:hint="eastAsia" w:ascii="宋体" w:hAnsi="宋体" w:eastAsia="宋体" w:cs="宋体"/>
          <w:color w:val="auto"/>
          <w:sz w:val="24"/>
          <w:highlight w:val="none"/>
        </w:rPr>
      </w:pPr>
    </w:p>
    <w:p w14:paraId="3E576ACC">
      <w:pPr>
        <w:spacing w:line="360" w:lineRule="auto"/>
        <w:contextualSpacing/>
        <w:rPr>
          <w:rFonts w:hint="eastAsia" w:ascii="宋体" w:hAnsi="宋体" w:eastAsia="宋体" w:cs="宋体"/>
          <w:color w:val="auto"/>
          <w:sz w:val="24"/>
          <w:highlight w:val="none"/>
        </w:rPr>
      </w:pPr>
    </w:p>
    <w:p w14:paraId="428F4A45">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5F6B5198">
      <w:pPr>
        <w:spacing w:line="360" w:lineRule="auto"/>
        <w:ind w:firstLine="480" w:firstLineChars="2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auto"/>
          <w:sz w:val="24"/>
          <w:highlight w:val="none"/>
        </w:rPr>
        <w:t>的，</w:t>
      </w:r>
      <w:r>
        <w:rPr>
          <w:rFonts w:hint="eastAsia" w:ascii="宋体" w:hAnsi="宋体" w:eastAsia="宋体" w:cs="宋体"/>
          <w:b/>
          <w:color w:val="auto"/>
          <w:sz w:val="24"/>
          <w:highlight w:val="none"/>
        </w:rPr>
        <w:t>作无效投标处理。</w:t>
      </w:r>
      <w:r>
        <w:rPr>
          <w:rFonts w:hint="eastAsia" w:ascii="宋体" w:hAnsi="宋体" w:eastAsia="宋体" w:cs="宋体"/>
          <w:color w:val="auto"/>
          <w:sz w:val="24"/>
          <w:highlight w:val="none"/>
        </w:rPr>
        <w:t>货物名称、数量及单位、品牌必须与“开标一览表”一致，</w:t>
      </w:r>
      <w:r>
        <w:rPr>
          <w:rFonts w:hint="eastAsia" w:ascii="宋体" w:hAnsi="宋体" w:eastAsia="宋体" w:cs="宋体"/>
          <w:b/>
          <w:color w:val="auto"/>
          <w:sz w:val="24"/>
          <w:highlight w:val="none"/>
        </w:rPr>
        <w:t>否则按无效投标处理。</w:t>
      </w:r>
    </w:p>
    <w:p w14:paraId="1B4D7C05">
      <w:pPr>
        <w:spacing w:line="360" w:lineRule="auto"/>
        <w:ind w:firstLine="480" w:firstLineChars="200"/>
        <w:contextualSpacing/>
        <w:rPr>
          <w:rFonts w:hint="eastAsia" w:ascii="宋体" w:hAnsi="宋体" w:eastAsia="宋体" w:cs="宋体"/>
          <w:color w:val="auto"/>
          <w:sz w:val="24"/>
          <w:highlight w:val="none"/>
        </w:rPr>
      </w:pPr>
    </w:p>
    <w:p w14:paraId="39EAB928">
      <w:pPr>
        <w:spacing w:line="360" w:lineRule="auto"/>
        <w:contextualSpacing/>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5CC152EE">
      <w:pPr>
        <w:spacing w:line="360" w:lineRule="auto"/>
        <w:contextualSpacing/>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投标人名称（电子签章）：</w:t>
      </w:r>
    </w:p>
    <w:p w14:paraId="29063CB6">
      <w:pPr>
        <w:spacing w:line="360" w:lineRule="auto"/>
        <w:contextualSpacing/>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p>
    <w:p w14:paraId="0AA71D37">
      <w:pPr>
        <w:snapToGrid w:val="0"/>
        <w:spacing w:before="50" w:afterLines="50"/>
        <w:jc w:val="left"/>
        <w:rPr>
          <w:rFonts w:hint="eastAsia" w:ascii="宋体" w:hAnsi="宋体" w:eastAsia="宋体" w:cs="宋体"/>
          <w:color w:val="auto"/>
          <w:sz w:val="24"/>
          <w:szCs w:val="20"/>
          <w:highlight w:val="none"/>
        </w:rPr>
      </w:pPr>
    </w:p>
    <w:p w14:paraId="7625C3C5">
      <w:pPr>
        <w:snapToGrid w:val="0"/>
        <w:spacing w:before="50" w:afterLines="50"/>
        <w:jc w:val="left"/>
        <w:rPr>
          <w:rFonts w:hint="eastAsia" w:ascii="宋体" w:hAnsi="宋体" w:eastAsia="宋体" w:cs="宋体"/>
          <w:color w:val="auto"/>
          <w:sz w:val="24"/>
          <w:szCs w:val="20"/>
          <w:highlight w:val="none"/>
        </w:rPr>
      </w:pPr>
    </w:p>
    <w:p w14:paraId="5561F727">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4. 技术要求偏离表格式</w:t>
      </w:r>
    </w:p>
    <w:p w14:paraId="033A1505">
      <w:pPr>
        <w:snapToGrid w:val="0"/>
        <w:spacing w:beforeLines="50" w:after="50"/>
        <w:ind w:left="142"/>
        <w:jc w:val="left"/>
        <w:rPr>
          <w:rFonts w:hint="eastAsia" w:ascii="宋体" w:hAnsi="宋体" w:eastAsia="宋体" w:cs="宋体"/>
          <w:b/>
          <w:color w:val="auto"/>
          <w:sz w:val="24"/>
          <w:highlight w:val="none"/>
        </w:rPr>
      </w:pPr>
    </w:p>
    <w:p w14:paraId="7DBAD0A9">
      <w:pPr>
        <w:snapToGrid w:val="0"/>
        <w:spacing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技术要求偏离表</w:t>
      </w:r>
    </w:p>
    <w:p w14:paraId="0C442A53">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所投分标：分标</w:t>
      </w:r>
    </w:p>
    <w:p w14:paraId="0B73666B">
      <w:pPr>
        <w:pStyle w:val="26"/>
        <w:rPr>
          <w:rFonts w:hint="eastAsia" w:ascii="宋体" w:hAnsi="宋体" w:eastAsia="宋体" w:cs="宋体"/>
          <w:color w:val="auto"/>
          <w:sz w:val="24"/>
          <w:szCs w:val="24"/>
          <w:highlight w:val="none"/>
        </w:rPr>
      </w:pPr>
    </w:p>
    <w:tbl>
      <w:tblPr>
        <w:tblStyle w:val="4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708"/>
        <w:gridCol w:w="1843"/>
        <w:gridCol w:w="851"/>
        <w:gridCol w:w="708"/>
        <w:gridCol w:w="2268"/>
        <w:gridCol w:w="1225"/>
      </w:tblGrid>
      <w:tr w14:paraId="6961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68C190E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4514D0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招标文件技术参数需求</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68AC4E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5698DD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CF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91F08A5">
            <w:pPr>
              <w:widowControl/>
              <w:jc w:val="left"/>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D409B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w:t>
            </w:r>
          </w:p>
          <w:p w14:paraId="20F04D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48AC0E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7B59502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货物参数要求</w:t>
            </w:r>
          </w:p>
        </w:tc>
        <w:tc>
          <w:tcPr>
            <w:tcW w:w="851" w:type="dxa"/>
            <w:tcBorders>
              <w:top w:val="single" w:color="auto" w:sz="4" w:space="0"/>
              <w:left w:val="single" w:color="auto" w:sz="4" w:space="0"/>
              <w:bottom w:val="single" w:color="auto" w:sz="4" w:space="0"/>
              <w:right w:val="single" w:color="auto" w:sz="4" w:space="0"/>
            </w:tcBorders>
            <w:vAlign w:val="center"/>
          </w:tcPr>
          <w:p w14:paraId="2B23F60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w:t>
            </w:r>
          </w:p>
          <w:p w14:paraId="205D4F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49478B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268" w:type="dxa"/>
            <w:tcBorders>
              <w:top w:val="single" w:color="auto" w:sz="4" w:space="0"/>
              <w:left w:val="single" w:color="auto" w:sz="4" w:space="0"/>
              <w:bottom w:val="single" w:color="auto" w:sz="4" w:space="0"/>
              <w:right w:val="single" w:color="auto" w:sz="4" w:space="0"/>
            </w:tcBorders>
            <w:vAlign w:val="center"/>
          </w:tcPr>
          <w:p w14:paraId="6EBD2F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6D88C108">
            <w:pPr>
              <w:widowControl/>
              <w:jc w:val="left"/>
              <w:rPr>
                <w:rFonts w:hint="eastAsia" w:ascii="宋体" w:hAnsi="宋体" w:eastAsia="宋体" w:cs="宋体"/>
                <w:color w:val="auto"/>
                <w:szCs w:val="21"/>
                <w:highlight w:val="none"/>
              </w:rPr>
            </w:pPr>
          </w:p>
        </w:tc>
      </w:tr>
      <w:tr w14:paraId="26D5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AD9385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127640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6035B0A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43" w:type="dxa"/>
            <w:tcBorders>
              <w:top w:val="single" w:color="auto" w:sz="4" w:space="0"/>
              <w:left w:val="single" w:color="auto" w:sz="4" w:space="0"/>
              <w:bottom w:val="single" w:color="auto" w:sz="4" w:space="0"/>
              <w:right w:val="single" w:color="auto" w:sz="4" w:space="0"/>
            </w:tcBorders>
            <w:vAlign w:val="center"/>
          </w:tcPr>
          <w:p w14:paraId="01B4DD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B3D48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09D2A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8D4E9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0CC3B7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11E7F9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14:paraId="1E0D2B7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A2BC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A6ABC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71032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4BBB1A1C">
            <w:pPr>
              <w:rPr>
                <w:rFonts w:hint="eastAsia" w:ascii="宋体" w:hAnsi="宋体" w:eastAsia="宋体" w:cs="宋体"/>
                <w:color w:val="auto"/>
                <w:szCs w:val="21"/>
                <w:highlight w:val="none"/>
              </w:rPr>
            </w:pPr>
          </w:p>
        </w:tc>
      </w:tr>
      <w:tr w14:paraId="0B86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C6BCC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14:paraId="40B19C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12C750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43" w:type="dxa"/>
            <w:tcBorders>
              <w:top w:val="single" w:color="auto" w:sz="4" w:space="0"/>
              <w:left w:val="single" w:color="auto" w:sz="4" w:space="0"/>
              <w:bottom w:val="single" w:color="auto" w:sz="4" w:space="0"/>
              <w:right w:val="single" w:color="auto" w:sz="4" w:space="0"/>
            </w:tcBorders>
            <w:vAlign w:val="center"/>
          </w:tcPr>
          <w:p w14:paraId="110D1B3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90EC4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4E266F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1B6078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29A82E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14:paraId="08C142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14:paraId="1189790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2E23F1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77EB10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84118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717BACFC">
            <w:pPr>
              <w:rPr>
                <w:rFonts w:hint="eastAsia" w:ascii="宋体" w:hAnsi="宋体" w:eastAsia="宋体" w:cs="宋体"/>
                <w:color w:val="auto"/>
                <w:szCs w:val="21"/>
                <w:highlight w:val="none"/>
              </w:rPr>
            </w:pPr>
          </w:p>
        </w:tc>
      </w:tr>
      <w:tr w14:paraId="7598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A6006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14:paraId="49B5059B">
            <w:pPr>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EC512A4">
            <w:pPr>
              <w:rPr>
                <w:rFonts w:hint="eastAsia" w:ascii="宋体" w:hAnsi="宋体" w:eastAsia="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8081C91">
            <w:pPr>
              <w:rPr>
                <w:rFonts w:hint="eastAsia"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F7601B4">
            <w:pPr>
              <w:rPr>
                <w:rFonts w:hint="eastAsia"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FB2A585">
            <w:pPr>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C873B77">
            <w:pPr>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55F3F5D5">
            <w:pPr>
              <w:rPr>
                <w:rFonts w:hint="eastAsia" w:ascii="宋体" w:hAnsi="宋体" w:eastAsia="宋体" w:cs="宋体"/>
                <w:color w:val="auto"/>
                <w:szCs w:val="21"/>
                <w:highlight w:val="none"/>
              </w:rPr>
            </w:pPr>
          </w:p>
        </w:tc>
      </w:tr>
    </w:tbl>
    <w:p w14:paraId="11E20044">
      <w:pPr>
        <w:pStyle w:val="26"/>
        <w:rPr>
          <w:rFonts w:hint="eastAsia" w:ascii="宋体" w:hAnsi="宋体" w:eastAsia="宋体" w:cs="宋体"/>
          <w:color w:val="auto"/>
          <w:sz w:val="24"/>
          <w:szCs w:val="24"/>
          <w:highlight w:val="none"/>
        </w:rPr>
      </w:pPr>
    </w:p>
    <w:p w14:paraId="2EA5C0B3">
      <w:pPr>
        <w:pStyle w:val="20"/>
        <w:rPr>
          <w:rFonts w:hint="eastAsia" w:ascii="宋体" w:hAnsi="宋体" w:eastAsia="宋体" w:cs="宋体"/>
          <w:color w:val="auto"/>
          <w:highlight w:val="none"/>
        </w:rPr>
      </w:pPr>
      <w:r>
        <w:rPr>
          <w:rFonts w:hint="eastAsia" w:ascii="宋体" w:hAnsi="宋体" w:eastAsia="宋体" w:cs="宋体"/>
          <w:color w:val="auto"/>
          <w:highlight w:val="none"/>
        </w:rPr>
        <w:t>注：</w:t>
      </w:r>
    </w:p>
    <w:p w14:paraId="0F17EE02">
      <w:pPr>
        <w:pStyle w:val="21"/>
        <w:spacing w:line="360" w:lineRule="auto"/>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14:paraId="37D83DCF">
      <w:pPr>
        <w:pStyle w:val="20"/>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2.投标人根据投标货物的性能指标，对照招标文件技术要求，在“偏离说明”中注明“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14:paraId="5491E89E">
      <w:pPr>
        <w:pStyle w:val="21"/>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如技术要求偏离表中的投标响应与佐证材料不一致的</w:t>
      </w:r>
      <w:r>
        <w:rPr>
          <w:rFonts w:hint="eastAsia" w:ascii="宋体" w:hAnsi="宋体" w:eastAsia="宋体" w:cs="宋体"/>
          <w:b/>
          <w:bCs/>
          <w:color w:val="auto"/>
          <w:sz w:val="24"/>
          <w:szCs w:val="24"/>
          <w:highlight w:val="none"/>
        </w:rPr>
        <w:t>，按无效投标处理</w:t>
      </w:r>
      <w:r>
        <w:rPr>
          <w:rFonts w:hint="eastAsia" w:ascii="宋体" w:hAnsi="宋体" w:eastAsia="宋体" w:cs="宋体"/>
          <w:color w:val="auto"/>
          <w:sz w:val="24"/>
          <w:szCs w:val="24"/>
          <w:highlight w:val="none"/>
        </w:rPr>
        <w:t>。</w:t>
      </w:r>
    </w:p>
    <w:p w14:paraId="4FC30E0E">
      <w:pPr>
        <w:snapToGrid w:val="0"/>
        <w:spacing w:before="50" w:after="50" w:line="360" w:lineRule="auto"/>
        <w:rPr>
          <w:rFonts w:hint="eastAsia" w:ascii="宋体" w:hAnsi="宋体" w:eastAsia="宋体" w:cs="宋体"/>
          <w:color w:val="auto"/>
          <w:sz w:val="24"/>
          <w:highlight w:val="none"/>
        </w:rPr>
      </w:pPr>
    </w:p>
    <w:p w14:paraId="2C1F935C">
      <w:pPr>
        <w:snapToGrid w:val="0"/>
        <w:spacing w:before="50" w:after="50"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744C36DA">
      <w:pPr>
        <w:snapToGrid w:val="0"/>
        <w:spacing w:before="50" w:after="50"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投标人名称（电子签章）：</w:t>
      </w:r>
    </w:p>
    <w:p w14:paraId="3B042091">
      <w:pPr>
        <w:snapToGrid w:val="0"/>
        <w:spacing w:before="50" w:after="50"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 期：</w:t>
      </w:r>
    </w:p>
    <w:p w14:paraId="5DFB3F8D">
      <w:pPr>
        <w:pStyle w:val="2"/>
        <w:rPr>
          <w:rFonts w:hint="eastAsia" w:ascii="宋体" w:hAnsi="宋体" w:eastAsia="宋体" w:cs="宋体"/>
          <w:color w:val="auto"/>
          <w:highlight w:val="none"/>
        </w:rPr>
      </w:pPr>
    </w:p>
    <w:p w14:paraId="2EA727D8">
      <w:pPr>
        <w:pStyle w:val="2"/>
        <w:rPr>
          <w:rFonts w:hint="eastAsia" w:ascii="宋体" w:hAnsi="宋体" w:eastAsia="宋体" w:cs="宋体"/>
          <w:color w:val="auto"/>
          <w:highlight w:val="none"/>
        </w:rPr>
      </w:pPr>
    </w:p>
    <w:p w14:paraId="3260D3FB">
      <w:pPr>
        <w:pStyle w:val="2"/>
        <w:rPr>
          <w:rFonts w:hint="eastAsia" w:ascii="宋体" w:hAnsi="宋体" w:eastAsia="宋体" w:cs="宋体"/>
          <w:color w:val="auto"/>
          <w:highlight w:val="none"/>
        </w:rPr>
      </w:pPr>
    </w:p>
    <w:p w14:paraId="7F389BCA">
      <w:pPr>
        <w:pStyle w:val="2"/>
        <w:rPr>
          <w:rFonts w:hint="eastAsia" w:ascii="宋体" w:hAnsi="宋体" w:eastAsia="宋体" w:cs="宋体"/>
          <w:color w:val="auto"/>
          <w:highlight w:val="none"/>
        </w:rPr>
      </w:pPr>
    </w:p>
    <w:p w14:paraId="3E5AF7F5">
      <w:pPr>
        <w:snapToGrid w:val="0"/>
        <w:spacing w:beforeLines="50" w:after="50"/>
        <w:ind w:left="142"/>
        <w:jc w:val="left"/>
        <w:rPr>
          <w:rFonts w:hint="eastAsia" w:ascii="宋体" w:hAnsi="宋体" w:eastAsia="宋体" w:cs="宋体"/>
          <w:b/>
          <w:color w:val="auto"/>
          <w:sz w:val="24"/>
          <w:highlight w:val="none"/>
        </w:rPr>
      </w:pPr>
    </w:p>
    <w:p w14:paraId="4C14472F">
      <w:pPr>
        <w:snapToGrid w:val="0"/>
        <w:spacing w:beforeLines="50" w:after="50"/>
        <w:ind w:left="142"/>
        <w:jc w:val="left"/>
        <w:rPr>
          <w:rFonts w:hint="eastAsia" w:ascii="宋体" w:hAnsi="宋体" w:eastAsia="宋体" w:cs="宋体"/>
          <w:b/>
          <w:color w:val="auto"/>
          <w:sz w:val="24"/>
          <w:highlight w:val="none"/>
        </w:rPr>
      </w:pPr>
    </w:p>
    <w:p w14:paraId="18C3BD40">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 项目实施人员一览表格式</w:t>
      </w:r>
    </w:p>
    <w:p w14:paraId="1DA21FDF">
      <w:pPr>
        <w:snapToGrid w:val="0"/>
        <w:spacing w:beforeLines="50" w:after="50"/>
        <w:ind w:left="142"/>
        <w:jc w:val="left"/>
        <w:rPr>
          <w:rFonts w:hint="eastAsia" w:ascii="宋体" w:hAnsi="宋体" w:eastAsia="宋体" w:cs="宋体"/>
          <w:b/>
          <w:color w:val="auto"/>
          <w:sz w:val="24"/>
          <w:highlight w:val="none"/>
        </w:rPr>
      </w:pPr>
    </w:p>
    <w:p w14:paraId="366AAD2E">
      <w:pPr>
        <w:snapToGrid w:val="0"/>
        <w:spacing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26F21BE7">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984"/>
        <w:gridCol w:w="1418"/>
        <w:gridCol w:w="1417"/>
        <w:gridCol w:w="1843"/>
      </w:tblGrid>
      <w:tr w14:paraId="513D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43080B">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709" w:type="dxa"/>
            <w:vAlign w:val="center"/>
          </w:tcPr>
          <w:p w14:paraId="18F0DC37">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1984" w:type="dxa"/>
            <w:vAlign w:val="center"/>
          </w:tcPr>
          <w:p w14:paraId="11E45979">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专业技术资格（职称）或者职业资格或者执业资格证或者其他证书</w:t>
            </w:r>
          </w:p>
        </w:tc>
        <w:tc>
          <w:tcPr>
            <w:tcW w:w="1418" w:type="dxa"/>
            <w:vAlign w:val="center"/>
          </w:tcPr>
          <w:p w14:paraId="6BC28BC2">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证书编号</w:t>
            </w:r>
          </w:p>
        </w:tc>
        <w:tc>
          <w:tcPr>
            <w:tcW w:w="1417" w:type="dxa"/>
            <w:vAlign w:val="center"/>
          </w:tcPr>
          <w:p w14:paraId="480B7C64">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参加本单位</w:t>
            </w:r>
          </w:p>
          <w:p w14:paraId="4B544E5F">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工作时间</w:t>
            </w:r>
          </w:p>
        </w:tc>
        <w:tc>
          <w:tcPr>
            <w:tcW w:w="1843" w:type="dxa"/>
            <w:vAlign w:val="center"/>
          </w:tcPr>
          <w:p w14:paraId="29D3BD67">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劳动合同编号</w:t>
            </w:r>
          </w:p>
        </w:tc>
      </w:tr>
      <w:tr w14:paraId="1F8C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1CBF1D">
            <w:pPr>
              <w:snapToGrid w:val="0"/>
              <w:spacing w:before="50" w:afterLines="50"/>
              <w:jc w:val="center"/>
              <w:rPr>
                <w:rFonts w:hint="eastAsia" w:ascii="宋体" w:hAnsi="宋体" w:eastAsia="宋体" w:cs="宋体"/>
                <w:color w:val="auto"/>
                <w:sz w:val="24"/>
                <w:szCs w:val="20"/>
                <w:highlight w:val="none"/>
              </w:rPr>
            </w:pPr>
          </w:p>
        </w:tc>
        <w:tc>
          <w:tcPr>
            <w:tcW w:w="709" w:type="dxa"/>
            <w:vAlign w:val="center"/>
          </w:tcPr>
          <w:p w14:paraId="4F2AD917">
            <w:pPr>
              <w:snapToGrid w:val="0"/>
              <w:spacing w:before="50" w:afterLines="50"/>
              <w:jc w:val="center"/>
              <w:rPr>
                <w:rFonts w:hint="eastAsia" w:ascii="宋体" w:hAnsi="宋体" w:eastAsia="宋体" w:cs="宋体"/>
                <w:color w:val="auto"/>
                <w:sz w:val="24"/>
                <w:szCs w:val="20"/>
                <w:highlight w:val="none"/>
              </w:rPr>
            </w:pPr>
          </w:p>
        </w:tc>
        <w:tc>
          <w:tcPr>
            <w:tcW w:w="1984" w:type="dxa"/>
            <w:vAlign w:val="center"/>
          </w:tcPr>
          <w:p w14:paraId="2129809A">
            <w:pPr>
              <w:snapToGrid w:val="0"/>
              <w:spacing w:before="50" w:afterLines="50"/>
              <w:jc w:val="center"/>
              <w:rPr>
                <w:rFonts w:hint="eastAsia" w:ascii="宋体" w:hAnsi="宋体" w:eastAsia="宋体" w:cs="宋体"/>
                <w:color w:val="auto"/>
                <w:sz w:val="24"/>
                <w:szCs w:val="20"/>
                <w:highlight w:val="none"/>
              </w:rPr>
            </w:pPr>
          </w:p>
        </w:tc>
        <w:tc>
          <w:tcPr>
            <w:tcW w:w="1418" w:type="dxa"/>
            <w:vAlign w:val="center"/>
          </w:tcPr>
          <w:p w14:paraId="222AFA2F">
            <w:pPr>
              <w:snapToGrid w:val="0"/>
              <w:spacing w:before="50" w:afterLines="50"/>
              <w:jc w:val="center"/>
              <w:rPr>
                <w:rFonts w:hint="eastAsia" w:ascii="宋体" w:hAnsi="宋体" w:eastAsia="宋体" w:cs="宋体"/>
                <w:color w:val="auto"/>
                <w:sz w:val="24"/>
                <w:szCs w:val="20"/>
                <w:highlight w:val="none"/>
              </w:rPr>
            </w:pPr>
          </w:p>
        </w:tc>
        <w:tc>
          <w:tcPr>
            <w:tcW w:w="1417" w:type="dxa"/>
            <w:vAlign w:val="center"/>
          </w:tcPr>
          <w:p w14:paraId="5DA04B13">
            <w:pPr>
              <w:snapToGrid w:val="0"/>
              <w:spacing w:before="50" w:afterLines="50"/>
              <w:jc w:val="center"/>
              <w:rPr>
                <w:rFonts w:hint="eastAsia" w:ascii="宋体" w:hAnsi="宋体" w:eastAsia="宋体" w:cs="宋体"/>
                <w:color w:val="auto"/>
                <w:sz w:val="24"/>
                <w:szCs w:val="20"/>
                <w:highlight w:val="none"/>
              </w:rPr>
            </w:pPr>
          </w:p>
        </w:tc>
        <w:tc>
          <w:tcPr>
            <w:tcW w:w="1843" w:type="dxa"/>
            <w:vAlign w:val="center"/>
          </w:tcPr>
          <w:p w14:paraId="55F88EFA">
            <w:pPr>
              <w:snapToGrid w:val="0"/>
              <w:spacing w:before="50" w:afterLines="50"/>
              <w:jc w:val="center"/>
              <w:rPr>
                <w:rFonts w:hint="eastAsia" w:ascii="宋体" w:hAnsi="宋体" w:eastAsia="宋体" w:cs="宋体"/>
                <w:color w:val="auto"/>
                <w:sz w:val="24"/>
                <w:szCs w:val="20"/>
                <w:highlight w:val="none"/>
              </w:rPr>
            </w:pPr>
          </w:p>
        </w:tc>
      </w:tr>
      <w:tr w14:paraId="7CD5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E657C7">
            <w:pPr>
              <w:snapToGrid w:val="0"/>
              <w:spacing w:before="50" w:afterLines="50"/>
              <w:jc w:val="center"/>
              <w:rPr>
                <w:rFonts w:hint="eastAsia" w:ascii="宋体" w:hAnsi="宋体" w:eastAsia="宋体" w:cs="宋体"/>
                <w:color w:val="auto"/>
                <w:sz w:val="24"/>
                <w:szCs w:val="20"/>
                <w:highlight w:val="none"/>
              </w:rPr>
            </w:pPr>
          </w:p>
        </w:tc>
        <w:tc>
          <w:tcPr>
            <w:tcW w:w="709" w:type="dxa"/>
            <w:vAlign w:val="center"/>
          </w:tcPr>
          <w:p w14:paraId="6EF60509">
            <w:pPr>
              <w:snapToGrid w:val="0"/>
              <w:spacing w:before="50" w:afterLines="50"/>
              <w:jc w:val="center"/>
              <w:rPr>
                <w:rFonts w:hint="eastAsia" w:ascii="宋体" w:hAnsi="宋体" w:eastAsia="宋体" w:cs="宋体"/>
                <w:color w:val="auto"/>
                <w:sz w:val="24"/>
                <w:szCs w:val="20"/>
                <w:highlight w:val="none"/>
              </w:rPr>
            </w:pPr>
          </w:p>
        </w:tc>
        <w:tc>
          <w:tcPr>
            <w:tcW w:w="1984" w:type="dxa"/>
            <w:vAlign w:val="center"/>
          </w:tcPr>
          <w:p w14:paraId="538E2C5D">
            <w:pPr>
              <w:snapToGrid w:val="0"/>
              <w:spacing w:before="50" w:afterLines="50"/>
              <w:jc w:val="center"/>
              <w:rPr>
                <w:rFonts w:hint="eastAsia" w:ascii="宋体" w:hAnsi="宋体" w:eastAsia="宋体" w:cs="宋体"/>
                <w:color w:val="auto"/>
                <w:sz w:val="24"/>
                <w:szCs w:val="20"/>
                <w:highlight w:val="none"/>
              </w:rPr>
            </w:pPr>
          </w:p>
        </w:tc>
        <w:tc>
          <w:tcPr>
            <w:tcW w:w="1418" w:type="dxa"/>
            <w:vAlign w:val="center"/>
          </w:tcPr>
          <w:p w14:paraId="77E44099">
            <w:pPr>
              <w:snapToGrid w:val="0"/>
              <w:spacing w:before="50" w:afterLines="50"/>
              <w:jc w:val="center"/>
              <w:rPr>
                <w:rFonts w:hint="eastAsia" w:ascii="宋体" w:hAnsi="宋体" w:eastAsia="宋体" w:cs="宋体"/>
                <w:color w:val="auto"/>
                <w:sz w:val="24"/>
                <w:szCs w:val="20"/>
                <w:highlight w:val="none"/>
              </w:rPr>
            </w:pPr>
          </w:p>
        </w:tc>
        <w:tc>
          <w:tcPr>
            <w:tcW w:w="1417" w:type="dxa"/>
            <w:vAlign w:val="center"/>
          </w:tcPr>
          <w:p w14:paraId="1EB3D270">
            <w:pPr>
              <w:snapToGrid w:val="0"/>
              <w:spacing w:before="50" w:afterLines="50"/>
              <w:jc w:val="center"/>
              <w:rPr>
                <w:rFonts w:hint="eastAsia" w:ascii="宋体" w:hAnsi="宋体" w:eastAsia="宋体" w:cs="宋体"/>
                <w:color w:val="auto"/>
                <w:sz w:val="24"/>
                <w:szCs w:val="20"/>
                <w:highlight w:val="none"/>
              </w:rPr>
            </w:pPr>
          </w:p>
        </w:tc>
        <w:tc>
          <w:tcPr>
            <w:tcW w:w="1843" w:type="dxa"/>
            <w:vAlign w:val="center"/>
          </w:tcPr>
          <w:p w14:paraId="56837F04">
            <w:pPr>
              <w:snapToGrid w:val="0"/>
              <w:spacing w:before="50" w:afterLines="50"/>
              <w:jc w:val="center"/>
              <w:rPr>
                <w:rFonts w:hint="eastAsia" w:ascii="宋体" w:hAnsi="宋体" w:eastAsia="宋体" w:cs="宋体"/>
                <w:color w:val="auto"/>
                <w:sz w:val="24"/>
                <w:szCs w:val="20"/>
                <w:highlight w:val="none"/>
              </w:rPr>
            </w:pPr>
          </w:p>
        </w:tc>
      </w:tr>
      <w:tr w14:paraId="041D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0504B9">
            <w:pPr>
              <w:snapToGrid w:val="0"/>
              <w:spacing w:before="50" w:afterLines="50"/>
              <w:jc w:val="center"/>
              <w:rPr>
                <w:rFonts w:hint="eastAsia" w:ascii="宋体" w:hAnsi="宋体" w:eastAsia="宋体" w:cs="宋体"/>
                <w:color w:val="auto"/>
                <w:sz w:val="24"/>
                <w:szCs w:val="20"/>
                <w:highlight w:val="none"/>
              </w:rPr>
            </w:pPr>
          </w:p>
        </w:tc>
        <w:tc>
          <w:tcPr>
            <w:tcW w:w="709" w:type="dxa"/>
            <w:vAlign w:val="center"/>
          </w:tcPr>
          <w:p w14:paraId="09A9FA6B">
            <w:pPr>
              <w:snapToGrid w:val="0"/>
              <w:spacing w:before="50" w:afterLines="50"/>
              <w:jc w:val="center"/>
              <w:rPr>
                <w:rFonts w:hint="eastAsia" w:ascii="宋体" w:hAnsi="宋体" w:eastAsia="宋体" w:cs="宋体"/>
                <w:color w:val="auto"/>
                <w:sz w:val="24"/>
                <w:szCs w:val="20"/>
                <w:highlight w:val="none"/>
              </w:rPr>
            </w:pPr>
          </w:p>
        </w:tc>
        <w:tc>
          <w:tcPr>
            <w:tcW w:w="1984" w:type="dxa"/>
            <w:vAlign w:val="center"/>
          </w:tcPr>
          <w:p w14:paraId="37AE1A44">
            <w:pPr>
              <w:snapToGrid w:val="0"/>
              <w:spacing w:before="50" w:afterLines="50"/>
              <w:jc w:val="center"/>
              <w:rPr>
                <w:rFonts w:hint="eastAsia" w:ascii="宋体" w:hAnsi="宋体" w:eastAsia="宋体" w:cs="宋体"/>
                <w:color w:val="auto"/>
                <w:sz w:val="24"/>
                <w:szCs w:val="20"/>
                <w:highlight w:val="none"/>
              </w:rPr>
            </w:pPr>
          </w:p>
        </w:tc>
        <w:tc>
          <w:tcPr>
            <w:tcW w:w="1418" w:type="dxa"/>
            <w:vAlign w:val="center"/>
          </w:tcPr>
          <w:p w14:paraId="25E5DF8B">
            <w:pPr>
              <w:snapToGrid w:val="0"/>
              <w:spacing w:before="50" w:afterLines="50"/>
              <w:jc w:val="center"/>
              <w:rPr>
                <w:rFonts w:hint="eastAsia" w:ascii="宋体" w:hAnsi="宋体" w:eastAsia="宋体" w:cs="宋体"/>
                <w:color w:val="auto"/>
                <w:sz w:val="24"/>
                <w:szCs w:val="20"/>
                <w:highlight w:val="none"/>
              </w:rPr>
            </w:pPr>
          </w:p>
        </w:tc>
        <w:tc>
          <w:tcPr>
            <w:tcW w:w="1417" w:type="dxa"/>
            <w:vAlign w:val="center"/>
          </w:tcPr>
          <w:p w14:paraId="59C7ED8B">
            <w:pPr>
              <w:snapToGrid w:val="0"/>
              <w:spacing w:before="50" w:afterLines="50"/>
              <w:jc w:val="center"/>
              <w:rPr>
                <w:rFonts w:hint="eastAsia" w:ascii="宋体" w:hAnsi="宋体" w:eastAsia="宋体" w:cs="宋体"/>
                <w:color w:val="auto"/>
                <w:sz w:val="24"/>
                <w:szCs w:val="20"/>
                <w:highlight w:val="none"/>
              </w:rPr>
            </w:pPr>
          </w:p>
        </w:tc>
        <w:tc>
          <w:tcPr>
            <w:tcW w:w="1843" w:type="dxa"/>
            <w:vAlign w:val="center"/>
          </w:tcPr>
          <w:p w14:paraId="6EDC3558">
            <w:pPr>
              <w:snapToGrid w:val="0"/>
              <w:spacing w:before="50" w:afterLines="50"/>
              <w:jc w:val="center"/>
              <w:rPr>
                <w:rFonts w:hint="eastAsia" w:ascii="宋体" w:hAnsi="宋体" w:eastAsia="宋体" w:cs="宋体"/>
                <w:color w:val="auto"/>
                <w:sz w:val="24"/>
                <w:szCs w:val="20"/>
                <w:highlight w:val="none"/>
              </w:rPr>
            </w:pPr>
          </w:p>
        </w:tc>
      </w:tr>
    </w:tbl>
    <w:p w14:paraId="664D5064">
      <w:pPr>
        <w:snapToGrid w:val="0"/>
        <w:spacing w:before="50" w:afterLines="50"/>
        <w:jc w:val="left"/>
        <w:rPr>
          <w:rFonts w:hint="eastAsia" w:ascii="宋体" w:hAnsi="宋体" w:eastAsia="宋体" w:cs="宋体"/>
          <w:color w:val="auto"/>
          <w:sz w:val="24"/>
          <w:szCs w:val="20"/>
          <w:highlight w:val="none"/>
        </w:rPr>
      </w:pPr>
    </w:p>
    <w:p w14:paraId="7E00978F">
      <w:pPr>
        <w:spacing w:line="360" w:lineRule="auto"/>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w:t>
      </w:r>
    </w:p>
    <w:p w14:paraId="22ABC95A">
      <w:pPr>
        <w:spacing w:line="360" w:lineRule="auto"/>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1.在填写时，如本表格不适合投标单位的实际情况，可根据本表格式自行制表填写。</w:t>
      </w:r>
    </w:p>
    <w:p w14:paraId="34A039CD">
      <w:pPr>
        <w:spacing w:line="360" w:lineRule="auto"/>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2.投标人应当附本表所列证书的复印件并加盖投标人公章。</w:t>
      </w:r>
    </w:p>
    <w:p w14:paraId="0E2D1ABB">
      <w:pPr>
        <w:spacing w:line="360" w:lineRule="auto"/>
        <w:contextualSpacing/>
        <w:rPr>
          <w:rFonts w:hint="eastAsia" w:ascii="宋体" w:hAnsi="宋体" w:eastAsia="宋体" w:cs="宋体"/>
          <w:color w:val="auto"/>
          <w:sz w:val="24"/>
          <w:highlight w:val="none"/>
        </w:rPr>
      </w:pPr>
    </w:p>
    <w:p w14:paraId="2264F98F">
      <w:pPr>
        <w:spacing w:line="360" w:lineRule="auto"/>
        <w:contextualSpacing/>
        <w:rPr>
          <w:rFonts w:hint="eastAsia" w:ascii="宋体" w:hAnsi="宋体" w:eastAsia="宋体" w:cs="宋体"/>
          <w:color w:val="auto"/>
          <w:sz w:val="24"/>
          <w:highlight w:val="none"/>
        </w:rPr>
      </w:pPr>
    </w:p>
    <w:p w14:paraId="37664BAD">
      <w:pPr>
        <w:spacing w:line="360" w:lineRule="auto"/>
        <w:contextualSpacing/>
        <w:rPr>
          <w:rFonts w:hint="eastAsia" w:ascii="宋体" w:hAnsi="宋体" w:eastAsia="宋体" w:cs="宋体"/>
          <w:color w:val="auto"/>
          <w:spacing w:val="20"/>
          <w:sz w:val="24"/>
          <w:szCs w:val="20"/>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147A3AFC">
      <w:pPr>
        <w:spacing w:line="360" w:lineRule="auto"/>
        <w:contextualSpacing/>
        <w:jc w:val="lef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投标人名称（电子签章）：</w:t>
      </w:r>
    </w:p>
    <w:p w14:paraId="1B73E66B">
      <w:pPr>
        <w:spacing w:line="360" w:lineRule="auto"/>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p>
    <w:p w14:paraId="3C06D8B5">
      <w:pPr>
        <w:snapToGrid w:val="0"/>
        <w:spacing w:before="50" w:afterLines="50"/>
        <w:jc w:val="left"/>
        <w:rPr>
          <w:rFonts w:hint="eastAsia" w:ascii="宋体" w:hAnsi="宋体" w:eastAsia="宋体" w:cs="宋体"/>
          <w:color w:val="auto"/>
          <w:sz w:val="24"/>
          <w:szCs w:val="20"/>
          <w:highlight w:val="none"/>
        </w:rPr>
      </w:pPr>
    </w:p>
    <w:p w14:paraId="337ECEB0">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6. 选配件、专用耗材、售后服务优惠表格式（注：按项目需求表具体项目修改）</w:t>
      </w:r>
    </w:p>
    <w:p w14:paraId="5FCCD612">
      <w:pPr>
        <w:snapToGrid w:val="0"/>
        <w:spacing w:beforeLines="50" w:after="50"/>
        <w:ind w:left="142"/>
        <w:jc w:val="left"/>
        <w:rPr>
          <w:rFonts w:hint="eastAsia" w:ascii="宋体" w:hAnsi="宋体" w:eastAsia="宋体" w:cs="宋体"/>
          <w:b/>
          <w:color w:val="auto"/>
          <w:sz w:val="24"/>
          <w:highlight w:val="none"/>
        </w:rPr>
      </w:pPr>
    </w:p>
    <w:p w14:paraId="6218EEF7">
      <w:pPr>
        <w:snapToGrid w:val="0"/>
        <w:spacing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选配件、专用耗材、售后服务优惠表</w:t>
      </w:r>
    </w:p>
    <w:p w14:paraId="5DD842B8">
      <w:pPr>
        <w:pStyle w:val="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5334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B35554">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583EDA1">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14A62305">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9F4F6D9">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28740B01">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比市场价优惠率</w:t>
            </w:r>
          </w:p>
        </w:tc>
      </w:tr>
      <w:tr w14:paraId="7E8D6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D4499ED">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13A5499F">
            <w:pPr>
              <w:pStyle w:val="26"/>
              <w:snapToGrid w:val="0"/>
              <w:spacing w:before="295" w:after="295"/>
              <w:jc w:val="center"/>
              <w:rPr>
                <w:rFonts w:hint="eastAsia" w:ascii="宋体" w:hAnsi="宋体" w:eastAsia="宋体" w:cs="宋体"/>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3DA047E5">
            <w:pPr>
              <w:pStyle w:val="26"/>
              <w:snapToGrid w:val="0"/>
              <w:spacing w:before="295" w:after="295"/>
              <w:jc w:val="center"/>
              <w:rPr>
                <w:rFonts w:hint="eastAsia" w:ascii="宋体" w:hAnsi="宋体" w:eastAsia="宋体" w:cs="宋体"/>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1F09518B">
            <w:pPr>
              <w:pStyle w:val="26"/>
              <w:snapToGrid w:val="0"/>
              <w:spacing w:before="295" w:after="295"/>
              <w:jc w:val="center"/>
              <w:rPr>
                <w:rFonts w:hint="eastAsia" w:ascii="宋体" w:hAnsi="宋体" w:eastAsia="宋体" w:cs="宋体"/>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5DA6714E">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r>
      <w:tr w14:paraId="2F7B6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E1B9BDB">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7CA2C8D2">
            <w:pPr>
              <w:pStyle w:val="26"/>
              <w:snapToGrid w:val="0"/>
              <w:spacing w:before="295" w:after="295"/>
              <w:jc w:val="center"/>
              <w:rPr>
                <w:rFonts w:hint="eastAsia" w:ascii="宋体" w:hAnsi="宋体" w:eastAsia="宋体" w:cs="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78FBB3B4">
            <w:pPr>
              <w:pStyle w:val="26"/>
              <w:snapToGrid w:val="0"/>
              <w:spacing w:before="295" w:after="295"/>
              <w:jc w:val="center"/>
              <w:rPr>
                <w:rFonts w:hint="eastAsia" w:ascii="宋体" w:hAnsi="宋体" w:eastAsia="宋体" w:cs="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A2A39FB">
            <w:pPr>
              <w:pStyle w:val="26"/>
              <w:snapToGrid w:val="0"/>
              <w:spacing w:before="295" w:after="295"/>
              <w:jc w:val="center"/>
              <w:rPr>
                <w:rFonts w:hint="eastAsia" w:ascii="宋体" w:hAnsi="宋体" w:eastAsia="宋体" w:cs="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2BF41768">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r>
      <w:tr w14:paraId="7A8C0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7406F0D">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6C110BF6">
            <w:pPr>
              <w:pStyle w:val="26"/>
              <w:snapToGrid w:val="0"/>
              <w:spacing w:before="295" w:after="295"/>
              <w:jc w:val="center"/>
              <w:rPr>
                <w:rFonts w:hint="eastAsia" w:ascii="宋体" w:hAnsi="宋体" w:eastAsia="宋体" w:cs="宋体"/>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53722757">
            <w:pPr>
              <w:pStyle w:val="26"/>
              <w:snapToGrid w:val="0"/>
              <w:spacing w:before="295" w:after="295"/>
              <w:jc w:val="center"/>
              <w:rPr>
                <w:rFonts w:hint="eastAsia" w:ascii="宋体" w:hAnsi="宋体" w:eastAsia="宋体" w:cs="宋体"/>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343A5B6">
            <w:pPr>
              <w:pStyle w:val="26"/>
              <w:snapToGrid w:val="0"/>
              <w:spacing w:before="295" w:after="295"/>
              <w:jc w:val="center"/>
              <w:rPr>
                <w:rFonts w:hint="eastAsia" w:ascii="宋体" w:hAnsi="宋体" w:eastAsia="宋体" w:cs="宋体"/>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1BCB51D8">
            <w:pPr>
              <w:pStyle w:val="26"/>
              <w:snapToGrid w:val="0"/>
              <w:spacing w:before="295" w:after="29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r>
    </w:tbl>
    <w:p w14:paraId="30DFCA31">
      <w:pPr>
        <w:spacing w:line="360" w:lineRule="auto"/>
        <w:contextualSpacing/>
        <w:rPr>
          <w:rFonts w:hint="eastAsia" w:ascii="宋体" w:hAnsi="宋体" w:eastAsia="宋体" w:cs="宋体"/>
          <w:color w:val="auto"/>
          <w:sz w:val="24"/>
          <w:highlight w:val="none"/>
        </w:rPr>
      </w:pPr>
    </w:p>
    <w:p w14:paraId="0352D88E">
      <w:pPr>
        <w:spacing w:line="360" w:lineRule="auto"/>
        <w:contextualSpacing/>
        <w:rPr>
          <w:rFonts w:hint="eastAsia" w:ascii="宋体" w:hAnsi="宋体" w:eastAsia="宋体" w:cs="宋体"/>
          <w:color w:val="auto"/>
          <w:sz w:val="24"/>
          <w:highlight w:val="none"/>
        </w:rPr>
      </w:pPr>
    </w:p>
    <w:p w14:paraId="4816D7C5">
      <w:pPr>
        <w:spacing w:line="360" w:lineRule="auto"/>
        <w:contextualSpacing/>
        <w:rPr>
          <w:rFonts w:hint="eastAsia" w:ascii="宋体" w:hAnsi="宋体" w:eastAsia="宋体" w:cs="宋体"/>
          <w:color w:val="auto"/>
          <w:sz w:val="24"/>
          <w:highlight w:val="none"/>
        </w:rPr>
      </w:pPr>
    </w:p>
    <w:p w14:paraId="29511C1E">
      <w:pPr>
        <w:spacing w:line="360" w:lineRule="auto"/>
        <w:contextualSpacing/>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5E94646C">
      <w:pPr>
        <w:spacing w:line="360" w:lineRule="auto"/>
        <w:contextualSpacing/>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投标人名称（电子签章）：</w:t>
      </w:r>
    </w:p>
    <w:p w14:paraId="0DC01E0C">
      <w:pPr>
        <w:spacing w:line="360" w:lineRule="auto"/>
        <w:contextualSpacing/>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p>
    <w:p w14:paraId="1FF7390C">
      <w:pPr>
        <w:snapToGrid w:val="0"/>
        <w:spacing w:before="50" w:afterLines="50"/>
        <w:jc w:val="left"/>
        <w:rPr>
          <w:rFonts w:hint="eastAsia" w:ascii="宋体" w:hAnsi="宋体" w:eastAsia="宋体" w:cs="宋体"/>
          <w:color w:val="auto"/>
          <w:sz w:val="24"/>
          <w:szCs w:val="20"/>
          <w:highlight w:val="none"/>
        </w:rPr>
      </w:pPr>
    </w:p>
    <w:p w14:paraId="20EB5D91">
      <w:pPr>
        <w:rPr>
          <w:rFonts w:hint="eastAsia" w:ascii="宋体" w:hAnsi="宋体" w:eastAsia="宋体" w:cs="宋体"/>
          <w:b/>
          <w:color w:val="auto"/>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sz w:val="28"/>
          <w:szCs w:val="28"/>
          <w:highlight w:val="none"/>
        </w:rPr>
        <w:t>五、其他文书、文件格式</w:t>
      </w:r>
    </w:p>
    <w:p w14:paraId="241A5FE9">
      <w:pPr>
        <w:snapToGrid w:val="0"/>
        <w:spacing w:beforeLines="50" w:after="50"/>
        <w:ind w:left="142"/>
        <w:jc w:val="left"/>
        <w:rPr>
          <w:rFonts w:hint="eastAsia" w:ascii="宋体" w:hAnsi="宋体" w:eastAsia="宋体" w:cs="宋体"/>
          <w:b/>
          <w:color w:val="auto"/>
          <w:spacing w:val="20"/>
          <w:sz w:val="24"/>
          <w:highlight w:val="none"/>
        </w:rPr>
      </w:pPr>
    </w:p>
    <w:p w14:paraId="21CD52EB">
      <w:pPr>
        <w:snapToGrid w:val="0"/>
        <w:spacing w:beforeLines="50" w:after="50"/>
        <w:ind w:left="142"/>
        <w:jc w:val="left"/>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1.联合投标协议书格式</w:t>
      </w:r>
    </w:p>
    <w:p w14:paraId="1A013E73">
      <w:pPr>
        <w:snapToGrid w:val="0"/>
        <w:spacing w:beforeLines="50" w:after="50"/>
        <w:ind w:left="142"/>
        <w:jc w:val="left"/>
        <w:rPr>
          <w:rFonts w:hint="eastAsia" w:ascii="宋体" w:hAnsi="宋体" w:eastAsia="宋体" w:cs="宋体"/>
          <w:b/>
          <w:color w:val="auto"/>
          <w:spacing w:val="20"/>
          <w:sz w:val="24"/>
          <w:highlight w:val="none"/>
        </w:rPr>
      </w:pPr>
    </w:p>
    <w:p w14:paraId="5ED3F7C5">
      <w:pPr>
        <w:pStyle w:val="9"/>
        <w:overflowPunct w:val="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联合体协议书</w:t>
      </w:r>
    </w:p>
    <w:p w14:paraId="36B3E542">
      <w:pPr>
        <w:pStyle w:val="9"/>
        <w:overflowPunct w:val="0"/>
        <w:rPr>
          <w:rFonts w:hint="eastAsia" w:ascii="宋体" w:hAnsi="宋体" w:eastAsia="宋体" w:cs="宋体"/>
          <w:color w:val="auto"/>
          <w:sz w:val="24"/>
          <w:highlight w:val="none"/>
        </w:rPr>
      </w:pPr>
    </w:p>
    <w:p w14:paraId="1268E966">
      <w:pPr>
        <w:pStyle w:val="9"/>
        <w:overflowPunct w:val="0"/>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（所有成员单位名称）自愿组成</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（项</w:t>
      </w:r>
      <w:r>
        <w:rPr>
          <w:rFonts w:hint="eastAsia" w:ascii="宋体" w:hAnsi="宋体" w:eastAsia="宋体" w:cs="宋体"/>
          <w:color w:val="auto"/>
          <w:sz w:val="24"/>
          <w:highlight w:val="none"/>
        </w:rPr>
        <w:t>目名称）采购招标项目投标。现就联合体投标事宜订立如下协议。</w:t>
      </w:r>
    </w:p>
    <w:p w14:paraId="28A8F2E3">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（某成员单位名称）为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（联合体名称）牵头人。</w:t>
      </w:r>
    </w:p>
    <w:p w14:paraId="177168E4">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073546D">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3.联合体牵头人在本项目中签署和盖章的一切文件和处理的一切事宜，联合体各成员均予以承认。联合体各成员将严格按照招标文件、投标文件和合同的要求全面履行义务，并向招标人承担连带责任。</w:t>
      </w:r>
    </w:p>
    <w:p w14:paraId="3F7CCF64">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5EE9FB72">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5.本协议书自所有成员单位法定代表人或者其委托代理人签字或者盖公章之日起生效，合同履行完毕后自动失效。</w:t>
      </w:r>
    </w:p>
    <w:p w14:paraId="60D8E581">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份，联合体成员和招标人各执一份。</w:t>
      </w:r>
    </w:p>
    <w:p w14:paraId="107C7973">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注：本协议书由法定代表人签字的，应附法定代表人身份证明；由委托代理人签字的，应附授权委托书。</w:t>
      </w:r>
    </w:p>
    <w:p w14:paraId="1299E26A">
      <w:pPr>
        <w:pStyle w:val="9"/>
        <w:overflowPunct w:val="0"/>
        <w:spacing w:line="360" w:lineRule="auto"/>
        <w:ind w:firstLineChars="175"/>
        <w:contextualSpacing/>
        <w:rPr>
          <w:rFonts w:hint="eastAsia" w:ascii="宋体" w:hAnsi="宋体" w:eastAsia="宋体" w:cs="宋体"/>
          <w:color w:val="auto"/>
          <w:sz w:val="24"/>
          <w:highlight w:val="none"/>
        </w:rPr>
      </w:pPr>
    </w:p>
    <w:p w14:paraId="1CF45BF5">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联合体牵头人名称（电子签章）：</w:t>
      </w:r>
    </w:p>
    <w:p w14:paraId="2D2D53F9">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法定代表人或者其委托代理人：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w:t>
      </w:r>
    </w:p>
    <w:p w14:paraId="4A4D9EBC">
      <w:pPr>
        <w:pStyle w:val="9"/>
        <w:overflowPunct w:val="0"/>
        <w:spacing w:line="360" w:lineRule="auto"/>
        <w:ind w:firstLineChars="175"/>
        <w:contextualSpacing/>
        <w:rPr>
          <w:rFonts w:hint="eastAsia" w:ascii="宋体" w:hAnsi="宋体" w:eastAsia="宋体" w:cs="宋体"/>
          <w:color w:val="auto"/>
          <w:sz w:val="24"/>
          <w:highlight w:val="none"/>
        </w:rPr>
      </w:pPr>
    </w:p>
    <w:p w14:paraId="04E23ADB">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联合体成员名称（电子签章）：</w:t>
      </w:r>
    </w:p>
    <w:p w14:paraId="54F74ED5">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法定代表人或者其委托代理人：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w:t>
      </w:r>
    </w:p>
    <w:p w14:paraId="70732D6C">
      <w:pPr>
        <w:pStyle w:val="9"/>
        <w:overflowPunct w:val="0"/>
        <w:spacing w:line="360" w:lineRule="auto"/>
        <w:ind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A4F29D4">
      <w:pPr>
        <w:pStyle w:val="9"/>
        <w:overflowPunct w:val="0"/>
        <w:spacing w:line="360" w:lineRule="auto"/>
        <w:ind w:firstLineChars="175"/>
        <w:contextualSpacing/>
        <w:rPr>
          <w:rFonts w:hint="eastAsia" w:ascii="宋体" w:hAnsi="宋体" w:eastAsia="宋体" w:cs="宋体"/>
          <w:color w:val="auto"/>
          <w:sz w:val="24"/>
          <w:highlight w:val="none"/>
        </w:rPr>
      </w:pPr>
    </w:p>
    <w:p w14:paraId="131C2B4C">
      <w:pPr>
        <w:pStyle w:val="9"/>
        <w:overflowPunct w:val="0"/>
        <w:spacing w:line="360" w:lineRule="auto"/>
        <w:ind w:firstLineChars="175"/>
        <w:contextualSpacing/>
        <w:jc w:val="right"/>
        <w:rPr>
          <w:rFonts w:hint="eastAsia" w:ascii="宋体" w:hAnsi="宋体" w:eastAsia="宋体" w:cs="宋体"/>
          <w:b/>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14:paraId="1D0BD0C6">
      <w:pPr>
        <w:snapToGrid w:val="0"/>
        <w:spacing w:beforeLines="50" w:after="50"/>
        <w:jc w:val="left"/>
        <w:rPr>
          <w:rFonts w:hint="eastAsia" w:ascii="宋体" w:hAnsi="宋体" w:eastAsia="宋体" w:cs="宋体"/>
          <w:b/>
          <w:color w:val="auto"/>
          <w:sz w:val="24"/>
          <w:highlight w:val="none"/>
        </w:rPr>
      </w:pPr>
    </w:p>
    <w:p w14:paraId="21937A07">
      <w:pPr>
        <w:snapToGrid w:val="0"/>
        <w:spacing w:beforeLines="50" w:after="50"/>
        <w:jc w:val="left"/>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2.中小企业声明函格式</w:t>
      </w:r>
    </w:p>
    <w:p w14:paraId="194E4DDB">
      <w:pPr>
        <w:rPr>
          <w:rFonts w:hint="eastAsia" w:ascii="宋体" w:hAnsi="宋体" w:eastAsia="宋体" w:cs="宋体"/>
          <w:color w:val="auto"/>
          <w:highlight w:val="none"/>
        </w:rPr>
      </w:pPr>
    </w:p>
    <w:p w14:paraId="68A33059">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中小企业声明函（货物）</w:t>
      </w:r>
    </w:p>
    <w:p w14:paraId="4A1F9FE0">
      <w:pPr>
        <w:spacing w:before="2" w:line="500" w:lineRule="exact"/>
        <w:rPr>
          <w:rFonts w:hint="eastAsia" w:ascii="宋体" w:hAnsi="宋体" w:eastAsia="宋体" w:cs="宋体"/>
          <w:b/>
          <w:bCs/>
          <w:color w:val="auto"/>
          <w:sz w:val="27"/>
          <w:szCs w:val="27"/>
          <w:highlight w:val="none"/>
        </w:rPr>
      </w:pPr>
    </w:p>
    <w:p w14:paraId="12E6566B">
      <w:pPr>
        <w:pStyle w:val="2"/>
        <w:spacing w:line="360" w:lineRule="auto"/>
        <w:ind w:left="-426" w:leftChars="-203" w:right="142" w:firstLine="480" w:firstLineChars="200"/>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24"/>
          <w:highlight w:val="none"/>
          <w:u w:val="single"/>
        </w:rPr>
        <w:t>（单位名称）</w:t>
      </w:r>
      <w:r>
        <w:rPr>
          <w:rFonts w:hint="eastAsia" w:ascii="宋体" w:hAnsi="宋体" w:eastAsia="宋体" w:cs="宋体"/>
          <w:color w:val="auto"/>
          <w:kern w:val="24"/>
          <w:highlight w:val="none"/>
        </w:rPr>
        <w:t>的</w:t>
      </w:r>
      <w:r>
        <w:rPr>
          <w:rFonts w:hint="eastAsia" w:ascii="宋体" w:hAnsi="宋体" w:eastAsia="宋体" w:cs="宋体"/>
          <w:color w:val="auto"/>
          <w:kern w:val="24"/>
          <w:highlight w:val="none"/>
          <w:u w:val="single"/>
        </w:rPr>
        <w:t>（项目名称）</w:t>
      </w:r>
      <w:r>
        <w:rPr>
          <w:rFonts w:hint="eastAsia" w:ascii="宋体" w:hAnsi="宋体" w:eastAsia="宋体" w:cs="宋体"/>
          <w:color w:val="auto"/>
          <w:kern w:val="24"/>
          <w:highlight w:val="none"/>
        </w:rPr>
        <w:t>采购活动，</w:t>
      </w:r>
      <w:r>
        <w:rPr>
          <w:rFonts w:hint="eastAsia" w:ascii="宋体" w:hAnsi="宋体" w:eastAsia="宋体" w:cs="宋体"/>
          <w:b/>
          <w:bCs/>
          <w:color w:val="auto"/>
          <w:kern w:val="24"/>
          <w:highlight w:val="none"/>
        </w:rPr>
        <w:t>提供的货物全部由符合政策要求的中小企业制造</w:t>
      </w:r>
      <w:r>
        <w:rPr>
          <w:rFonts w:hint="eastAsia" w:ascii="宋体" w:hAnsi="宋体" w:eastAsia="宋体" w:cs="宋体"/>
          <w:color w:val="auto"/>
          <w:kern w:val="24"/>
          <w:highlight w:val="none"/>
        </w:rPr>
        <w:t>。相关企业（含联合体中的中小企业、签订分包意向协议的中小企业）的具体情况如下：</w:t>
      </w:r>
    </w:p>
    <w:p w14:paraId="7FE7441D">
      <w:pPr>
        <w:tabs>
          <w:tab w:val="left" w:pos="1384"/>
          <w:tab w:val="left" w:pos="4562"/>
          <w:tab w:val="left" w:pos="6803"/>
        </w:tabs>
        <w:spacing w:line="360" w:lineRule="auto"/>
        <w:ind w:left="-426" w:right="-58" w:firstLine="655"/>
        <w:contextualSpacing/>
        <w:rPr>
          <w:rFonts w:hint="eastAsia" w:ascii="宋体" w:hAnsi="宋体" w:eastAsia="宋体" w:cs="宋体"/>
          <w:color w:val="auto"/>
          <w:kern w:val="24"/>
          <w:sz w:val="24"/>
          <w:highlight w:val="none"/>
        </w:rPr>
      </w:pPr>
      <w:r>
        <w:rPr>
          <w:rFonts w:hint="eastAsia" w:ascii="宋体" w:hAnsi="宋体" w:eastAsia="宋体" w:cs="宋体"/>
          <w:color w:val="auto"/>
          <w:kern w:val="24"/>
          <w:sz w:val="24"/>
          <w:highlight w:val="none"/>
        </w:rPr>
        <w:t>1.</w:t>
      </w:r>
      <w:r>
        <w:rPr>
          <w:rFonts w:hint="eastAsia" w:ascii="宋体" w:hAnsi="宋体" w:eastAsia="宋体" w:cs="宋体"/>
          <w:color w:val="auto"/>
          <w:kern w:val="24"/>
          <w:sz w:val="24"/>
          <w:highlight w:val="none"/>
          <w:u w:val="single"/>
        </w:rPr>
        <w:t>（标的名称）</w:t>
      </w:r>
      <w:r>
        <w:rPr>
          <w:rFonts w:hint="eastAsia" w:ascii="宋体" w:hAnsi="宋体" w:eastAsia="宋体" w:cs="宋体"/>
          <w:color w:val="auto"/>
          <w:kern w:val="24"/>
          <w:sz w:val="24"/>
          <w:highlight w:val="none"/>
        </w:rPr>
        <w:t>，属于</w:t>
      </w:r>
      <w:r>
        <w:rPr>
          <w:rFonts w:hint="eastAsia" w:ascii="宋体" w:hAnsi="宋体" w:eastAsia="宋体" w:cs="宋体"/>
          <w:color w:val="auto"/>
          <w:kern w:val="24"/>
          <w:sz w:val="24"/>
          <w:highlight w:val="none"/>
          <w:u w:val="single"/>
        </w:rPr>
        <w:t>（采购文件中明确的所属行业）</w:t>
      </w:r>
      <w:r>
        <w:rPr>
          <w:rFonts w:hint="eastAsia" w:ascii="宋体" w:hAnsi="宋体" w:eastAsia="宋体" w:cs="宋体"/>
          <w:color w:val="auto"/>
          <w:kern w:val="24"/>
          <w:sz w:val="24"/>
          <w:highlight w:val="none"/>
        </w:rPr>
        <w:t>行业；制造商为</w:t>
      </w:r>
      <w:r>
        <w:rPr>
          <w:rFonts w:hint="eastAsia" w:ascii="宋体" w:hAnsi="宋体" w:eastAsia="宋体" w:cs="宋体"/>
          <w:color w:val="auto"/>
          <w:kern w:val="24"/>
          <w:sz w:val="24"/>
          <w:highlight w:val="none"/>
          <w:u w:val="single"/>
        </w:rPr>
        <w:t>（企业名称）</w:t>
      </w:r>
      <w:r>
        <w:rPr>
          <w:rFonts w:hint="eastAsia" w:ascii="宋体" w:hAnsi="宋体" w:eastAsia="宋体" w:cs="宋体"/>
          <w:color w:val="auto"/>
          <w:kern w:val="24"/>
          <w:sz w:val="24"/>
          <w:highlight w:val="none"/>
        </w:rPr>
        <w:t>，从业人员人，营业收入为万元，资产总额为万元，属于</w:t>
      </w:r>
      <w:r>
        <w:rPr>
          <w:rFonts w:hint="eastAsia" w:ascii="宋体" w:hAnsi="宋体" w:eastAsia="宋体" w:cs="宋体"/>
          <w:color w:val="auto"/>
          <w:kern w:val="24"/>
          <w:sz w:val="24"/>
          <w:highlight w:val="none"/>
          <w:u w:val="single"/>
        </w:rPr>
        <w:t>（中型企业、小型企业、微型企业）</w:t>
      </w:r>
      <w:r>
        <w:rPr>
          <w:rFonts w:hint="eastAsia" w:ascii="宋体" w:hAnsi="宋体" w:eastAsia="宋体" w:cs="宋体"/>
          <w:color w:val="auto"/>
          <w:kern w:val="24"/>
          <w:sz w:val="24"/>
          <w:highlight w:val="none"/>
        </w:rPr>
        <w:t>；</w:t>
      </w:r>
    </w:p>
    <w:p w14:paraId="40143F92">
      <w:pPr>
        <w:tabs>
          <w:tab w:val="left" w:pos="1065"/>
          <w:tab w:val="left" w:pos="6477"/>
        </w:tabs>
        <w:spacing w:line="360" w:lineRule="auto"/>
        <w:ind w:left="-426" w:right="-58" w:firstLine="655"/>
        <w:contextualSpacing/>
        <w:rPr>
          <w:rFonts w:hint="eastAsia" w:ascii="宋体" w:hAnsi="宋体" w:eastAsia="宋体" w:cs="宋体"/>
          <w:color w:val="auto"/>
          <w:kern w:val="24"/>
          <w:sz w:val="24"/>
          <w:highlight w:val="none"/>
        </w:rPr>
      </w:pPr>
      <w:r>
        <w:rPr>
          <w:rFonts w:hint="eastAsia" w:ascii="宋体" w:hAnsi="宋体" w:eastAsia="宋体" w:cs="宋体"/>
          <w:color w:val="auto"/>
          <w:kern w:val="24"/>
          <w:sz w:val="24"/>
          <w:highlight w:val="none"/>
        </w:rPr>
        <w:t>2.</w:t>
      </w:r>
      <w:r>
        <w:rPr>
          <w:rFonts w:hint="eastAsia" w:ascii="宋体" w:hAnsi="宋体" w:eastAsia="宋体" w:cs="宋体"/>
          <w:color w:val="auto"/>
          <w:kern w:val="24"/>
          <w:sz w:val="24"/>
          <w:highlight w:val="none"/>
          <w:u w:val="single"/>
        </w:rPr>
        <w:t>（标的名称）</w:t>
      </w:r>
      <w:r>
        <w:rPr>
          <w:rFonts w:hint="eastAsia" w:ascii="宋体" w:hAnsi="宋体" w:eastAsia="宋体" w:cs="宋体"/>
          <w:color w:val="auto"/>
          <w:kern w:val="24"/>
          <w:sz w:val="24"/>
          <w:highlight w:val="none"/>
        </w:rPr>
        <w:t>，属于</w:t>
      </w:r>
      <w:r>
        <w:rPr>
          <w:rFonts w:hint="eastAsia" w:ascii="宋体" w:hAnsi="宋体" w:eastAsia="宋体" w:cs="宋体"/>
          <w:color w:val="auto"/>
          <w:kern w:val="24"/>
          <w:sz w:val="24"/>
          <w:highlight w:val="none"/>
          <w:u w:val="single"/>
        </w:rPr>
        <w:t>（采购文件中明确的所属行业）</w:t>
      </w:r>
      <w:r>
        <w:rPr>
          <w:rFonts w:hint="eastAsia" w:ascii="宋体" w:hAnsi="宋体" w:eastAsia="宋体" w:cs="宋体"/>
          <w:color w:val="auto"/>
          <w:kern w:val="24"/>
          <w:sz w:val="24"/>
          <w:highlight w:val="none"/>
        </w:rPr>
        <w:t>行业；制造商为</w:t>
      </w:r>
      <w:r>
        <w:rPr>
          <w:rFonts w:hint="eastAsia" w:ascii="宋体" w:hAnsi="宋体" w:eastAsia="宋体" w:cs="宋体"/>
          <w:color w:val="auto"/>
          <w:kern w:val="24"/>
          <w:sz w:val="24"/>
          <w:highlight w:val="none"/>
          <w:u w:val="single"/>
        </w:rPr>
        <w:t>（企业名称）</w:t>
      </w:r>
      <w:r>
        <w:rPr>
          <w:rFonts w:hint="eastAsia" w:ascii="宋体" w:hAnsi="宋体" w:eastAsia="宋体" w:cs="宋体"/>
          <w:color w:val="auto"/>
          <w:kern w:val="24"/>
          <w:sz w:val="24"/>
          <w:highlight w:val="none"/>
        </w:rPr>
        <w:t>，从业人员人，营业收入为万元，资产总额为万元，属于</w:t>
      </w:r>
      <w:r>
        <w:rPr>
          <w:rFonts w:hint="eastAsia" w:ascii="宋体" w:hAnsi="宋体" w:eastAsia="宋体" w:cs="宋体"/>
          <w:color w:val="auto"/>
          <w:kern w:val="24"/>
          <w:sz w:val="24"/>
          <w:highlight w:val="none"/>
          <w:u w:val="single"/>
        </w:rPr>
        <w:t>（中型企业、小型企业、微型企业）</w:t>
      </w:r>
      <w:r>
        <w:rPr>
          <w:rFonts w:hint="eastAsia" w:ascii="宋体" w:hAnsi="宋体" w:eastAsia="宋体" w:cs="宋体"/>
          <w:color w:val="auto"/>
          <w:kern w:val="24"/>
          <w:sz w:val="24"/>
          <w:highlight w:val="none"/>
        </w:rPr>
        <w:t>；</w:t>
      </w:r>
    </w:p>
    <w:p w14:paraId="6C2B1883">
      <w:pPr>
        <w:pStyle w:val="2"/>
        <w:spacing w:line="360" w:lineRule="auto"/>
        <w:ind w:left="142" w:right="142"/>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 xml:space="preserve">…… </w:t>
      </w:r>
    </w:p>
    <w:p w14:paraId="06991850">
      <w:pPr>
        <w:pStyle w:val="2"/>
        <w:spacing w:line="360" w:lineRule="auto"/>
        <w:ind w:left="-405" w:leftChars="-193" w:right="142" w:firstLine="453" w:firstLineChars="189"/>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以上企业，不属于大企业的分支机构，不存在控股股东为大企业的情形，也不存在与大企业的负责人为同一人的情形。</w:t>
      </w:r>
    </w:p>
    <w:p w14:paraId="18B5A424">
      <w:pPr>
        <w:pStyle w:val="2"/>
        <w:spacing w:line="360" w:lineRule="auto"/>
        <w:ind w:left="-426" w:right="142" w:firstLine="567"/>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本企业对上述声明内容的真实性负责。如有虚假，将依法承担相应责任。</w:t>
      </w:r>
    </w:p>
    <w:p w14:paraId="19531CC3">
      <w:pPr>
        <w:pStyle w:val="2"/>
        <w:spacing w:line="360" w:lineRule="auto"/>
        <w:ind w:left="3960" w:right="1808"/>
        <w:contextualSpacing/>
        <w:rPr>
          <w:rFonts w:hint="eastAsia" w:ascii="宋体" w:hAnsi="宋体" w:eastAsia="宋体" w:cs="宋体"/>
          <w:color w:val="auto"/>
          <w:kern w:val="24"/>
          <w:highlight w:val="none"/>
        </w:rPr>
      </w:pPr>
    </w:p>
    <w:p w14:paraId="3EB94914">
      <w:pPr>
        <w:pStyle w:val="2"/>
        <w:spacing w:line="360" w:lineRule="auto"/>
        <w:ind w:left="3960" w:right="1808"/>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 xml:space="preserve">企业名称（章）： </w:t>
      </w:r>
    </w:p>
    <w:p w14:paraId="36630A25">
      <w:pPr>
        <w:pStyle w:val="2"/>
        <w:spacing w:line="360" w:lineRule="auto"/>
        <w:ind w:left="3960" w:right="1808"/>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日期：</w:t>
      </w:r>
    </w:p>
    <w:p w14:paraId="1E6BB36D">
      <w:pPr>
        <w:pStyle w:val="2"/>
        <w:spacing w:line="360" w:lineRule="auto"/>
        <w:ind w:left="3960" w:right="1808"/>
        <w:contextualSpacing/>
        <w:rPr>
          <w:rFonts w:hint="eastAsia" w:ascii="宋体" w:hAnsi="宋体" w:eastAsia="宋体" w:cs="宋体"/>
          <w:color w:val="auto"/>
          <w:kern w:val="24"/>
          <w:highlight w:val="none"/>
        </w:rPr>
      </w:pPr>
    </w:p>
    <w:p w14:paraId="4EFB61D3">
      <w:pPr>
        <w:pStyle w:val="2"/>
        <w:spacing w:line="360" w:lineRule="auto"/>
        <w:ind w:left="3960" w:right="1808"/>
        <w:contextualSpacing/>
        <w:rPr>
          <w:rFonts w:hint="eastAsia" w:ascii="宋体" w:hAnsi="宋体" w:eastAsia="宋体" w:cs="宋体"/>
          <w:color w:val="auto"/>
          <w:kern w:val="24"/>
          <w:highlight w:val="none"/>
        </w:rPr>
      </w:pPr>
    </w:p>
    <w:p w14:paraId="2C623AB9">
      <w:pPr>
        <w:pStyle w:val="2"/>
        <w:spacing w:line="360" w:lineRule="auto"/>
        <w:ind w:left="-426" w:right="142" w:firstLine="567"/>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6CFA2A6">
      <w:pPr>
        <w:snapToGrid w:val="0"/>
        <w:spacing w:beforeLines="50" w:after="50"/>
        <w:ind w:left="142"/>
        <w:jc w:val="left"/>
        <w:rPr>
          <w:rFonts w:hint="eastAsia" w:ascii="宋体" w:hAnsi="宋体" w:eastAsia="宋体" w:cs="宋体"/>
          <w:b/>
          <w:color w:val="auto"/>
          <w:sz w:val="24"/>
          <w:highlight w:val="none"/>
        </w:rPr>
      </w:pPr>
    </w:p>
    <w:p w14:paraId="53A726FA">
      <w:pPr>
        <w:pStyle w:val="26"/>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w:t>
      </w:r>
    </w:p>
    <w:p w14:paraId="621BC054">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中小微企业划型标准</w:t>
      </w:r>
    </w:p>
    <w:p w14:paraId="26DD86A0">
      <w:pPr>
        <w:ind w:left="1871"/>
        <w:rPr>
          <w:rFonts w:hint="eastAsia" w:ascii="宋体" w:hAnsi="宋体" w:eastAsia="宋体" w:cs="宋体"/>
          <w:color w:val="auto"/>
          <w:szCs w:val="21"/>
          <w:highlight w:val="none"/>
        </w:rPr>
      </w:pPr>
    </w:p>
    <w:tbl>
      <w:tblPr>
        <w:tblStyle w:val="48"/>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14D3F8D7">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22B9C8B">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07A9D5AF">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7D2B2D78">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5B565E98">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44125BD1">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20A7B13F">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582FCF0D">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7FAC3E2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70DC65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15484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6E465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D23D6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62DFBB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83F701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FBDC8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58261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E4CF7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CF36C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934F4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EDE6A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6F2C62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F3EF4B5">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D7FA7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0315C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84D65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3900B9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6D2612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D8FC03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05A2C5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3F04F2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76F53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6D1E4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792CB7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5A917C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A3FCFD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29C917">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29634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FAB67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5D50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311D46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05B420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3A6698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2F8C24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496019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0DC38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D6190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6936A9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435068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271D9C9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8DA7DE2">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3BB38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F86EA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E7622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27D677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38D492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3C82E1A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41FE1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6FFD75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30785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E4F65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8F284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7C736B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60B3A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24A38D">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59530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F4255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C74E4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0929B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38DB94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CD5AA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8870D8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4901AD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820D74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A7698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8B3BA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9574C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660D16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B0BA2F">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05FD3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D3DE53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1598E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2FD687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1AB449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089FEC9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559124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796B91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68ADA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998A1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5EA4E3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629903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304C9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1E399EA">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8820D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AD58A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10045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5D7B8B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0D2F3E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81BBC9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2E1568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6FE5C8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A738A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8BD7A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5F9ED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2F65A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2F73A3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731481F">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FB3CF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C8D57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C06FC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3D6B74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C1FEB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77E25B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70732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03ADF8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5A27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87273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F6632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04BD6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653551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31EE54">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23714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7E19E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F690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57612E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F5B02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F1E6B9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F6146D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7B7A8F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43B7E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4AE06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CA64F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712CC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318B2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EDBC338">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22806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A2109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1D8D2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9809B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37195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A98AF9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699CF7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6FB94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46394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E56D0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7E4B77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3EF0B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112CF6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C31DD4">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FF1BB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20D36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37D0C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22B3B7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2C4743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5AEB6F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F931A5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0EB25C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FBBF5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AD77B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B21AE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57FCD6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9D1528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EBC9EDC">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999ED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62716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4EDD3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2C0104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2D5980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C1E008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D8FE16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467F87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20141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1CC48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1E6E0B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3660A0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D6F223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E68A4B8">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A201E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D540E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35B0B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37490C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4C1926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734F761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631F2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3BBD4E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00048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699BB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E787C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1210E8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75C682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D84C362">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B293F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65928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67993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416E49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2A5620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C3363C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A8698D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2831C8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EB13B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9720A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1E9C5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F8FBD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4D29F4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1FF2DEF">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69F8B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B8ED4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1EAE7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58D087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487726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BA4C6C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2322AB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7A563F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D00F0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BA4A2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F0D93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5AF1B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37A4F11">
      <w:pPr>
        <w:spacing w:line="360" w:lineRule="auto"/>
        <w:ind w:firstLine="525" w:firstLineChars="250"/>
        <w:rPr>
          <w:rFonts w:hint="eastAsia" w:ascii="宋体" w:hAnsi="宋体" w:eastAsia="宋体" w:cs="宋体"/>
          <w:color w:val="auto"/>
          <w:szCs w:val="21"/>
          <w:highlight w:val="none"/>
        </w:rPr>
      </w:pPr>
    </w:p>
    <w:p w14:paraId="5BC67286">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0240D77">
      <w:pPr>
        <w:snapToGrid w:val="0"/>
        <w:spacing w:beforeLines="50" w:after="50"/>
        <w:ind w:left="142"/>
        <w:jc w:val="left"/>
        <w:rPr>
          <w:rFonts w:hint="eastAsia" w:ascii="宋体" w:hAnsi="宋体" w:eastAsia="宋体" w:cs="宋体"/>
          <w:b/>
          <w:color w:val="auto"/>
          <w:sz w:val="24"/>
          <w:highlight w:val="none"/>
        </w:rPr>
      </w:pPr>
    </w:p>
    <w:p w14:paraId="0E12713A">
      <w:pPr>
        <w:snapToGrid w:val="0"/>
        <w:spacing w:beforeLines="50" w:after="50"/>
        <w:ind w:left="142"/>
        <w:jc w:val="left"/>
        <w:rPr>
          <w:rFonts w:hint="eastAsia" w:ascii="宋体" w:hAnsi="宋体" w:eastAsia="宋体" w:cs="宋体"/>
          <w:b/>
          <w:color w:val="auto"/>
          <w:sz w:val="24"/>
          <w:highlight w:val="none"/>
        </w:rPr>
      </w:pPr>
    </w:p>
    <w:p w14:paraId="1D1C3701">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3.残疾人福利性单位声明函格式</w:t>
      </w:r>
    </w:p>
    <w:p w14:paraId="5F1FE207">
      <w:pPr>
        <w:spacing w:line="588" w:lineRule="exact"/>
        <w:jc w:val="center"/>
        <w:rPr>
          <w:rFonts w:hint="eastAsia" w:ascii="宋体" w:hAnsi="宋体" w:eastAsia="宋体" w:cs="宋体"/>
          <w:b/>
          <w:color w:val="auto"/>
          <w:spacing w:val="6"/>
          <w:sz w:val="32"/>
          <w:szCs w:val="32"/>
          <w:highlight w:val="none"/>
        </w:rPr>
      </w:pPr>
    </w:p>
    <w:p w14:paraId="32D22444">
      <w:pPr>
        <w:spacing w:line="588" w:lineRule="exact"/>
        <w:jc w:val="center"/>
        <w:rPr>
          <w:rFonts w:hint="eastAsia" w:ascii="宋体" w:hAnsi="宋体" w:eastAsia="宋体" w:cs="宋体"/>
          <w:bCs/>
          <w:color w:val="auto"/>
          <w:spacing w:val="6"/>
          <w:sz w:val="44"/>
          <w:szCs w:val="44"/>
          <w:highlight w:val="none"/>
        </w:rPr>
      </w:pPr>
      <w:r>
        <w:rPr>
          <w:rFonts w:hint="eastAsia" w:ascii="宋体" w:hAnsi="宋体" w:eastAsia="宋体" w:cs="宋体"/>
          <w:bCs/>
          <w:color w:val="auto"/>
          <w:spacing w:val="6"/>
          <w:sz w:val="44"/>
          <w:szCs w:val="44"/>
          <w:highlight w:val="none"/>
        </w:rPr>
        <w:t>残疾人福利性单位声明函</w:t>
      </w:r>
    </w:p>
    <w:p w14:paraId="72795988">
      <w:pPr>
        <w:spacing w:line="360" w:lineRule="auto"/>
        <w:contextualSpacing/>
        <w:rPr>
          <w:rFonts w:hint="eastAsia" w:ascii="宋体" w:hAnsi="宋体" w:eastAsia="宋体" w:cs="宋体"/>
          <w:bCs/>
          <w:color w:val="auto"/>
          <w:spacing w:val="6"/>
          <w:sz w:val="30"/>
          <w:szCs w:val="30"/>
          <w:highlight w:val="none"/>
        </w:rPr>
      </w:pPr>
    </w:p>
    <w:p w14:paraId="0A4C7E2A">
      <w:pPr>
        <w:spacing w:line="360" w:lineRule="auto"/>
        <w:ind w:firstLine="504" w:firstLineChars="200"/>
        <w:contextualSpacing/>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4"/>
          <w:highlight w:val="none"/>
        </w:rPr>
        <w:t>疾人福利性单位制造的货物（不包括使用非残疾人福利性单位注册商标的货物）。</w:t>
      </w:r>
    </w:p>
    <w:p w14:paraId="37BAD43D">
      <w:pPr>
        <w:spacing w:line="360" w:lineRule="auto"/>
        <w:ind w:firstLine="504" w:firstLineChars="200"/>
        <w:contextualSpacing/>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3C1F3234">
      <w:pPr>
        <w:spacing w:line="360" w:lineRule="auto"/>
        <w:ind w:firstLine="504" w:firstLineChars="200"/>
        <w:contextualSpacing/>
        <w:rPr>
          <w:rFonts w:hint="eastAsia" w:ascii="宋体" w:hAnsi="宋体" w:eastAsia="宋体" w:cs="宋体"/>
          <w:color w:val="auto"/>
          <w:spacing w:val="6"/>
          <w:sz w:val="24"/>
          <w:highlight w:val="none"/>
        </w:rPr>
      </w:pPr>
    </w:p>
    <w:p w14:paraId="496F18DF">
      <w:pPr>
        <w:spacing w:line="360" w:lineRule="auto"/>
        <w:ind w:firstLine="504" w:firstLineChars="200"/>
        <w:contextualSpacing/>
        <w:rPr>
          <w:rFonts w:hint="eastAsia" w:ascii="宋体" w:hAnsi="宋体" w:eastAsia="宋体" w:cs="宋体"/>
          <w:color w:val="auto"/>
          <w:spacing w:val="6"/>
          <w:sz w:val="24"/>
          <w:highlight w:val="none"/>
        </w:rPr>
      </w:pPr>
    </w:p>
    <w:p w14:paraId="5E9812C0">
      <w:pPr>
        <w:tabs>
          <w:tab w:val="left" w:pos="4860"/>
        </w:tabs>
        <w:spacing w:line="360" w:lineRule="auto"/>
        <w:ind w:right="1560" w:firstLine="504" w:firstLineChars="200"/>
        <w:contextualSpacing/>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单位名称（电子签章）：</w:t>
      </w:r>
    </w:p>
    <w:p w14:paraId="04E489A6">
      <w:pPr>
        <w:tabs>
          <w:tab w:val="left" w:pos="4860"/>
        </w:tabs>
        <w:spacing w:line="360" w:lineRule="auto"/>
        <w:ind w:right="1560" w:firstLine="504" w:firstLineChars="200"/>
        <w:contextualSpacing/>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2E04FA7A">
      <w:pPr>
        <w:spacing w:line="360" w:lineRule="auto"/>
        <w:contextualSpacing/>
        <w:rPr>
          <w:rFonts w:hint="eastAsia" w:ascii="宋体" w:hAnsi="宋体" w:eastAsia="宋体" w:cs="宋体"/>
          <w:color w:val="auto"/>
          <w:sz w:val="24"/>
          <w:highlight w:val="none"/>
        </w:rPr>
      </w:pPr>
    </w:p>
    <w:p w14:paraId="2057BCE2">
      <w:pPr>
        <w:spacing w:line="360" w:lineRule="auto"/>
        <w:contextualSpacing/>
        <w:rPr>
          <w:rFonts w:hint="eastAsia" w:ascii="宋体" w:hAnsi="宋体" w:eastAsia="宋体" w:cs="宋体"/>
          <w:color w:val="auto"/>
          <w:sz w:val="24"/>
          <w:highlight w:val="none"/>
        </w:rPr>
      </w:pPr>
    </w:p>
    <w:p w14:paraId="4135F247">
      <w:pPr>
        <w:spacing w:line="360" w:lineRule="auto"/>
        <w:contextualSpacing/>
        <w:rPr>
          <w:rFonts w:hint="eastAsia" w:ascii="宋体" w:hAnsi="宋体" w:eastAsia="宋体" w:cs="宋体"/>
          <w:color w:val="auto"/>
          <w:sz w:val="24"/>
          <w:highlight w:val="none"/>
        </w:rPr>
      </w:pPr>
    </w:p>
    <w:p w14:paraId="7E2CE086">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E153BF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4.质疑函格式</w:t>
      </w:r>
    </w:p>
    <w:p w14:paraId="0000C902">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质疑函</w:t>
      </w:r>
    </w:p>
    <w:p w14:paraId="07342368">
      <w:pPr>
        <w:pStyle w:val="2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5442581">
      <w:pPr>
        <w:pStyle w:val="2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p>
    <w:p w14:paraId="27FFCF5E">
      <w:pPr>
        <w:pStyle w:val="2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14:paraId="032029ED">
      <w:pPr>
        <w:pStyle w:val="2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联系人：联系电话：</w:t>
      </w:r>
    </w:p>
    <w:p w14:paraId="5AF6CC50">
      <w:pPr>
        <w:pStyle w:val="2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p>
    <w:p w14:paraId="4E717695">
      <w:pPr>
        <w:pStyle w:val="2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p>
    <w:p w14:paraId="5FB0D3BB">
      <w:pPr>
        <w:pStyle w:val="2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14:paraId="1E320A30">
      <w:pPr>
        <w:pStyle w:val="2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5B4822A8">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p>
    <w:p w14:paraId="2CB2F606">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15B91A62">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70593B74">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4F29F502">
      <w:pPr>
        <w:pStyle w:val="26"/>
        <w:spacing w:line="360" w:lineRule="auto"/>
        <w:ind w:left="25" w:leftChars="12"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   招标文件获取日期：</w:t>
      </w:r>
    </w:p>
    <w:p w14:paraId="5B5126E1">
      <w:pPr>
        <w:pStyle w:val="26"/>
        <w:spacing w:line="360" w:lineRule="auto"/>
        <w:ind w:left="25" w:leftChars="12"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11BD5ABC">
      <w:pPr>
        <w:pStyle w:val="2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□中标结果   </w:t>
      </w:r>
    </w:p>
    <w:p w14:paraId="42B5FB0F">
      <w:pPr>
        <w:pStyle w:val="2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28ACA647">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p>
    <w:p w14:paraId="15ED5F53">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27863788">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p>
    <w:p w14:paraId="7A478FEB">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031BC3C7">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48754AB">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4289035B">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5AFB2CE5">
      <w:pPr>
        <w:pStyle w:val="26"/>
        <w:spacing w:line="360" w:lineRule="auto"/>
        <w:ind w:left="25" w:leftChars="12" w:firstLine="352" w:firstLineChars="147"/>
        <w:rPr>
          <w:rFonts w:hint="eastAsia" w:ascii="宋体" w:hAnsi="宋体" w:eastAsia="宋体" w:cs="宋体"/>
          <w:color w:val="auto"/>
          <w:sz w:val="24"/>
          <w:szCs w:val="24"/>
          <w:highlight w:val="none"/>
        </w:rPr>
      </w:pPr>
    </w:p>
    <w:p w14:paraId="21F9193C">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2DF3494">
      <w:pPr>
        <w:pStyle w:val="26"/>
        <w:spacing w:line="360" w:lineRule="auto"/>
        <w:ind w:left="25" w:leftChars="12" w:firstLine="352" w:firstLineChars="147"/>
        <w:rPr>
          <w:rFonts w:hint="eastAsia" w:ascii="宋体" w:hAnsi="宋体" w:eastAsia="宋体" w:cs="宋体"/>
          <w:color w:val="auto"/>
          <w:sz w:val="24"/>
          <w:szCs w:val="24"/>
          <w:highlight w:val="none"/>
        </w:rPr>
      </w:pPr>
    </w:p>
    <w:p w14:paraId="57646D21">
      <w:pPr>
        <w:pStyle w:val="2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1DC1892">
      <w:pPr>
        <w:pStyle w:val="26"/>
        <w:snapToGrid w:val="0"/>
        <w:spacing w:line="360" w:lineRule="auto"/>
        <w:rPr>
          <w:rFonts w:hint="eastAsia" w:ascii="宋体" w:hAnsi="宋体" w:eastAsia="宋体" w:cs="宋体"/>
          <w:b/>
          <w:color w:val="auto"/>
          <w:sz w:val="24"/>
          <w:szCs w:val="24"/>
          <w:highlight w:val="none"/>
        </w:rPr>
      </w:pPr>
    </w:p>
    <w:p w14:paraId="5AC63560">
      <w:pPr>
        <w:pStyle w:val="2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64B009A">
      <w:pPr>
        <w:pStyle w:val="2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31C9C195">
      <w:pPr>
        <w:pStyle w:val="2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7C55DE">
      <w:pPr>
        <w:pStyle w:val="2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6EA9403">
      <w:pPr>
        <w:pStyle w:val="2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1FEAF6F">
      <w:pPr>
        <w:pStyle w:val="26"/>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36ECE044">
      <w:pPr>
        <w:pStyle w:val="26"/>
        <w:snapToGrid w:val="0"/>
        <w:rPr>
          <w:rFonts w:hint="eastAsia" w:ascii="宋体" w:hAnsi="宋体" w:eastAsia="宋体" w:cs="宋体"/>
          <w:b/>
          <w:color w:val="auto"/>
          <w:sz w:val="24"/>
          <w:szCs w:val="24"/>
          <w:highlight w:val="none"/>
        </w:rPr>
      </w:pPr>
    </w:p>
    <w:p w14:paraId="6C3F4E22">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color w:val="auto"/>
          <w:sz w:val="24"/>
          <w:highlight w:val="none"/>
        </w:rPr>
        <w:t>5.投诉书格式</w:t>
      </w:r>
    </w:p>
    <w:p w14:paraId="490E6FD7">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投诉书</w:t>
      </w:r>
    </w:p>
    <w:p w14:paraId="71038965">
      <w:pPr>
        <w:pStyle w:val="26"/>
        <w:snapToGrid w:val="0"/>
        <w:spacing w:line="440" w:lineRule="exact"/>
        <w:ind w:firstLine="482" w:firstLineChars="200"/>
        <w:rPr>
          <w:rFonts w:hint="eastAsia" w:ascii="宋体" w:hAnsi="宋体" w:eastAsia="宋体" w:cs="宋体"/>
          <w:b/>
          <w:bCs/>
          <w:color w:val="auto"/>
          <w:sz w:val="24"/>
          <w:szCs w:val="24"/>
          <w:highlight w:val="none"/>
        </w:rPr>
      </w:pPr>
    </w:p>
    <w:p w14:paraId="00A07A7B">
      <w:pPr>
        <w:pStyle w:val="26"/>
        <w:snapToGri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799A0915">
      <w:pPr>
        <w:pStyle w:val="26"/>
        <w:snapToGrid w:val="0"/>
        <w:spacing w:line="440" w:lineRule="exact"/>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w:t>
      </w:r>
    </w:p>
    <w:p w14:paraId="48A83EEE">
      <w:pPr>
        <w:pStyle w:val="26"/>
        <w:snapToGri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14:paraId="0668A645">
      <w:pPr>
        <w:pStyle w:val="26"/>
        <w:snapToGrid w:val="0"/>
        <w:spacing w:line="440" w:lineRule="exact"/>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p>
    <w:p w14:paraId="0D07FD86">
      <w:pPr>
        <w:pStyle w:val="26"/>
        <w:snapToGri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p w14:paraId="3DB49977">
      <w:pPr>
        <w:pStyle w:val="26"/>
        <w:snapToGrid w:val="0"/>
        <w:spacing w:line="440" w:lineRule="exact"/>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授权代表：联系电话：</w:t>
      </w:r>
    </w:p>
    <w:p w14:paraId="7FF730AA">
      <w:pPr>
        <w:pStyle w:val="26"/>
        <w:snapToGrid w:val="0"/>
        <w:spacing w:line="440" w:lineRule="exact"/>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p>
    <w:p w14:paraId="1CE6BD82">
      <w:pPr>
        <w:pStyle w:val="26"/>
        <w:snapToGri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p>
    <w:p w14:paraId="41D29496">
      <w:pPr>
        <w:pStyle w:val="26"/>
        <w:snapToGri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2F7A26C9">
      <w:pPr>
        <w:pStyle w:val="26"/>
        <w:snapToGrid w:val="0"/>
        <w:spacing w:line="440" w:lineRule="exact"/>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p>
    <w:p w14:paraId="1CC9D48F">
      <w:pPr>
        <w:pStyle w:val="26"/>
        <w:snapToGri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p>
    <w:p w14:paraId="34903875">
      <w:pPr>
        <w:pStyle w:val="26"/>
        <w:snapToGrid w:val="0"/>
        <w:spacing w:line="440" w:lineRule="exact"/>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联系人：联系电话：</w:t>
      </w:r>
    </w:p>
    <w:p w14:paraId="16DF9557">
      <w:pPr>
        <w:pStyle w:val="26"/>
        <w:snapToGri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380EDE56">
      <w:pPr>
        <w:pStyle w:val="26"/>
        <w:snapToGri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CADA74C">
      <w:pPr>
        <w:pStyle w:val="26"/>
        <w:snapToGrid w:val="0"/>
        <w:spacing w:line="440" w:lineRule="exact"/>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p>
    <w:p w14:paraId="32BA8424">
      <w:pPr>
        <w:pStyle w:val="26"/>
        <w:snapToGrid w:val="0"/>
        <w:spacing w:line="440" w:lineRule="exact"/>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地址：邮编：</w:t>
      </w:r>
    </w:p>
    <w:p w14:paraId="5CBA9DB4">
      <w:pPr>
        <w:pStyle w:val="26"/>
        <w:snapToGrid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联系人：联系电话：</w:t>
      </w:r>
    </w:p>
    <w:p w14:paraId="590218CD">
      <w:pPr>
        <w:pStyle w:val="26"/>
        <w:snapToGri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772ACF1F">
      <w:pPr>
        <w:pStyle w:val="26"/>
        <w:spacing w:line="440" w:lineRule="exact"/>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p>
    <w:p w14:paraId="4B43ED16">
      <w:pPr>
        <w:pStyle w:val="26"/>
        <w:spacing w:line="440" w:lineRule="exact"/>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p>
    <w:p w14:paraId="53440D24">
      <w:pPr>
        <w:pStyle w:val="26"/>
        <w:spacing w:line="440" w:lineRule="exact"/>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p>
    <w:p w14:paraId="3BEFF611">
      <w:pPr>
        <w:pStyle w:val="26"/>
        <w:spacing w:line="440" w:lineRule="exact"/>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p>
    <w:p w14:paraId="4B05C5CE">
      <w:pPr>
        <w:pStyle w:val="26"/>
        <w:spacing w:line="440" w:lineRule="exact"/>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p>
    <w:p w14:paraId="0F90731E">
      <w:pPr>
        <w:pStyle w:val="26"/>
        <w:spacing w:line="440" w:lineRule="exact"/>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p>
    <w:p w14:paraId="6F876928">
      <w:pPr>
        <w:pStyle w:val="26"/>
        <w:spacing w:line="440" w:lineRule="exact"/>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0C5E4EED">
      <w:pPr>
        <w:pStyle w:val="26"/>
        <w:spacing w:line="440" w:lineRule="exact"/>
        <w:ind w:left="25" w:leftChars="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投诉人于年月日，向提出质疑，质疑事项为：</w:t>
      </w:r>
    </w:p>
    <w:p w14:paraId="45450329">
      <w:pPr>
        <w:pStyle w:val="26"/>
        <w:spacing w:line="440" w:lineRule="exact"/>
        <w:ind w:firstLine="241"/>
        <w:rPr>
          <w:rFonts w:hint="eastAsia" w:ascii="宋体" w:hAnsi="宋体" w:eastAsia="宋体" w:cs="宋体"/>
          <w:bCs/>
          <w:color w:val="auto"/>
          <w:sz w:val="24"/>
          <w:szCs w:val="24"/>
          <w:highlight w:val="none"/>
          <w:u w:val="single"/>
        </w:rPr>
      </w:pPr>
    </w:p>
    <w:p w14:paraId="1E527F69">
      <w:pPr>
        <w:pStyle w:val="26"/>
        <w:spacing w:line="440" w:lineRule="exact"/>
        <w:ind w:firstLine="241"/>
        <w:rPr>
          <w:rFonts w:hint="eastAsia" w:ascii="宋体" w:hAnsi="宋体" w:eastAsia="宋体" w:cs="宋体"/>
          <w:bCs/>
          <w:color w:val="auto"/>
          <w:sz w:val="24"/>
          <w:szCs w:val="24"/>
          <w:highlight w:val="none"/>
          <w:u w:val="single"/>
        </w:rPr>
      </w:pPr>
    </w:p>
    <w:p w14:paraId="0B350BC2">
      <w:pPr>
        <w:pStyle w:val="26"/>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rPr>
        <w:t>年月日，</w:t>
      </w:r>
      <w:r>
        <w:rPr>
          <w:rFonts w:hint="eastAsia" w:ascii="宋体" w:hAnsi="宋体" w:eastAsia="宋体" w:cs="宋体"/>
          <w:bCs/>
          <w:color w:val="auto"/>
          <w:sz w:val="24"/>
          <w:szCs w:val="24"/>
          <w:highlight w:val="none"/>
        </w:rPr>
        <w:t xml:space="preserve">就质疑事项作出了答复/没有在法定期限内作出答复。                                                                                             </w:t>
      </w:r>
    </w:p>
    <w:p w14:paraId="75B71DA2">
      <w:pPr>
        <w:pStyle w:val="26"/>
        <w:spacing w:line="440" w:lineRule="exact"/>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3F36E030">
      <w:pPr>
        <w:pStyle w:val="26"/>
        <w:spacing w:line="440" w:lineRule="exact"/>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p>
    <w:p w14:paraId="1BAD995F">
      <w:pPr>
        <w:pStyle w:val="26"/>
        <w:spacing w:line="44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p>
    <w:p w14:paraId="30E0FD48">
      <w:pPr>
        <w:pStyle w:val="26"/>
        <w:spacing w:line="440" w:lineRule="exact"/>
        <w:ind w:left="25" w:leftChars="12" w:firstLine="472" w:firstLineChars="197"/>
        <w:rPr>
          <w:rFonts w:hint="eastAsia" w:ascii="宋体" w:hAnsi="宋体" w:eastAsia="宋体" w:cs="宋体"/>
          <w:color w:val="auto"/>
          <w:sz w:val="24"/>
          <w:szCs w:val="24"/>
          <w:highlight w:val="none"/>
        </w:rPr>
      </w:pPr>
    </w:p>
    <w:p w14:paraId="7DABBDC0">
      <w:pPr>
        <w:pStyle w:val="26"/>
        <w:spacing w:line="44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p>
    <w:p w14:paraId="22B39997">
      <w:pPr>
        <w:pStyle w:val="26"/>
        <w:spacing w:line="440" w:lineRule="exact"/>
        <w:ind w:left="25" w:leftChars="12" w:firstLine="352" w:firstLineChars="147"/>
        <w:rPr>
          <w:rFonts w:hint="eastAsia" w:ascii="宋体" w:hAnsi="宋体" w:eastAsia="宋体" w:cs="宋体"/>
          <w:bCs/>
          <w:color w:val="auto"/>
          <w:sz w:val="24"/>
          <w:szCs w:val="24"/>
          <w:highlight w:val="none"/>
          <w:u w:val="single"/>
        </w:rPr>
      </w:pPr>
    </w:p>
    <w:p w14:paraId="43656B4C">
      <w:pPr>
        <w:pStyle w:val="26"/>
        <w:spacing w:line="440" w:lineRule="exact"/>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p>
    <w:p w14:paraId="6443E5E3">
      <w:pPr>
        <w:pStyle w:val="26"/>
        <w:spacing w:line="440" w:lineRule="exact"/>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0CB50B7">
      <w:pPr>
        <w:pStyle w:val="26"/>
        <w:spacing w:line="440" w:lineRule="exact"/>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7A8798F">
      <w:pPr>
        <w:pStyle w:val="26"/>
        <w:spacing w:line="440" w:lineRule="exact"/>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425D3ACC">
      <w:pPr>
        <w:pStyle w:val="26"/>
        <w:spacing w:line="440" w:lineRule="exact"/>
        <w:ind w:left="25" w:leftChars="12" w:firstLine="352" w:firstLineChars="147"/>
        <w:rPr>
          <w:rFonts w:hint="eastAsia" w:ascii="宋体" w:hAnsi="宋体" w:eastAsia="宋体" w:cs="宋体"/>
          <w:color w:val="auto"/>
          <w:sz w:val="24"/>
          <w:szCs w:val="24"/>
          <w:highlight w:val="none"/>
        </w:rPr>
      </w:pPr>
    </w:p>
    <w:p w14:paraId="4B19A433">
      <w:pPr>
        <w:pStyle w:val="26"/>
        <w:spacing w:line="440" w:lineRule="exact"/>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55442C99">
      <w:pPr>
        <w:pStyle w:val="26"/>
        <w:spacing w:line="440" w:lineRule="exact"/>
        <w:ind w:left="25" w:leftChars="12" w:firstLine="352" w:firstLineChars="147"/>
        <w:rPr>
          <w:rFonts w:hint="eastAsia" w:ascii="宋体" w:hAnsi="宋体" w:eastAsia="宋体" w:cs="宋体"/>
          <w:color w:val="auto"/>
          <w:sz w:val="24"/>
          <w:szCs w:val="24"/>
          <w:highlight w:val="none"/>
        </w:rPr>
      </w:pPr>
    </w:p>
    <w:p w14:paraId="0210D48F">
      <w:pPr>
        <w:pStyle w:val="26"/>
        <w:spacing w:line="440" w:lineRule="exact"/>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5103A2B">
      <w:pPr>
        <w:pStyle w:val="26"/>
        <w:spacing w:line="440" w:lineRule="exact"/>
        <w:ind w:left="25" w:leftChars="12" w:firstLine="472" w:firstLineChars="197"/>
        <w:rPr>
          <w:rFonts w:hint="eastAsia" w:ascii="宋体" w:hAnsi="宋体" w:eastAsia="宋体" w:cs="宋体"/>
          <w:color w:val="auto"/>
          <w:sz w:val="24"/>
          <w:szCs w:val="24"/>
          <w:highlight w:val="none"/>
        </w:rPr>
      </w:pPr>
    </w:p>
    <w:p w14:paraId="5D75FD79">
      <w:pPr>
        <w:pStyle w:val="26"/>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bookmarkStart w:id="155" w:name="_GoBack"/>
      <w:bookmarkEnd w:id="155"/>
    </w:p>
    <w:p w14:paraId="0A7C2DED">
      <w:pPr>
        <w:pStyle w:val="26"/>
        <w:spacing w:line="440" w:lineRule="exact"/>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04521DB7">
      <w:pPr>
        <w:pStyle w:val="26"/>
        <w:spacing w:line="440" w:lineRule="exact"/>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11FC66">
      <w:pPr>
        <w:pStyle w:val="26"/>
        <w:spacing w:line="440" w:lineRule="exact"/>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1F94090">
      <w:pPr>
        <w:pStyle w:val="26"/>
        <w:spacing w:line="440" w:lineRule="exact"/>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5786044">
      <w:pPr>
        <w:pStyle w:val="26"/>
        <w:spacing w:line="440" w:lineRule="exact"/>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2B4A942A">
      <w:pPr>
        <w:pStyle w:val="26"/>
        <w:spacing w:line="440" w:lineRule="exact"/>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361" w:right="1361" w:bottom="1361" w:left="1361"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C58A">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D8A5F">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CD8A5F">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4DC1">
    <w:pPr>
      <w:pStyle w:val="32"/>
      <w:jc w:val="center"/>
    </w:pPr>
    <w:r>
      <w:fldChar w:fldCharType="begin"/>
    </w:r>
    <w:r>
      <w:instrText xml:space="preserve">PAGE   \* MERGEFORMAT</w:instrText>
    </w:r>
    <w:r>
      <w:fldChar w:fldCharType="separate"/>
    </w:r>
    <w:r>
      <w:rPr>
        <w:lang w:val="zh-CN"/>
      </w:rPr>
      <w:t>1</w:t>
    </w:r>
    <w:r>
      <w:rPr>
        <w:lang w:val="zh-CN"/>
      </w:rPr>
      <w:fldChar w:fldCharType="end"/>
    </w:r>
  </w:p>
  <w:p w14:paraId="7A25D3CF">
    <w:pPr>
      <w:pStyle w:val="32"/>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65EC">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5F48A">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D5F48A">
                    <w:pPr>
                      <w:pStyle w:val="32"/>
                    </w:pPr>
                    <w:r>
                      <w:fldChar w:fldCharType="begin"/>
                    </w:r>
                    <w:r>
                      <w:instrText xml:space="preserve"> PAGE  \* MERGEFORMAT </w:instrText>
                    </w:r>
                    <w:r>
                      <w:fldChar w:fldCharType="separate"/>
                    </w:r>
                    <w:r>
                      <w:t>1</w:t>
                    </w:r>
                    <w:r>
                      <w:fldChar w:fldCharType="end"/>
                    </w:r>
                  </w:p>
                </w:txbxContent>
              </v:textbox>
            </v:shape>
          </w:pict>
        </mc:Fallback>
      </mc:AlternateContent>
    </w:r>
  </w:p>
  <w:p w14:paraId="6ABE3150">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FF06E">
    <w:pPr>
      <w:pStyle w:val="3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CC7B8">
                          <w:pPr>
                            <w:pStyle w:val="3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9CC7B8">
                    <w:pPr>
                      <w:pStyle w:val="32"/>
                    </w:pPr>
                    <w:r>
                      <w:fldChar w:fldCharType="begin"/>
                    </w:r>
                    <w:r>
                      <w:instrText xml:space="preserve"> PAGE  \* MERGEFORMAT </w:instrText>
                    </w:r>
                    <w:r>
                      <w:fldChar w:fldCharType="separate"/>
                    </w:r>
                    <w:r>
                      <w:t>29</w:t>
                    </w:r>
                    <w:r>
                      <w:fldChar w:fldCharType="end"/>
                    </w:r>
                  </w:p>
                </w:txbxContent>
              </v:textbox>
            </v:shape>
          </w:pict>
        </mc:Fallback>
      </mc:AlternateContent>
    </w:r>
  </w:p>
  <w:p w14:paraId="417757FA">
    <w:pPr>
      <w:pStyle w:val="32"/>
    </w:pPr>
  </w:p>
  <w:p w14:paraId="4BE759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4C51">
    <w:pPr>
      <w:pStyle w:val="32"/>
      <w:framePr w:wrap="around" w:vAnchor="text" w:hAnchor="margin" w:xAlign="center" w:y="1"/>
      <w:rPr>
        <w:rStyle w:val="53"/>
      </w:rPr>
    </w:pPr>
    <w:r>
      <w:fldChar w:fldCharType="begin"/>
    </w:r>
    <w:r>
      <w:rPr>
        <w:rStyle w:val="53"/>
      </w:rPr>
      <w:instrText xml:space="preserve">PAGE  </w:instrText>
    </w:r>
    <w:r>
      <w:fldChar w:fldCharType="end"/>
    </w:r>
  </w:p>
  <w:p w14:paraId="2857B2DD">
    <w:pPr>
      <w:pStyle w:val="32"/>
    </w:pPr>
  </w:p>
  <w:p w14:paraId="579563C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8360">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9951">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79A0">
    <w:pPr>
      <w:pStyle w:val="33"/>
      <w:pBdr>
        <w:bottom w:val="none" w:color="auto" w:sz="0" w:space="0"/>
      </w:pBdr>
    </w:pPr>
  </w:p>
  <w:p w14:paraId="4F20C5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01917"/>
    <w:multiLevelType w:val="singleLevel"/>
    <w:tmpl w:val="4C601917"/>
    <w:lvl w:ilvl="0" w:tentative="0">
      <w:start w:val="1"/>
      <w:numFmt w:val="decimal"/>
      <w:suff w:val="nothing"/>
      <w:lvlText w:val="（%1）"/>
      <w:lvlJc w:val="left"/>
      <w:pPr>
        <w:ind w:left="-2"/>
      </w:pPr>
    </w:lvl>
  </w:abstractNum>
  <w:abstractNum w:abstractNumId="1">
    <w:nsid w:val="5FABD14B"/>
    <w:multiLevelType w:val="singleLevel"/>
    <w:tmpl w:val="5FABD14B"/>
    <w:lvl w:ilvl="0" w:tentative="0">
      <w:start w:val="1"/>
      <w:numFmt w:val="decimal"/>
      <w:suff w:val="nothing"/>
      <w:lvlText w:val="（%1）"/>
      <w:lvlJc w:val="left"/>
    </w:lvl>
  </w:abstractNum>
  <w:abstractNum w:abstractNumId="2">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DQyOTJlOWZmYzBlYzg5YTc2ZjY3OWU2MzM5N2MifQ=="/>
    <w:docVar w:name="KSO_WPS_MARK_KEY" w:val="679b1800-d7a1-4fa0-9d74-876ba14534a9"/>
  </w:docVars>
  <w:rsids>
    <w:rsidRoot w:val="00F9008B"/>
    <w:rsid w:val="0000010C"/>
    <w:rsid w:val="000004FE"/>
    <w:rsid w:val="00000FE0"/>
    <w:rsid w:val="00001068"/>
    <w:rsid w:val="0000114A"/>
    <w:rsid w:val="00001731"/>
    <w:rsid w:val="00001C2D"/>
    <w:rsid w:val="00001C55"/>
    <w:rsid w:val="00001CA8"/>
    <w:rsid w:val="00001ECD"/>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54"/>
    <w:rsid w:val="000136D6"/>
    <w:rsid w:val="00014085"/>
    <w:rsid w:val="00014267"/>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AA"/>
    <w:rsid w:val="000217E4"/>
    <w:rsid w:val="00021852"/>
    <w:rsid w:val="00021A12"/>
    <w:rsid w:val="000223BF"/>
    <w:rsid w:val="00022622"/>
    <w:rsid w:val="000226E5"/>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60D"/>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4D"/>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58"/>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979"/>
    <w:rsid w:val="000D6CE7"/>
    <w:rsid w:val="000D6E38"/>
    <w:rsid w:val="000D6E63"/>
    <w:rsid w:val="000D711C"/>
    <w:rsid w:val="000D741B"/>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C69"/>
    <w:rsid w:val="00101E7C"/>
    <w:rsid w:val="001023DC"/>
    <w:rsid w:val="00102572"/>
    <w:rsid w:val="00102946"/>
    <w:rsid w:val="00102FBF"/>
    <w:rsid w:val="0010333D"/>
    <w:rsid w:val="0010372A"/>
    <w:rsid w:val="00103F41"/>
    <w:rsid w:val="00104662"/>
    <w:rsid w:val="00104F34"/>
    <w:rsid w:val="0010519C"/>
    <w:rsid w:val="001053C5"/>
    <w:rsid w:val="001055AD"/>
    <w:rsid w:val="00105C14"/>
    <w:rsid w:val="001065A3"/>
    <w:rsid w:val="00106610"/>
    <w:rsid w:val="00106831"/>
    <w:rsid w:val="0010683E"/>
    <w:rsid w:val="0010691D"/>
    <w:rsid w:val="00106B33"/>
    <w:rsid w:val="00106E69"/>
    <w:rsid w:val="0011068D"/>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4EE"/>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B8C"/>
    <w:rsid w:val="00133088"/>
    <w:rsid w:val="00133346"/>
    <w:rsid w:val="001335B1"/>
    <w:rsid w:val="00133B4E"/>
    <w:rsid w:val="0013410F"/>
    <w:rsid w:val="001346AF"/>
    <w:rsid w:val="00134990"/>
    <w:rsid w:val="001354D1"/>
    <w:rsid w:val="00135840"/>
    <w:rsid w:val="00135A0A"/>
    <w:rsid w:val="00135BB9"/>
    <w:rsid w:val="00135C5A"/>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20D"/>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80F"/>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9DA"/>
    <w:rsid w:val="0016236C"/>
    <w:rsid w:val="00162625"/>
    <w:rsid w:val="00162DFB"/>
    <w:rsid w:val="001630A8"/>
    <w:rsid w:val="00163233"/>
    <w:rsid w:val="00163826"/>
    <w:rsid w:val="00163943"/>
    <w:rsid w:val="00163BA1"/>
    <w:rsid w:val="00163F22"/>
    <w:rsid w:val="0016417B"/>
    <w:rsid w:val="001643A6"/>
    <w:rsid w:val="0016470E"/>
    <w:rsid w:val="001649D3"/>
    <w:rsid w:val="00164C26"/>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CA7"/>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5AB6"/>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6E5B"/>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D83"/>
    <w:rsid w:val="001E4F08"/>
    <w:rsid w:val="001E5490"/>
    <w:rsid w:val="001E5730"/>
    <w:rsid w:val="001E5E2E"/>
    <w:rsid w:val="001E6352"/>
    <w:rsid w:val="001E700A"/>
    <w:rsid w:val="001E70AD"/>
    <w:rsid w:val="001E7237"/>
    <w:rsid w:val="001E7AF6"/>
    <w:rsid w:val="001F01B8"/>
    <w:rsid w:val="001F0FC3"/>
    <w:rsid w:val="001F1188"/>
    <w:rsid w:val="001F1899"/>
    <w:rsid w:val="001F1B8D"/>
    <w:rsid w:val="001F1C50"/>
    <w:rsid w:val="001F274F"/>
    <w:rsid w:val="001F289C"/>
    <w:rsid w:val="001F2BF9"/>
    <w:rsid w:val="001F336D"/>
    <w:rsid w:val="001F3AF2"/>
    <w:rsid w:val="001F6008"/>
    <w:rsid w:val="001F604B"/>
    <w:rsid w:val="001F641B"/>
    <w:rsid w:val="001F6D4D"/>
    <w:rsid w:val="001F7CA7"/>
    <w:rsid w:val="0020125C"/>
    <w:rsid w:val="0020130D"/>
    <w:rsid w:val="00201916"/>
    <w:rsid w:val="00201D06"/>
    <w:rsid w:val="00201E9F"/>
    <w:rsid w:val="00202F25"/>
    <w:rsid w:val="00202FA3"/>
    <w:rsid w:val="002035B3"/>
    <w:rsid w:val="00203929"/>
    <w:rsid w:val="00203CD6"/>
    <w:rsid w:val="00203D01"/>
    <w:rsid w:val="00204460"/>
    <w:rsid w:val="0020488A"/>
    <w:rsid w:val="002051EA"/>
    <w:rsid w:val="00205CBC"/>
    <w:rsid w:val="00206259"/>
    <w:rsid w:val="002074B7"/>
    <w:rsid w:val="0020758D"/>
    <w:rsid w:val="002078B4"/>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391"/>
    <w:rsid w:val="0022176C"/>
    <w:rsid w:val="002220BB"/>
    <w:rsid w:val="002225D1"/>
    <w:rsid w:val="002227DC"/>
    <w:rsid w:val="002230FA"/>
    <w:rsid w:val="002232B9"/>
    <w:rsid w:val="0022375F"/>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CCD"/>
    <w:rsid w:val="00245D60"/>
    <w:rsid w:val="002462A5"/>
    <w:rsid w:val="00246530"/>
    <w:rsid w:val="00246B86"/>
    <w:rsid w:val="00247335"/>
    <w:rsid w:val="002473EF"/>
    <w:rsid w:val="002477B9"/>
    <w:rsid w:val="00247B69"/>
    <w:rsid w:val="00247BCE"/>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55E"/>
    <w:rsid w:val="00272633"/>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4BC0"/>
    <w:rsid w:val="002B5AFB"/>
    <w:rsid w:val="002B5E9E"/>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16F"/>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5DA"/>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17A88"/>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7C7"/>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4ECA"/>
    <w:rsid w:val="00364FB4"/>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D73"/>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6C33"/>
    <w:rsid w:val="003A748F"/>
    <w:rsid w:val="003A79AE"/>
    <w:rsid w:val="003A7CA3"/>
    <w:rsid w:val="003B00B6"/>
    <w:rsid w:val="003B01C4"/>
    <w:rsid w:val="003B0BB0"/>
    <w:rsid w:val="003B11EE"/>
    <w:rsid w:val="003B15F8"/>
    <w:rsid w:val="003B166F"/>
    <w:rsid w:val="003B1B60"/>
    <w:rsid w:val="003B1F99"/>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176"/>
    <w:rsid w:val="00435121"/>
    <w:rsid w:val="00435715"/>
    <w:rsid w:val="0043571B"/>
    <w:rsid w:val="00435EE0"/>
    <w:rsid w:val="00435F29"/>
    <w:rsid w:val="0043610C"/>
    <w:rsid w:val="004366FF"/>
    <w:rsid w:val="00436BF1"/>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586C"/>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49C"/>
    <w:rsid w:val="004D25D5"/>
    <w:rsid w:val="004D292A"/>
    <w:rsid w:val="004D3A57"/>
    <w:rsid w:val="004D47FF"/>
    <w:rsid w:val="004D4D35"/>
    <w:rsid w:val="004D4EA7"/>
    <w:rsid w:val="004D518F"/>
    <w:rsid w:val="004D54D7"/>
    <w:rsid w:val="004D5BB7"/>
    <w:rsid w:val="004D6053"/>
    <w:rsid w:val="004D6899"/>
    <w:rsid w:val="004D6FA4"/>
    <w:rsid w:val="004D71D6"/>
    <w:rsid w:val="004D7816"/>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2E1B"/>
    <w:rsid w:val="00503790"/>
    <w:rsid w:val="005038F3"/>
    <w:rsid w:val="00503F83"/>
    <w:rsid w:val="0050421C"/>
    <w:rsid w:val="005048FF"/>
    <w:rsid w:val="00504A9B"/>
    <w:rsid w:val="00504E9A"/>
    <w:rsid w:val="00504F83"/>
    <w:rsid w:val="005059B9"/>
    <w:rsid w:val="00505F64"/>
    <w:rsid w:val="0050635A"/>
    <w:rsid w:val="0050675E"/>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114"/>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93C"/>
    <w:rsid w:val="00536CBB"/>
    <w:rsid w:val="00536DDD"/>
    <w:rsid w:val="00537033"/>
    <w:rsid w:val="00540A37"/>
    <w:rsid w:val="00540B49"/>
    <w:rsid w:val="005415E2"/>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58A9"/>
    <w:rsid w:val="005858EE"/>
    <w:rsid w:val="00585B7D"/>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7CD"/>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3B7"/>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200"/>
    <w:rsid w:val="005F530F"/>
    <w:rsid w:val="005F5D2A"/>
    <w:rsid w:val="005F65D9"/>
    <w:rsid w:val="005F6768"/>
    <w:rsid w:val="005F69CF"/>
    <w:rsid w:val="005F6E39"/>
    <w:rsid w:val="005F6E58"/>
    <w:rsid w:val="005F7031"/>
    <w:rsid w:val="005F704C"/>
    <w:rsid w:val="005F72C3"/>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A07"/>
    <w:rsid w:val="00605C9F"/>
    <w:rsid w:val="006065C1"/>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16F"/>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0D09"/>
    <w:rsid w:val="00621646"/>
    <w:rsid w:val="00621803"/>
    <w:rsid w:val="00621A34"/>
    <w:rsid w:val="006220F1"/>
    <w:rsid w:val="0062306D"/>
    <w:rsid w:val="00623E46"/>
    <w:rsid w:val="00624604"/>
    <w:rsid w:val="00624D2C"/>
    <w:rsid w:val="00624F7F"/>
    <w:rsid w:val="00625142"/>
    <w:rsid w:val="00625145"/>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80E"/>
    <w:rsid w:val="00667CCB"/>
    <w:rsid w:val="00667EBD"/>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214"/>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6D1F"/>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289"/>
    <w:rsid w:val="006F352A"/>
    <w:rsid w:val="006F37F7"/>
    <w:rsid w:val="006F3909"/>
    <w:rsid w:val="006F3D1B"/>
    <w:rsid w:val="006F4036"/>
    <w:rsid w:val="006F428E"/>
    <w:rsid w:val="006F48E1"/>
    <w:rsid w:val="006F4FA0"/>
    <w:rsid w:val="006F5096"/>
    <w:rsid w:val="006F5160"/>
    <w:rsid w:val="006F5374"/>
    <w:rsid w:val="006F57D7"/>
    <w:rsid w:val="006F5C15"/>
    <w:rsid w:val="006F60DF"/>
    <w:rsid w:val="006F64DE"/>
    <w:rsid w:val="006F6766"/>
    <w:rsid w:val="006F67E2"/>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2FAE"/>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51"/>
    <w:rsid w:val="00720A9F"/>
    <w:rsid w:val="00721E9E"/>
    <w:rsid w:val="007223C4"/>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286"/>
    <w:rsid w:val="007373DB"/>
    <w:rsid w:val="00737847"/>
    <w:rsid w:val="00737F27"/>
    <w:rsid w:val="00737FD3"/>
    <w:rsid w:val="00740240"/>
    <w:rsid w:val="007407DB"/>
    <w:rsid w:val="0074096D"/>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4EE"/>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323"/>
    <w:rsid w:val="007627BA"/>
    <w:rsid w:val="0076291E"/>
    <w:rsid w:val="00762C76"/>
    <w:rsid w:val="00762D81"/>
    <w:rsid w:val="0076317B"/>
    <w:rsid w:val="007643D5"/>
    <w:rsid w:val="00765366"/>
    <w:rsid w:val="00765914"/>
    <w:rsid w:val="00765AC2"/>
    <w:rsid w:val="0076614D"/>
    <w:rsid w:val="0076624C"/>
    <w:rsid w:val="0076627D"/>
    <w:rsid w:val="00766304"/>
    <w:rsid w:val="00766648"/>
    <w:rsid w:val="00767A28"/>
    <w:rsid w:val="00767DCE"/>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B0F"/>
    <w:rsid w:val="00781EAD"/>
    <w:rsid w:val="00782071"/>
    <w:rsid w:val="00782783"/>
    <w:rsid w:val="00782946"/>
    <w:rsid w:val="00782ECD"/>
    <w:rsid w:val="00782F44"/>
    <w:rsid w:val="0078363B"/>
    <w:rsid w:val="00783CCF"/>
    <w:rsid w:val="00783F5B"/>
    <w:rsid w:val="00784609"/>
    <w:rsid w:val="00784720"/>
    <w:rsid w:val="0078481D"/>
    <w:rsid w:val="007848C8"/>
    <w:rsid w:val="00784BE8"/>
    <w:rsid w:val="007859FC"/>
    <w:rsid w:val="00785F1E"/>
    <w:rsid w:val="00785F4C"/>
    <w:rsid w:val="0078609C"/>
    <w:rsid w:val="00786355"/>
    <w:rsid w:val="00787370"/>
    <w:rsid w:val="007874AE"/>
    <w:rsid w:val="0078750B"/>
    <w:rsid w:val="00787F5E"/>
    <w:rsid w:val="0079024D"/>
    <w:rsid w:val="00791069"/>
    <w:rsid w:val="007911B8"/>
    <w:rsid w:val="00791D00"/>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850"/>
    <w:rsid w:val="007A2A69"/>
    <w:rsid w:val="007A2CF1"/>
    <w:rsid w:val="007A384E"/>
    <w:rsid w:val="007A4140"/>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89D"/>
    <w:rsid w:val="007C3A55"/>
    <w:rsid w:val="007C404B"/>
    <w:rsid w:val="007C4166"/>
    <w:rsid w:val="007C44E1"/>
    <w:rsid w:val="007C48DD"/>
    <w:rsid w:val="007C4A05"/>
    <w:rsid w:val="007C5711"/>
    <w:rsid w:val="007C57B9"/>
    <w:rsid w:val="007C6325"/>
    <w:rsid w:val="007C73A3"/>
    <w:rsid w:val="007C767E"/>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6E78"/>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095"/>
    <w:rsid w:val="007F137D"/>
    <w:rsid w:val="007F17B5"/>
    <w:rsid w:val="007F245F"/>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8E2"/>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FD8"/>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C04"/>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6A3"/>
    <w:rsid w:val="00883A67"/>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DCF"/>
    <w:rsid w:val="008B0E93"/>
    <w:rsid w:val="008B0F8D"/>
    <w:rsid w:val="008B198D"/>
    <w:rsid w:val="008B23A8"/>
    <w:rsid w:val="008B25AB"/>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219"/>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6AC"/>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4610"/>
    <w:rsid w:val="008F51F0"/>
    <w:rsid w:val="008F57CD"/>
    <w:rsid w:val="008F5960"/>
    <w:rsid w:val="008F5CD0"/>
    <w:rsid w:val="008F629A"/>
    <w:rsid w:val="008F6A9B"/>
    <w:rsid w:val="008F6F03"/>
    <w:rsid w:val="008F7603"/>
    <w:rsid w:val="008F769D"/>
    <w:rsid w:val="008F76B7"/>
    <w:rsid w:val="008F76DC"/>
    <w:rsid w:val="008F7AC5"/>
    <w:rsid w:val="008F7D2F"/>
    <w:rsid w:val="008F7E68"/>
    <w:rsid w:val="009013C5"/>
    <w:rsid w:val="0090147B"/>
    <w:rsid w:val="00901649"/>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174"/>
    <w:rsid w:val="0091428A"/>
    <w:rsid w:val="00914733"/>
    <w:rsid w:val="0091495E"/>
    <w:rsid w:val="00914AA5"/>
    <w:rsid w:val="00914EAF"/>
    <w:rsid w:val="00915428"/>
    <w:rsid w:val="009162DD"/>
    <w:rsid w:val="009163E7"/>
    <w:rsid w:val="0091670A"/>
    <w:rsid w:val="0091671A"/>
    <w:rsid w:val="009169F6"/>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049"/>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368F4"/>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262"/>
    <w:rsid w:val="009456E3"/>
    <w:rsid w:val="00945759"/>
    <w:rsid w:val="00945925"/>
    <w:rsid w:val="009466E9"/>
    <w:rsid w:val="00946CB3"/>
    <w:rsid w:val="00946D20"/>
    <w:rsid w:val="00946E51"/>
    <w:rsid w:val="009473F4"/>
    <w:rsid w:val="0094767D"/>
    <w:rsid w:val="00950231"/>
    <w:rsid w:val="00950794"/>
    <w:rsid w:val="009507AA"/>
    <w:rsid w:val="009509EF"/>
    <w:rsid w:val="009512DC"/>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2CD"/>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5208"/>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159"/>
    <w:rsid w:val="009972FC"/>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567"/>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30A"/>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8CA"/>
    <w:rsid w:val="00A02E29"/>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615"/>
    <w:rsid w:val="00A11AF3"/>
    <w:rsid w:val="00A12ACF"/>
    <w:rsid w:val="00A12B42"/>
    <w:rsid w:val="00A12BD4"/>
    <w:rsid w:val="00A12C09"/>
    <w:rsid w:val="00A13084"/>
    <w:rsid w:val="00A1327F"/>
    <w:rsid w:val="00A13817"/>
    <w:rsid w:val="00A138D3"/>
    <w:rsid w:val="00A13E0F"/>
    <w:rsid w:val="00A144B7"/>
    <w:rsid w:val="00A149B4"/>
    <w:rsid w:val="00A14F55"/>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2F63"/>
    <w:rsid w:val="00A23102"/>
    <w:rsid w:val="00A233D8"/>
    <w:rsid w:val="00A2343F"/>
    <w:rsid w:val="00A23505"/>
    <w:rsid w:val="00A2428B"/>
    <w:rsid w:val="00A247E5"/>
    <w:rsid w:val="00A248BD"/>
    <w:rsid w:val="00A24D81"/>
    <w:rsid w:val="00A24EA5"/>
    <w:rsid w:val="00A25173"/>
    <w:rsid w:val="00A252F0"/>
    <w:rsid w:val="00A2542D"/>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1F7E"/>
    <w:rsid w:val="00A31FE6"/>
    <w:rsid w:val="00A325BB"/>
    <w:rsid w:val="00A3297A"/>
    <w:rsid w:val="00A32A58"/>
    <w:rsid w:val="00A32EEC"/>
    <w:rsid w:val="00A33097"/>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A20"/>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1D"/>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4D3"/>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154"/>
    <w:rsid w:val="00AD793C"/>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593B"/>
    <w:rsid w:val="00AE60E4"/>
    <w:rsid w:val="00AE6872"/>
    <w:rsid w:val="00AE6C58"/>
    <w:rsid w:val="00AE72C4"/>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4E0B"/>
    <w:rsid w:val="00B56527"/>
    <w:rsid w:val="00B56706"/>
    <w:rsid w:val="00B57019"/>
    <w:rsid w:val="00B576DA"/>
    <w:rsid w:val="00B57710"/>
    <w:rsid w:val="00B601C9"/>
    <w:rsid w:val="00B60D04"/>
    <w:rsid w:val="00B6158F"/>
    <w:rsid w:val="00B61EE8"/>
    <w:rsid w:val="00B633A3"/>
    <w:rsid w:val="00B63533"/>
    <w:rsid w:val="00B63BDB"/>
    <w:rsid w:val="00B640D9"/>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51CD"/>
    <w:rsid w:val="00B760FD"/>
    <w:rsid w:val="00B76185"/>
    <w:rsid w:val="00B76BCD"/>
    <w:rsid w:val="00B779E6"/>
    <w:rsid w:val="00B804E2"/>
    <w:rsid w:val="00B811B2"/>
    <w:rsid w:val="00B81BA3"/>
    <w:rsid w:val="00B82213"/>
    <w:rsid w:val="00B8276E"/>
    <w:rsid w:val="00B827A7"/>
    <w:rsid w:val="00B82912"/>
    <w:rsid w:val="00B839A9"/>
    <w:rsid w:val="00B83A62"/>
    <w:rsid w:val="00B83B59"/>
    <w:rsid w:val="00B84252"/>
    <w:rsid w:val="00B8468F"/>
    <w:rsid w:val="00B849F1"/>
    <w:rsid w:val="00B84FC6"/>
    <w:rsid w:val="00B857F5"/>
    <w:rsid w:val="00B86D6C"/>
    <w:rsid w:val="00B86EB5"/>
    <w:rsid w:val="00B86F47"/>
    <w:rsid w:val="00B874B4"/>
    <w:rsid w:val="00B87502"/>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77A"/>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4927"/>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3D1E"/>
    <w:rsid w:val="00BE4875"/>
    <w:rsid w:val="00BE4CCF"/>
    <w:rsid w:val="00BE5964"/>
    <w:rsid w:val="00BE5CD3"/>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3CDF"/>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D98"/>
    <w:rsid w:val="00C12F88"/>
    <w:rsid w:val="00C131A8"/>
    <w:rsid w:val="00C1322D"/>
    <w:rsid w:val="00C135A3"/>
    <w:rsid w:val="00C1477A"/>
    <w:rsid w:val="00C14A62"/>
    <w:rsid w:val="00C158EB"/>
    <w:rsid w:val="00C159B1"/>
    <w:rsid w:val="00C15D51"/>
    <w:rsid w:val="00C161F5"/>
    <w:rsid w:val="00C16C92"/>
    <w:rsid w:val="00C16ED6"/>
    <w:rsid w:val="00C1706B"/>
    <w:rsid w:val="00C179BC"/>
    <w:rsid w:val="00C17DB7"/>
    <w:rsid w:val="00C17E48"/>
    <w:rsid w:val="00C17E57"/>
    <w:rsid w:val="00C17F0B"/>
    <w:rsid w:val="00C201E7"/>
    <w:rsid w:val="00C20506"/>
    <w:rsid w:val="00C208C5"/>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5A5C"/>
    <w:rsid w:val="00C4655A"/>
    <w:rsid w:val="00C466BF"/>
    <w:rsid w:val="00C47282"/>
    <w:rsid w:val="00C47385"/>
    <w:rsid w:val="00C47555"/>
    <w:rsid w:val="00C476AC"/>
    <w:rsid w:val="00C47E67"/>
    <w:rsid w:val="00C47FD9"/>
    <w:rsid w:val="00C50C1A"/>
    <w:rsid w:val="00C50E1E"/>
    <w:rsid w:val="00C51132"/>
    <w:rsid w:val="00C511A7"/>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376"/>
    <w:rsid w:val="00C62B32"/>
    <w:rsid w:val="00C62D08"/>
    <w:rsid w:val="00C63DED"/>
    <w:rsid w:val="00C63E88"/>
    <w:rsid w:val="00C6436D"/>
    <w:rsid w:val="00C64F97"/>
    <w:rsid w:val="00C65585"/>
    <w:rsid w:val="00C656EB"/>
    <w:rsid w:val="00C65DF4"/>
    <w:rsid w:val="00C667F0"/>
    <w:rsid w:val="00C66AC8"/>
    <w:rsid w:val="00C67B49"/>
    <w:rsid w:val="00C711F5"/>
    <w:rsid w:val="00C713A1"/>
    <w:rsid w:val="00C714A0"/>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4CBF"/>
    <w:rsid w:val="00C8512A"/>
    <w:rsid w:val="00C85378"/>
    <w:rsid w:val="00C85970"/>
    <w:rsid w:val="00C85E9B"/>
    <w:rsid w:val="00C874C8"/>
    <w:rsid w:val="00C90165"/>
    <w:rsid w:val="00C902DA"/>
    <w:rsid w:val="00C90733"/>
    <w:rsid w:val="00C921C4"/>
    <w:rsid w:val="00C9235F"/>
    <w:rsid w:val="00C9257F"/>
    <w:rsid w:val="00C9302E"/>
    <w:rsid w:val="00C9319C"/>
    <w:rsid w:val="00C9330C"/>
    <w:rsid w:val="00C9341E"/>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97F78"/>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B8"/>
    <w:rsid w:val="00CA70D0"/>
    <w:rsid w:val="00CA74A4"/>
    <w:rsid w:val="00CA7683"/>
    <w:rsid w:val="00CA77AE"/>
    <w:rsid w:val="00CA7EA1"/>
    <w:rsid w:val="00CA7EEA"/>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BC4"/>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0FCA"/>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6AD"/>
    <w:rsid w:val="00D13A90"/>
    <w:rsid w:val="00D140E6"/>
    <w:rsid w:val="00D14C7E"/>
    <w:rsid w:val="00D158EF"/>
    <w:rsid w:val="00D15C14"/>
    <w:rsid w:val="00D15E74"/>
    <w:rsid w:val="00D15FAA"/>
    <w:rsid w:val="00D16ECB"/>
    <w:rsid w:val="00D16EEE"/>
    <w:rsid w:val="00D17167"/>
    <w:rsid w:val="00D17BA5"/>
    <w:rsid w:val="00D17D56"/>
    <w:rsid w:val="00D2058D"/>
    <w:rsid w:val="00D208E9"/>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3998"/>
    <w:rsid w:val="00D342BA"/>
    <w:rsid w:val="00D34BD1"/>
    <w:rsid w:val="00D35177"/>
    <w:rsid w:val="00D356E1"/>
    <w:rsid w:val="00D40609"/>
    <w:rsid w:val="00D40983"/>
    <w:rsid w:val="00D409ED"/>
    <w:rsid w:val="00D40B3B"/>
    <w:rsid w:val="00D41188"/>
    <w:rsid w:val="00D417D3"/>
    <w:rsid w:val="00D418D5"/>
    <w:rsid w:val="00D41DB1"/>
    <w:rsid w:val="00D42147"/>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EBA"/>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5E0"/>
    <w:rsid w:val="00D5774F"/>
    <w:rsid w:val="00D60809"/>
    <w:rsid w:val="00D60D7F"/>
    <w:rsid w:val="00D61066"/>
    <w:rsid w:val="00D61C1A"/>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19F"/>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220"/>
    <w:rsid w:val="00E22B5A"/>
    <w:rsid w:val="00E22B68"/>
    <w:rsid w:val="00E231C9"/>
    <w:rsid w:val="00E23EBF"/>
    <w:rsid w:val="00E23F56"/>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7F8"/>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C40"/>
    <w:rsid w:val="00E56D4A"/>
    <w:rsid w:val="00E57119"/>
    <w:rsid w:val="00E5719E"/>
    <w:rsid w:val="00E57D7B"/>
    <w:rsid w:val="00E57EF3"/>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BDD"/>
    <w:rsid w:val="00E806D3"/>
    <w:rsid w:val="00E8104D"/>
    <w:rsid w:val="00E81C34"/>
    <w:rsid w:val="00E81D83"/>
    <w:rsid w:val="00E821BB"/>
    <w:rsid w:val="00E822E9"/>
    <w:rsid w:val="00E826FE"/>
    <w:rsid w:val="00E8275E"/>
    <w:rsid w:val="00E827AF"/>
    <w:rsid w:val="00E82DE9"/>
    <w:rsid w:val="00E8323F"/>
    <w:rsid w:val="00E83253"/>
    <w:rsid w:val="00E83714"/>
    <w:rsid w:val="00E83831"/>
    <w:rsid w:val="00E844AB"/>
    <w:rsid w:val="00E8463C"/>
    <w:rsid w:val="00E84C97"/>
    <w:rsid w:val="00E85005"/>
    <w:rsid w:val="00E85296"/>
    <w:rsid w:val="00E8533B"/>
    <w:rsid w:val="00E85E4E"/>
    <w:rsid w:val="00E86327"/>
    <w:rsid w:val="00E86DF0"/>
    <w:rsid w:val="00E871B7"/>
    <w:rsid w:val="00E87BD2"/>
    <w:rsid w:val="00E87CDC"/>
    <w:rsid w:val="00E908FD"/>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AED"/>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5E"/>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A3B"/>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2E83"/>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B23"/>
    <w:rsid w:val="00EC7C26"/>
    <w:rsid w:val="00ED04FE"/>
    <w:rsid w:val="00ED0DD0"/>
    <w:rsid w:val="00ED1122"/>
    <w:rsid w:val="00ED1989"/>
    <w:rsid w:val="00ED28F2"/>
    <w:rsid w:val="00ED2F3E"/>
    <w:rsid w:val="00ED3145"/>
    <w:rsid w:val="00ED3309"/>
    <w:rsid w:val="00ED356E"/>
    <w:rsid w:val="00ED35E1"/>
    <w:rsid w:val="00ED3792"/>
    <w:rsid w:val="00ED3BDA"/>
    <w:rsid w:val="00ED46ED"/>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3EA"/>
    <w:rsid w:val="00EE0786"/>
    <w:rsid w:val="00EE1B0E"/>
    <w:rsid w:val="00EE21D5"/>
    <w:rsid w:val="00EE22FB"/>
    <w:rsid w:val="00EE2407"/>
    <w:rsid w:val="00EE26AE"/>
    <w:rsid w:val="00EE29C8"/>
    <w:rsid w:val="00EE2A54"/>
    <w:rsid w:val="00EE2FC2"/>
    <w:rsid w:val="00EE3B6B"/>
    <w:rsid w:val="00EE3B88"/>
    <w:rsid w:val="00EE4B75"/>
    <w:rsid w:val="00EE4D34"/>
    <w:rsid w:val="00EE4DBD"/>
    <w:rsid w:val="00EE605C"/>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8BF"/>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18D6"/>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5DA8"/>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0B47"/>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45473"/>
    <w:rsid w:val="01170BF2"/>
    <w:rsid w:val="01207171"/>
    <w:rsid w:val="01422176"/>
    <w:rsid w:val="0143581A"/>
    <w:rsid w:val="015502C6"/>
    <w:rsid w:val="015B703A"/>
    <w:rsid w:val="01AA2C10"/>
    <w:rsid w:val="01E3527C"/>
    <w:rsid w:val="01EF3980"/>
    <w:rsid w:val="021B6523"/>
    <w:rsid w:val="02423BC5"/>
    <w:rsid w:val="024E4B4B"/>
    <w:rsid w:val="02500776"/>
    <w:rsid w:val="02555813"/>
    <w:rsid w:val="025657AD"/>
    <w:rsid w:val="02CF1221"/>
    <w:rsid w:val="02DB0B53"/>
    <w:rsid w:val="02DC20C4"/>
    <w:rsid w:val="02DC29D3"/>
    <w:rsid w:val="02E30EB0"/>
    <w:rsid w:val="02EA04F8"/>
    <w:rsid w:val="02F254D6"/>
    <w:rsid w:val="03123DCA"/>
    <w:rsid w:val="031B650C"/>
    <w:rsid w:val="033643D3"/>
    <w:rsid w:val="03457CFC"/>
    <w:rsid w:val="034C6030"/>
    <w:rsid w:val="03595555"/>
    <w:rsid w:val="03667C72"/>
    <w:rsid w:val="037738D8"/>
    <w:rsid w:val="037A0B0F"/>
    <w:rsid w:val="03885BCE"/>
    <w:rsid w:val="0392072B"/>
    <w:rsid w:val="03A013D6"/>
    <w:rsid w:val="03AF33C7"/>
    <w:rsid w:val="03E94977"/>
    <w:rsid w:val="03FF60FC"/>
    <w:rsid w:val="04272850"/>
    <w:rsid w:val="0442423B"/>
    <w:rsid w:val="044E2BE0"/>
    <w:rsid w:val="044F4634"/>
    <w:rsid w:val="04765325"/>
    <w:rsid w:val="048D195A"/>
    <w:rsid w:val="04C25910"/>
    <w:rsid w:val="050D2A9B"/>
    <w:rsid w:val="05414E92"/>
    <w:rsid w:val="05790131"/>
    <w:rsid w:val="05791A60"/>
    <w:rsid w:val="05854B8E"/>
    <w:rsid w:val="059D3E1F"/>
    <w:rsid w:val="05A312E2"/>
    <w:rsid w:val="05A514AC"/>
    <w:rsid w:val="05A6010F"/>
    <w:rsid w:val="05E11832"/>
    <w:rsid w:val="05E7762B"/>
    <w:rsid w:val="06265907"/>
    <w:rsid w:val="062E4A77"/>
    <w:rsid w:val="067835DA"/>
    <w:rsid w:val="068955F4"/>
    <w:rsid w:val="06DC0977"/>
    <w:rsid w:val="070D0B30"/>
    <w:rsid w:val="071E3C0C"/>
    <w:rsid w:val="073D468D"/>
    <w:rsid w:val="075F0692"/>
    <w:rsid w:val="077A65DF"/>
    <w:rsid w:val="07BB7871"/>
    <w:rsid w:val="07DB054A"/>
    <w:rsid w:val="07F97408"/>
    <w:rsid w:val="080D4B60"/>
    <w:rsid w:val="082F2519"/>
    <w:rsid w:val="083D2AF4"/>
    <w:rsid w:val="08585DDB"/>
    <w:rsid w:val="08650F92"/>
    <w:rsid w:val="086D5141"/>
    <w:rsid w:val="0873752E"/>
    <w:rsid w:val="088C017B"/>
    <w:rsid w:val="089303A1"/>
    <w:rsid w:val="089808CE"/>
    <w:rsid w:val="08D4415D"/>
    <w:rsid w:val="08F53B23"/>
    <w:rsid w:val="092060A3"/>
    <w:rsid w:val="092F3D18"/>
    <w:rsid w:val="093738EA"/>
    <w:rsid w:val="09756D49"/>
    <w:rsid w:val="097826CE"/>
    <w:rsid w:val="098D72CE"/>
    <w:rsid w:val="099F4CD6"/>
    <w:rsid w:val="09A6526C"/>
    <w:rsid w:val="09E60F96"/>
    <w:rsid w:val="09EB2C7F"/>
    <w:rsid w:val="09F2225F"/>
    <w:rsid w:val="0A053C89"/>
    <w:rsid w:val="0A070656"/>
    <w:rsid w:val="0A147C03"/>
    <w:rsid w:val="0A1E592A"/>
    <w:rsid w:val="0A267F19"/>
    <w:rsid w:val="0A6D18E6"/>
    <w:rsid w:val="0A913ED8"/>
    <w:rsid w:val="0AA60261"/>
    <w:rsid w:val="0ABB6AF5"/>
    <w:rsid w:val="0ABD286D"/>
    <w:rsid w:val="0ABF0394"/>
    <w:rsid w:val="0AE61DC4"/>
    <w:rsid w:val="0AFB3396"/>
    <w:rsid w:val="0B154457"/>
    <w:rsid w:val="0B24171E"/>
    <w:rsid w:val="0B4E5BBB"/>
    <w:rsid w:val="0B5C3243"/>
    <w:rsid w:val="0B5E59FA"/>
    <w:rsid w:val="0B602F7F"/>
    <w:rsid w:val="0B6115E9"/>
    <w:rsid w:val="0B6902FF"/>
    <w:rsid w:val="0B7242FE"/>
    <w:rsid w:val="0B7A7000"/>
    <w:rsid w:val="0B970D88"/>
    <w:rsid w:val="0B9A7040"/>
    <w:rsid w:val="0BA120A0"/>
    <w:rsid w:val="0BAD59A4"/>
    <w:rsid w:val="0BB329F1"/>
    <w:rsid w:val="0BCC11C3"/>
    <w:rsid w:val="0BDE0106"/>
    <w:rsid w:val="0BEF6A57"/>
    <w:rsid w:val="0BEF6BE8"/>
    <w:rsid w:val="0C357211"/>
    <w:rsid w:val="0C376758"/>
    <w:rsid w:val="0C466B45"/>
    <w:rsid w:val="0C467A13"/>
    <w:rsid w:val="0C762CD4"/>
    <w:rsid w:val="0C963376"/>
    <w:rsid w:val="0CD10852"/>
    <w:rsid w:val="0CEC12AF"/>
    <w:rsid w:val="0D1F6B15"/>
    <w:rsid w:val="0D584403"/>
    <w:rsid w:val="0D6B3669"/>
    <w:rsid w:val="0D837D9E"/>
    <w:rsid w:val="0D886C01"/>
    <w:rsid w:val="0D9217FF"/>
    <w:rsid w:val="0DA57703"/>
    <w:rsid w:val="0DC24FC9"/>
    <w:rsid w:val="0DC61A39"/>
    <w:rsid w:val="0DEE7765"/>
    <w:rsid w:val="0DF62D23"/>
    <w:rsid w:val="0E0B11FA"/>
    <w:rsid w:val="0E1B3F19"/>
    <w:rsid w:val="0E2A1FC8"/>
    <w:rsid w:val="0E527771"/>
    <w:rsid w:val="0E700754"/>
    <w:rsid w:val="0EB0180F"/>
    <w:rsid w:val="0EBF032A"/>
    <w:rsid w:val="0EDE3842"/>
    <w:rsid w:val="0F0335C9"/>
    <w:rsid w:val="0F204221"/>
    <w:rsid w:val="0F213035"/>
    <w:rsid w:val="0F2B5D1F"/>
    <w:rsid w:val="0F3B3D47"/>
    <w:rsid w:val="0F6C5FE1"/>
    <w:rsid w:val="0F7D081D"/>
    <w:rsid w:val="0F803E6A"/>
    <w:rsid w:val="0F8E37C8"/>
    <w:rsid w:val="0F9A13CF"/>
    <w:rsid w:val="0FD3043D"/>
    <w:rsid w:val="0FE97C61"/>
    <w:rsid w:val="10086339"/>
    <w:rsid w:val="101C0A97"/>
    <w:rsid w:val="101F38C3"/>
    <w:rsid w:val="102313C5"/>
    <w:rsid w:val="104D01F0"/>
    <w:rsid w:val="105C6685"/>
    <w:rsid w:val="10AF4A06"/>
    <w:rsid w:val="10B822C3"/>
    <w:rsid w:val="10F67974"/>
    <w:rsid w:val="110C4121"/>
    <w:rsid w:val="11357601"/>
    <w:rsid w:val="117B2B3A"/>
    <w:rsid w:val="11A110D7"/>
    <w:rsid w:val="11D434DA"/>
    <w:rsid w:val="12312651"/>
    <w:rsid w:val="12685FCD"/>
    <w:rsid w:val="12715AC8"/>
    <w:rsid w:val="1279351E"/>
    <w:rsid w:val="1280574C"/>
    <w:rsid w:val="12AA7B7B"/>
    <w:rsid w:val="12D62275"/>
    <w:rsid w:val="12E87CB4"/>
    <w:rsid w:val="12F26454"/>
    <w:rsid w:val="13427DB4"/>
    <w:rsid w:val="134753CA"/>
    <w:rsid w:val="13A16CBF"/>
    <w:rsid w:val="13AA5959"/>
    <w:rsid w:val="13B751E9"/>
    <w:rsid w:val="13BB6B20"/>
    <w:rsid w:val="13D80DE3"/>
    <w:rsid w:val="13E44C8F"/>
    <w:rsid w:val="13EF0479"/>
    <w:rsid w:val="141F66D1"/>
    <w:rsid w:val="146F2C7A"/>
    <w:rsid w:val="14751CD5"/>
    <w:rsid w:val="149E4992"/>
    <w:rsid w:val="14C11485"/>
    <w:rsid w:val="14F00A0F"/>
    <w:rsid w:val="14FE7D0A"/>
    <w:rsid w:val="15080B89"/>
    <w:rsid w:val="150F0169"/>
    <w:rsid w:val="151A0B57"/>
    <w:rsid w:val="1528122B"/>
    <w:rsid w:val="15485AA9"/>
    <w:rsid w:val="154F1265"/>
    <w:rsid w:val="155618F4"/>
    <w:rsid w:val="158A3C94"/>
    <w:rsid w:val="158C2D9C"/>
    <w:rsid w:val="15A13C8F"/>
    <w:rsid w:val="15D05B4B"/>
    <w:rsid w:val="15D268AA"/>
    <w:rsid w:val="15E74C42"/>
    <w:rsid w:val="16101D7E"/>
    <w:rsid w:val="161248DA"/>
    <w:rsid w:val="1638724C"/>
    <w:rsid w:val="165B0ABE"/>
    <w:rsid w:val="16690834"/>
    <w:rsid w:val="166D18B3"/>
    <w:rsid w:val="167069E6"/>
    <w:rsid w:val="16A7201F"/>
    <w:rsid w:val="16BE1E47"/>
    <w:rsid w:val="170E5D26"/>
    <w:rsid w:val="17451C21"/>
    <w:rsid w:val="1757398F"/>
    <w:rsid w:val="17606E66"/>
    <w:rsid w:val="17626C76"/>
    <w:rsid w:val="17694B12"/>
    <w:rsid w:val="178633B3"/>
    <w:rsid w:val="17885FB1"/>
    <w:rsid w:val="178A7F7B"/>
    <w:rsid w:val="178B2C19"/>
    <w:rsid w:val="179606CE"/>
    <w:rsid w:val="17A27073"/>
    <w:rsid w:val="17AF353E"/>
    <w:rsid w:val="17BD5C5B"/>
    <w:rsid w:val="17BE59A2"/>
    <w:rsid w:val="17EB24DE"/>
    <w:rsid w:val="17EB6C6C"/>
    <w:rsid w:val="17EC61EC"/>
    <w:rsid w:val="17ED2C6B"/>
    <w:rsid w:val="18001DBA"/>
    <w:rsid w:val="18185849"/>
    <w:rsid w:val="18271890"/>
    <w:rsid w:val="184A42DA"/>
    <w:rsid w:val="187F1162"/>
    <w:rsid w:val="18814EDA"/>
    <w:rsid w:val="188F58CF"/>
    <w:rsid w:val="18950986"/>
    <w:rsid w:val="18C876D8"/>
    <w:rsid w:val="18E611E1"/>
    <w:rsid w:val="18ED735A"/>
    <w:rsid w:val="192166BD"/>
    <w:rsid w:val="193463F1"/>
    <w:rsid w:val="19393A07"/>
    <w:rsid w:val="194B4755"/>
    <w:rsid w:val="19A5109C"/>
    <w:rsid w:val="19C3097F"/>
    <w:rsid w:val="19D674A8"/>
    <w:rsid w:val="19E46D6E"/>
    <w:rsid w:val="1A031D3C"/>
    <w:rsid w:val="1A061349"/>
    <w:rsid w:val="1A073245"/>
    <w:rsid w:val="1A174234"/>
    <w:rsid w:val="1A442DE9"/>
    <w:rsid w:val="1A56143D"/>
    <w:rsid w:val="1A7A42D7"/>
    <w:rsid w:val="1AA616FE"/>
    <w:rsid w:val="1AAA24BD"/>
    <w:rsid w:val="1AC35C98"/>
    <w:rsid w:val="1ACA018D"/>
    <w:rsid w:val="1AD25EC1"/>
    <w:rsid w:val="1AFB2E83"/>
    <w:rsid w:val="1AFF658A"/>
    <w:rsid w:val="1B101769"/>
    <w:rsid w:val="1B1738D4"/>
    <w:rsid w:val="1B25482F"/>
    <w:rsid w:val="1B372632"/>
    <w:rsid w:val="1B3C0EE4"/>
    <w:rsid w:val="1B854CE1"/>
    <w:rsid w:val="1B953983"/>
    <w:rsid w:val="1BAF3A7B"/>
    <w:rsid w:val="1BC305D3"/>
    <w:rsid w:val="1BE06796"/>
    <w:rsid w:val="1BEA548C"/>
    <w:rsid w:val="1BF44E78"/>
    <w:rsid w:val="1BF47D8F"/>
    <w:rsid w:val="1C086F4F"/>
    <w:rsid w:val="1C24274C"/>
    <w:rsid w:val="1C2A7F82"/>
    <w:rsid w:val="1C5841A4"/>
    <w:rsid w:val="1C646FED"/>
    <w:rsid w:val="1C7E43A1"/>
    <w:rsid w:val="1C96375A"/>
    <w:rsid w:val="1CD55680"/>
    <w:rsid w:val="1D321E13"/>
    <w:rsid w:val="1D392252"/>
    <w:rsid w:val="1D772D50"/>
    <w:rsid w:val="1D81772B"/>
    <w:rsid w:val="1D8334A3"/>
    <w:rsid w:val="1DA344B8"/>
    <w:rsid w:val="1DAC50F0"/>
    <w:rsid w:val="1DB0683B"/>
    <w:rsid w:val="1DBC044E"/>
    <w:rsid w:val="1DE702CC"/>
    <w:rsid w:val="1E064B3B"/>
    <w:rsid w:val="1E1B011F"/>
    <w:rsid w:val="1E5F3164"/>
    <w:rsid w:val="1E62755C"/>
    <w:rsid w:val="1E88623C"/>
    <w:rsid w:val="1ED15378"/>
    <w:rsid w:val="1F2D4C2A"/>
    <w:rsid w:val="1F37200A"/>
    <w:rsid w:val="1F3C7DAD"/>
    <w:rsid w:val="1F4849CA"/>
    <w:rsid w:val="1F4934E4"/>
    <w:rsid w:val="1F4D3D68"/>
    <w:rsid w:val="1F574B03"/>
    <w:rsid w:val="1F751511"/>
    <w:rsid w:val="1F843F90"/>
    <w:rsid w:val="1F871C7C"/>
    <w:rsid w:val="1F873477"/>
    <w:rsid w:val="1F900A1F"/>
    <w:rsid w:val="1F9D6372"/>
    <w:rsid w:val="1FAD2191"/>
    <w:rsid w:val="1FE741BD"/>
    <w:rsid w:val="1FEC4E88"/>
    <w:rsid w:val="200456B9"/>
    <w:rsid w:val="200B5EB9"/>
    <w:rsid w:val="202A7DFC"/>
    <w:rsid w:val="204A474C"/>
    <w:rsid w:val="2059788E"/>
    <w:rsid w:val="20870D70"/>
    <w:rsid w:val="20AF45AF"/>
    <w:rsid w:val="20B00655"/>
    <w:rsid w:val="20C0517F"/>
    <w:rsid w:val="20C1476D"/>
    <w:rsid w:val="20D858B3"/>
    <w:rsid w:val="210659F0"/>
    <w:rsid w:val="2133798D"/>
    <w:rsid w:val="213D39FA"/>
    <w:rsid w:val="21455F84"/>
    <w:rsid w:val="21495609"/>
    <w:rsid w:val="216D6944"/>
    <w:rsid w:val="218A699A"/>
    <w:rsid w:val="219C2D85"/>
    <w:rsid w:val="21A07893"/>
    <w:rsid w:val="21B11354"/>
    <w:rsid w:val="21B5797F"/>
    <w:rsid w:val="21ED4154"/>
    <w:rsid w:val="220D1A93"/>
    <w:rsid w:val="22117056"/>
    <w:rsid w:val="22370D00"/>
    <w:rsid w:val="224551CB"/>
    <w:rsid w:val="227C4964"/>
    <w:rsid w:val="22A5210D"/>
    <w:rsid w:val="22E04EF3"/>
    <w:rsid w:val="22FF7A6F"/>
    <w:rsid w:val="2305307D"/>
    <w:rsid w:val="230C7A96"/>
    <w:rsid w:val="23177672"/>
    <w:rsid w:val="234A2BA6"/>
    <w:rsid w:val="23604F8C"/>
    <w:rsid w:val="23674086"/>
    <w:rsid w:val="2389558B"/>
    <w:rsid w:val="238A3DF9"/>
    <w:rsid w:val="23B35063"/>
    <w:rsid w:val="23D60969"/>
    <w:rsid w:val="23D83D9F"/>
    <w:rsid w:val="23D84719"/>
    <w:rsid w:val="23DF164F"/>
    <w:rsid w:val="24062738"/>
    <w:rsid w:val="243366B7"/>
    <w:rsid w:val="24417C14"/>
    <w:rsid w:val="246833F2"/>
    <w:rsid w:val="24977600"/>
    <w:rsid w:val="24A10C41"/>
    <w:rsid w:val="24B831E2"/>
    <w:rsid w:val="24BB5C18"/>
    <w:rsid w:val="24C148B0"/>
    <w:rsid w:val="250B120F"/>
    <w:rsid w:val="252437BD"/>
    <w:rsid w:val="25257535"/>
    <w:rsid w:val="252C7220"/>
    <w:rsid w:val="252D7B27"/>
    <w:rsid w:val="255D282B"/>
    <w:rsid w:val="255E0351"/>
    <w:rsid w:val="25855239"/>
    <w:rsid w:val="25996B41"/>
    <w:rsid w:val="25A12635"/>
    <w:rsid w:val="25A8248F"/>
    <w:rsid w:val="25BC1C48"/>
    <w:rsid w:val="25BD6D2B"/>
    <w:rsid w:val="25DD3A49"/>
    <w:rsid w:val="25EB6089"/>
    <w:rsid w:val="25F44C8B"/>
    <w:rsid w:val="26030FFB"/>
    <w:rsid w:val="261E645E"/>
    <w:rsid w:val="262E235B"/>
    <w:rsid w:val="2637307C"/>
    <w:rsid w:val="263A491A"/>
    <w:rsid w:val="26573BCF"/>
    <w:rsid w:val="26693A33"/>
    <w:rsid w:val="26972907"/>
    <w:rsid w:val="26A50560"/>
    <w:rsid w:val="26A74843"/>
    <w:rsid w:val="26E975DE"/>
    <w:rsid w:val="26F5471B"/>
    <w:rsid w:val="270A69E3"/>
    <w:rsid w:val="270C3E08"/>
    <w:rsid w:val="270F55EE"/>
    <w:rsid w:val="271413C9"/>
    <w:rsid w:val="272F1A96"/>
    <w:rsid w:val="276428BB"/>
    <w:rsid w:val="27BE5BBA"/>
    <w:rsid w:val="27F52753"/>
    <w:rsid w:val="283B4A62"/>
    <w:rsid w:val="289A0DF9"/>
    <w:rsid w:val="28AE2D85"/>
    <w:rsid w:val="28F31788"/>
    <w:rsid w:val="292304C4"/>
    <w:rsid w:val="293146FB"/>
    <w:rsid w:val="294319DA"/>
    <w:rsid w:val="29475CCC"/>
    <w:rsid w:val="2961371B"/>
    <w:rsid w:val="29622B06"/>
    <w:rsid w:val="296F27E6"/>
    <w:rsid w:val="297B0CF7"/>
    <w:rsid w:val="298B3D07"/>
    <w:rsid w:val="299A2D2E"/>
    <w:rsid w:val="29BF3AB4"/>
    <w:rsid w:val="29C14FD0"/>
    <w:rsid w:val="29CE18C8"/>
    <w:rsid w:val="29E3367D"/>
    <w:rsid w:val="2A2313DA"/>
    <w:rsid w:val="2A44625D"/>
    <w:rsid w:val="2A4A348B"/>
    <w:rsid w:val="2A68171A"/>
    <w:rsid w:val="2A8E4195"/>
    <w:rsid w:val="2AA15DF8"/>
    <w:rsid w:val="2AB8479E"/>
    <w:rsid w:val="2AC15198"/>
    <w:rsid w:val="2ADA274F"/>
    <w:rsid w:val="2AE5579D"/>
    <w:rsid w:val="2AF61A56"/>
    <w:rsid w:val="2B3F63F6"/>
    <w:rsid w:val="2B406E77"/>
    <w:rsid w:val="2B421FE8"/>
    <w:rsid w:val="2B5E72FD"/>
    <w:rsid w:val="2B822DA1"/>
    <w:rsid w:val="2BA07916"/>
    <w:rsid w:val="2BA94A1C"/>
    <w:rsid w:val="2BD5034F"/>
    <w:rsid w:val="2BD559B4"/>
    <w:rsid w:val="2BE81CF0"/>
    <w:rsid w:val="2C136339"/>
    <w:rsid w:val="2C15751B"/>
    <w:rsid w:val="2C732BFC"/>
    <w:rsid w:val="2C874CEF"/>
    <w:rsid w:val="2C9A6113"/>
    <w:rsid w:val="2CD42048"/>
    <w:rsid w:val="2CFA4778"/>
    <w:rsid w:val="2D157E8F"/>
    <w:rsid w:val="2D3C71CA"/>
    <w:rsid w:val="2D785E31"/>
    <w:rsid w:val="2DB33930"/>
    <w:rsid w:val="2DB71F51"/>
    <w:rsid w:val="2DFB3102"/>
    <w:rsid w:val="2E0F2B31"/>
    <w:rsid w:val="2E110657"/>
    <w:rsid w:val="2E163EBF"/>
    <w:rsid w:val="2E3A36BC"/>
    <w:rsid w:val="2E5B5D38"/>
    <w:rsid w:val="2E764C99"/>
    <w:rsid w:val="2E772BB0"/>
    <w:rsid w:val="2E8D23D3"/>
    <w:rsid w:val="2EA133AF"/>
    <w:rsid w:val="2EA27501"/>
    <w:rsid w:val="2EBA2A9C"/>
    <w:rsid w:val="2EDD2DD9"/>
    <w:rsid w:val="2F24275C"/>
    <w:rsid w:val="2F361F43"/>
    <w:rsid w:val="2F37233F"/>
    <w:rsid w:val="2F3945C8"/>
    <w:rsid w:val="2F395375"/>
    <w:rsid w:val="2F416D1A"/>
    <w:rsid w:val="2F431E4F"/>
    <w:rsid w:val="2F541BD8"/>
    <w:rsid w:val="2F72275C"/>
    <w:rsid w:val="2F723467"/>
    <w:rsid w:val="2F8310E0"/>
    <w:rsid w:val="2F922149"/>
    <w:rsid w:val="2FA72ADC"/>
    <w:rsid w:val="2FBB4D1E"/>
    <w:rsid w:val="2FDC4B3D"/>
    <w:rsid w:val="2FE808CB"/>
    <w:rsid w:val="2FF3245E"/>
    <w:rsid w:val="304409AC"/>
    <w:rsid w:val="305F7D9F"/>
    <w:rsid w:val="306835D0"/>
    <w:rsid w:val="306C6018"/>
    <w:rsid w:val="30B771C8"/>
    <w:rsid w:val="30BA6662"/>
    <w:rsid w:val="30C639C5"/>
    <w:rsid w:val="30E91417"/>
    <w:rsid w:val="30EA3353"/>
    <w:rsid w:val="30F027A5"/>
    <w:rsid w:val="310413CD"/>
    <w:rsid w:val="311704CD"/>
    <w:rsid w:val="313C3C3D"/>
    <w:rsid w:val="31522AEA"/>
    <w:rsid w:val="31644BD5"/>
    <w:rsid w:val="317822E6"/>
    <w:rsid w:val="318737BD"/>
    <w:rsid w:val="318B24CE"/>
    <w:rsid w:val="31A734F5"/>
    <w:rsid w:val="31CF2FA1"/>
    <w:rsid w:val="31E63BA8"/>
    <w:rsid w:val="31F6664E"/>
    <w:rsid w:val="31FB58A6"/>
    <w:rsid w:val="32153FA4"/>
    <w:rsid w:val="321F6D79"/>
    <w:rsid w:val="322F45A1"/>
    <w:rsid w:val="32364B30"/>
    <w:rsid w:val="32470AEB"/>
    <w:rsid w:val="3264232E"/>
    <w:rsid w:val="32713DBA"/>
    <w:rsid w:val="32807168"/>
    <w:rsid w:val="328D33FB"/>
    <w:rsid w:val="32A0292F"/>
    <w:rsid w:val="32A02B99"/>
    <w:rsid w:val="32A25873"/>
    <w:rsid w:val="32C475CE"/>
    <w:rsid w:val="32CD26E3"/>
    <w:rsid w:val="32D61E6F"/>
    <w:rsid w:val="32DC17A7"/>
    <w:rsid w:val="330F2BAA"/>
    <w:rsid w:val="3333106F"/>
    <w:rsid w:val="33522800"/>
    <w:rsid w:val="33541711"/>
    <w:rsid w:val="336D4FD3"/>
    <w:rsid w:val="337D5F7B"/>
    <w:rsid w:val="338A6DD2"/>
    <w:rsid w:val="33BE2A1A"/>
    <w:rsid w:val="33D414D0"/>
    <w:rsid w:val="33D95773"/>
    <w:rsid w:val="33F71E1E"/>
    <w:rsid w:val="33F754AE"/>
    <w:rsid w:val="340A6B46"/>
    <w:rsid w:val="340F388A"/>
    <w:rsid w:val="3411197D"/>
    <w:rsid w:val="342009F8"/>
    <w:rsid w:val="343E5F1E"/>
    <w:rsid w:val="34403A44"/>
    <w:rsid w:val="34480B4A"/>
    <w:rsid w:val="34603E67"/>
    <w:rsid w:val="34611DF3"/>
    <w:rsid w:val="346E4CE5"/>
    <w:rsid w:val="34783FA8"/>
    <w:rsid w:val="34D146CE"/>
    <w:rsid w:val="34DD5737"/>
    <w:rsid w:val="35417A73"/>
    <w:rsid w:val="35614F37"/>
    <w:rsid w:val="356C5EA4"/>
    <w:rsid w:val="35A3428A"/>
    <w:rsid w:val="35CD358A"/>
    <w:rsid w:val="35DF7CEC"/>
    <w:rsid w:val="35E86141"/>
    <w:rsid w:val="36034D29"/>
    <w:rsid w:val="361138EA"/>
    <w:rsid w:val="36176A26"/>
    <w:rsid w:val="36232DB0"/>
    <w:rsid w:val="364572F9"/>
    <w:rsid w:val="36470DE7"/>
    <w:rsid w:val="367B576D"/>
    <w:rsid w:val="3690539D"/>
    <w:rsid w:val="36932551"/>
    <w:rsid w:val="36B3674F"/>
    <w:rsid w:val="36C7044C"/>
    <w:rsid w:val="37490E61"/>
    <w:rsid w:val="374F5C96"/>
    <w:rsid w:val="37682591"/>
    <w:rsid w:val="377D3CD2"/>
    <w:rsid w:val="37CC121B"/>
    <w:rsid w:val="381C0277"/>
    <w:rsid w:val="385F359C"/>
    <w:rsid w:val="38D368CE"/>
    <w:rsid w:val="38E54BBA"/>
    <w:rsid w:val="38F60F50"/>
    <w:rsid w:val="38FE4B0D"/>
    <w:rsid w:val="397F0106"/>
    <w:rsid w:val="3982065B"/>
    <w:rsid w:val="39A42F75"/>
    <w:rsid w:val="3A1C0AAF"/>
    <w:rsid w:val="3A555AC7"/>
    <w:rsid w:val="3A5A5133"/>
    <w:rsid w:val="3A8A13AB"/>
    <w:rsid w:val="3AA342BD"/>
    <w:rsid w:val="3AA54601"/>
    <w:rsid w:val="3ACC6D0A"/>
    <w:rsid w:val="3AFE4D0B"/>
    <w:rsid w:val="3AFF16F4"/>
    <w:rsid w:val="3B0B4358"/>
    <w:rsid w:val="3B1D77D5"/>
    <w:rsid w:val="3B331C0C"/>
    <w:rsid w:val="3B3B31B7"/>
    <w:rsid w:val="3B464036"/>
    <w:rsid w:val="3B673FAC"/>
    <w:rsid w:val="3B8C1FA8"/>
    <w:rsid w:val="3B8C63DD"/>
    <w:rsid w:val="3BA80B19"/>
    <w:rsid w:val="3BC94845"/>
    <w:rsid w:val="3BED02F0"/>
    <w:rsid w:val="3BF10EB2"/>
    <w:rsid w:val="3C0C0D78"/>
    <w:rsid w:val="3C4152C9"/>
    <w:rsid w:val="3C4240EC"/>
    <w:rsid w:val="3C4329F9"/>
    <w:rsid w:val="3C4D6860"/>
    <w:rsid w:val="3C5D3C86"/>
    <w:rsid w:val="3C6A66DB"/>
    <w:rsid w:val="3C9815BA"/>
    <w:rsid w:val="3CA1529C"/>
    <w:rsid w:val="3D076491"/>
    <w:rsid w:val="3D2959BD"/>
    <w:rsid w:val="3D2A34E3"/>
    <w:rsid w:val="3D711B40"/>
    <w:rsid w:val="3DAC3EF8"/>
    <w:rsid w:val="3DCE06B2"/>
    <w:rsid w:val="3DE80316"/>
    <w:rsid w:val="3DFF04CC"/>
    <w:rsid w:val="3E110AD0"/>
    <w:rsid w:val="3E1321C9"/>
    <w:rsid w:val="3E13381B"/>
    <w:rsid w:val="3E443DF7"/>
    <w:rsid w:val="3E772758"/>
    <w:rsid w:val="3E800AA6"/>
    <w:rsid w:val="3EB54200"/>
    <w:rsid w:val="3EEE3F97"/>
    <w:rsid w:val="3F0D4E6A"/>
    <w:rsid w:val="3F21749A"/>
    <w:rsid w:val="3F2905C4"/>
    <w:rsid w:val="3F3A1FEB"/>
    <w:rsid w:val="3F457ABB"/>
    <w:rsid w:val="3F9E326F"/>
    <w:rsid w:val="3FA24D3D"/>
    <w:rsid w:val="3FA40567"/>
    <w:rsid w:val="3FAF2FE1"/>
    <w:rsid w:val="3FDF7A27"/>
    <w:rsid w:val="40170548"/>
    <w:rsid w:val="402E7F0F"/>
    <w:rsid w:val="4037219F"/>
    <w:rsid w:val="404228F2"/>
    <w:rsid w:val="405E25C9"/>
    <w:rsid w:val="408266A6"/>
    <w:rsid w:val="408C1CB6"/>
    <w:rsid w:val="40A67243"/>
    <w:rsid w:val="40B27A77"/>
    <w:rsid w:val="40C24EED"/>
    <w:rsid w:val="40CA3013"/>
    <w:rsid w:val="40D01FF9"/>
    <w:rsid w:val="40D22981"/>
    <w:rsid w:val="40D93688"/>
    <w:rsid w:val="40E35E83"/>
    <w:rsid w:val="40EA7211"/>
    <w:rsid w:val="40ED7211"/>
    <w:rsid w:val="4122462D"/>
    <w:rsid w:val="412D70FE"/>
    <w:rsid w:val="41377F7D"/>
    <w:rsid w:val="41395AA3"/>
    <w:rsid w:val="41644676"/>
    <w:rsid w:val="41790595"/>
    <w:rsid w:val="4191587A"/>
    <w:rsid w:val="41BD7202"/>
    <w:rsid w:val="41C53136"/>
    <w:rsid w:val="42253D73"/>
    <w:rsid w:val="422C7D41"/>
    <w:rsid w:val="423B7208"/>
    <w:rsid w:val="423D15C3"/>
    <w:rsid w:val="424010B3"/>
    <w:rsid w:val="42424DE7"/>
    <w:rsid w:val="42621029"/>
    <w:rsid w:val="42647F5B"/>
    <w:rsid w:val="426F03AD"/>
    <w:rsid w:val="42994282"/>
    <w:rsid w:val="42AF5FBF"/>
    <w:rsid w:val="42C41CE4"/>
    <w:rsid w:val="42D950B7"/>
    <w:rsid w:val="43160791"/>
    <w:rsid w:val="433A5C59"/>
    <w:rsid w:val="436168E4"/>
    <w:rsid w:val="436F7EA2"/>
    <w:rsid w:val="43B26C52"/>
    <w:rsid w:val="43B81529"/>
    <w:rsid w:val="43D16466"/>
    <w:rsid w:val="44075CA0"/>
    <w:rsid w:val="44232A07"/>
    <w:rsid w:val="442B7817"/>
    <w:rsid w:val="442F13DF"/>
    <w:rsid w:val="4458107A"/>
    <w:rsid w:val="44641089"/>
    <w:rsid w:val="44654E01"/>
    <w:rsid w:val="44695038"/>
    <w:rsid w:val="447C0AC8"/>
    <w:rsid w:val="448E4357"/>
    <w:rsid w:val="449E0F15"/>
    <w:rsid w:val="44CE0B7A"/>
    <w:rsid w:val="44D00A48"/>
    <w:rsid w:val="44D66D07"/>
    <w:rsid w:val="44E4602A"/>
    <w:rsid w:val="44FE14DD"/>
    <w:rsid w:val="450A60D4"/>
    <w:rsid w:val="45231264"/>
    <w:rsid w:val="452E70FA"/>
    <w:rsid w:val="45336E64"/>
    <w:rsid w:val="455A248C"/>
    <w:rsid w:val="457579CE"/>
    <w:rsid w:val="45B80788"/>
    <w:rsid w:val="45FF64CF"/>
    <w:rsid w:val="461D4BCB"/>
    <w:rsid w:val="46202E05"/>
    <w:rsid w:val="463B050F"/>
    <w:rsid w:val="465670F7"/>
    <w:rsid w:val="46574520"/>
    <w:rsid w:val="46583405"/>
    <w:rsid w:val="465B35AD"/>
    <w:rsid w:val="467B6FE2"/>
    <w:rsid w:val="46C40504"/>
    <w:rsid w:val="46C51AB9"/>
    <w:rsid w:val="46E93C25"/>
    <w:rsid w:val="46F4261E"/>
    <w:rsid w:val="4707219F"/>
    <w:rsid w:val="472A35A4"/>
    <w:rsid w:val="47456C05"/>
    <w:rsid w:val="478163F5"/>
    <w:rsid w:val="4787520B"/>
    <w:rsid w:val="47881532"/>
    <w:rsid w:val="47A63C85"/>
    <w:rsid w:val="47E9061B"/>
    <w:rsid w:val="47FC62B3"/>
    <w:rsid w:val="481B656B"/>
    <w:rsid w:val="484245C7"/>
    <w:rsid w:val="484A2E46"/>
    <w:rsid w:val="484C65AB"/>
    <w:rsid w:val="484D03FF"/>
    <w:rsid w:val="488D7CFE"/>
    <w:rsid w:val="48936A28"/>
    <w:rsid w:val="48DF1625"/>
    <w:rsid w:val="49296D45"/>
    <w:rsid w:val="49323FD7"/>
    <w:rsid w:val="493C4382"/>
    <w:rsid w:val="49506EA2"/>
    <w:rsid w:val="496C3458"/>
    <w:rsid w:val="49700B0C"/>
    <w:rsid w:val="497A624B"/>
    <w:rsid w:val="49A10C72"/>
    <w:rsid w:val="49AC1B3B"/>
    <w:rsid w:val="49C15A5E"/>
    <w:rsid w:val="49D62A28"/>
    <w:rsid w:val="49DF57C2"/>
    <w:rsid w:val="49F96717"/>
    <w:rsid w:val="4A31624F"/>
    <w:rsid w:val="4A5A3051"/>
    <w:rsid w:val="4A6C027D"/>
    <w:rsid w:val="4A731F44"/>
    <w:rsid w:val="4ADC0900"/>
    <w:rsid w:val="4AE07A05"/>
    <w:rsid w:val="4AE22D20"/>
    <w:rsid w:val="4B0E19ED"/>
    <w:rsid w:val="4B55797D"/>
    <w:rsid w:val="4B8464B4"/>
    <w:rsid w:val="4BAD1567"/>
    <w:rsid w:val="4BBF74EC"/>
    <w:rsid w:val="4BC66ACD"/>
    <w:rsid w:val="4BEC0155"/>
    <w:rsid w:val="4BF00107"/>
    <w:rsid w:val="4C004579"/>
    <w:rsid w:val="4C0D64AA"/>
    <w:rsid w:val="4C12409B"/>
    <w:rsid w:val="4C15074C"/>
    <w:rsid w:val="4C283F70"/>
    <w:rsid w:val="4C2A2657"/>
    <w:rsid w:val="4C3A6B73"/>
    <w:rsid w:val="4C4B0D80"/>
    <w:rsid w:val="4CB9218D"/>
    <w:rsid w:val="4CDC302C"/>
    <w:rsid w:val="4CE91401"/>
    <w:rsid w:val="4CEA3CD9"/>
    <w:rsid w:val="4D0A29E9"/>
    <w:rsid w:val="4D467F55"/>
    <w:rsid w:val="4D53771C"/>
    <w:rsid w:val="4D5601C7"/>
    <w:rsid w:val="4D5903BB"/>
    <w:rsid w:val="4DD01472"/>
    <w:rsid w:val="4DD21759"/>
    <w:rsid w:val="4E241889"/>
    <w:rsid w:val="4E273FA4"/>
    <w:rsid w:val="4E27425C"/>
    <w:rsid w:val="4E2D5B22"/>
    <w:rsid w:val="4E3F75D2"/>
    <w:rsid w:val="4E695E67"/>
    <w:rsid w:val="4EA96B98"/>
    <w:rsid w:val="4EAC5711"/>
    <w:rsid w:val="4EB42C0C"/>
    <w:rsid w:val="4EC549CB"/>
    <w:rsid w:val="4EC56BC8"/>
    <w:rsid w:val="4EDE7BD0"/>
    <w:rsid w:val="4EF61477"/>
    <w:rsid w:val="4EF72DCF"/>
    <w:rsid w:val="4F203F16"/>
    <w:rsid w:val="4F204746"/>
    <w:rsid w:val="4F492507"/>
    <w:rsid w:val="4F7F3A32"/>
    <w:rsid w:val="4F8E2368"/>
    <w:rsid w:val="4F960564"/>
    <w:rsid w:val="4FA02BC6"/>
    <w:rsid w:val="4FA709C3"/>
    <w:rsid w:val="4FBC446F"/>
    <w:rsid w:val="4FD13C29"/>
    <w:rsid w:val="4FF204EF"/>
    <w:rsid w:val="4FFA09FE"/>
    <w:rsid w:val="502D711A"/>
    <w:rsid w:val="505B09C1"/>
    <w:rsid w:val="50841C58"/>
    <w:rsid w:val="50890FCE"/>
    <w:rsid w:val="50940F47"/>
    <w:rsid w:val="50A868B7"/>
    <w:rsid w:val="50AC1958"/>
    <w:rsid w:val="50B138A7"/>
    <w:rsid w:val="50CA4969"/>
    <w:rsid w:val="50D2023D"/>
    <w:rsid w:val="50D94BCC"/>
    <w:rsid w:val="51114346"/>
    <w:rsid w:val="513A1FD3"/>
    <w:rsid w:val="51513355"/>
    <w:rsid w:val="517607E2"/>
    <w:rsid w:val="519E7A88"/>
    <w:rsid w:val="51B1646C"/>
    <w:rsid w:val="51B2004B"/>
    <w:rsid w:val="51C413B8"/>
    <w:rsid w:val="51D87B8B"/>
    <w:rsid w:val="51E3730F"/>
    <w:rsid w:val="520C6E93"/>
    <w:rsid w:val="521D4F6D"/>
    <w:rsid w:val="521F52CC"/>
    <w:rsid w:val="52350359"/>
    <w:rsid w:val="52754DA9"/>
    <w:rsid w:val="528559C7"/>
    <w:rsid w:val="5292203B"/>
    <w:rsid w:val="52A01E26"/>
    <w:rsid w:val="52BA42A7"/>
    <w:rsid w:val="52C843F7"/>
    <w:rsid w:val="5353311D"/>
    <w:rsid w:val="537E4CD3"/>
    <w:rsid w:val="537F5EDF"/>
    <w:rsid w:val="53A616BE"/>
    <w:rsid w:val="53B00574"/>
    <w:rsid w:val="53B8319F"/>
    <w:rsid w:val="53F306B5"/>
    <w:rsid w:val="540208BE"/>
    <w:rsid w:val="543F11CA"/>
    <w:rsid w:val="54535FB0"/>
    <w:rsid w:val="54556AEA"/>
    <w:rsid w:val="54622402"/>
    <w:rsid w:val="54767D3E"/>
    <w:rsid w:val="54843325"/>
    <w:rsid w:val="54977258"/>
    <w:rsid w:val="54A0435F"/>
    <w:rsid w:val="54D44008"/>
    <w:rsid w:val="55055F70"/>
    <w:rsid w:val="55131A57"/>
    <w:rsid w:val="551D59AF"/>
    <w:rsid w:val="55622629"/>
    <w:rsid w:val="55A106D3"/>
    <w:rsid w:val="55A64150"/>
    <w:rsid w:val="55BE7800"/>
    <w:rsid w:val="56206DD9"/>
    <w:rsid w:val="562B2188"/>
    <w:rsid w:val="56431BAE"/>
    <w:rsid w:val="565809C8"/>
    <w:rsid w:val="56646DA2"/>
    <w:rsid w:val="5671345B"/>
    <w:rsid w:val="56776D24"/>
    <w:rsid w:val="56B50F12"/>
    <w:rsid w:val="56BF4844"/>
    <w:rsid w:val="56E424BB"/>
    <w:rsid w:val="56E513A2"/>
    <w:rsid w:val="56F42740"/>
    <w:rsid w:val="56FE536D"/>
    <w:rsid w:val="570D0312"/>
    <w:rsid w:val="571D4801"/>
    <w:rsid w:val="575256B8"/>
    <w:rsid w:val="5755260C"/>
    <w:rsid w:val="577D71D5"/>
    <w:rsid w:val="57D67BEC"/>
    <w:rsid w:val="57DA73EC"/>
    <w:rsid w:val="58036A32"/>
    <w:rsid w:val="58127D36"/>
    <w:rsid w:val="582157B7"/>
    <w:rsid w:val="582770AC"/>
    <w:rsid w:val="585D2567"/>
    <w:rsid w:val="58874450"/>
    <w:rsid w:val="58C425E6"/>
    <w:rsid w:val="58DF5D19"/>
    <w:rsid w:val="58E32A6C"/>
    <w:rsid w:val="5901594F"/>
    <w:rsid w:val="591470C9"/>
    <w:rsid w:val="59262959"/>
    <w:rsid w:val="594F3C5E"/>
    <w:rsid w:val="598A078C"/>
    <w:rsid w:val="59A321FB"/>
    <w:rsid w:val="59B30116"/>
    <w:rsid w:val="59C77308"/>
    <w:rsid w:val="59F12F67"/>
    <w:rsid w:val="59F842F5"/>
    <w:rsid w:val="5A07278A"/>
    <w:rsid w:val="5A364E1D"/>
    <w:rsid w:val="5A3A2DDD"/>
    <w:rsid w:val="5A3D61AC"/>
    <w:rsid w:val="5A5E64D8"/>
    <w:rsid w:val="5A610A87"/>
    <w:rsid w:val="5A68299B"/>
    <w:rsid w:val="5A7A7400"/>
    <w:rsid w:val="5A8E2EAB"/>
    <w:rsid w:val="5AC16DDD"/>
    <w:rsid w:val="5AC35D44"/>
    <w:rsid w:val="5AD1633C"/>
    <w:rsid w:val="5AE40D1D"/>
    <w:rsid w:val="5AFC1A12"/>
    <w:rsid w:val="5AFC3CC2"/>
    <w:rsid w:val="5B1B1F62"/>
    <w:rsid w:val="5B1F6B55"/>
    <w:rsid w:val="5B2336CE"/>
    <w:rsid w:val="5B48738F"/>
    <w:rsid w:val="5B8D774E"/>
    <w:rsid w:val="5BA669B6"/>
    <w:rsid w:val="5BA924DB"/>
    <w:rsid w:val="5BAD1BA2"/>
    <w:rsid w:val="5BC508FC"/>
    <w:rsid w:val="5BD803C4"/>
    <w:rsid w:val="5BEC60DC"/>
    <w:rsid w:val="5BF918A2"/>
    <w:rsid w:val="5BF9258D"/>
    <w:rsid w:val="5BF94355"/>
    <w:rsid w:val="5C012E90"/>
    <w:rsid w:val="5C031F8B"/>
    <w:rsid w:val="5C071160"/>
    <w:rsid w:val="5C490CD0"/>
    <w:rsid w:val="5C9044FF"/>
    <w:rsid w:val="5C9D2F32"/>
    <w:rsid w:val="5CA22C3E"/>
    <w:rsid w:val="5CC91BF1"/>
    <w:rsid w:val="5D00281A"/>
    <w:rsid w:val="5D184CAE"/>
    <w:rsid w:val="5D243653"/>
    <w:rsid w:val="5D496861"/>
    <w:rsid w:val="5D924A61"/>
    <w:rsid w:val="5D9B43A6"/>
    <w:rsid w:val="5DB7113F"/>
    <w:rsid w:val="5DDF0212"/>
    <w:rsid w:val="5DE216B2"/>
    <w:rsid w:val="5DE352BC"/>
    <w:rsid w:val="5E0578F6"/>
    <w:rsid w:val="5E1330AF"/>
    <w:rsid w:val="5E285833"/>
    <w:rsid w:val="5E6737F7"/>
    <w:rsid w:val="5E8051A3"/>
    <w:rsid w:val="5E873E9A"/>
    <w:rsid w:val="5E8E1D57"/>
    <w:rsid w:val="5E9F0E3F"/>
    <w:rsid w:val="5EA05A1B"/>
    <w:rsid w:val="5EBF3633"/>
    <w:rsid w:val="5EC118C9"/>
    <w:rsid w:val="5EF07C91"/>
    <w:rsid w:val="5F04373C"/>
    <w:rsid w:val="5F060230"/>
    <w:rsid w:val="5F101CC4"/>
    <w:rsid w:val="5F4B136B"/>
    <w:rsid w:val="5F5A31A8"/>
    <w:rsid w:val="5F5B7B31"/>
    <w:rsid w:val="5F926F9A"/>
    <w:rsid w:val="5FDE21DF"/>
    <w:rsid w:val="5FE45453"/>
    <w:rsid w:val="5FF32297"/>
    <w:rsid w:val="60164BA2"/>
    <w:rsid w:val="601A43EF"/>
    <w:rsid w:val="6026563C"/>
    <w:rsid w:val="6042451C"/>
    <w:rsid w:val="60503F3D"/>
    <w:rsid w:val="60594D60"/>
    <w:rsid w:val="606E468E"/>
    <w:rsid w:val="60B57F7E"/>
    <w:rsid w:val="60CE74F7"/>
    <w:rsid w:val="6115578D"/>
    <w:rsid w:val="611C29AC"/>
    <w:rsid w:val="613100ED"/>
    <w:rsid w:val="6131633F"/>
    <w:rsid w:val="617701F5"/>
    <w:rsid w:val="617A5F38"/>
    <w:rsid w:val="61B02B17"/>
    <w:rsid w:val="61CE7F08"/>
    <w:rsid w:val="61FC694D"/>
    <w:rsid w:val="61FE26C5"/>
    <w:rsid w:val="62093465"/>
    <w:rsid w:val="622F77D6"/>
    <w:rsid w:val="62315204"/>
    <w:rsid w:val="623A1223"/>
    <w:rsid w:val="623D02C5"/>
    <w:rsid w:val="625642AF"/>
    <w:rsid w:val="62647FB0"/>
    <w:rsid w:val="626D33A6"/>
    <w:rsid w:val="626F2040"/>
    <w:rsid w:val="6280757E"/>
    <w:rsid w:val="628A3F58"/>
    <w:rsid w:val="628B15D4"/>
    <w:rsid w:val="62A56FE4"/>
    <w:rsid w:val="62B81781"/>
    <w:rsid w:val="62B8336A"/>
    <w:rsid w:val="62BB0998"/>
    <w:rsid w:val="62C27B96"/>
    <w:rsid w:val="62E95D23"/>
    <w:rsid w:val="630F29B9"/>
    <w:rsid w:val="6340703E"/>
    <w:rsid w:val="63461EEC"/>
    <w:rsid w:val="634D1699"/>
    <w:rsid w:val="6367429A"/>
    <w:rsid w:val="637067D1"/>
    <w:rsid w:val="637F4381"/>
    <w:rsid w:val="6381535B"/>
    <w:rsid w:val="63843A67"/>
    <w:rsid w:val="638D7B34"/>
    <w:rsid w:val="63AB23D8"/>
    <w:rsid w:val="63B374DF"/>
    <w:rsid w:val="63BF40D6"/>
    <w:rsid w:val="63DC07E4"/>
    <w:rsid w:val="63DF6868"/>
    <w:rsid w:val="63E56E61"/>
    <w:rsid w:val="63F41FD1"/>
    <w:rsid w:val="641F5987"/>
    <w:rsid w:val="64337579"/>
    <w:rsid w:val="64441196"/>
    <w:rsid w:val="644E7B4E"/>
    <w:rsid w:val="64541E2E"/>
    <w:rsid w:val="64750A9E"/>
    <w:rsid w:val="64872E45"/>
    <w:rsid w:val="64A82F69"/>
    <w:rsid w:val="65091B75"/>
    <w:rsid w:val="651B74E4"/>
    <w:rsid w:val="652E0D3C"/>
    <w:rsid w:val="653A1C66"/>
    <w:rsid w:val="65620FA9"/>
    <w:rsid w:val="656960A7"/>
    <w:rsid w:val="657131AE"/>
    <w:rsid w:val="65BC6440"/>
    <w:rsid w:val="65C36E7F"/>
    <w:rsid w:val="65C4453D"/>
    <w:rsid w:val="65D21A26"/>
    <w:rsid w:val="65D5373C"/>
    <w:rsid w:val="65D75FCA"/>
    <w:rsid w:val="65DC2D1D"/>
    <w:rsid w:val="660109D5"/>
    <w:rsid w:val="660E4EA0"/>
    <w:rsid w:val="6622709C"/>
    <w:rsid w:val="662E1715"/>
    <w:rsid w:val="663B7430"/>
    <w:rsid w:val="665C6A93"/>
    <w:rsid w:val="66890422"/>
    <w:rsid w:val="66935AC8"/>
    <w:rsid w:val="669C0303"/>
    <w:rsid w:val="66A80729"/>
    <w:rsid w:val="66B45A48"/>
    <w:rsid w:val="66E10EF9"/>
    <w:rsid w:val="66E62095"/>
    <w:rsid w:val="66E63727"/>
    <w:rsid w:val="6714124B"/>
    <w:rsid w:val="6714321C"/>
    <w:rsid w:val="672A0BC3"/>
    <w:rsid w:val="67535261"/>
    <w:rsid w:val="676236F6"/>
    <w:rsid w:val="67672ABA"/>
    <w:rsid w:val="67E4235D"/>
    <w:rsid w:val="6813619F"/>
    <w:rsid w:val="682B1479"/>
    <w:rsid w:val="684B418A"/>
    <w:rsid w:val="687775B2"/>
    <w:rsid w:val="68834BBC"/>
    <w:rsid w:val="68AE68FE"/>
    <w:rsid w:val="68E73A51"/>
    <w:rsid w:val="68FB170C"/>
    <w:rsid w:val="693410C2"/>
    <w:rsid w:val="6934554E"/>
    <w:rsid w:val="6934718B"/>
    <w:rsid w:val="695A5837"/>
    <w:rsid w:val="69711F76"/>
    <w:rsid w:val="69825CBF"/>
    <w:rsid w:val="69A97332"/>
    <w:rsid w:val="69B61AD7"/>
    <w:rsid w:val="69C73CE4"/>
    <w:rsid w:val="6A1B14A7"/>
    <w:rsid w:val="6A1C7012"/>
    <w:rsid w:val="6A3B684A"/>
    <w:rsid w:val="6A440E91"/>
    <w:rsid w:val="6A955B90"/>
    <w:rsid w:val="6AB95599"/>
    <w:rsid w:val="6AE5012B"/>
    <w:rsid w:val="6AF403FB"/>
    <w:rsid w:val="6AF97ECD"/>
    <w:rsid w:val="6B1148DF"/>
    <w:rsid w:val="6B1B7628"/>
    <w:rsid w:val="6B1E16E2"/>
    <w:rsid w:val="6B241A17"/>
    <w:rsid w:val="6B2A277C"/>
    <w:rsid w:val="6B3C2EFA"/>
    <w:rsid w:val="6B7636D8"/>
    <w:rsid w:val="6B923FB8"/>
    <w:rsid w:val="6B991CE8"/>
    <w:rsid w:val="6BB666ED"/>
    <w:rsid w:val="6BC93D43"/>
    <w:rsid w:val="6C016BE7"/>
    <w:rsid w:val="6C1E0F7E"/>
    <w:rsid w:val="6C3B28C0"/>
    <w:rsid w:val="6C580C23"/>
    <w:rsid w:val="6CBE13CE"/>
    <w:rsid w:val="6CF51267"/>
    <w:rsid w:val="6D0019E7"/>
    <w:rsid w:val="6D2F4E5D"/>
    <w:rsid w:val="6D392803"/>
    <w:rsid w:val="6D505D9E"/>
    <w:rsid w:val="6D527D69"/>
    <w:rsid w:val="6D6A6E60"/>
    <w:rsid w:val="6D943EDD"/>
    <w:rsid w:val="6DCF4F15"/>
    <w:rsid w:val="6DD6304C"/>
    <w:rsid w:val="6DF02DDA"/>
    <w:rsid w:val="6E04626A"/>
    <w:rsid w:val="6E1148C4"/>
    <w:rsid w:val="6E7837FF"/>
    <w:rsid w:val="6E914282"/>
    <w:rsid w:val="6E973BA3"/>
    <w:rsid w:val="6E9817AB"/>
    <w:rsid w:val="6E9C0F6F"/>
    <w:rsid w:val="6EB0599B"/>
    <w:rsid w:val="6EB64310"/>
    <w:rsid w:val="6EBF5BF3"/>
    <w:rsid w:val="6ED547AD"/>
    <w:rsid w:val="6EEB3C07"/>
    <w:rsid w:val="6EEE4FB7"/>
    <w:rsid w:val="6F0E4EC3"/>
    <w:rsid w:val="6F2C565C"/>
    <w:rsid w:val="6F3B64CA"/>
    <w:rsid w:val="6F3C482C"/>
    <w:rsid w:val="6F44464C"/>
    <w:rsid w:val="6F525DFE"/>
    <w:rsid w:val="6F810180"/>
    <w:rsid w:val="6FC35D48"/>
    <w:rsid w:val="6FE16EE1"/>
    <w:rsid w:val="6FE264A0"/>
    <w:rsid w:val="702552C0"/>
    <w:rsid w:val="702C748F"/>
    <w:rsid w:val="70344BBF"/>
    <w:rsid w:val="703674CE"/>
    <w:rsid w:val="7040644A"/>
    <w:rsid w:val="70557737"/>
    <w:rsid w:val="70596115"/>
    <w:rsid w:val="706F4CF2"/>
    <w:rsid w:val="708244C1"/>
    <w:rsid w:val="70930CB0"/>
    <w:rsid w:val="709F4389"/>
    <w:rsid w:val="70A361D6"/>
    <w:rsid w:val="70B054D2"/>
    <w:rsid w:val="70B34FC2"/>
    <w:rsid w:val="70B36D70"/>
    <w:rsid w:val="70BE4D93"/>
    <w:rsid w:val="70E1568B"/>
    <w:rsid w:val="70E227D6"/>
    <w:rsid w:val="70FE623D"/>
    <w:rsid w:val="710F044A"/>
    <w:rsid w:val="71141F49"/>
    <w:rsid w:val="712F166D"/>
    <w:rsid w:val="714B0D57"/>
    <w:rsid w:val="715E72BC"/>
    <w:rsid w:val="71755DD4"/>
    <w:rsid w:val="71922369"/>
    <w:rsid w:val="71AD7318"/>
    <w:rsid w:val="71B5159F"/>
    <w:rsid w:val="71B66B18"/>
    <w:rsid w:val="71BD6F35"/>
    <w:rsid w:val="71C346B5"/>
    <w:rsid w:val="71C37A53"/>
    <w:rsid w:val="71C7496A"/>
    <w:rsid w:val="71E511AB"/>
    <w:rsid w:val="71F17594"/>
    <w:rsid w:val="71F238C8"/>
    <w:rsid w:val="71F65166"/>
    <w:rsid w:val="71F87A6C"/>
    <w:rsid w:val="722C2936"/>
    <w:rsid w:val="72385C61"/>
    <w:rsid w:val="72553376"/>
    <w:rsid w:val="72605D30"/>
    <w:rsid w:val="726D70E7"/>
    <w:rsid w:val="72895FDA"/>
    <w:rsid w:val="72936E59"/>
    <w:rsid w:val="72A45462"/>
    <w:rsid w:val="72A63D8F"/>
    <w:rsid w:val="72AC3A77"/>
    <w:rsid w:val="72B8241C"/>
    <w:rsid w:val="72D9520E"/>
    <w:rsid w:val="72E66F89"/>
    <w:rsid w:val="72EC6F44"/>
    <w:rsid w:val="73041B05"/>
    <w:rsid w:val="730C43A4"/>
    <w:rsid w:val="73353A6C"/>
    <w:rsid w:val="733F6699"/>
    <w:rsid w:val="73770529"/>
    <w:rsid w:val="738D5656"/>
    <w:rsid w:val="7395275D"/>
    <w:rsid w:val="73A00CA7"/>
    <w:rsid w:val="73BB407D"/>
    <w:rsid w:val="73D72D76"/>
    <w:rsid w:val="742066E6"/>
    <w:rsid w:val="742F3CB1"/>
    <w:rsid w:val="743A0B69"/>
    <w:rsid w:val="74411A20"/>
    <w:rsid w:val="745B563F"/>
    <w:rsid w:val="747D74F0"/>
    <w:rsid w:val="749D3FBF"/>
    <w:rsid w:val="74C31ECB"/>
    <w:rsid w:val="74DD260E"/>
    <w:rsid w:val="750147A2"/>
    <w:rsid w:val="75186B30"/>
    <w:rsid w:val="7559678F"/>
    <w:rsid w:val="758E43BC"/>
    <w:rsid w:val="758F7694"/>
    <w:rsid w:val="75925734"/>
    <w:rsid w:val="75942919"/>
    <w:rsid w:val="75970A0E"/>
    <w:rsid w:val="75A960A7"/>
    <w:rsid w:val="75D03F20"/>
    <w:rsid w:val="75DA32B4"/>
    <w:rsid w:val="75DC69B3"/>
    <w:rsid w:val="76022ED7"/>
    <w:rsid w:val="760A11E0"/>
    <w:rsid w:val="764346F2"/>
    <w:rsid w:val="76490102"/>
    <w:rsid w:val="765C5EF1"/>
    <w:rsid w:val="765D3A06"/>
    <w:rsid w:val="768F7938"/>
    <w:rsid w:val="768F7C28"/>
    <w:rsid w:val="7691545E"/>
    <w:rsid w:val="76A519F0"/>
    <w:rsid w:val="76D1171F"/>
    <w:rsid w:val="76D370E5"/>
    <w:rsid w:val="76F9292A"/>
    <w:rsid w:val="772207AC"/>
    <w:rsid w:val="77324E93"/>
    <w:rsid w:val="77364257"/>
    <w:rsid w:val="776B78DA"/>
    <w:rsid w:val="77AA57AB"/>
    <w:rsid w:val="77C63091"/>
    <w:rsid w:val="77EB3293"/>
    <w:rsid w:val="77F263D0"/>
    <w:rsid w:val="781D7F14"/>
    <w:rsid w:val="784239DF"/>
    <w:rsid w:val="7864485D"/>
    <w:rsid w:val="786F17CF"/>
    <w:rsid w:val="788A6608"/>
    <w:rsid w:val="78C00B06"/>
    <w:rsid w:val="78C961F4"/>
    <w:rsid w:val="78D66B7E"/>
    <w:rsid w:val="78E02C7C"/>
    <w:rsid w:val="78E73002"/>
    <w:rsid w:val="78E9792E"/>
    <w:rsid w:val="78F65C56"/>
    <w:rsid w:val="78F9378E"/>
    <w:rsid w:val="79062C97"/>
    <w:rsid w:val="7910600A"/>
    <w:rsid w:val="791365FE"/>
    <w:rsid w:val="793A50D9"/>
    <w:rsid w:val="796A65B3"/>
    <w:rsid w:val="7993773F"/>
    <w:rsid w:val="79955265"/>
    <w:rsid w:val="79C35EDA"/>
    <w:rsid w:val="79D91008"/>
    <w:rsid w:val="79DC08AE"/>
    <w:rsid w:val="79EE6E94"/>
    <w:rsid w:val="79F103DA"/>
    <w:rsid w:val="79F24465"/>
    <w:rsid w:val="79FE72AE"/>
    <w:rsid w:val="79FF7621"/>
    <w:rsid w:val="7A016D9E"/>
    <w:rsid w:val="7A7B26AD"/>
    <w:rsid w:val="7A8A01C7"/>
    <w:rsid w:val="7A927D1C"/>
    <w:rsid w:val="7AAA36FF"/>
    <w:rsid w:val="7AB91427"/>
    <w:rsid w:val="7ACD0A2E"/>
    <w:rsid w:val="7ADB7A18"/>
    <w:rsid w:val="7AFF2AEA"/>
    <w:rsid w:val="7B1872A2"/>
    <w:rsid w:val="7B215048"/>
    <w:rsid w:val="7B2F3497"/>
    <w:rsid w:val="7B6B22FB"/>
    <w:rsid w:val="7B6F1D4E"/>
    <w:rsid w:val="7B774D4C"/>
    <w:rsid w:val="7B7979D7"/>
    <w:rsid w:val="7B953D8A"/>
    <w:rsid w:val="7B95779E"/>
    <w:rsid w:val="7BA619AB"/>
    <w:rsid w:val="7BB2023F"/>
    <w:rsid w:val="7BE427C9"/>
    <w:rsid w:val="7BF546E1"/>
    <w:rsid w:val="7C046713"/>
    <w:rsid w:val="7C442F72"/>
    <w:rsid w:val="7C7E46D6"/>
    <w:rsid w:val="7C906658"/>
    <w:rsid w:val="7C9C4E59"/>
    <w:rsid w:val="7CBC548E"/>
    <w:rsid w:val="7CF4697E"/>
    <w:rsid w:val="7D057903"/>
    <w:rsid w:val="7D360B0D"/>
    <w:rsid w:val="7D374F29"/>
    <w:rsid w:val="7D423956"/>
    <w:rsid w:val="7D8819B8"/>
    <w:rsid w:val="7D883F06"/>
    <w:rsid w:val="7DA17D30"/>
    <w:rsid w:val="7DCB0BE8"/>
    <w:rsid w:val="7DD547CA"/>
    <w:rsid w:val="7DDA53C2"/>
    <w:rsid w:val="7DEB2D7B"/>
    <w:rsid w:val="7E156974"/>
    <w:rsid w:val="7E157EA9"/>
    <w:rsid w:val="7E2F1D63"/>
    <w:rsid w:val="7E723DC7"/>
    <w:rsid w:val="7EBB4818"/>
    <w:rsid w:val="7ED405DD"/>
    <w:rsid w:val="7EDF0647"/>
    <w:rsid w:val="7EFC7B34"/>
    <w:rsid w:val="7F034D20"/>
    <w:rsid w:val="7F286B7B"/>
    <w:rsid w:val="7F2E417B"/>
    <w:rsid w:val="7F7F2C3F"/>
    <w:rsid w:val="7FC916DD"/>
    <w:rsid w:val="7FC92566"/>
    <w:rsid w:val="7FDA7EE4"/>
    <w:rsid w:val="7FE72592"/>
    <w:rsid w:val="7FF01447"/>
    <w:rsid w:val="7FF73F34"/>
    <w:rsid w:val="7FFB5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2"/>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semiHidden/>
    <w:unhideWhenUsed/>
    <w:qFormat/>
    <w:uiPriority w:val="9"/>
    <w:pPr>
      <w:spacing w:beforeAutospacing="1" w:afterAutospacing="1"/>
      <w:jc w:val="left"/>
      <w:outlineLvl w:val="3"/>
    </w:pPr>
    <w:rPr>
      <w:rFonts w:hint="eastAsia" w:ascii="宋体" w:hAnsi="宋体"/>
      <w:b/>
      <w:bCs/>
      <w:kern w:val="0"/>
      <w:sz w:val="24"/>
    </w:rPr>
  </w:style>
  <w:style w:type="paragraph" w:styleId="8">
    <w:name w:val="heading 5"/>
    <w:basedOn w:val="1"/>
    <w:next w:val="9"/>
    <w:link w:val="63"/>
    <w:autoRedefine/>
    <w:qFormat/>
    <w:uiPriority w:val="0"/>
    <w:pPr>
      <w:keepNext/>
      <w:keepLines/>
      <w:spacing w:before="280" w:after="290" w:line="376" w:lineRule="auto"/>
      <w:outlineLvl w:val="4"/>
    </w:pPr>
    <w:rPr>
      <w:b/>
      <w:sz w:val="28"/>
    </w:rPr>
  </w:style>
  <w:style w:type="paragraph" w:styleId="10">
    <w:name w:val="heading 6"/>
    <w:basedOn w:val="1"/>
    <w:next w:val="9"/>
    <w:link w:val="64"/>
    <w:autoRedefine/>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65"/>
    <w:autoRedefine/>
    <w:qFormat/>
    <w:uiPriority w:val="0"/>
    <w:pPr>
      <w:keepNext/>
      <w:keepLines/>
      <w:spacing w:before="240" w:after="64" w:line="320" w:lineRule="auto"/>
      <w:outlineLvl w:val="6"/>
    </w:pPr>
    <w:rPr>
      <w:b/>
      <w:sz w:val="24"/>
    </w:rPr>
  </w:style>
  <w:style w:type="paragraph" w:styleId="12">
    <w:name w:val="heading 8"/>
    <w:basedOn w:val="1"/>
    <w:next w:val="9"/>
    <w:link w:val="66"/>
    <w:autoRedefine/>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link w:val="67"/>
    <w:autoRedefine/>
    <w:qFormat/>
    <w:uiPriority w:val="0"/>
    <w:pPr>
      <w:keepNext/>
      <w:keepLines/>
      <w:spacing w:before="240" w:after="64" w:line="320" w:lineRule="auto"/>
      <w:outlineLvl w:val="8"/>
    </w:pPr>
    <w:rPr>
      <w:rFonts w:ascii="Arial" w:hAnsi="Arial" w:eastAsia="黑体"/>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1"/>
    <w:autoRedefine/>
    <w:qFormat/>
    <w:uiPriority w:val="99"/>
    <w:pPr>
      <w:spacing w:line="380" w:lineRule="exact"/>
    </w:pPr>
    <w:rPr>
      <w:kern w:val="0"/>
      <w:sz w:val="24"/>
    </w:rPr>
  </w:style>
  <w:style w:type="paragraph" w:styleId="3">
    <w:name w:val="toc 2"/>
    <w:basedOn w:val="1"/>
    <w:next w:val="1"/>
    <w:autoRedefine/>
    <w:unhideWhenUsed/>
    <w:qFormat/>
    <w:uiPriority w:val="39"/>
    <w:pPr>
      <w:ind w:left="420" w:leftChars="200"/>
    </w:pPr>
  </w:style>
  <w:style w:type="paragraph" w:styleId="9">
    <w:name w:val="Normal Indent"/>
    <w:basedOn w:val="1"/>
    <w:autoRedefine/>
    <w:qFormat/>
    <w:uiPriority w:val="0"/>
    <w:pPr>
      <w:ind w:firstLine="420"/>
    </w:pPr>
    <w:rPr>
      <w:szCs w:val="20"/>
    </w:rPr>
  </w:style>
  <w:style w:type="paragraph" w:styleId="14">
    <w:name w:val="toc 7"/>
    <w:basedOn w:val="1"/>
    <w:next w:val="1"/>
    <w:autoRedefine/>
    <w:unhideWhenUsed/>
    <w:qFormat/>
    <w:uiPriority w:val="39"/>
    <w:pPr>
      <w:ind w:left="2520" w:leftChars="1200"/>
    </w:pPr>
    <w:rPr>
      <w:rFonts w:ascii="Calibri" w:hAnsi="Calibri"/>
      <w:szCs w:val="22"/>
    </w:rPr>
  </w:style>
  <w:style w:type="paragraph" w:styleId="15">
    <w:name w:val="index 8"/>
    <w:basedOn w:val="1"/>
    <w:next w:val="1"/>
    <w:autoRedefine/>
    <w:qFormat/>
    <w:uiPriority w:val="0"/>
    <w:pPr>
      <w:ind w:left="2940"/>
    </w:pPr>
    <w:rPr>
      <w:rFonts w:ascii="Times New Roman" w:hAnsi="Times New Roman" w:eastAsia="宋体" w:cs="Times New Roman"/>
    </w:rPr>
  </w:style>
  <w:style w:type="paragraph" w:styleId="16">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68"/>
    <w:autoRedefine/>
    <w:unhideWhenUsed/>
    <w:qFormat/>
    <w:uiPriority w:val="0"/>
    <w:pPr>
      <w:shd w:val="clear" w:color="auto" w:fill="000080"/>
    </w:pPr>
    <w:rPr>
      <w:rFonts w:hint="eastAsia" w:ascii="宋体" w:hAnsi="宋体"/>
      <w:kern w:val="0"/>
      <w:sz w:val="20"/>
      <w:szCs w:val="20"/>
    </w:rPr>
  </w:style>
  <w:style w:type="paragraph" w:styleId="19">
    <w:name w:val="annotation text"/>
    <w:basedOn w:val="1"/>
    <w:link w:val="69"/>
    <w:autoRedefine/>
    <w:unhideWhenUsed/>
    <w:qFormat/>
    <w:uiPriority w:val="0"/>
    <w:pPr>
      <w:jc w:val="left"/>
    </w:pPr>
  </w:style>
  <w:style w:type="paragraph" w:styleId="20">
    <w:name w:val="Body Text 3"/>
    <w:basedOn w:val="1"/>
    <w:link w:val="70"/>
    <w:autoRedefine/>
    <w:qFormat/>
    <w:uiPriority w:val="0"/>
    <w:pPr>
      <w:spacing w:line="500" w:lineRule="exact"/>
    </w:pPr>
    <w:rPr>
      <w:b/>
      <w:bCs/>
      <w:kern w:val="0"/>
      <w:sz w:val="24"/>
    </w:rPr>
  </w:style>
  <w:style w:type="paragraph" w:styleId="21">
    <w:name w:val="Body Text Indent"/>
    <w:basedOn w:val="1"/>
    <w:link w:val="72"/>
    <w:autoRedefine/>
    <w:qFormat/>
    <w:uiPriority w:val="0"/>
    <w:pPr>
      <w:ind w:firstLine="830" w:firstLineChars="352"/>
    </w:pPr>
    <w:rPr>
      <w:rFonts w:ascii="仿宋_GB2312" w:eastAsia="仿宋_GB2312"/>
      <w:kern w:val="0"/>
      <w:sz w:val="32"/>
      <w:szCs w:val="20"/>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5"/>
    <w:basedOn w:val="1"/>
    <w:next w:val="1"/>
    <w:autoRedefine/>
    <w:unhideWhenUsed/>
    <w:qFormat/>
    <w:uiPriority w:val="39"/>
    <w:pPr>
      <w:ind w:left="1680" w:leftChars="800"/>
    </w:pPr>
    <w:rPr>
      <w:rFonts w:ascii="Calibri" w:hAnsi="Calibri"/>
      <w:szCs w:val="22"/>
    </w:rPr>
  </w:style>
  <w:style w:type="paragraph" w:styleId="25">
    <w:name w:val="toc 3"/>
    <w:basedOn w:val="1"/>
    <w:next w:val="1"/>
    <w:autoRedefine/>
    <w:unhideWhenUsed/>
    <w:qFormat/>
    <w:uiPriority w:val="39"/>
    <w:pPr>
      <w:ind w:left="840" w:leftChars="400"/>
    </w:pPr>
    <w:rPr>
      <w:rFonts w:ascii="Calibri" w:hAnsi="Calibri"/>
      <w:szCs w:val="22"/>
    </w:rPr>
  </w:style>
  <w:style w:type="paragraph" w:styleId="26">
    <w:name w:val="Plain Text"/>
    <w:basedOn w:val="1"/>
    <w:next w:val="15"/>
    <w:link w:val="73"/>
    <w:autoRedefine/>
    <w:qFormat/>
    <w:uiPriority w:val="0"/>
    <w:rPr>
      <w:rFonts w:ascii="宋体" w:hAnsi="Courier New"/>
      <w:kern w:val="0"/>
      <w:sz w:val="20"/>
      <w:szCs w:val="21"/>
    </w:rPr>
  </w:style>
  <w:style w:type="paragraph" w:styleId="27">
    <w:name w:val="toc 8"/>
    <w:basedOn w:val="1"/>
    <w:next w:val="1"/>
    <w:autoRedefine/>
    <w:unhideWhenUsed/>
    <w:qFormat/>
    <w:uiPriority w:val="39"/>
    <w:pPr>
      <w:ind w:left="2940" w:leftChars="1400"/>
    </w:pPr>
    <w:rPr>
      <w:rFonts w:ascii="Calibri" w:hAnsi="Calibri"/>
      <w:szCs w:val="22"/>
    </w:rPr>
  </w:style>
  <w:style w:type="paragraph" w:styleId="28">
    <w:name w:val="Date"/>
    <w:basedOn w:val="1"/>
    <w:next w:val="1"/>
    <w:link w:val="74"/>
    <w:autoRedefine/>
    <w:qFormat/>
    <w:uiPriority w:val="0"/>
    <w:pPr>
      <w:ind w:left="100" w:leftChars="2500"/>
    </w:pPr>
    <w:rPr>
      <w:rFonts w:ascii="宋体" w:hAnsi="Courier New"/>
      <w:kern w:val="0"/>
      <w:sz w:val="20"/>
      <w:szCs w:val="21"/>
    </w:rPr>
  </w:style>
  <w:style w:type="paragraph" w:styleId="29">
    <w:name w:val="Body Text Indent 2"/>
    <w:basedOn w:val="1"/>
    <w:link w:val="75"/>
    <w:autoRedefine/>
    <w:qFormat/>
    <w:uiPriority w:val="0"/>
    <w:pPr>
      <w:ind w:firstLine="630"/>
    </w:pPr>
    <w:rPr>
      <w:kern w:val="0"/>
      <w:sz w:val="32"/>
      <w:szCs w:val="20"/>
    </w:rPr>
  </w:style>
  <w:style w:type="paragraph" w:styleId="30">
    <w:name w:val="endnote text"/>
    <w:basedOn w:val="1"/>
    <w:link w:val="76"/>
    <w:autoRedefine/>
    <w:unhideWhenUsed/>
    <w:qFormat/>
    <w:uiPriority w:val="99"/>
    <w:pPr>
      <w:snapToGrid w:val="0"/>
      <w:jc w:val="left"/>
    </w:pPr>
  </w:style>
  <w:style w:type="paragraph" w:styleId="31">
    <w:name w:val="Balloon Text"/>
    <w:basedOn w:val="1"/>
    <w:link w:val="77"/>
    <w:autoRedefine/>
    <w:semiHidden/>
    <w:qFormat/>
    <w:uiPriority w:val="0"/>
    <w:rPr>
      <w:kern w:val="0"/>
      <w:sz w:val="18"/>
      <w:szCs w:val="18"/>
    </w:rPr>
  </w:style>
  <w:style w:type="paragraph" w:styleId="32">
    <w:name w:val="footer"/>
    <w:basedOn w:val="1"/>
    <w:link w:val="78"/>
    <w:autoRedefine/>
    <w:unhideWhenUsed/>
    <w:qFormat/>
    <w:uiPriority w:val="99"/>
    <w:pPr>
      <w:tabs>
        <w:tab w:val="center" w:pos="4153"/>
        <w:tab w:val="right" w:pos="8306"/>
      </w:tabs>
      <w:snapToGrid w:val="0"/>
      <w:jc w:val="left"/>
    </w:pPr>
    <w:rPr>
      <w:kern w:val="0"/>
      <w:sz w:val="18"/>
      <w:szCs w:val="18"/>
    </w:rPr>
  </w:style>
  <w:style w:type="paragraph" w:styleId="33">
    <w:name w:val="header"/>
    <w:basedOn w:val="1"/>
    <w:link w:val="79"/>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autoRedefine/>
    <w:unhideWhenUsed/>
    <w:qFormat/>
    <w:uiPriority w:val="39"/>
    <w:pPr>
      <w:ind w:left="1260" w:leftChars="600"/>
    </w:pPr>
    <w:rPr>
      <w:rFonts w:ascii="Calibri" w:hAnsi="Calibri"/>
      <w:szCs w:val="2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80"/>
    <w:autoRedefine/>
    <w:unhideWhenUsed/>
    <w:qFormat/>
    <w:uiPriority w:val="99"/>
    <w:pPr>
      <w:snapToGrid w:val="0"/>
      <w:jc w:val="left"/>
    </w:pPr>
    <w:rPr>
      <w:sz w:val="18"/>
      <w:szCs w:val="18"/>
    </w:rPr>
  </w:style>
  <w:style w:type="paragraph" w:styleId="38">
    <w:name w:val="toc 6"/>
    <w:basedOn w:val="1"/>
    <w:next w:val="1"/>
    <w:autoRedefine/>
    <w:unhideWhenUsed/>
    <w:qFormat/>
    <w:uiPriority w:val="39"/>
    <w:pPr>
      <w:ind w:left="2100" w:leftChars="1000"/>
    </w:pPr>
    <w:rPr>
      <w:rFonts w:ascii="Calibri" w:hAnsi="Calibri"/>
      <w:szCs w:val="22"/>
    </w:rPr>
  </w:style>
  <w:style w:type="paragraph" w:styleId="39">
    <w:name w:val="Body Text Indent 3"/>
    <w:basedOn w:val="1"/>
    <w:link w:val="81"/>
    <w:autoRedefine/>
    <w:qFormat/>
    <w:uiPriority w:val="0"/>
    <w:pPr>
      <w:spacing w:after="120"/>
      <w:ind w:left="420" w:leftChars="200"/>
    </w:pPr>
    <w:rPr>
      <w:kern w:val="0"/>
      <w:sz w:val="16"/>
      <w:szCs w:val="16"/>
    </w:rPr>
  </w:style>
  <w:style w:type="paragraph" w:styleId="40">
    <w:name w:val="toc 9"/>
    <w:basedOn w:val="1"/>
    <w:next w:val="1"/>
    <w:autoRedefine/>
    <w:unhideWhenUsed/>
    <w:qFormat/>
    <w:uiPriority w:val="39"/>
    <w:pPr>
      <w:ind w:left="3360" w:leftChars="1600"/>
    </w:pPr>
    <w:rPr>
      <w:rFonts w:ascii="Calibri" w:hAnsi="Calibri"/>
      <w:szCs w:val="22"/>
    </w:rPr>
  </w:style>
  <w:style w:type="paragraph" w:styleId="41">
    <w:name w:val="Body Text 2"/>
    <w:basedOn w:val="1"/>
    <w:link w:val="82"/>
    <w:autoRedefine/>
    <w:qFormat/>
    <w:uiPriority w:val="0"/>
    <w:pPr>
      <w:spacing w:after="120" w:line="480" w:lineRule="auto"/>
    </w:pPr>
    <w:rPr>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3"/>
    <w:autoRedefine/>
    <w:qFormat/>
    <w:uiPriority w:val="10"/>
    <w:pPr>
      <w:spacing w:before="240" w:after="60"/>
      <w:jc w:val="center"/>
      <w:outlineLvl w:val="0"/>
    </w:pPr>
    <w:rPr>
      <w:rFonts w:ascii="Cambria" w:hAnsi="Cambria"/>
      <w:b/>
      <w:bCs/>
      <w:sz w:val="32"/>
      <w:szCs w:val="32"/>
    </w:rPr>
  </w:style>
  <w:style w:type="paragraph" w:styleId="45">
    <w:name w:val="annotation subject"/>
    <w:basedOn w:val="19"/>
    <w:next w:val="19"/>
    <w:link w:val="84"/>
    <w:autoRedefine/>
    <w:unhideWhenUsed/>
    <w:qFormat/>
    <w:uiPriority w:val="99"/>
    <w:rPr>
      <w:b/>
      <w:bCs/>
    </w:rPr>
  </w:style>
  <w:style w:type="paragraph" w:styleId="46">
    <w:name w:val="Body Text First Indent"/>
    <w:basedOn w:val="2"/>
    <w:autoRedefine/>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47">
    <w:name w:val="Body Text First Indent 2"/>
    <w:basedOn w:val="21"/>
    <w:autoRedefine/>
    <w:unhideWhenUsed/>
    <w:qFormat/>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22"/>
    <w:rPr>
      <w:b/>
      <w:bCs/>
    </w:rPr>
  </w:style>
  <w:style w:type="character" w:styleId="52">
    <w:name w:val="endnote reference"/>
    <w:autoRedefine/>
    <w:unhideWhenUsed/>
    <w:qFormat/>
    <w:uiPriority w:val="99"/>
    <w:rPr>
      <w:vertAlign w:val="superscript"/>
    </w:rPr>
  </w:style>
  <w:style w:type="character" w:styleId="53">
    <w:name w:val="page number"/>
    <w:autoRedefine/>
    <w:qFormat/>
    <w:uiPriority w:val="0"/>
  </w:style>
  <w:style w:type="character" w:styleId="54">
    <w:name w:val="FollowedHyperlink"/>
    <w:autoRedefine/>
    <w:qFormat/>
    <w:uiPriority w:val="0"/>
    <w:rPr>
      <w:color w:val="000000"/>
      <w:u w:val="none"/>
    </w:rPr>
  </w:style>
  <w:style w:type="character" w:styleId="55">
    <w:name w:val="Hyperlink"/>
    <w:autoRedefine/>
    <w:qFormat/>
    <w:uiPriority w:val="99"/>
    <w:rPr>
      <w:color w:val="000000"/>
      <w:u w:val="none"/>
    </w:rPr>
  </w:style>
  <w:style w:type="character" w:styleId="56">
    <w:name w:val="annotation reference"/>
    <w:autoRedefine/>
    <w:unhideWhenUsed/>
    <w:qFormat/>
    <w:uiPriority w:val="0"/>
    <w:rPr>
      <w:sz w:val="21"/>
      <w:szCs w:val="21"/>
    </w:rPr>
  </w:style>
  <w:style w:type="character" w:styleId="57">
    <w:name w:val="footnote reference"/>
    <w:autoRedefine/>
    <w:unhideWhenUsed/>
    <w:qFormat/>
    <w:uiPriority w:val="99"/>
    <w:rPr>
      <w:vertAlign w:val="superscript"/>
    </w:rPr>
  </w:style>
  <w:style w:type="character" w:customStyle="1" w:styleId="58">
    <w:name w:val="标题 1 字符"/>
    <w:autoRedefine/>
    <w:qFormat/>
    <w:uiPriority w:val="9"/>
    <w:rPr>
      <w:rFonts w:ascii="Times New Roman" w:hAnsi="Times New Roman" w:eastAsia="宋体" w:cs="Times New Roman"/>
      <w:b/>
      <w:bCs/>
      <w:kern w:val="44"/>
      <w:sz w:val="44"/>
      <w:szCs w:val="44"/>
    </w:rPr>
  </w:style>
  <w:style w:type="paragraph" w:customStyle="1" w:styleId="59">
    <w:name w:val="表格文字"/>
    <w:basedOn w:val="21"/>
    <w:autoRedefine/>
    <w:qFormat/>
    <w:uiPriority w:val="0"/>
    <w:pPr>
      <w:keepNext w:val="0"/>
      <w:keepLines w:val="0"/>
      <w:widowControl w:val="0"/>
      <w:suppressLineNumbers w:val="0"/>
      <w:spacing w:before="25" w:beforeAutospacing="0" w:after="25" w:afterAutospacing="0"/>
      <w:ind w:left="0" w:right="0"/>
      <w:jc w:val="left"/>
    </w:pPr>
    <w:rPr>
      <w:rFonts w:hint="default" w:ascii="Times New Roman" w:hAnsi="Times New Roman" w:eastAsia="宋体" w:cs="Times New Roman"/>
      <w:bCs/>
      <w:spacing w:val="10"/>
      <w:kern w:val="0"/>
      <w:sz w:val="24"/>
      <w:szCs w:val="24"/>
      <w:lang w:val="en-US" w:eastAsia="zh-CN" w:bidi="ar"/>
    </w:rPr>
  </w:style>
  <w:style w:type="character" w:customStyle="1" w:styleId="60">
    <w:name w:val="标题 1 Char"/>
    <w:link w:val="4"/>
    <w:autoRedefine/>
    <w:qFormat/>
    <w:uiPriority w:val="0"/>
    <w:rPr>
      <w:rFonts w:ascii="Times New Roman" w:hAnsi="Times New Roman" w:eastAsia="宋体" w:cs="Times New Roman"/>
      <w:b/>
      <w:bCs/>
      <w:kern w:val="44"/>
      <w:sz w:val="44"/>
      <w:szCs w:val="44"/>
    </w:rPr>
  </w:style>
  <w:style w:type="character" w:customStyle="1" w:styleId="61">
    <w:name w:val="标题 2 Char"/>
    <w:link w:val="5"/>
    <w:autoRedefine/>
    <w:qFormat/>
    <w:uiPriority w:val="0"/>
    <w:rPr>
      <w:rFonts w:ascii="Arial" w:hAnsi="Arial" w:eastAsia="黑体" w:cs="Times New Roman"/>
      <w:b/>
      <w:bCs/>
      <w:sz w:val="32"/>
      <w:szCs w:val="32"/>
    </w:rPr>
  </w:style>
  <w:style w:type="character" w:customStyle="1" w:styleId="62">
    <w:name w:val="标题 3 Char"/>
    <w:link w:val="6"/>
    <w:autoRedefine/>
    <w:qFormat/>
    <w:uiPriority w:val="0"/>
    <w:rPr>
      <w:rFonts w:ascii="Times New Roman" w:hAnsi="Times New Roman" w:eastAsia="宋体" w:cs="Times New Roman"/>
      <w:b/>
      <w:bCs/>
      <w:sz w:val="32"/>
      <w:szCs w:val="32"/>
    </w:rPr>
  </w:style>
  <w:style w:type="character" w:customStyle="1" w:styleId="63">
    <w:name w:val="标题 5 Char1"/>
    <w:link w:val="8"/>
    <w:autoRedefine/>
    <w:qFormat/>
    <w:uiPriority w:val="0"/>
    <w:rPr>
      <w:b/>
      <w:kern w:val="2"/>
      <w:sz w:val="28"/>
      <w:szCs w:val="24"/>
    </w:rPr>
  </w:style>
  <w:style w:type="character" w:customStyle="1" w:styleId="64">
    <w:name w:val="标题 6 Char"/>
    <w:link w:val="10"/>
    <w:autoRedefine/>
    <w:qFormat/>
    <w:uiPriority w:val="0"/>
    <w:rPr>
      <w:rFonts w:ascii="Arial" w:hAnsi="Arial" w:eastAsia="黑体"/>
      <w:b/>
      <w:kern w:val="2"/>
      <w:sz w:val="24"/>
      <w:szCs w:val="24"/>
    </w:rPr>
  </w:style>
  <w:style w:type="character" w:customStyle="1" w:styleId="65">
    <w:name w:val="标题 7 Char"/>
    <w:link w:val="11"/>
    <w:autoRedefine/>
    <w:qFormat/>
    <w:uiPriority w:val="0"/>
    <w:rPr>
      <w:b/>
      <w:kern w:val="2"/>
      <w:sz w:val="24"/>
      <w:szCs w:val="24"/>
    </w:rPr>
  </w:style>
  <w:style w:type="character" w:customStyle="1" w:styleId="66">
    <w:name w:val="标题 8 Char"/>
    <w:link w:val="12"/>
    <w:autoRedefine/>
    <w:qFormat/>
    <w:uiPriority w:val="0"/>
    <w:rPr>
      <w:rFonts w:ascii="Arial" w:hAnsi="Arial" w:eastAsia="黑体"/>
      <w:kern w:val="2"/>
      <w:sz w:val="24"/>
      <w:szCs w:val="24"/>
    </w:rPr>
  </w:style>
  <w:style w:type="character" w:customStyle="1" w:styleId="67">
    <w:name w:val="标题 9 Char"/>
    <w:link w:val="13"/>
    <w:autoRedefine/>
    <w:qFormat/>
    <w:uiPriority w:val="0"/>
    <w:rPr>
      <w:rFonts w:ascii="Arial" w:hAnsi="Arial" w:eastAsia="黑体"/>
      <w:kern w:val="2"/>
      <w:sz w:val="21"/>
      <w:szCs w:val="24"/>
    </w:rPr>
  </w:style>
  <w:style w:type="character" w:customStyle="1" w:styleId="68">
    <w:name w:val="文档结构图 Char"/>
    <w:link w:val="18"/>
    <w:autoRedefine/>
    <w:qFormat/>
    <w:uiPriority w:val="0"/>
    <w:rPr>
      <w:rFonts w:hint="eastAsia" w:ascii="宋体" w:hAnsi="宋体" w:eastAsia="宋体" w:cs="宋体"/>
    </w:rPr>
  </w:style>
  <w:style w:type="character" w:customStyle="1" w:styleId="69">
    <w:name w:val="批注文字 Char2"/>
    <w:link w:val="19"/>
    <w:autoRedefine/>
    <w:qFormat/>
    <w:uiPriority w:val="0"/>
    <w:rPr>
      <w:rFonts w:ascii="Times New Roman" w:hAnsi="Times New Roman"/>
      <w:kern w:val="2"/>
      <w:sz w:val="21"/>
      <w:szCs w:val="24"/>
    </w:rPr>
  </w:style>
  <w:style w:type="character" w:customStyle="1" w:styleId="70">
    <w:name w:val="正文文本 3 Char"/>
    <w:link w:val="20"/>
    <w:autoRedefine/>
    <w:qFormat/>
    <w:uiPriority w:val="0"/>
    <w:rPr>
      <w:rFonts w:ascii="Times New Roman" w:hAnsi="Times New Roman" w:eastAsia="宋体" w:cs="Times New Roman"/>
      <w:b/>
      <w:bCs/>
      <w:sz w:val="24"/>
      <w:szCs w:val="24"/>
    </w:rPr>
  </w:style>
  <w:style w:type="character" w:customStyle="1" w:styleId="71">
    <w:name w:val="正文文本 Char"/>
    <w:link w:val="2"/>
    <w:autoRedefine/>
    <w:qFormat/>
    <w:uiPriority w:val="99"/>
    <w:rPr>
      <w:rFonts w:ascii="Times New Roman" w:hAnsi="Times New Roman" w:eastAsia="宋体" w:cs="Times New Roman"/>
      <w:sz w:val="24"/>
      <w:szCs w:val="24"/>
    </w:rPr>
  </w:style>
  <w:style w:type="character" w:customStyle="1" w:styleId="72">
    <w:name w:val="正文文本缩进 Char"/>
    <w:link w:val="21"/>
    <w:autoRedefine/>
    <w:qFormat/>
    <w:uiPriority w:val="0"/>
    <w:rPr>
      <w:rFonts w:ascii="仿宋_GB2312" w:hAnsi="Times New Roman" w:eastAsia="仿宋_GB2312" w:cs="Times New Roman"/>
      <w:sz w:val="32"/>
      <w:szCs w:val="20"/>
    </w:rPr>
  </w:style>
  <w:style w:type="character" w:customStyle="1" w:styleId="73">
    <w:name w:val="纯文本 Char1"/>
    <w:link w:val="26"/>
    <w:autoRedefine/>
    <w:qFormat/>
    <w:uiPriority w:val="0"/>
    <w:rPr>
      <w:rFonts w:ascii="宋体" w:hAnsi="Courier New" w:eastAsia="宋体" w:cs="Courier New"/>
      <w:szCs w:val="21"/>
    </w:rPr>
  </w:style>
  <w:style w:type="character" w:customStyle="1" w:styleId="74">
    <w:name w:val="日期 Char"/>
    <w:link w:val="28"/>
    <w:autoRedefine/>
    <w:qFormat/>
    <w:uiPriority w:val="0"/>
    <w:rPr>
      <w:rFonts w:ascii="宋体" w:hAnsi="Courier New" w:eastAsia="宋体" w:cs="Courier New"/>
      <w:szCs w:val="21"/>
    </w:rPr>
  </w:style>
  <w:style w:type="character" w:customStyle="1" w:styleId="75">
    <w:name w:val="正文文本缩进 2 Char"/>
    <w:link w:val="29"/>
    <w:autoRedefine/>
    <w:qFormat/>
    <w:uiPriority w:val="0"/>
    <w:rPr>
      <w:rFonts w:ascii="Times New Roman" w:hAnsi="Times New Roman" w:eastAsia="宋体" w:cs="Times New Roman"/>
      <w:sz w:val="32"/>
      <w:szCs w:val="20"/>
    </w:rPr>
  </w:style>
  <w:style w:type="character" w:customStyle="1" w:styleId="76">
    <w:name w:val="尾注文本 Char"/>
    <w:link w:val="30"/>
    <w:autoRedefine/>
    <w:semiHidden/>
    <w:qFormat/>
    <w:uiPriority w:val="99"/>
    <w:rPr>
      <w:rFonts w:ascii="Times New Roman" w:hAnsi="Times New Roman"/>
      <w:kern w:val="2"/>
      <w:sz w:val="21"/>
      <w:szCs w:val="24"/>
    </w:rPr>
  </w:style>
  <w:style w:type="character" w:customStyle="1" w:styleId="77">
    <w:name w:val="批注框文本 Char"/>
    <w:link w:val="31"/>
    <w:autoRedefine/>
    <w:semiHidden/>
    <w:qFormat/>
    <w:uiPriority w:val="0"/>
    <w:rPr>
      <w:rFonts w:ascii="Times New Roman" w:hAnsi="Times New Roman" w:eastAsia="宋体" w:cs="Times New Roman"/>
      <w:sz w:val="18"/>
      <w:szCs w:val="18"/>
    </w:rPr>
  </w:style>
  <w:style w:type="character" w:customStyle="1" w:styleId="78">
    <w:name w:val="页脚 Char"/>
    <w:link w:val="32"/>
    <w:autoRedefine/>
    <w:qFormat/>
    <w:uiPriority w:val="99"/>
    <w:rPr>
      <w:sz w:val="18"/>
      <w:szCs w:val="18"/>
    </w:rPr>
  </w:style>
  <w:style w:type="character" w:customStyle="1" w:styleId="79">
    <w:name w:val="页眉 Char"/>
    <w:link w:val="33"/>
    <w:autoRedefine/>
    <w:qFormat/>
    <w:uiPriority w:val="99"/>
    <w:rPr>
      <w:rFonts w:ascii="Times New Roman" w:hAnsi="Times New Roman"/>
      <w:kern w:val="2"/>
      <w:sz w:val="18"/>
      <w:szCs w:val="18"/>
    </w:rPr>
  </w:style>
  <w:style w:type="character" w:customStyle="1" w:styleId="80">
    <w:name w:val="脚注文本 Char"/>
    <w:link w:val="37"/>
    <w:autoRedefine/>
    <w:semiHidden/>
    <w:qFormat/>
    <w:uiPriority w:val="99"/>
    <w:rPr>
      <w:rFonts w:ascii="Times New Roman" w:hAnsi="Times New Roman"/>
      <w:kern w:val="2"/>
      <w:sz w:val="18"/>
      <w:szCs w:val="18"/>
    </w:rPr>
  </w:style>
  <w:style w:type="character" w:customStyle="1" w:styleId="81">
    <w:name w:val="正文文本缩进 3 Char"/>
    <w:link w:val="39"/>
    <w:autoRedefine/>
    <w:qFormat/>
    <w:uiPriority w:val="0"/>
    <w:rPr>
      <w:rFonts w:ascii="Times New Roman" w:hAnsi="Times New Roman" w:eastAsia="宋体" w:cs="Times New Roman"/>
      <w:sz w:val="16"/>
      <w:szCs w:val="16"/>
    </w:rPr>
  </w:style>
  <w:style w:type="character" w:customStyle="1" w:styleId="82">
    <w:name w:val="正文文本 2 Char"/>
    <w:link w:val="41"/>
    <w:autoRedefine/>
    <w:qFormat/>
    <w:uiPriority w:val="0"/>
    <w:rPr>
      <w:rFonts w:ascii="Times New Roman" w:hAnsi="Times New Roman" w:eastAsia="宋体" w:cs="Times New Roman"/>
      <w:szCs w:val="24"/>
    </w:rPr>
  </w:style>
  <w:style w:type="character" w:customStyle="1" w:styleId="83">
    <w:name w:val="标题 Char"/>
    <w:link w:val="44"/>
    <w:autoRedefine/>
    <w:qFormat/>
    <w:uiPriority w:val="10"/>
    <w:rPr>
      <w:rFonts w:ascii="Cambria" w:hAnsi="Cambria" w:cs="Times New Roman"/>
      <w:b/>
      <w:bCs/>
      <w:kern w:val="2"/>
      <w:sz w:val="32"/>
      <w:szCs w:val="32"/>
    </w:rPr>
  </w:style>
  <w:style w:type="character" w:customStyle="1" w:styleId="84">
    <w:name w:val="批注主题 Char"/>
    <w:link w:val="45"/>
    <w:autoRedefine/>
    <w:semiHidden/>
    <w:qFormat/>
    <w:uiPriority w:val="99"/>
    <w:rPr>
      <w:rFonts w:ascii="Times New Roman" w:hAnsi="Times New Roman"/>
      <w:b/>
      <w:bCs/>
      <w:kern w:val="2"/>
      <w:sz w:val="21"/>
      <w:szCs w:val="24"/>
    </w:rPr>
  </w:style>
  <w:style w:type="character" w:customStyle="1" w:styleId="85">
    <w:name w:val="批注文字 Char1"/>
    <w:autoRedefine/>
    <w:qFormat/>
    <w:locked/>
    <w:uiPriority w:val="0"/>
    <w:rPr>
      <w:rFonts w:ascii="Times New Roman" w:hAnsi="Times New Roman"/>
      <w:kern w:val="2"/>
      <w:sz w:val="21"/>
      <w:szCs w:val="24"/>
    </w:rPr>
  </w:style>
  <w:style w:type="character" w:customStyle="1" w:styleId="86">
    <w:name w:val="case31"/>
    <w:autoRedefine/>
    <w:qFormat/>
    <w:uiPriority w:val="0"/>
    <w:rPr>
      <w:rFonts w:hint="default"/>
      <w:sz w:val="21"/>
      <w:szCs w:val="21"/>
    </w:rPr>
  </w:style>
  <w:style w:type="character" w:customStyle="1" w:styleId="87">
    <w:name w:val="批注文字 Char"/>
    <w:autoRedefine/>
    <w:qFormat/>
    <w:uiPriority w:val="0"/>
    <w:rPr>
      <w:rFonts w:ascii="Times New Roman" w:hAnsi="Times New Roman"/>
      <w:kern w:val="2"/>
      <w:sz w:val="21"/>
      <w:szCs w:val="24"/>
    </w:rPr>
  </w:style>
  <w:style w:type="character" w:customStyle="1" w:styleId="88">
    <w:name w:val="纯文本 Char"/>
    <w:autoRedefine/>
    <w:qFormat/>
    <w:uiPriority w:val="0"/>
    <w:rPr>
      <w:rFonts w:ascii="宋体" w:hAnsi="Courier New" w:eastAsia="宋体"/>
      <w:kern w:val="2"/>
      <w:sz w:val="21"/>
      <w:lang w:val="en-US" w:eastAsia="zh-CN" w:bidi="ar-SA"/>
    </w:rPr>
  </w:style>
  <w:style w:type="character" w:customStyle="1" w:styleId="89">
    <w:name w:val="纯文本 字符1"/>
    <w:autoRedefine/>
    <w:qFormat/>
    <w:uiPriority w:val="0"/>
    <w:rPr>
      <w:rFonts w:ascii="宋体" w:hAnsi="Courier New"/>
    </w:rPr>
  </w:style>
  <w:style w:type="character" w:customStyle="1" w:styleId="90">
    <w:name w:val="批注文字 字符1"/>
    <w:autoRedefine/>
    <w:qFormat/>
    <w:uiPriority w:val="0"/>
    <w:rPr>
      <w:rFonts w:ascii="Times New Roman" w:hAnsi="Times New Roman"/>
      <w:kern w:val="2"/>
      <w:sz w:val="21"/>
      <w:szCs w:val="24"/>
    </w:rPr>
  </w:style>
  <w:style w:type="character" w:customStyle="1" w:styleId="91">
    <w:name w:val="正文文本 Char1"/>
    <w:autoRedefine/>
    <w:semiHidden/>
    <w:qFormat/>
    <w:locked/>
    <w:uiPriority w:val="99"/>
    <w:rPr>
      <w:sz w:val="24"/>
      <w:szCs w:val="24"/>
    </w:rPr>
  </w:style>
  <w:style w:type="character" w:customStyle="1" w:styleId="92">
    <w:name w:val="apple-style-span"/>
    <w:autoRedefine/>
    <w:qFormat/>
    <w:uiPriority w:val="0"/>
  </w:style>
  <w:style w:type="character" w:customStyle="1" w:styleId="93">
    <w:name w:val="textcontents"/>
    <w:autoRedefine/>
    <w:qFormat/>
    <w:uiPriority w:val="0"/>
  </w:style>
  <w:style w:type="character" w:customStyle="1" w:styleId="94">
    <w:name w:val="普通文字 Char Char2"/>
    <w:autoRedefine/>
    <w:qFormat/>
    <w:uiPriority w:val="0"/>
    <w:rPr>
      <w:rFonts w:ascii="宋体" w:hAnsi="Courier New" w:eastAsia="宋体"/>
      <w:kern w:val="2"/>
      <w:sz w:val="21"/>
      <w:lang w:val="en-US" w:eastAsia="zh-CN" w:bidi="ar-SA"/>
    </w:rPr>
  </w:style>
  <w:style w:type="character" w:customStyle="1" w:styleId="95">
    <w:name w:val="标题 5 Char"/>
    <w:autoRedefine/>
    <w:qFormat/>
    <w:uiPriority w:val="9"/>
    <w:rPr>
      <w:b/>
      <w:kern w:val="2"/>
      <w:sz w:val="28"/>
      <w:szCs w:val="24"/>
    </w:rPr>
  </w:style>
  <w:style w:type="character" w:customStyle="1" w:styleId="96">
    <w:name w:val="批注文字 字符"/>
    <w:autoRedefine/>
    <w:qFormat/>
    <w:uiPriority w:val="0"/>
    <w:rPr>
      <w:rFonts w:ascii="Times New Roman" w:hAnsi="Times New Roman"/>
      <w:kern w:val="2"/>
      <w:sz w:val="21"/>
      <w:szCs w:val="24"/>
    </w:rPr>
  </w:style>
  <w:style w:type="character" w:customStyle="1" w:styleId="97">
    <w:name w:val="纯文本 字符"/>
    <w:autoRedefine/>
    <w:qFormat/>
    <w:uiPriority w:val="0"/>
    <w:rPr>
      <w:rFonts w:ascii="宋体" w:hAnsi="Courier New" w:eastAsia="宋体" w:cs="Courier New"/>
      <w:szCs w:val="21"/>
    </w:rPr>
  </w:style>
  <w:style w:type="character" w:customStyle="1" w:styleId="98">
    <w:name w:val="headline-content4"/>
    <w:autoRedefine/>
    <w:qFormat/>
    <w:uiPriority w:val="0"/>
  </w:style>
  <w:style w:type="character" w:customStyle="1" w:styleId="9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0">
    <w:name w:val="正文文本缩进 字符"/>
    <w:autoRedefine/>
    <w:qFormat/>
    <w:uiPriority w:val="0"/>
    <w:rPr>
      <w:rFonts w:ascii="仿宋_GB2312" w:hAnsi="Times New Roman" w:eastAsia="仿宋_GB2312" w:cs="Times New Roman"/>
      <w:sz w:val="32"/>
      <w:szCs w:val="20"/>
    </w:rPr>
  </w:style>
  <w:style w:type="paragraph" w:customStyle="1" w:styleId="101">
    <w:name w:val="Char1"/>
    <w:basedOn w:val="1"/>
    <w:autoRedefine/>
    <w:qFormat/>
    <w:uiPriority w:val="0"/>
    <w:rPr>
      <w:szCs w:val="21"/>
    </w:rPr>
  </w:style>
  <w:style w:type="paragraph" w:styleId="102">
    <w:name w:val="List Paragraph"/>
    <w:basedOn w:val="1"/>
    <w:autoRedefine/>
    <w:qFormat/>
    <w:uiPriority w:val="34"/>
    <w:pPr>
      <w:ind w:firstLine="420" w:firstLineChars="200"/>
    </w:pPr>
  </w:style>
  <w:style w:type="paragraph" w:customStyle="1" w:styleId="103">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04">
    <w:name w:val="默认段落字体 Para Char Char Char Char Char Char Char Char Char1 Char Char Char Char"/>
    <w:basedOn w:val="1"/>
    <w:autoRedefine/>
    <w:qFormat/>
    <w:uiPriority w:val="0"/>
    <w:rPr>
      <w:rFonts w:ascii="Tahoma" w:hAnsi="Tahoma"/>
      <w:sz w:val="24"/>
      <w:szCs w:val="20"/>
    </w:rPr>
  </w:style>
  <w:style w:type="paragraph" w:customStyle="1" w:styleId="105">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6">
    <w:name w:val="纯文本1"/>
    <w:basedOn w:val="1"/>
    <w:autoRedefine/>
    <w:qFormat/>
    <w:uiPriority w:val="0"/>
    <w:rPr>
      <w:rFonts w:ascii="宋体" w:hAnsi="Courier New" w:cs="Century"/>
      <w:szCs w:val="21"/>
    </w:rPr>
  </w:style>
  <w:style w:type="paragraph" w:customStyle="1" w:styleId="107">
    <w:name w:val="Table Paragraph"/>
    <w:basedOn w:val="1"/>
    <w:autoRedefine/>
    <w:qFormat/>
    <w:uiPriority w:val="1"/>
    <w:pPr>
      <w:jc w:val="left"/>
    </w:pPr>
    <w:rPr>
      <w:rFonts w:ascii="Calibri" w:hAnsi="Calibri"/>
      <w:kern w:val="0"/>
      <w:sz w:val="22"/>
      <w:szCs w:val="22"/>
      <w:lang w:eastAsia="en-US"/>
    </w:rPr>
  </w:style>
  <w:style w:type="paragraph" w:customStyle="1" w:styleId="108">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9">
    <w:name w:val="表格"/>
    <w:basedOn w:val="1"/>
    <w:autoRedefine/>
    <w:qFormat/>
    <w:uiPriority w:val="0"/>
    <w:pPr>
      <w:spacing w:line="400" w:lineRule="exact"/>
    </w:pPr>
    <w:rPr>
      <w:sz w:val="24"/>
    </w:rPr>
  </w:style>
  <w:style w:type="paragraph" w:customStyle="1" w:styleId="110">
    <w:name w:val="样式 首行缩进:  2 字符"/>
    <w:basedOn w:val="1"/>
    <w:autoRedefine/>
    <w:qFormat/>
    <w:uiPriority w:val="0"/>
    <w:pPr>
      <w:spacing w:line="400" w:lineRule="exact"/>
      <w:ind w:firstLine="200" w:firstLineChars="200"/>
    </w:pPr>
    <w:rPr>
      <w:rFonts w:cs="宋体"/>
      <w:sz w:val="24"/>
    </w:rPr>
  </w:style>
  <w:style w:type="paragraph" w:customStyle="1" w:styleId="111">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2">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3">
    <w:name w:val="正文首行缩进两字符"/>
    <w:basedOn w:val="1"/>
    <w:autoRedefine/>
    <w:qFormat/>
    <w:uiPriority w:val="0"/>
    <w:pPr>
      <w:spacing w:line="360" w:lineRule="auto"/>
      <w:ind w:firstLine="200" w:firstLineChars="200"/>
    </w:pPr>
  </w:style>
  <w:style w:type="paragraph" w:customStyle="1" w:styleId="114">
    <w:name w:val="正文段"/>
    <w:basedOn w:val="1"/>
    <w:autoRedefine/>
    <w:qFormat/>
    <w:uiPriority w:val="0"/>
    <w:pPr>
      <w:widowControl/>
      <w:snapToGrid w:val="0"/>
      <w:spacing w:afterLines="50"/>
      <w:ind w:firstLine="200" w:firstLineChars="200"/>
    </w:pPr>
    <w:rPr>
      <w:kern w:val="0"/>
      <w:sz w:val="24"/>
      <w:szCs w:val="20"/>
    </w:rPr>
  </w:style>
  <w:style w:type="table" w:customStyle="1" w:styleId="115">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6">
    <w:name w:val="页脚 字符"/>
    <w:autoRedefine/>
    <w:qFormat/>
    <w:uiPriority w:val="99"/>
  </w:style>
  <w:style w:type="character" w:customStyle="1" w:styleId="117">
    <w:name w:val="标题 1 Char1"/>
    <w:autoRedefine/>
    <w:qFormat/>
    <w:uiPriority w:val="0"/>
    <w:rPr>
      <w:rFonts w:eastAsia="宋体"/>
      <w:b/>
      <w:bCs/>
      <w:kern w:val="44"/>
      <w:sz w:val="44"/>
      <w:szCs w:val="44"/>
      <w:lang w:val="en-US" w:eastAsia="zh-CN" w:bidi="ar-SA"/>
    </w:rPr>
  </w:style>
  <w:style w:type="character" w:customStyle="1" w:styleId="118">
    <w:name w:val="批注文字 字符2"/>
    <w:autoRedefine/>
    <w:qFormat/>
    <w:uiPriority w:val="0"/>
    <w:rPr>
      <w:rFonts w:ascii="Times New Roman" w:hAnsi="Times New Roman"/>
      <w:kern w:val="2"/>
      <w:sz w:val="21"/>
      <w:szCs w:val="24"/>
    </w:rPr>
  </w:style>
  <w:style w:type="paragraph" w:customStyle="1" w:styleId="119">
    <w:name w:val="Title1"/>
    <w:basedOn w:val="1"/>
    <w:next w:val="1"/>
    <w:autoRedefine/>
    <w:qFormat/>
    <w:uiPriority w:val="0"/>
    <w:pPr>
      <w:jc w:val="center"/>
      <w:outlineLvl w:val="0"/>
    </w:pPr>
    <w:rPr>
      <w:rFonts w:ascii="Calibri Light" w:hAnsi="Calibri Light" w:eastAsia="Arial Unicode MS"/>
      <w:b/>
    </w:rPr>
  </w:style>
  <w:style w:type="character" w:customStyle="1" w:styleId="120">
    <w:name w:val="bookmark-item"/>
    <w:basedOn w:val="50"/>
    <w:autoRedefine/>
    <w:qFormat/>
    <w:uiPriority w:val="0"/>
  </w:style>
  <w:style w:type="character" w:customStyle="1" w:styleId="121">
    <w:name w:val="font31"/>
    <w:basedOn w:val="50"/>
    <w:autoRedefine/>
    <w:qFormat/>
    <w:uiPriority w:val="0"/>
    <w:rPr>
      <w:rFonts w:ascii="Cambria Math" w:hAnsi="Cambria Math" w:eastAsia="Cambria Math" w:cs="Cambria Math"/>
      <w:color w:val="000000"/>
      <w:sz w:val="18"/>
      <w:szCs w:val="18"/>
      <w:u w:val="none"/>
    </w:rPr>
  </w:style>
  <w:style w:type="character" w:customStyle="1" w:styleId="122">
    <w:name w:val="font21"/>
    <w:basedOn w:val="50"/>
    <w:autoRedefine/>
    <w:qFormat/>
    <w:uiPriority w:val="0"/>
    <w:rPr>
      <w:rFonts w:hint="eastAsia" w:ascii="宋体" w:hAnsi="宋体" w:eastAsia="宋体" w:cs="宋体"/>
      <w:color w:val="000000"/>
      <w:sz w:val="18"/>
      <w:szCs w:val="18"/>
      <w:u w:val="none"/>
    </w:rPr>
  </w:style>
  <w:style w:type="character" w:customStyle="1" w:styleId="123">
    <w:name w:val="font41"/>
    <w:basedOn w:val="50"/>
    <w:autoRedefine/>
    <w:qFormat/>
    <w:uiPriority w:val="0"/>
    <w:rPr>
      <w:rFonts w:ascii="Arial" w:hAnsi="Arial" w:cs="Arial"/>
      <w:color w:val="000000"/>
      <w:sz w:val="18"/>
      <w:szCs w:val="18"/>
      <w:u w:val="none"/>
    </w:rPr>
  </w:style>
  <w:style w:type="character" w:customStyle="1" w:styleId="124">
    <w:name w:val="font51"/>
    <w:basedOn w:val="50"/>
    <w:autoRedefine/>
    <w:qFormat/>
    <w:uiPriority w:val="0"/>
    <w:rPr>
      <w:rFonts w:hint="eastAsia" w:ascii="宋体" w:hAnsi="宋体" w:eastAsia="宋体" w:cs="宋体"/>
      <w:color w:val="000000"/>
      <w:sz w:val="16"/>
      <w:szCs w:val="16"/>
      <w:u w:val="none"/>
    </w:rPr>
  </w:style>
  <w:style w:type="character" w:customStyle="1" w:styleId="125">
    <w:name w:val="font61"/>
    <w:basedOn w:val="50"/>
    <w:autoRedefine/>
    <w:qFormat/>
    <w:uiPriority w:val="0"/>
    <w:rPr>
      <w:rFonts w:ascii="Calibri" w:hAnsi="Calibri" w:cs="Calibri"/>
      <w:color w:val="000000"/>
      <w:sz w:val="16"/>
      <w:szCs w:val="16"/>
      <w:u w:val="none"/>
    </w:rPr>
  </w:style>
  <w:style w:type="character" w:customStyle="1" w:styleId="126">
    <w:name w:val="font71"/>
    <w:basedOn w:val="50"/>
    <w:autoRedefine/>
    <w:qFormat/>
    <w:uiPriority w:val="0"/>
    <w:rPr>
      <w:rFonts w:ascii="Arial" w:hAnsi="Arial" w:cs="Arial"/>
      <w:color w:val="000000"/>
      <w:sz w:val="16"/>
      <w:szCs w:val="16"/>
      <w:u w:val="none"/>
    </w:rPr>
  </w:style>
  <w:style w:type="paragraph" w:customStyle="1" w:styleId="1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8">
    <w:name w:val="font01"/>
    <w:basedOn w:val="50"/>
    <w:autoRedefine/>
    <w:qFormat/>
    <w:uiPriority w:val="0"/>
    <w:rPr>
      <w:rFonts w:hint="eastAsia" w:ascii="宋体" w:hAnsi="宋体" w:eastAsia="宋体" w:cs="宋体"/>
      <w:color w:val="000000"/>
      <w:sz w:val="22"/>
      <w:szCs w:val="22"/>
      <w:u w:val="none"/>
    </w:rPr>
  </w:style>
  <w:style w:type="paragraph" w:customStyle="1" w:styleId="129">
    <w:name w:val="列出段落1"/>
    <w:basedOn w:val="1"/>
    <w:autoRedefine/>
    <w:qFormat/>
    <w:uiPriority w:val="0"/>
    <w:pPr>
      <w:ind w:firstLine="420" w:firstLineChars="200"/>
    </w:pPr>
  </w:style>
  <w:style w:type="paragraph" w:customStyle="1" w:styleId="130">
    <w:name w:val="正文2"/>
    <w:basedOn w:val="1"/>
    <w:autoRedefine/>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106</Pages>
  <Words>21639</Words>
  <Characters>24558</Characters>
  <Lines>453</Lines>
  <Paragraphs>127</Paragraphs>
  <TotalTime>5</TotalTime>
  <ScaleCrop>false</ScaleCrop>
  <LinksUpToDate>false</LinksUpToDate>
  <CharactersWithSpaces>25595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2024-09-19T09:24:00Z</dcterms:created>
  <dc:creator>广西国泰招标</dc:creator>
  <cp:lastModifiedBy>啊榕</cp:lastModifiedBy>
  <cp:lastPrinted>2024-11-04T02:37:00Z</cp:lastPrinted>
  <dcterms:modified xsi:type="dcterms:W3CDTF">2025-06-12T04:47:08Z</dcterms:modified>
  <dc:title>公开招标采购文件范本</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BDDFEE5C49F0407DB91790CD67CE3B62_13</vt:lpwstr>
  </property>
  <property fmtid="{D5CDD505-2E9C-101B-9397-08002B2CF9AE}" pid="4" name="KSOTemplateDocerSaveRecord">
    <vt:lpwstr>eyJoZGlkIjoiYTgyZGNkNzVmY2MwNDkwOTEwYWI1YjliMDkyOGQ4ZDEiLCJ1c2VySWQiOiI3MjM0ODgxNjQifQ==</vt:lpwstr>
  </property>
</Properties>
</file>