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 w:val="left" w:pos="1134"/>
          <w:tab w:val="left" w:pos="1418"/>
        </w:tabs>
        <w:spacing w:line="520" w:lineRule="exact"/>
        <w:rPr>
          <w:rFonts w:hint="eastAsia" w:ascii="黑体" w:hAnsi="黑体" w:eastAsia="黑体" w:cs="仿宋_GB2312"/>
          <w:sz w:val="32"/>
          <w:szCs w:val="32"/>
          <w:lang w:val="en-US" w:eastAsia="zh-CN"/>
        </w:rPr>
      </w:pPr>
      <w:r>
        <w:rPr>
          <w:rFonts w:hint="eastAsia" w:ascii="黑体" w:hAnsi="黑体" w:eastAsia="黑体" w:cs="仿宋_GB2312"/>
          <w:sz w:val="32"/>
          <w:szCs w:val="32"/>
        </w:rPr>
        <w:t>附件</w:t>
      </w:r>
    </w:p>
    <w:p>
      <w:pPr>
        <w:tabs>
          <w:tab w:val="left" w:pos="993"/>
          <w:tab w:val="left" w:pos="1134"/>
          <w:tab w:val="left" w:pos="1418"/>
        </w:tabs>
        <w:spacing w:line="520" w:lineRule="exact"/>
        <w:jc w:val="center"/>
        <w:rPr>
          <w:rFonts w:hint="eastAsia" w:ascii="方正小标宋简体" w:hAnsi="方正小标宋_GBK" w:eastAsia="方正小标宋简体" w:cs="方正小标宋_GBK"/>
          <w:sz w:val="44"/>
          <w:szCs w:val="44"/>
        </w:rPr>
      </w:pPr>
    </w:p>
    <w:p>
      <w:pPr>
        <w:keepNext w:val="0"/>
        <w:keepLines w:val="0"/>
        <w:pageBreakBefore w:val="0"/>
        <w:widowControl w:val="0"/>
        <w:tabs>
          <w:tab w:val="left" w:pos="993"/>
          <w:tab w:val="left" w:pos="1134"/>
          <w:tab w:val="left" w:pos="1418"/>
        </w:tabs>
        <w:kinsoku w:val="0"/>
        <w:wordWrap/>
        <w:overflowPunct w:val="0"/>
        <w:topLinePunct w:val="0"/>
        <w:autoSpaceDE w:val="0"/>
        <w:autoSpaceDN w:val="0"/>
        <w:bidi w:val="0"/>
        <w:adjustRightInd/>
        <w:snapToGrid/>
        <w:spacing w:line="540" w:lineRule="exact"/>
        <w:ind w:left="0" w:leftChars="0" w:right="0" w:rightChars="0"/>
        <w:jc w:val="center"/>
        <w:outlineLvl w:val="9"/>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u w:val="single"/>
          <w:lang w:eastAsia="zh-CN"/>
        </w:rPr>
        <w:t>贺州市平桂区财政局</w:t>
      </w:r>
      <w:r>
        <w:rPr>
          <w:rFonts w:hint="eastAsia" w:ascii="方正小标宋简体" w:hAnsi="方正小标宋_GBK" w:eastAsia="方正小标宋简体" w:cs="方正小标宋_GBK"/>
          <w:sz w:val="44"/>
          <w:szCs w:val="44"/>
          <w:u w:val="single"/>
          <w:lang w:val="en-US" w:eastAsia="zh-CN"/>
        </w:rPr>
        <w:t>2024</w:t>
      </w:r>
      <w:r>
        <w:rPr>
          <w:rFonts w:hint="eastAsia" w:ascii="方正小标宋简体" w:hAnsi="方正小标宋_GBK" w:eastAsia="方正小标宋简体" w:cs="方正小标宋_GBK"/>
          <w:sz w:val="44"/>
          <w:szCs w:val="44"/>
        </w:rPr>
        <w:t>年</w:t>
      </w:r>
      <w:r>
        <w:rPr>
          <w:rFonts w:hint="eastAsia" w:ascii="方正小标宋简体" w:hAnsi="方正小标宋_GBK" w:eastAsia="方正小标宋简体" w:cs="方正小标宋_GBK"/>
          <w:sz w:val="44"/>
          <w:szCs w:val="44"/>
          <w:lang w:val="en-US" w:eastAsia="zh-CN"/>
        </w:rPr>
        <w:t>11月</w:t>
      </w:r>
      <w:r>
        <w:rPr>
          <w:rFonts w:hint="eastAsia" w:ascii="方正小标宋简体" w:hAnsi="方正小标宋_GBK" w:eastAsia="方正小标宋简体" w:cs="方正小标宋_GBK"/>
          <w:sz w:val="44"/>
          <w:szCs w:val="44"/>
        </w:rPr>
        <w:t>（至）</w:t>
      </w:r>
      <w:r>
        <w:rPr>
          <w:rFonts w:hint="eastAsia" w:ascii="方正小标宋简体" w:hAnsi="方正小标宋_GBK" w:eastAsia="方正小标宋简体" w:cs="方正小标宋_GBK"/>
          <w:sz w:val="44"/>
          <w:szCs w:val="44"/>
          <w:lang w:val="en-US" w:eastAsia="zh-CN"/>
        </w:rPr>
        <w:t>12</w:t>
      </w:r>
      <w:r>
        <w:rPr>
          <w:rFonts w:hint="eastAsia" w:ascii="方正小标宋简体" w:hAnsi="方正小标宋_GBK" w:eastAsia="方正小标宋简体" w:cs="方正小标宋_GBK"/>
          <w:sz w:val="44"/>
          <w:szCs w:val="44"/>
        </w:rPr>
        <w:t>月</w:t>
      </w:r>
    </w:p>
    <w:p>
      <w:pPr>
        <w:keepNext w:val="0"/>
        <w:keepLines w:val="0"/>
        <w:pageBreakBefore w:val="0"/>
        <w:widowControl w:val="0"/>
        <w:tabs>
          <w:tab w:val="left" w:pos="993"/>
          <w:tab w:val="left" w:pos="1134"/>
          <w:tab w:val="left" w:pos="1418"/>
        </w:tabs>
        <w:kinsoku w:val="0"/>
        <w:wordWrap/>
        <w:overflowPunct w:val="0"/>
        <w:topLinePunct w:val="0"/>
        <w:autoSpaceDE w:val="0"/>
        <w:autoSpaceDN w:val="0"/>
        <w:bidi w:val="0"/>
        <w:adjustRightInd/>
        <w:snapToGrid/>
        <w:spacing w:line="540" w:lineRule="exact"/>
        <w:ind w:left="0" w:leftChars="0" w:right="0" w:rightChars="0"/>
        <w:jc w:val="center"/>
        <w:outlineLvl w:val="9"/>
        <w:rPr>
          <w:rFonts w:hint="eastAsia" w:ascii="仿宋_GB2312" w:hAnsi="仿宋_GB2312" w:eastAsia="仿宋_GB2312" w:cs="仿宋_GB2312"/>
          <w:sz w:val="32"/>
          <w:szCs w:val="32"/>
        </w:rPr>
      </w:pPr>
      <w:r>
        <w:rPr>
          <w:rFonts w:hint="eastAsia" w:ascii="方正小标宋简体" w:hAnsi="方正小标宋_GBK" w:eastAsia="方正小标宋简体" w:cs="方正小标宋_GBK"/>
          <w:sz w:val="44"/>
          <w:szCs w:val="44"/>
        </w:rPr>
        <w:t>政府采购意向</w:t>
      </w:r>
    </w:p>
    <w:p>
      <w:pPr>
        <w:tabs>
          <w:tab w:val="left" w:pos="993"/>
          <w:tab w:val="left" w:pos="1134"/>
          <w:tab w:val="left" w:pos="1418"/>
        </w:tabs>
        <w:spacing w:line="520" w:lineRule="exact"/>
        <w:jc w:val="center"/>
        <w:rPr>
          <w:rFonts w:hint="eastAsia" w:ascii="方正小标宋简体" w:hAnsi="方正小标宋_GBK" w:eastAsia="方正小标宋简体" w:cs="方正小标宋_GBK"/>
          <w:sz w:val="44"/>
          <w:szCs w:val="44"/>
          <w:lang w:eastAsia="zh-CN"/>
        </w:rPr>
      </w:pPr>
    </w:p>
    <w:p>
      <w:pPr>
        <w:widowControl/>
        <w:tabs>
          <w:tab w:val="left" w:pos="993"/>
          <w:tab w:val="left" w:pos="1134"/>
          <w:tab w:val="left" w:pos="1418"/>
        </w:tabs>
        <w:spacing w:line="520" w:lineRule="exact"/>
        <w:ind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为便于供应商及时了解政府采购信息，根据《财政部关于开展政府采购意向公开工作的通知》（财库〔2020〕10号）</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广西壮族自治区财政厅关于进一步规范政府采购意向公开工作的通知</w:t>
      </w:r>
      <w:r>
        <w:rPr>
          <w:rFonts w:hint="eastAsia" w:ascii="仿宋_GB2312" w:hAnsi="仿宋_GB2312" w:eastAsia="仿宋_GB2312" w:cs="仿宋_GB2312"/>
          <w:sz w:val="32"/>
          <w:szCs w:val="32"/>
          <w:lang w:eastAsia="zh-CN"/>
        </w:rPr>
        <w:t>》（桂财采</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84</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等有关规定，现将</w:t>
      </w:r>
      <w:r>
        <w:rPr>
          <w:rFonts w:hint="eastAsia" w:ascii="仿宋_GB2312" w:hAnsi="仿宋_GB2312" w:eastAsia="仿宋_GB2312" w:cs="仿宋_GB2312"/>
          <w:sz w:val="32"/>
          <w:szCs w:val="32"/>
          <w:u w:val="single"/>
          <w:lang w:eastAsia="zh-CN"/>
        </w:rPr>
        <w:t>贺州市平桂区财政局</w:t>
      </w:r>
      <w:r>
        <w:rPr>
          <w:rFonts w:hint="eastAsia" w:ascii="仿宋_GB2312" w:hAnsi="仿宋_GB2312" w:eastAsia="仿宋_GB2312" w:cs="仿宋_GB2312"/>
          <w:sz w:val="32"/>
          <w:szCs w:val="32"/>
          <w:u w:val="single"/>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11月</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月政府采购意向</w:t>
      </w:r>
      <w:r>
        <w:rPr>
          <w:rFonts w:hint="eastAsia" w:ascii="仿宋_GB2312" w:hAnsi="仿宋_GB2312" w:eastAsia="仿宋_GB2312" w:cs="仿宋_GB2312"/>
          <w:sz w:val="32"/>
          <w:szCs w:val="32"/>
          <w:lang w:eastAsia="zh-CN"/>
        </w:rPr>
        <w:t>公开参考本文</w:t>
      </w:r>
      <w:r>
        <w:rPr>
          <w:rFonts w:hint="eastAsia" w:ascii="仿宋_GB2312" w:hAnsi="仿宋_GB2312" w:eastAsia="仿宋_GB2312" w:cs="仿宋_GB2312"/>
          <w:sz w:val="32"/>
          <w:szCs w:val="32"/>
        </w:rPr>
        <w:t>公开如下：</w:t>
      </w:r>
    </w:p>
    <w:tbl>
      <w:tblPr>
        <w:tblStyle w:val="5"/>
        <w:tblW w:w="8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718"/>
        <w:gridCol w:w="2242"/>
        <w:gridCol w:w="1147"/>
        <w:gridCol w:w="1125"/>
        <w:gridCol w:w="1101"/>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533"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序号</w:t>
            </w:r>
          </w:p>
        </w:tc>
        <w:tc>
          <w:tcPr>
            <w:tcW w:w="1718"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采购项目</w:t>
            </w:r>
          </w:p>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名称</w:t>
            </w:r>
          </w:p>
        </w:tc>
        <w:tc>
          <w:tcPr>
            <w:tcW w:w="2242"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采购需求概况</w:t>
            </w:r>
          </w:p>
        </w:tc>
        <w:tc>
          <w:tcPr>
            <w:tcW w:w="1147"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预算金额</w:t>
            </w:r>
          </w:p>
          <w:p>
            <w:pPr>
              <w:tabs>
                <w:tab w:val="left" w:pos="993"/>
                <w:tab w:val="left" w:pos="1134"/>
                <w:tab w:val="left" w:pos="1418"/>
              </w:tabs>
              <w:spacing w:line="520" w:lineRule="exact"/>
              <w:jc w:val="center"/>
              <w:rPr>
                <w:rFonts w:hint="eastAsia" w:ascii="宋体" w:hAnsi="宋体" w:cs="仿宋_GB2312"/>
                <w:b/>
                <w:bCs/>
                <w:kern w:val="0"/>
                <w:sz w:val="21"/>
                <w:szCs w:val="24"/>
              </w:rPr>
            </w:pPr>
            <w:r>
              <w:rPr>
                <w:rFonts w:hint="eastAsia" w:ascii="宋体" w:hAnsi="宋体" w:cs="仿宋_GB2312"/>
                <w:b/>
                <w:bCs/>
                <w:kern w:val="0"/>
                <w:sz w:val="21"/>
                <w:szCs w:val="24"/>
              </w:rPr>
              <w:t>（万元）</w:t>
            </w: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预计采购时间（填写到月）</w:t>
            </w:r>
          </w:p>
        </w:tc>
        <w:tc>
          <w:tcPr>
            <w:tcW w:w="1101"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520" w:lineRule="exact"/>
              <w:jc w:val="center"/>
              <w:rPr>
                <w:rFonts w:hint="eastAsia" w:ascii="宋体" w:hAnsi="宋体" w:cs="仿宋_GB2312"/>
                <w:b/>
                <w:bCs/>
                <w:kern w:val="0"/>
                <w:sz w:val="21"/>
                <w:szCs w:val="24"/>
              </w:rPr>
            </w:pPr>
            <w:r>
              <w:rPr>
                <w:rFonts w:hint="eastAsia"/>
                <w:b/>
                <w:bCs/>
                <w:sz w:val="21"/>
                <w:szCs w:val="21"/>
              </w:rPr>
              <w:t>落实政府采购政策功能情况</w:t>
            </w:r>
          </w:p>
        </w:tc>
        <w:tc>
          <w:tcPr>
            <w:tcW w:w="1005"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533" w:type="dxa"/>
            <w:tcBorders>
              <w:top w:val="single" w:color="auto" w:sz="4" w:space="0"/>
              <w:left w:val="single" w:color="auto" w:sz="4" w:space="0"/>
              <w:bottom w:val="single" w:color="auto" w:sz="4" w:space="0"/>
              <w:right w:val="single" w:color="auto" w:sz="4" w:space="0"/>
            </w:tcBorders>
            <w:vAlign w:val="top"/>
          </w:tcPr>
          <w:p>
            <w:pPr>
              <w:tabs>
                <w:tab w:val="left" w:pos="993"/>
                <w:tab w:val="left" w:pos="1134"/>
                <w:tab w:val="left" w:pos="1418"/>
              </w:tabs>
              <w:spacing w:line="520" w:lineRule="exact"/>
              <w:jc w:val="center"/>
              <w:rPr>
                <w:rFonts w:hint="eastAsia" w:ascii="仿宋_GB2312" w:hAnsi="仿宋_GB2312" w:eastAsia="仿宋_GB2312" w:cs="仿宋_GB2312"/>
                <w:kern w:val="0"/>
                <w:sz w:val="24"/>
                <w:szCs w:val="32"/>
                <w:lang w:val="en-US" w:eastAsia="zh-CN"/>
              </w:rPr>
            </w:pPr>
            <w:r>
              <w:rPr>
                <w:rFonts w:hint="eastAsia" w:ascii="仿宋_GB2312" w:hAnsi="仿宋_GB2312" w:eastAsia="仿宋_GB2312" w:cs="仿宋_GB2312"/>
                <w:kern w:val="0"/>
                <w:sz w:val="24"/>
                <w:szCs w:val="32"/>
                <w:lang w:val="en-US" w:eastAsia="zh-CN"/>
              </w:rPr>
              <w:t>1</w:t>
            </w:r>
          </w:p>
        </w:tc>
        <w:tc>
          <w:tcPr>
            <w:tcW w:w="1718" w:type="dxa"/>
            <w:tcBorders>
              <w:top w:val="single" w:color="auto" w:sz="4" w:space="0"/>
              <w:left w:val="single" w:color="auto" w:sz="4" w:space="0"/>
              <w:bottom w:val="single" w:color="auto" w:sz="4" w:space="0"/>
              <w:right w:val="single" w:color="auto" w:sz="4" w:space="0"/>
            </w:tcBorders>
            <w:vAlign w:val="top"/>
          </w:tcPr>
          <w:p>
            <w:pPr>
              <w:tabs>
                <w:tab w:val="left" w:pos="993"/>
                <w:tab w:val="left" w:pos="1134"/>
                <w:tab w:val="left" w:pos="1418"/>
              </w:tabs>
              <w:spacing w:line="520" w:lineRule="exact"/>
              <w:jc w:val="left"/>
              <w:rPr>
                <w:rFonts w:hint="eastAsia" w:ascii="仿宋_GB2312" w:hAnsi="仿宋_GB2312" w:eastAsia="仿宋_GB2312" w:cs="仿宋_GB2312"/>
                <w:kern w:val="0"/>
                <w:sz w:val="24"/>
                <w:szCs w:val="32"/>
                <w:lang w:val="en-US" w:eastAsia="zh-CN"/>
              </w:rPr>
            </w:pPr>
            <w:r>
              <w:rPr>
                <w:rFonts w:hint="eastAsia" w:ascii="仿宋_GB2312" w:hAnsi="仿宋_GB2312" w:eastAsia="仿宋_GB2312" w:cs="仿宋_GB2312"/>
                <w:kern w:val="0"/>
                <w:sz w:val="24"/>
                <w:szCs w:val="32"/>
                <w:lang w:val="en-US" w:eastAsia="zh-CN"/>
              </w:rPr>
              <w:t>平桂区羊头镇2024年农村公共服务运行维护机制建设试点项目（第二批）</w:t>
            </w:r>
          </w:p>
        </w:tc>
        <w:tc>
          <w:tcPr>
            <w:tcW w:w="2242" w:type="dxa"/>
            <w:tcBorders>
              <w:top w:val="single" w:color="auto" w:sz="4" w:space="0"/>
              <w:left w:val="single" w:color="auto" w:sz="4" w:space="0"/>
              <w:bottom w:val="single" w:color="auto" w:sz="4" w:space="0"/>
              <w:right w:val="single" w:color="auto" w:sz="4" w:space="0"/>
            </w:tcBorders>
            <w:vAlign w:val="top"/>
          </w:tcPr>
          <w:p>
            <w:pPr>
              <w:tabs>
                <w:tab w:val="left" w:pos="993"/>
                <w:tab w:val="left" w:pos="1134"/>
                <w:tab w:val="left" w:pos="1418"/>
              </w:tabs>
              <w:spacing w:line="520" w:lineRule="exact"/>
              <w:rPr>
                <w:rFonts w:hint="eastAsia" w:ascii="仿宋_GB2312" w:hAnsi="仿宋_GB2312" w:eastAsia="仿宋_GB2312" w:cs="仿宋_GB2312"/>
                <w:kern w:val="0"/>
                <w:sz w:val="24"/>
                <w:szCs w:val="32"/>
                <w:lang w:val="en-US" w:eastAsia="zh-CN"/>
              </w:rPr>
            </w:pPr>
            <w:r>
              <w:rPr>
                <w:rFonts w:hint="eastAsia" w:ascii="仿宋_GB2312" w:hAnsi="仿宋_GB2312" w:eastAsia="仿宋_GB2312" w:cs="仿宋_GB2312"/>
                <w:kern w:val="0"/>
                <w:sz w:val="24"/>
                <w:szCs w:val="32"/>
                <w:lang w:val="en-US" w:eastAsia="zh-CN"/>
              </w:rPr>
              <w:t>道路硬化、公共场地设施、水渠、挡墙塌方等维修维护。</w:t>
            </w:r>
          </w:p>
        </w:tc>
        <w:tc>
          <w:tcPr>
            <w:tcW w:w="1147" w:type="dxa"/>
            <w:tcBorders>
              <w:top w:val="single" w:color="auto" w:sz="4" w:space="0"/>
              <w:left w:val="single" w:color="auto" w:sz="4" w:space="0"/>
              <w:bottom w:val="single" w:color="auto" w:sz="4" w:space="0"/>
              <w:right w:val="single" w:color="auto" w:sz="4" w:space="0"/>
            </w:tcBorders>
            <w:vAlign w:val="top"/>
          </w:tcPr>
          <w:p>
            <w:pPr>
              <w:tabs>
                <w:tab w:val="left" w:pos="993"/>
                <w:tab w:val="left" w:pos="1134"/>
                <w:tab w:val="left" w:pos="1418"/>
              </w:tabs>
              <w:spacing w:line="520" w:lineRule="exact"/>
              <w:rPr>
                <w:rFonts w:hint="eastAsia" w:ascii="仿宋_GB2312" w:hAnsi="仿宋_GB2312" w:eastAsia="仿宋_GB2312" w:cs="仿宋_GB2312"/>
                <w:kern w:val="0"/>
                <w:sz w:val="24"/>
                <w:szCs w:val="32"/>
                <w:lang w:val="en-US" w:eastAsia="zh-CN"/>
              </w:rPr>
            </w:pPr>
            <w:r>
              <w:rPr>
                <w:rFonts w:hint="eastAsia" w:ascii="仿宋_GB2312" w:hAnsi="仿宋_GB2312" w:eastAsia="仿宋_GB2312" w:cs="仿宋_GB2312"/>
                <w:kern w:val="0"/>
                <w:sz w:val="24"/>
                <w:szCs w:val="32"/>
                <w:lang w:val="en-US" w:eastAsia="zh-CN"/>
              </w:rPr>
              <w:t>288</w:t>
            </w:r>
            <w:bookmarkStart w:id="0" w:name="_GoBack"/>
            <w:bookmarkEnd w:id="0"/>
          </w:p>
        </w:tc>
        <w:tc>
          <w:tcPr>
            <w:tcW w:w="1125" w:type="dxa"/>
            <w:tcBorders>
              <w:top w:val="single" w:color="auto" w:sz="4" w:space="0"/>
              <w:left w:val="single" w:color="auto" w:sz="4" w:space="0"/>
              <w:bottom w:val="single" w:color="auto" w:sz="4" w:space="0"/>
              <w:right w:val="single" w:color="auto" w:sz="4" w:space="0"/>
            </w:tcBorders>
            <w:vAlign w:val="top"/>
          </w:tcPr>
          <w:p>
            <w:pPr>
              <w:tabs>
                <w:tab w:val="left" w:pos="993"/>
                <w:tab w:val="left" w:pos="1134"/>
                <w:tab w:val="left" w:pos="1418"/>
              </w:tabs>
              <w:spacing w:line="520" w:lineRule="exact"/>
              <w:rPr>
                <w:rFonts w:hint="eastAsia" w:ascii="仿宋_GB2312" w:hAnsi="仿宋_GB2312" w:eastAsia="仿宋_GB2312" w:cs="仿宋_GB2312"/>
                <w:kern w:val="0"/>
                <w:sz w:val="24"/>
                <w:szCs w:val="32"/>
                <w:lang w:val="en-US" w:eastAsia="zh-CN"/>
              </w:rPr>
            </w:pPr>
            <w:r>
              <w:rPr>
                <w:rFonts w:hint="eastAsia" w:ascii="仿宋_GB2312" w:hAnsi="仿宋_GB2312" w:eastAsia="仿宋_GB2312" w:cs="仿宋_GB2312"/>
                <w:kern w:val="0"/>
                <w:sz w:val="24"/>
                <w:szCs w:val="32"/>
                <w:lang w:val="en-US" w:eastAsia="zh-CN"/>
              </w:rPr>
              <w:t>2024年12月</w:t>
            </w:r>
          </w:p>
        </w:tc>
        <w:tc>
          <w:tcPr>
            <w:tcW w:w="1101" w:type="dxa"/>
            <w:tcBorders>
              <w:top w:val="single" w:color="auto" w:sz="4" w:space="0"/>
              <w:left w:val="single" w:color="auto" w:sz="4" w:space="0"/>
              <w:bottom w:val="single" w:color="auto" w:sz="4" w:space="0"/>
              <w:right w:val="single" w:color="auto" w:sz="4" w:space="0"/>
            </w:tcBorders>
            <w:vAlign w:val="top"/>
          </w:tcPr>
          <w:p>
            <w:pPr>
              <w:tabs>
                <w:tab w:val="left" w:pos="993"/>
                <w:tab w:val="left" w:pos="1134"/>
                <w:tab w:val="left" w:pos="1418"/>
              </w:tabs>
              <w:spacing w:line="520" w:lineRule="exact"/>
              <w:rPr>
                <w:rFonts w:ascii="仿宋_GB2312" w:hAnsi="仿宋_GB2312" w:eastAsia="仿宋_GB2312" w:cs="仿宋_GB2312"/>
                <w:kern w:val="0"/>
                <w:sz w:val="24"/>
                <w:szCs w:val="32"/>
              </w:rPr>
            </w:pPr>
          </w:p>
        </w:tc>
        <w:tc>
          <w:tcPr>
            <w:tcW w:w="1005" w:type="dxa"/>
            <w:tcBorders>
              <w:top w:val="single" w:color="auto" w:sz="4" w:space="0"/>
              <w:left w:val="single" w:color="auto" w:sz="4" w:space="0"/>
              <w:bottom w:val="single" w:color="auto" w:sz="4" w:space="0"/>
              <w:right w:val="single" w:color="auto" w:sz="4" w:space="0"/>
            </w:tcBorders>
            <w:vAlign w:val="top"/>
          </w:tcPr>
          <w:p>
            <w:pPr>
              <w:tabs>
                <w:tab w:val="left" w:pos="993"/>
                <w:tab w:val="left" w:pos="1134"/>
                <w:tab w:val="left" w:pos="1418"/>
              </w:tabs>
              <w:spacing w:line="520" w:lineRule="exact"/>
              <w:rPr>
                <w:rFonts w:ascii="仿宋_GB2312" w:hAnsi="仿宋_GB2312" w:eastAsia="仿宋_GB2312" w:cs="仿宋_GB2312"/>
                <w:kern w:val="0"/>
                <w:sz w:val="24"/>
                <w:szCs w:val="32"/>
              </w:rPr>
            </w:pPr>
          </w:p>
        </w:tc>
      </w:tr>
    </w:tbl>
    <w:p>
      <w:pPr>
        <w:tabs>
          <w:tab w:val="left" w:pos="993"/>
          <w:tab w:val="left" w:pos="1134"/>
          <w:tab w:val="left" w:pos="1418"/>
        </w:tabs>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本次公开的政府采购意向是本单位政府采购工作的初步安排，具体采购项目情况以相关采购公告和采购文件为准。</w:t>
      </w:r>
    </w:p>
    <w:p>
      <w:pPr>
        <w:tabs>
          <w:tab w:val="left" w:pos="993"/>
          <w:tab w:val="left" w:pos="1134"/>
          <w:tab w:val="left" w:pos="1418"/>
        </w:tabs>
        <w:spacing w:line="540" w:lineRule="exact"/>
        <w:ind w:firstLine="960" w:firstLineChars="300"/>
        <w:jc w:val="right"/>
        <w:rPr>
          <w:rFonts w:hint="eastAsia" w:ascii="仿宋_GB2312" w:hAnsi="仿宋_GB2312" w:eastAsia="仿宋_GB2312" w:cs="仿宋_GB2312"/>
          <w:sz w:val="32"/>
          <w:szCs w:val="32"/>
        </w:rPr>
      </w:pPr>
    </w:p>
    <w:p>
      <w:pPr>
        <w:tabs>
          <w:tab w:val="left" w:pos="993"/>
          <w:tab w:val="left" w:pos="1134"/>
          <w:tab w:val="left" w:pos="1418"/>
        </w:tabs>
        <w:spacing w:line="540" w:lineRule="exact"/>
        <w:ind w:firstLine="960" w:firstLine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贺州市平桂区财政局</w:t>
      </w:r>
    </w:p>
    <w:p>
      <w:pPr>
        <w:tabs>
          <w:tab w:val="left" w:pos="993"/>
          <w:tab w:val="left" w:pos="1134"/>
          <w:tab w:val="left" w:pos="1418"/>
        </w:tabs>
        <w:spacing w:line="540" w:lineRule="exact"/>
        <w:ind w:right="480" w:firstLine="960" w:firstLineChars="300"/>
        <w:jc w:val="right"/>
      </w:pPr>
      <w:r>
        <w:rPr>
          <w:rFonts w:hint="eastAsia" w:ascii="仿宋_GB2312" w:hAnsi="仿宋_GB2312" w:eastAsia="仿宋_GB2312" w:cs="仿宋_GB2312"/>
          <w:sz w:val="32"/>
          <w:szCs w:val="32"/>
          <w:lang w:val="en-US" w:eastAsia="zh-CN"/>
        </w:rPr>
        <w:t xml:space="preserve">              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 xml:space="preserve"> 日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3"/>
                    </w:pPr>
                    <w: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35FDC"/>
    <w:rsid w:val="0BF42D68"/>
    <w:rsid w:val="13435FDC"/>
    <w:rsid w:val="1FFA307B"/>
    <w:rsid w:val="2EC14A92"/>
    <w:rsid w:val="316B5D10"/>
    <w:rsid w:val="34295F68"/>
    <w:rsid w:val="405B4282"/>
    <w:rsid w:val="44F83DA1"/>
    <w:rsid w:val="6B733821"/>
    <w:rsid w:val="6E147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样式 0正文 + 首行缩进:  2 字符1"/>
    <w:basedOn w:val="1"/>
    <w:qFormat/>
    <w:uiPriority w:val="0"/>
    <w:pPr>
      <w:spacing w:line="360" w:lineRule="auto"/>
      <w:ind w:firstLine="200" w:firstLineChars="200"/>
    </w:pPr>
    <w:rPr>
      <w:sz w:val="28"/>
      <w:szCs w:val="28"/>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2023-06-13T07:52:00Z</dcterms:created>
  <dc:creator>LXDN</dc:creator>
  <cp:lastModifiedBy>Administrator</cp:lastModifiedBy>
  <dcterms:modified xsi:type="dcterms:W3CDTF">2024-11-14T02:48:10Z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