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pPr>
      <w:r>
        <w:rPr>
          <w:rFonts w:hint="eastAsia"/>
        </w:rPr>
        <w:t>目  录</w:t>
      </w:r>
    </w:p>
    <w:p>
      <w:pPr>
        <w:pStyle w:val="19"/>
        <w:spacing w:line="480" w:lineRule="exact"/>
        <w:ind w:firstLine="0" w:firstLineChars="0"/>
        <w:rPr>
          <w:rFonts w:asciiTheme="minorHAnsi" w:hAnsiTheme="minorHAnsi" w:eastAsiaTheme="minorEastAsia" w:cstheme="minorBidi"/>
          <w:b w:val="0"/>
          <w:sz w:val="20"/>
          <w:szCs w:val="22"/>
        </w:rPr>
      </w:pPr>
      <w:r>
        <w:rPr>
          <w:rFonts w:asciiTheme="minorEastAsia" w:hAnsiTheme="minorEastAsia" w:eastAsiaTheme="minorEastAsia"/>
          <w:sz w:val="22"/>
        </w:rPr>
        <w:fldChar w:fldCharType="begin"/>
      </w:r>
      <w:r>
        <w:rPr>
          <w:rFonts w:asciiTheme="minorEastAsia" w:hAnsiTheme="minorEastAsia" w:eastAsiaTheme="minorEastAsia"/>
          <w:sz w:val="22"/>
        </w:rPr>
        <w:instrText xml:space="preserve"> </w:instrText>
      </w:r>
      <w:r>
        <w:rPr>
          <w:rFonts w:hint="eastAsia" w:asciiTheme="minorEastAsia" w:hAnsiTheme="minorEastAsia" w:eastAsiaTheme="minorEastAsia"/>
          <w:sz w:val="22"/>
        </w:rPr>
        <w:instrText xml:space="preserve">TOC \o "1-2" \h \z \u</w:instrText>
      </w:r>
      <w:r>
        <w:rPr>
          <w:rFonts w:asciiTheme="minorEastAsia" w:hAnsiTheme="minorEastAsia" w:eastAsiaTheme="minorEastAsia"/>
          <w:sz w:val="22"/>
        </w:rPr>
        <w:instrText xml:space="preserve"> </w:instrText>
      </w:r>
      <w:r>
        <w:rPr>
          <w:rFonts w:asciiTheme="minorEastAsia" w:hAnsiTheme="minorEastAsia" w:eastAsiaTheme="minorEastAsia"/>
          <w:sz w:val="22"/>
        </w:rPr>
        <w:fldChar w:fldCharType="separate"/>
      </w:r>
      <w:r>
        <w:fldChar w:fldCharType="begin"/>
      </w:r>
      <w:r>
        <w:instrText xml:space="preserve"> HYPERLINK \l "_Toc169616861" </w:instrText>
      </w:r>
      <w:r>
        <w:fldChar w:fldCharType="separate"/>
      </w:r>
      <w:r>
        <w:rPr>
          <w:rStyle w:val="35"/>
          <w:rFonts w:ascii="黑体" w:hAnsi="黑体" w:eastAsia="黑体" w:cs="黑体"/>
          <w:color w:val="auto"/>
          <w:sz w:val="24"/>
        </w:rPr>
        <w:t>第1章  总  论</w:t>
      </w:r>
      <w:r>
        <w:rPr>
          <w:sz w:val="24"/>
        </w:rPr>
        <w:tab/>
      </w:r>
      <w:r>
        <w:rPr>
          <w:sz w:val="24"/>
        </w:rPr>
        <w:fldChar w:fldCharType="begin"/>
      </w:r>
      <w:r>
        <w:rPr>
          <w:sz w:val="24"/>
        </w:rPr>
        <w:instrText xml:space="preserve"> PAGEREF _Toc169616861 \h </w:instrText>
      </w:r>
      <w:r>
        <w:rPr>
          <w:sz w:val="24"/>
        </w:rPr>
        <w:fldChar w:fldCharType="separate"/>
      </w:r>
      <w:r>
        <w:rPr>
          <w:sz w:val="24"/>
        </w:rPr>
        <w:t>1</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"_Toc169616862" </w:instrText>
      </w:r>
      <w:r>
        <w:fldChar w:fldCharType="separate"/>
      </w:r>
      <w:r>
        <w:rPr>
          <w:rStyle w:val="35"/>
          <w:rFonts w:ascii="黑体" w:hAnsi="黑体" w:eastAsia="黑体" w:cs="黑体"/>
          <w:color w:val="auto"/>
          <w:sz w:val="24"/>
        </w:rPr>
        <w:t>1.1项目概况</w:t>
      </w:r>
      <w:r>
        <w:rPr>
          <w:sz w:val="24"/>
        </w:rPr>
        <w:tab/>
      </w:r>
      <w:r>
        <w:rPr>
          <w:sz w:val="24"/>
        </w:rPr>
        <w:fldChar w:fldCharType="begin"/>
      </w:r>
      <w:r>
        <w:rPr>
          <w:sz w:val="24"/>
        </w:rPr>
        <w:instrText xml:space="preserve"> PAGEREF _Toc169616862 \h </w:instrText>
      </w:r>
      <w:r>
        <w:rPr>
          <w:sz w:val="24"/>
        </w:rPr>
        <w:fldChar w:fldCharType="separate"/>
      </w:r>
      <w:r>
        <w:rPr>
          <w:sz w:val="24"/>
        </w:rPr>
        <w:t>1</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"_Toc169616863" </w:instrText>
      </w:r>
      <w:r>
        <w:fldChar w:fldCharType="separate"/>
      </w:r>
      <w:r>
        <w:rPr>
          <w:rStyle w:val="35"/>
          <w:rFonts w:ascii="黑体" w:hAnsi="黑体" w:eastAsia="黑体" w:cs="黑体"/>
          <w:color w:val="auto"/>
          <w:sz w:val="24"/>
        </w:rPr>
        <w:t>1.2项目单位概况</w:t>
      </w:r>
      <w:r>
        <w:rPr>
          <w:sz w:val="24"/>
        </w:rPr>
        <w:tab/>
      </w:r>
      <w:r>
        <w:rPr>
          <w:sz w:val="24"/>
        </w:rPr>
        <w:fldChar w:fldCharType="begin"/>
      </w:r>
      <w:r>
        <w:rPr>
          <w:sz w:val="24"/>
        </w:rPr>
        <w:instrText xml:space="preserve"> PAGEREF _Toc169616863 \h </w:instrText>
      </w:r>
      <w:r>
        <w:rPr>
          <w:sz w:val="24"/>
        </w:rPr>
        <w:fldChar w:fldCharType="separate"/>
      </w:r>
      <w:r>
        <w:rPr>
          <w:sz w:val="24"/>
        </w:rPr>
        <w:t>2</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"_Toc169616864" </w:instrText>
      </w:r>
      <w:r>
        <w:fldChar w:fldCharType="separate"/>
      </w:r>
      <w:r>
        <w:rPr>
          <w:rStyle w:val="35"/>
          <w:rFonts w:ascii="黑体" w:hAnsi="黑体" w:eastAsia="黑体" w:cs="黑体"/>
          <w:color w:val="auto"/>
          <w:sz w:val="24"/>
        </w:rPr>
        <w:t>1.3项目编制依据</w:t>
      </w:r>
      <w:r>
        <w:rPr>
          <w:sz w:val="24"/>
        </w:rPr>
        <w:tab/>
      </w:r>
      <w:r>
        <w:rPr>
          <w:sz w:val="24"/>
        </w:rPr>
        <w:fldChar w:fldCharType="begin"/>
      </w:r>
      <w:r>
        <w:rPr>
          <w:sz w:val="24"/>
        </w:rPr>
        <w:instrText xml:space="preserve"> PAGEREF _Toc169616864 \h </w:instrText>
      </w:r>
      <w:r>
        <w:rPr>
          <w:sz w:val="24"/>
        </w:rPr>
        <w:fldChar w:fldCharType="separate"/>
      </w:r>
      <w:r>
        <w:rPr>
          <w:sz w:val="24"/>
        </w:rPr>
        <w:t>2</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"_Toc169616865" </w:instrText>
      </w:r>
      <w:r>
        <w:fldChar w:fldCharType="separate"/>
      </w:r>
      <w:r>
        <w:rPr>
          <w:rStyle w:val="35"/>
          <w:rFonts w:ascii="黑体" w:hAnsi="黑体" w:eastAsia="黑体" w:cs="黑体"/>
          <w:color w:val="auto"/>
          <w:sz w:val="24"/>
        </w:rPr>
        <w:t>1.4研究工作概况及研究范围</w:t>
      </w:r>
      <w:r>
        <w:rPr>
          <w:sz w:val="24"/>
        </w:rPr>
        <w:tab/>
      </w:r>
      <w:r>
        <w:rPr>
          <w:sz w:val="24"/>
        </w:rPr>
        <w:fldChar w:fldCharType="begin"/>
      </w:r>
      <w:r>
        <w:rPr>
          <w:sz w:val="24"/>
        </w:rPr>
        <w:instrText xml:space="preserve"> PAGEREF _Toc169616865 \h </w:instrText>
      </w:r>
      <w:r>
        <w:rPr>
          <w:sz w:val="24"/>
        </w:rPr>
        <w:fldChar w:fldCharType="separate"/>
      </w:r>
      <w:r>
        <w:rPr>
          <w:sz w:val="24"/>
        </w:rPr>
        <w:t>6</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"_Toc169616866" </w:instrText>
      </w:r>
      <w:r>
        <w:fldChar w:fldCharType="separate"/>
      </w:r>
      <w:r>
        <w:rPr>
          <w:rStyle w:val="35"/>
          <w:rFonts w:ascii="黑体" w:hAnsi="黑体" w:eastAsia="黑体" w:cs="黑体"/>
          <w:color w:val="auto"/>
          <w:sz w:val="24"/>
        </w:rPr>
        <w:t>1.5主要建设内容及规模</w:t>
      </w:r>
      <w:r>
        <w:rPr>
          <w:sz w:val="24"/>
        </w:rPr>
        <w:tab/>
      </w:r>
      <w:r>
        <w:rPr>
          <w:sz w:val="24"/>
        </w:rPr>
        <w:fldChar w:fldCharType="begin"/>
      </w:r>
      <w:r>
        <w:rPr>
          <w:sz w:val="24"/>
        </w:rPr>
        <w:instrText xml:space="preserve"> PAGEREF _Toc169616866 \h </w:instrText>
      </w:r>
      <w:r>
        <w:rPr>
          <w:sz w:val="24"/>
        </w:rPr>
        <w:fldChar w:fldCharType="separate"/>
      </w:r>
      <w:r>
        <w:rPr>
          <w:sz w:val="24"/>
        </w:rPr>
        <w:t>6</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"_Toc169616867" </w:instrText>
      </w:r>
      <w:r>
        <w:fldChar w:fldCharType="separate"/>
      </w:r>
      <w:r>
        <w:rPr>
          <w:rStyle w:val="35"/>
          <w:rFonts w:ascii="黑体" w:hAnsi="黑体" w:eastAsia="黑体" w:cs="黑体"/>
          <w:color w:val="auto"/>
          <w:sz w:val="24"/>
        </w:rPr>
        <w:t>1.6工程总投资及资金筹措</w:t>
      </w:r>
      <w:r>
        <w:rPr>
          <w:sz w:val="24"/>
        </w:rPr>
        <w:tab/>
      </w:r>
      <w:r>
        <w:rPr>
          <w:sz w:val="24"/>
        </w:rPr>
        <w:fldChar w:fldCharType="begin"/>
      </w:r>
      <w:r>
        <w:rPr>
          <w:sz w:val="24"/>
        </w:rPr>
        <w:instrText xml:space="preserve"> PAGEREF _Toc169616867 \h </w:instrText>
      </w:r>
      <w:r>
        <w:rPr>
          <w:sz w:val="24"/>
        </w:rPr>
        <w:fldChar w:fldCharType="separate"/>
      </w:r>
      <w:r>
        <w:rPr>
          <w:sz w:val="24"/>
        </w:rPr>
        <w:t>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"_Toc169616868" </w:instrText>
      </w:r>
      <w:r>
        <w:fldChar w:fldCharType="separate"/>
      </w:r>
      <w:r>
        <w:rPr>
          <w:rStyle w:val="35"/>
          <w:rFonts w:ascii="黑体" w:hAnsi="黑体" w:eastAsia="黑体" w:cs="黑体"/>
          <w:color w:val="auto"/>
          <w:sz w:val="24"/>
        </w:rPr>
        <w:t>1.7主要技术经济指标</w:t>
      </w:r>
      <w:r>
        <w:rPr>
          <w:sz w:val="24"/>
        </w:rPr>
        <w:tab/>
      </w:r>
      <w:r>
        <w:rPr>
          <w:sz w:val="24"/>
        </w:rPr>
        <w:fldChar w:fldCharType="begin"/>
      </w:r>
      <w:r>
        <w:rPr>
          <w:sz w:val="24"/>
        </w:rPr>
        <w:instrText xml:space="preserve"> PAGEREF _Toc169616868 \h </w:instrText>
      </w:r>
      <w:r>
        <w:rPr>
          <w:sz w:val="24"/>
        </w:rPr>
        <w:fldChar w:fldCharType="separate"/>
      </w:r>
      <w:r>
        <w:rPr>
          <w:sz w:val="24"/>
        </w:rPr>
        <w:t>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"_Toc169616869" </w:instrText>
      </w:r>
      <w:r>
        <w:fldChar w:fldCharType="separate"/>
      </w:r>
      <w:r>
        <w:rPr>
          <w:rStyle w:val="35"/>
          <w:rFonts w:ascii="黑体" w:hAnsi="黑体" w:eastAsia="黑体" w:cs="黑体"/>
          <w:color w:val="auto"/>
          <w:sz w:val="24"/>
        </w:rPr>
        <w:t>1.8结论与建议</w:t>
      </w:r>
      <w:r>
        <w:rPr>
          <w:sz w:val="24"/>
        </w:rPr>
        <w:tab/>
      </w:r>
      <w:r>
        <w:rPr>
          <w:sz w:val="24"/>
        </w:rPr>
        <w:fldChar w:fldCharType="begin"/>
      </w:r>
      <w:r>
        <w:rPr>
          <w:sz w:val="24"/>
        </w:rPr>
        <w:instrText xml:space="preserve"> PAGEREF _Toc169616869 \h </w:instrText>
      </w:r>
      <w:r>
        <w:rPr>
          <w:sz w:val="24"/>
        </w:rPr>
        <w:fldChar w:fldCharType="separate"/>
      </w:r>
      <w:r>
        <w:rPr>
          <w:sz w:val="24"/>
        </w:rPr>
        <w:t>8</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"_Toc169616870" </w:instrText>
      </w:r>
      <w:r>
        <w:fldChar w:fldCharType="separate"/>
      </w:r>
      <w:r>
        <w:rPr>
          <w:rStyle w:val="35"/>
          <w:rFonts w:ascii="黑体" w:hAnsi="黑体" w:eastAsia="黑体" w:cs="黑体"/>
          <w:color w:val="auto"/>
          <w:sz w:val="24"/>
        </w:rPr>
        <w:t>第2章  项目建设的背景及必要性</w:t>
      </w:r>
      <w:r>
        <w:rPr>
          <w:sz w:val="24"/>
        </w:rPr>
        <w:tab/>
      </w:r>
      <w:r>
        <w:rPr>
          <w:sz w:val="24"/>
        </w:rPr>
        <w:fldChar w:fldCharType="begin"/>
      </w:r>
      <w:r>
        <w:rPr>
          <w:sz w:val="24"/>
        </w:rPr>
        <w:instrText xml:space="preserve"> PAGEREF _Toc169616870 \h </w:instrText>
      </w:r>
      <w:r>
        <w:rPr>
          <w:sz w:val="24"/>
        </w:rPr>
        <w:fldChar w:fldCharType="separate"/>
      </w:r>
      <w:r>
        <w:rPr>
          <w:sz w:val="24"/>
        </w:rPr>
        <w:t>10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"_Toc169616871" </w:instrText>
      </w:r>
      <w:r>
        <w:fldChar w:fldCharType="separate"/>
      </w:r>
      <w:r>
        <w:rPr>
          <w:rStyle w:val="35"/>
          <w:rFonts w:ascii="黑体" w:hAnsi="黑体" w:eastAsia="黑体" w:cs="黑体"/>
          <w:color w:val="auto"/>
          <w:sz w:val="24"/>
        </w:rPr>
        <w:t>2.1项目建设背景</w:t>
      </w:r>
      <w:r>
        <w:rPr>
          <w:sz w:val="24"/>
        </w:rPr>
        <w:tab/>
      </w:r>
      <w:r>
        <w:rPr>
          <w:sz w:val="24"/>
        </w:rPr>
        <w:fldChar w:fldCharType="begin"/>
      </w:r>
      <w:r>
        <w:rPr>
          <w:sz w:val="24"/>
        </w:rPr>
        <w:instrText xml:space="preserve"> PAGEREF _Toc169616871 \h </w:instrText>
      </w:r>
      <w:r>
        <w:rPr>
          <w:sz w:val="24"/>
        </w:rPr>
        <w:fldChar w:fldCharType="separate"/>
      </w:r>
      <w:r>
        <w:rPr>
          <w:sz w:val="24"/>
        </w:rPr>
        <w:t>10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"_Toc169616872" </w:instrText>
      </w:r>
      <w:r>
        <w:fldChar w:fldCharType="separate"/>
      </w:r>
      <w:r>
        <w:rPr>
          <w:rStyle w:val="35"/>
          <w:rFonts w:ascii="黑体" w:hAnsi="黑体" w:eastAsia="黑体" w:cs="黑体"/>
          <w:color w:val="auto"/>
          <w:sz w:val="24"/>
        </w:rPr>
        <w:t>2.2规划政策符合性</w:t>
      </w:r>
      <w:r>
        <w:rPr>
          <w:sz w:val="24"/>
        </w:rPr>
        <w:tab/>
      </w:r>
      <w:r>
        <w:rPr>
          <w:sz w:val="24"/>
        </w:rPr>
        <w:fldChar w:fldCharType="begin"/>
      </w:r>
      <w:r>
        <w:rPr>
          <w:sz w:val="24"/>
        </w:rPr>
        <w:instrText xml:space="preserve"> PAGEREF _Toc169616872 \h </w:instrText>
      </w:r>
      <w:r>
        <w:rPr>
          <w:sz w:val="24"/>
        </w:rPr>
        <w:fldChar w:fldCharType="separate"/>
      </w:r>
      <w:r>
        <w:rPr>
          <w:sz w:val="24"/>
        </w:rPr>
        <w:t>15</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"_Toc169616873" </w:instrText>
      </w:r>
      <w:r>
        <w:fldChar w:fldCharType="separate"/>
      </w:r>
      <w:r>
        <w:rPr>
          <w:rStyle w:val="35"/>
          <w:rFonts w:ascii="黑体" w:hAnsi="黑体" w:eastAsia="黑体" w:cs="黑体"/>
          <w:color w:val="auto"/>
          <w:sz w:val="24"/>
        </w:rPr>
        <w:t>2.3项目建设的必要性</w:t>
      </w:r>
      <w:r>
        <w:rPr>
          <w:sz w:val="24"/>
        </w:rPr>
        <w:tab/>
      </w:r>
      <w:r>
        <w:rPr>
          <w:sz w:val="24"/>
        </w:rPr>
        <w:fldChar w:fldCharType="begin"/>
      </w:r>
      <w:r>
        <w:rPr>
          <w:sz w:val="24"/>
        </w:rPr>
        <w:instrText xml:space="preserve"> PAGEREF _Toc169616873 \h </w:instrText>
      </w:r>
      <w:r>
        <w:rPr>
          <w:sz w:val="24"/>
        </w:rPr>
        <w:fldChar w:fldCharType="separate"/>
      </w:r>
      <w:r>
        <w:rPr>
          <w:sz w:val="24"/>
        </w:rPr>
        <w:t>17</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"_Toc169616874" </w:instrText>
      </w:r>
      <w:r>
        <w:fldChar w:fldCharType="separate"/>
      </w:r>
      <w:r>
        <w:rPr>
          <w:rStyle w:val="35"/>
          <w:rFonts w:ascii="黑体" w:hAnsi="黑体" w:eastAsia="黑体" w:cs="黑体"/>
          <w:color w:val="auto"/>
          <w:sz w:val="24"/>
        </w:rPr>
        <w:t>第3章  项目需求分析与产出方案</w:t>
      </w:r>
      <w:r>
        <w:rPr>
          <w:sz w:val="24"/>
        </w:rPr>
        <w:tab/>
      </w:r>
      <w:r>
        <w:rPr>
          <w:sz w:val="24"/>
        </w:rPr>
        <w:fldChar w:fldCharType="begin"/>
      </w:r>
      <w:r>
        <w:rPr>
          <w:sz w:val="24"/>
        </w:rPr>
        <w:instrText xml:space="preserve"> PAGEREF _Toc169616874 \h </w:instrText>
      </w:r>
      <w:r>
        <w:rPr>
          <w:sz w:val="24"/>
        </w:rPr>
        <w:fldChar w:fldCharType="separate"/>
      </w:r>
      <w:r>
        <w:rPr>
          <w:sz w:val="24"/>
        </w:rPr>
        <w:t>20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"_Toc169616875" </w:instrText>
      </w:r>
      <w:r>
        <w:fldChar w:fldCharType="separate"/>
      </w:r>
      <w:r>
        <w:rPr>
          <w:rStyle w:val="35"/>
          <w:rFonts w:ascii="黑体" w:hAnsi="黑体" w:eastAsia="黑体" w:cs="黑体"/>
          <w:color w:val="auto"/>
          <w:sz w:val="24"/>
        </w:rPr>
        <w:t>3.1需求分析</w:t>
      </w:r>
      <w:r>
        <w:rPr>
          <w:sz w:val="24"/>
        </w:rPr>
        <w:tab/>
      </w:r>
      <w:r>
        <w:rPr>
          <w:sz w:val="24"/>
        </w:rPr>
        <w:fldChar w:fldCharType="begin"/>
      </w:r>
      <w:r>
        <w:rPr>
          <w:sz w:val="24"/>
        </w:rPr>
        <w:instrText xml:space="preserve"> PAGEREF _Toc169616875 \h </w:instrText>
      </w:r>
      <w:r>
        <w:rPr>
          <w:sz w:val="24"/>
        </w:rPr>
        <w:fldChar w:fldCharType="separate"/>
      </w:r>
      <w:r>
        <w:rPr>
          <w:sz w:val="24"/>
        </w:rPr>
        <w:t>20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"_Toc169616876" </w:instrText>
      </w:r>
      <w:r>
        <w:fldChar w:fldCharType="separate"/>
      </w:r>
      <w:r>
        <w:rPr>
          <w:rStyle w:val="35"/>
          <w:rFonts w:ascii="黑体" w:hAnsi="黑体" w:eastAsia="黑体" w:cs="黑体"/>
          <w:color w:val="auto"/>
          <w:sz w:val="24"/>
        </w:rPr>
        <w:t>3.2建设内容和规模</w:t>
      </w:r>
      <w:r>
        <w:rPr>
          <w:sz w:val="24"/>
        </w:rPr>
        <w:tab/>
      </w:r>
      <w:r>
        <w:rPr>
          <w:sz w:val="24"/>
        </w:rPr>
        <w:fldChar w:fldCharType="begin"/>
      </w:r>
      <w:r>
        <w:rPr>
          <w:sz w:val="24"/>
        </w:rPr>
        <w:instrText xml:space="preserve"> PAGEREF _Toc169616876 \h </w:instrText>
      </w:r>
      <w:r>
        <w:rPr>
          <w:sz w:val="24"/>
        </w:rPr>
        <w:fldChar w:fldCharType="separate"/>
      </w:r>
      <w:r>
        <w:rPr>
          <w:sz w:val="24"/>
        </w:rPr>
        <w:t>26</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"_Toc169616877" </w:instrText>
      </w:r>
      <w:r>
        <w:fldChar w:fldCharType="separate"/>
      </w:r>
      <w:r>
        <w:rPr>
          <w:rStyle w:val="35"/>
          <w:rFonts w:ascii="黑体" w:hAnsi="黑体" w:eastAsia="黑体" w:cs="黑体"/>
          <w:color w:val="auto"/>
          <w:sz w:val="24"/>
        </w:rPr>
        <w:t>3.3项目产出方案</w:t>
      </w:r>
      <w:r>
        <w:rPr>
          <w:sz w:val="24"/>
        </w:rPr>
        <w:tab/>
      </w:r>
      <w:r>
        <w:rPr>
          <w:sz w:val="24"/>
        </w:rPr>
        <w:fldChar w:fldCharType="begin"/>
      </w:r>
      <w:r>
        <w:rPr>
          <w:sz w:val="24"/>
        </w:rPr>
        <w:instrText xml:space="preserve"> PAGEREF _Toc169616877 \h </w:instrText>
      </w:r>
      <w:r>
        <w:rPr>
          <w:sz w:val="24"/>
        </w:rPr>
        <w:fldChar w:fldCharType="separate"/>
      </w:r>
      <w:r>
        <w:rPr>
          <w:sz w:val="24"/>
        </w:rPr>
        <w:t>26</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"_Toc169616878" </w:instrText>
      </w:r>
      <w:r>
        <w:fldChar w:fldCharType="separate"/>
      </w:r>
      <w:r>
        <w:rPr>
          <w:rStyle w:val="35"/>
          <w:rFonts w:ascii="黑体" w:hAnsi="黑体" w:eastAsia="黑体" w:cs="黑体"/>
          <w:color w:val="auto"/>
          <w:sz w:val="24"/>
        </w:rPr>
        <w:t>第4章  项目选址与要素保障</w:t>
      </w:r>
      <w:r>
        <w:rPr>
          <w:sz w:val="24"/>
        </w:rPr>
        <w:tab/>
      </w:r>
      <w:r>
        <w:rPr>
          <w:sz w:val="24"/>
        </w:rPr>
        <w:fldChar w:fldCharType="begin"/>
      </w:r>
      <w:r>
        <w:rPr>
          <w:sz w:val="24"/>
        </w:rPr>
        <w:instrText xml:space="preserve"> PAGEREF _Toc169616878 \h </w:instrText>
      </w:r>
      <w:r>
        <w:rPr>
          <w:sz w:val="24"/>
        </w:rPr>
        <w:fldChar w:fldCharType="separate"/>
      </w:r>
      <w:r>
        <w:rPr>
          <w:sz w:val="24"/>
        </w:rPr>
        <w:t>27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"_Toc169616879" </w:instrText>
      </w:r>
      <w:r>
        <w:fldChar w:fldCharType="separate"/>
      </w:r>
      <w:r>
        <w:rPr>
          <w:rStyle w:val="35"/>
          <w:rFonts w:ascii="黑体" w:hAnsi="黑体" w:eastAsia="黑体" w:cs="黑体"/>
          <w:color w:val="auto"/>
          <w:sz w:val="24"/>
        </w:rPr>
        <w:t>4.1项目选址或选线</w:t>
      </w:r>
      <w:r>
        <w:rPr>
          <w:sz w:val="24"/>
        </w:rPr>
        <w:tab/>
      </w:r>
      <w:r>
        <w:rPr>
          <w:sz w:val="24"/>
        </w:rPr>
        <w:fldChar w:fldCharType="begin"/>
      </w:r>
      <w:r>
        <w:rPr>
          <w:sz w:val="24"/>
        </w:rPr>
        <w:instrText xml:space="preserve"> PAGEREF _Toc169616879 \h </w:instrText>
      </w:r>
      <w:r>
        <w:rPr>
          <w:sz w:val="24"/>
        </w:rPr>
        <w:fldChar w:fldCharType="separate"/>
      </w:r>
      <w:r>
        <w:rPr>
          <w:sz w:val="24"/>
        </w:rPr>
        <w:t>27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"_Toc169616880" </w:instrText>
      </w:r>
      <w:r>
        <w:fldChar w:fldCharType="separate"/>
      </w:r>
      <w:r>
        <w:rPr>
          <w:rStyle w:val="35"/>
          <w:rFonts w:ascii="黑体" w:hAnsi="黑体" w:eastAsia="黑体" w:cs="黑体"/>
          <w:color w:val="auto"/>
          <w:sz w:val="24"/>
        </w:rPr>
        <w:t>4.2项目建设条件</w:t>
      </w:r>
      <w:r>
        <w:rPr>
          <w:sz w:val="24"/>
        </w:rPr>
        <w:tab/>
      </w:r>
      <w:r>
        <w:rPr>
          <w:sz w:val="24"/>
        </w:rPr>
        <w:fldChar w:fldCharType="begin"/>
      </w:r>
      <w:r>
        <w:rPr>
          <w:sz w:val="24"/>
        </w:rPr>
        <w:instrText xml:space="preserve"> PAGEREF _Toc169616880 \h </w:instrText>
      </w:r>
      <w:r>
        <w:rPr>
          <w:sz w:val="24"/>
        </w:rPr>
        <w:fldChar w:fldCharType="separate"/>
      </w:r>
      <w:r>
        <w:rPr>
          <w:sz w:val="24"/>
        </w:rPr>
        <w:t>30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"_Toc169616881" </w:instrText>
      </w:r>
      <w:r>
        <w:fldChar w:fldCharType="separate"/>
      </w:r>
      <w:r>
        <w:rPr>
          <w:rStyle w:val="35"/>
          <w:rFonts w:ascii="黑体" w:hAnsi="黑体" w:eastAsia="黑体" w:cs="黑体"/>
          <w:color w:val="auto"/>
          <w:sz w:val="24"/>
        </w:rPr>
        <w:t>4.3要素保障分析</w:t>
      </w:r>
      <w:r>
        <w:rPr>
          <w:sz w:val="24"/>
        </w:rPr>
        <w:tab/>
      </w:r>
      <w:r>
        <w:rPr>
          <w:sz w:val="24"/>
        </w:rPr>
        <w:fldChar w:fldCharType="begin"/>
      </w:r>
      <w:r>
        <w:rPr>
          <w:sz w:val="24"/>
        </w:rPr>
        <w:instrText xml:space="preserve"> PAGEREF _Toc169616881 \h </w:instrText>
      </w:r>
      <w:r>
        <w:rPr>
          <w:sz w:val="24"/>
        </w:rPr>
        <w:fldChar w:fldCharType="separate"/>
      </w:r>
      <w:r>
        <w:rPr>
          <w:sz w:val="24"/>
        </w:rPr>
        <w:t>34</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"_Toc169616882" </w:instrText>
      </w:r>
      <w:r>
        <w:fldChar w:fldCharType="separate"/>
      </w:r>
      <w:r>
        <w:rPr>
          <w:rStyle w:val="35"/>
          <w:rFonts w:ascii="黑体" w:hAnsi="黑体" w:eastAsia="黑体" w:cs="黑体"/>
          <w:color w:val="auto"/>
          <w:sz w:val="24"/>
        </w:rPr>
        <w:t>第5章 建设工程方案</w:t>
      </w:r>
      <w:r>
        <w:rPr>
          <w:sz w:val="24"/>
        </w:rPr>
        <w:tab/>
      </w:r>
      <w:r>
        <w:rPr>
          <w:sz w:val="24"/>
        </w:rPr>
        <w:fldChar w:fldCharType="begin"/>
      </w:r>
      <w:r>
        <w:rPr>
          <w:sz w:val="24"/>
        </w:rPr>
        <w:instrText xml:space="preserve"> PAGEREF _Toc169616882 \h </w:instrText>
      </w:r>
      <w:r>
        <w:rPr>
          <w:sz w:val="24"/>
        </w:rPr>
        <w:fldChar w:fldCharType="separate"/>
      </w:r>
      <w:r>
        <w:rPr>
          <w:sz w:val="24"/>
        </w:rPr>
        <w:t>37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"_Toc169616883" </w:instrText>
      </w:r>
      <w:r>
        <w:fldChar w:fldCharType="separate"/>
      </w:r>
      <w:r>
        <w:rPr>
          <w:rStyle w:val="35"/>
          <w:rFonts w:ascii="黑体" w:hAnsi="黑体" w:eastAsia="黑体" w:cs="黑体"/>
          <w:color w:val="auto"/>
          <w:sz w:val="24"/>
        </w:rPr>
        <w:t>5.1指导思想和设计原则</w:t>
      </w:r>
      <w:r>
        <w:rPr>
          <w:sz w:val="24"/>
        </w:rPr>
        <w:tab/>
      </w:r>
      <w:r>
        <w:rPr>
          <w:sz w:val="24"/>
        </w:rPr>
        <w:fldChar w:fldCharType="begin"/>
      </w:r>
      <w:r>
        <w:rPr>
          <w:sz w:val="24"/>
        </w:rPr>
        <w:instrText xml:space="preserve"> PAGEREF _Toc169616883 \h </w:instrText>
      </w:r>
      <w:r>
        <w:rPr>
          <w:sz w:val="24"/>
        </w:rPr>
        <w:fldChar w:fldCharType="separate"/>
      </w:r>
      <w:r>
        <w:rPr>
          <w:sz w:val="24"/>
        </w:rPr>
        <w:t>37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"_Toc169616884" </w:instrText>
      </w:r>
      <w:r>
        <w:fldChar w:fldCharType="separate"/>
      </w:r>
      <w:r>
        <w:rPr>
          <w:rStyle w:val="35"/>
          <w:rFonts w:ascii="黑体" w:hAnsi="黑体" w:eastAsia="黑体" w:cs="黑体"/>
          <w:color w:val="auto"/>
          <w:sz w:val="24"/>
        </w:rPr>
        <w:t>5.2编制依据</w:t>
      </w:r>
      <w:r>
        <w:rPr>
          <w:sz w:val="24"/>
        </w:rPr>
        <w:tab/>
      </w:r>
      <w:r>
        <w:rPr>
          <w:sz w:val="24"/>
        </w:rPr>
        <w:fldChar w:fldCharType="begin"/>
      </w:r>
      <w:r>
        <w:rPr>
          <w:sz w:val="24"/>
        </w:rPr>
        <w:instrText xml:space="preserve"> PAGEREF _Toc169616884 \h </w:instrText>
      </w:r>
      <w:r>
        <w:rPr>
          <w:sz w:val="24"/>
        </w:rPr>
        <w:fldChar w:fldCharType="separate"/>
      </w:r>
      <w:r>
        <w:rPr>
          <w:sz w:val="24"/>
        </w:rPr>
        <w:t>37</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"_Toc169616885" </w:instrText>
      </w:r>
      <w:r>
        <w:fldChar w:fldCharType="separate"/>
      </w:r>
      <w:r>
        <w:rPr>
          <w:rStyle w:val="35"/>
          <w:rFonts w:ascii="黑体" w:hAnsi="黑体" w:eastAsia="黑体" w:cs="黑体"/>
          <w:color w:val="auto"/>
          <w:sz w:val="24"/>
        </w:rPr>
        <w:t>5.3管网工程设计</w:t>
      </w:r>
      <w:r>
        <w:rPr>
          <w:sz w:val="24"/>
        </w:rPr>
        <w:tab/>
      </w:r>
      <w:r>
        <w:rPr>
          <w:sz w:val="24"/>
        </w:rPr>
        <w:fldChar w:fldCharType="begin"/>
      </w:r>
      <w:r>
        <w:rPr>
          <w:sz w:val="24"/>
        </w:rPr>
        <w:instrText xml:space="preserve"> PAGEREF _Toc169616885 \h </w:instrText>
      </w:r>
      <w:r>
        <w:rPr>
          <w:sz w:val="24"/>
        </w:rPr>
        <w:fldChar w:fldCharType="separate"/>
      </w:r>
      <w:r>
        <w:rPr>
          <w:sz w:val="24"/>
        </w:rPr>
        <w:t>38</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"_Toc169616886" </w:instrText>
      </w:r>
      <w:r>
        <w:fldChar w:fldCharType="separate"/>
      </w:r>
      <w:r>
        <w:rPr>
          <w:rStyle w:val="35"/>
          <w:rFonts w:ascii="黑体" w:hAnsi="黑体" w:eastAsia="黑体" w:cs="黑体"/>
          <w:color w:val="auto"/>
          <w:sz w:val="24"/>
        </w:rPr>
        <w:t>5.4污水控源截污治理排水</w:t>
      </w:r>
      <w:r>
        <w:rPr>
          <w:sz w:val="24"/>
        </w:rPr>
        <w:tab/>
      </w:r>
      <w:r>
        <w:rPr>
          <w:sz w:val="24"/>
        </w:rPr>
        <w:fldChar w:fldCharType="begin"/>
      </w:r>
      <w:r>
        <w:rPr>
          <w:sz w:val="24"/>
        </w:rPr>
        <w:instrText xml:space="preserve"> PAGEREF _Toc169616886 \h </w:instrText>
      </w:r>
      <w:r>
        <w:rPr>
          <w:sz w:val="24"/>
        </w:rPr>
        <w:fldChar w:fldCharType="separate"/>
      </w:r>
      <w:r>
        <w:rPr>
          <w:sz w:val="24"/>
        </w:rPr>
        <w:t>49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"_Toc169616887" </w:instrText>
      </w:r>
      <w:r>
        <w:fldChar w:fldCharType="separate"/>
      </w:r>
      <w:r>
        <w:rPr>
          <w:rStyle w:val="35"/>
          <w:rFonts w:ascii="黑体" w:hAnsi="黑体" w:eastAsia="黑体" w:cs="黑体"/>
          <w:color w:val="auto"/>
          <w:sz w:val="24"/>
        </w:rPr>
        <w:t>5.5治理模式确定</w:t>
      </w:r>
      <w:r>
        <w:rPr>
          <w:sz w:val="24"/>
        </w:rPr>
        <w:tab/>
      </w:r>
      <w:r>
        <w:rPr>
          <w:sz w:val="24"/>
        </w:rPr>
        <w:fldChar w:fldCharType="begin"/>
      </w:r>
      <w:r>
        <w:rPr>
          <w:sz w:val="24"/>
        </w:rPr>
        <w:instrText xml:space="preserve"> PAGEREF _Toc169616887 \h </w:instrText>
      </w:r>
      <w:r>
        <w:rPr>
          <w:sz w:val="24"/>
        </w:rPr>
        <w:fldChar w:fldCharType="separate"/>
      </w:r>
      <w:r>
        <w:rPr>
          <w:sz w:val="24"/>
        </w:rPr>
        <w:t>53</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"_Toc169616888" </w:instrText>
      </w:r>
      <w:r>
        <w:fldChar w:fldCharType="separate"/>
      </w:r>
      <w:r>
        <w:rPr>
          <w:rStyle w:val="35"/>
          <w:rFonts w:ascii="黑体" w:hAnsi="黑体" w:eastAsia="黑体" w:cs="黑体"/>
          <w:color w:val="auto"/>
          <w:sz w:val="24"/>
        </w:rPr>
        <w:t>5.6节能方案</w:t>
      </w:r>
      <w:r>
        <w:rPr>
          <w:sz w:val="24"/>
        </w:rPr>
        <w:tab/>
      </w:r>
      <w:r>
        <w:rPr>
          <w:sz w:val="24"/>
        </w:rPr>
        <w:fldChar w:fldCharType="begin"/>
      </w:r>
      <w:r>
        <w:rPr>
          <w:sz w:val="24"/>
        </w:rPr>
        <w:instrText xml:space="preserve"> PAGEREF _Toc169616888 \h </w:instrText>
      </w:r>
      <w:r>
        <w:rPr>
          <w:sz w:val="24"/>
        </w:rPr>
        <w:fldChar w:fldCharType="separate"/>
      </w:r>
      <w:r>
        <w:rPr>
          <w:sz w:val="24"/>
        </w:rPr>
        <w:t>60</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"_Toc169616889" </w:instrText>
      </w:r>
      <w:r>
        <w:fldChar w:fldCharType="separate"/>
      </w:r>
      <w:r>
        <w:rPr>
          <w:rStyle w:val="35"/>
          <w:rFonts w:ascii="黑体" w:hAnsi="黑体" w:eastAsia="黑体" w:cs="黑体"/>
          <w:color w:val="auto"/>
          <w:sz w:val="24"/>
        </w:rPr>
        <w:t>5.7建设管理方案</w:t>
      </w:r>
      <w:r>
        <w:rPr>
          <w:sz w:val="24"/>
        </w:rPr>
        <w:tab/>
      </w:r>
      <w:r>
        <w:rPr>
          <w:sz w:val="24"/>
        </w:rPr>
        <w:fldChar w:fldCharType="begin"/>
      </w:r>
      <w:r>
        <w:rPr>
          <w:sz w:val="24"/>
        </w:rPr>
        <w:instrText xml:space="preserve"> PAGEREF _Toc169616889 \h </w:instrText>
      </w:r>
      <w:r>
        <w:rPr>
          <w:sz w:val="24"/>
        </w:rPr>
        <w:fldChar w:fldCharType="separate"/>
      </w:r>
      <w:r>
        <w:rPr>
          <w:sz w:val="24"/>
        </w:rPr>
        <w:t>63</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"_Toc169616891" </w:instrText>
      </w:r>
      <w:r>
        <w:fldChar w:fldCharType="separate"/>
      </w:r>
      <w:r>
        <w:rPr>
          <w:rStyle w:val="35"/>
          <w:rFonts w:ascii="黑体" w:hAnsi="黑体" w:eastAsia="黑体" w:cs="黑体"/>
          <w:color w:val="auto"/>
          <w:sz w:val="24"/>
        </w:rPr>
        <w:t>5.8项目实施进度计划</w:t>
      </w:r>
      <w:r>
        <w:rPr>
          <w:sz w:val="24"/>
        </w:rPr>
        <w:tab/>
      </w:r>
      <w:r>
        <w:rPr>
          <w:sz w:val="24"/>
        </w:rPr>
        <w:fldChar w:fldCharType="begin"/>
      </w:r>
      <w:r>
        <w:rPr>
          <w:sz w:val="24"/>
        </w:rPr>
        <w:instrText xml:space="preserve"> PAGEREF _Toc169616891 \h </w:instrText>
      </w:r>
      <w:r>
        <w:rPr>
          <w:sz w:val="24"/>
        </w:rPr>
        <w:fldChar w:fldCharType="separate"/>
      </w:r>
      <w:r>
        <w:rPr>
          <w:sz w:val="24"/>
        </w:rPr>
        <w:t>65</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"_Toc169616892" </w:instrText>
      </w:r>
      <w:r>
        <w:fldChar w:fldCharType="separate"/>
      </w:r>
      <w:r>
        <w:rPr>
          <w:rStyle w:val="35"/>
          <w:rFonts w:ascii="黑体" w:hAnsi="黑体" w:eastAsia="黑体" w:cs="黑体"/>
          <w:color w:val="auto"/>
          <w:sz w:val="24"/>
        </w:rPr>
        <w:t>5.9项目招投标</w:t>
      </w:r>
      <w:r>
        <w:rPr>
          <w:sz w:val="24"/>
        </w:rPr>
        <w:tab/>
      </w:r>
      <w:r>
        <w:rPr>
          <w:sz w:val="24"/>
        </w:rPr>
        <w:fldChar w:fldCharType="begin"/>
      </w:r>
      <w:r>
        <w:rPr>
          <w:sz w:val="24"/>
        </w:rPr>
        <w:instrText xml:space="preserve"> PAGEREF _Toc169616892 \h </w:instrText>
      </w:r>
      <w:r>
        <w:rPr>
          <w:sz w:val="24"/>
        </w:rPr>
        <w:fldChar w:fldCharType="separate"/>
      </w:r>
      <w:r>
        <w:rPr>
          <w:sz w:val="24"/>
        </w:rPr>
        <w:t>68</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"_Toc169616893" </w:instrText>
      </w:r>
      <w:r>
        <w:fldChar w:fldCharType="separate"/>
      </w:r>
      <w:r>
        <w:rPr>
          <w:rStyle w:val="35"/>
          <w:rFonts w:ascii="黑体" w:hAnsi="黑体" w:eastAsia="黑体" w:cs="黑体"/>
          <w:color w:val="auto"/>
          <w:sz w:val="24"/>
        </w:rPr>
        <w:t>第6章 项目运营方案</w:t>
      </w:r>
      <w:r>
        <w:rPr>
          <w:sz w:val="24"/>
        </w:rPr>
        <w:tab/>
      </w:r>
      <w:r>
        <w:rPr>
          <w:sz w:val="24"/>
        </w:rPr>
        <w:fldChar w:fldCharType="begin"/>
      </w:r>
      <w:r>
        <w:rPr>
          <w:sz w:val="24"/>
        </w:rPr>
        <w:instrText xml:space="preserve"> PAGEREF _Toc169616893 \h </w:instrText>
      </w:r>
      <w:r>
        <w:rPr>
          <w:sz w:val="24"/>
        </w:rPr>
        <w:fldChar w:fldCharType="separate"/>
      </w:r>
      <w:r>
        <w:rPr>
          <w:sz w:val="24"/>
        </w:rPr>
        <w:t>71</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"_Toc169616894" </w:instrText>
      </w:r>
      <w:r>
        <w:fldChar w:fldCharType="separate"/>
      </w:r>
      <w:r>
        <w:rPr>
          <w:rStyle w:val="35"/>
          <w:rFonts w:ascii="黑体" w:hAnsi="黑体" w:eastAsia="黑体" w:cs="黑体"/>
          <w:color w:val="auto"/>
          <w:sz w:val="24"/>
        </w:rPr>
        <w:t>6.1运营模式选择</w:t>
      </w:r>
      <w:r>
        <w:rPr>
          <w:sz w:val="24"/>
        </w:rPr>
        <w:tab/>
      </w:r>
      <w:r>
        <w:rPr>
          <w:sz w:val="24"/>
        </w:rPr>
        <w:fldChar w:fldCharType="begin"/>
      </w:r>
      <w:r>
        <w:rPr>
          <w:sz w:val="24"/>
        </w:rPr>
        <w:instrText xml:space="preserve"> PAGEREF _Toc169616894 \h </w:instrText>
      </w:r>
      <w:r>
        <w:rPr>
          <w:sz w:val="24"/>
        </w:rPr>
        <w:fldChar w:fldCharType="separate"/>
      </w:r>
      <w:r>
        <w:rPr>
          <w:sz w:val="24"/>
        </w:rPr>
        <w:t>71</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"_Toc169616895" </w:instrText>
      </w:r>
      <w:r>
        <w:fldChar w:fldCharType="separate"/>
      </w:r>
      <w:r>
        <w:rPr>
          <w:rStyle w:val="35"/>
          <w:rFonts w:ascii="黑体" w:hAnsi="黑体" w:eastAsia="黑体" w:cs="黑体"/>
          <w:color w:val="auto"/>
          <w:sz w:val="24"/>
        </w:rPr>
        <w:t>6.2运营组织方案</w:t>
      </w:r>
      <w:r>
        <w:rPr>
          <w:sz w:val="24"/>
        </w:rPr>
        <w:tab/>
      </w:r>
      <w:r>
        <w:rPr>
          <w:sz w:val="24"/>
        </w:rPr>
        <w:fldChar w:fldCharType="begin"/>
      </w:r>
      <w:r>
        <w:rPr>
          <w:sz w:val="24"/>
        </w:rPr>
        <w:instrText xml:space="preserve"> PAGEREF _Toc169616895 \h </w:instrText>
      </w:r>
      <w:r>
        <w:rPr>
          <w:sz w:val="24"/>
        </w:rPr>
        <w:fldChar w:fldCharType="separate"/>
      </w:r>
      <w:r>
        <w:rPr>
          <w:sz w:val="24"/>
        </w:rPr>
        <w:t>71</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"_Toc169616899" </w:instrText>
      </w:r>
      <w:r>
        <w:fldChar w:fldCharType="separate"/>
      </w:r>
      <w:r>
        <w:rPr>
          <w:rStyle w:val="35"/>
          <w:rFonts w:ascii="黑体" w:hAnsi="黑体" w:eastAsia="黑体" w:cs="黑体"/>
          <w:color w:val="auto"/>
          <w:sz w:val="24"/>
        </w:rPr>
        <w:t>6.3安全保障方案</w:t>
      </w:r>
      <w:r>
        <w:rPr>
          <w:sz w:val="24"/>
        </w:rPr>
        <w:tab/>
      </w:r>
      <w:r>
        <w:rPr>
          <w:sz w:val="24"/>
        </w:rPr>
        <w:fldChar w:fldCharType="begin"/>
      </w:r>
      <w:r>
        <w:rPr>
          <w:sz w:val="24"/>
        </w:rPr>
        <w:instrText xml:space="preserve"> PAGEREF _Toc169616899 \h </w:instrText>
      </w:r>
      <w:r>
        <w:rPr>
          <w:sz w:val="24"/>
        </w:rPr>
        <w:fldChar w:fldCharType="separate"/>
      </w:r>
      <w:r>
        <w:rPr>
          <w:sz w:val="24"/>
        </w:rPr>
        <w:t>72</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"_Toc169616902" </w:instrText>
      </w:r>
      <w:r>
        <w:fldChar w:fldCharType="separate"/>
      </w:r>
      <w:r>
        <w:rPr>
          <w:rStyle w:val="35"/>
          <w:rFonts w:ascii="黑体" w:hAnsi="黑体" w:eastAsia="黑体" w:cs="黑体"/>
          <w:color w:val="auto"/>
          <w:sz w:val="24"/>
        </w:rPr>
        <w:t>6.4绩效管理方案</w:t>
      </w:r>
      <w:r>
        <w:rPr>
          <w:sz w:val="24"/>
        </w:rPr>
        <w:tab/>
      </w:r>
      <w:r>
        <w:rPr>
          <w:sz w:val="24"/>
        </w:rPr>
        <w:fldChar w:fldCharType="begin"/>
      </w:r>
      <w:r>
        <w:rPr>
          <w:sz w:val="24"/>
        </w:rPr>
        <w:instrText xml:space="preserve"> PAGEREF _Toc169616902 \h </w:instrText>
      </w:r>
      <w:r>
        <w:rPr>
          <w:sz w:val="24"/>
        </w:rPr>
        <w:fldChar w:fldCharType="separate"/>
      </w:r>
      <w:r>
        <w:rPr>
          <w:sz w:val="24"/>
        </w:rPr>
        <w:t>74</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"_Toc169616903" </w:instrText>
      </w:r>
      <w:r>
        <w:fldChar w:fldCharType="separate"/>
      </w:r>
      <w:r>
        <w:rPr>
          <w:rStyle w:val="35"/>
          <w:rFonts w:ascii="黑体" w:hAnsi="黑体" w:eastAsia="黑体" w:cs="黑体"/>
          <w:color w:val="auto"/>
          <w:sz w:val="24"/>
        </w:rPr>
        <w:t>第7章  投资融资与财务方案</w:t>
      </w:r>
      <w:r>
        <w:rPr>
          <w:sz w:val="24"/>
        </w:rPr>
        <w:tab/>
      </w:r>
      <w:r>
        <w:rPr>
          <w:sz w:val="24"/>
        </w:rPr>
        <w:fldChar w:fldCharType="begin"/>
      </w:r>
      <w:r>
        <w:rPr>
          <w:sz w:val="24"/>
        </w:rPr>
        <w:instrText xml:space="preserve"> PAGEREF _Toc169616903 \h </w:instrText>
      </w:r>
      <w:r>
        <w:rPr>
          <w:sz w:val="24"/>
        </w:rPr>
        <w:fldChar w:fldCharType="separate"/>
      </w:r>
      <w:r>
        <w:rPr>
          <w:sz w:val="24"/>
        </w:rPr>
        <w:t>76</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"_Toc169616904" </w:instrText>
      </w:r>
      <w:r>
        <w:fldChar w:fldCharType="separate"/>
      </w:r>
      <w:r>
        <w:rPr>
          <w:rStyle w:val="35"/>
          <w:rFonts w:ascii="黑体" w:hAnsi="黑体" w:eastAsia="黑体" w:cs="黑体"/>
          <w:color w:val="auto"/>
          <w:sz w:val="24"/>
        </w:rPr>
        <w:t>7.1投资估算</w:t>
      </w:r>
      <w:r>
        <w:rPr>
          <w:sz w:val="24"/>
        </w:rPr>
        <w:tab/>
      </w:r>
      <w:r>
        <w:rPr>
          <w:sz w:val="24"/>
        </w:rPr>
        <w:fldChar w:fldCharType="begin"/>
      </w:r>
      <w:r>
        <w:rPr>
          <w:sz w:val="24"/>
        </w:rPr>
        <w:instrText xml:space="preserve"> PAGEREF _Toc169616904 \h </w:instrText>
      </w:r>
      <w:r>
        <w:rPr>
          <w:sz w:val="24"/>
        </w:rPr>
        <w:fldChar w:fldCharType="separate"/>
      </w:r>
      <w:r>
        <w:rPr>
          <w:sz w:val="24"/>
        </w:rPr>
        <w:t>76</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"_Toc169616907" </w:instrText>
      </w:r>
      <w:r>
        <w:fldChar w:fldCharType="separate"/>
      </w:r>
      <w:r>
        <w:rPr>
          <w:rStyle w:val="35"/>
          <w:rFonts w:ascii="黑体" w:hAnsi="黑体" w:eastAsia="黑体" w:cs="黑体"/>
          <w:color w:val="auto"/>
          <w:sz w:val="24"/>
        </w:rPr>
        <w:t>第8章 项目影响效果分析</w:t>
      </w:r>
      <w:r>
        <w:rPr>
          <w:sz w:val="24"/>
        </w:rPr>
        <w:tab/>
      </w:r>
      <w:r>
        <w:rPr>
          <w:sz w:val="24"/>
        </w:rPr>
        <w:fldChar w:fldCharType="begin"/>
      </w:r>
      <w:r>
        <w:rPr>
          <w:sz w:val="24"/>
        </w:rPr>
        <w:instrText xml:space="preserve"> PAGEREF _Toc169616907 \h </w:instrText>
      </w:r>
      <w:r>
        <w:rPr>
          <w:sz w:val="24"/>
        </w:rPr>
        <w:fldChar w:fldCharType="separate"/>
      </w:r>
      <w:r>
        <w:rPr>
          <w:sz w:val="24"/>
        </w:rPr>
        <w:t>79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"_Toc169616908" </w:instrText>
      </w:r>
      <w:r>
        <w:fldChar w:fldCharType="separate"/>
      </w:r>
      <w:r>
        <w:rPr>
          <w:rStyle w:val="35"/>
          <w:rFonts w:ascii="黑体" w:hAnsi="黑体" w:eastAsia="黑体" w:cs="黑体"/>
          <w:color w:val="auto"/>
          <w:sz w:val="24"/>
        </w:rPr>
        <w:t>8.1经济影响分析</w:t>
      </w:r>
      <w:r>
        <w:rPr>
          <w:sz w:val="24"/>
        </w:rPr>
        <w:tab/>
      </w:r>
      <w:r>
        <w:rPr>
          <w:sz w:val="24"/>
        </w:rPr>
        <w:fldChar w:fldCharType="begin"/>
      </w:r>
      <w:r>
        <w:rPr>
          <w:sz w:val="24"/>
        </w:rPr>
        <w:instrText xml:space="preserve"> PAGEREF _Toc169616908 \h </w:instrText>
      </w:r>
      <w:r>
        <w:rPr>
          <w:sz w:val="24"/>
        </w:rPr>
        <w:fldChar w:fldCharType="separate"/>
      </w:r>
      <w:r>
        <w:rPr>
          <w:sz w:val="24"/>
        </w:rPr>
        <w:t>79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"_Toc169616909" </w:instrText>
      </w:r>
      <w:r>
        <w:fldChar w:fldCharType="separate"/>
      </w:r>
      <w:r>
        <w:rPr>
          <w:rStyle w:val="35"/>
          <w:rFonts w:ascii="黑体" w:hAnsi="黑体" w:eastAsia="黑体" w:cs="黑体"/>
          <w:color w:val="auto"/>
          <w:sz w:val="24"/>
        </w:rPr>
        <w:t>8.2社会影响分析</w:t>
      </w:r>
      <w:r>
        <w:rPr>
          <w:sz w:val="24"/>
        </w:rPr>
        <w:tab/>
      </w:r>
      <w:r>
        <w:rPr>
          <w:sz w:val="24"/>
        </w:rPr>
        <w:fldChar w:fldCharType="begin"/>
      </w:r>
      <w:r>
        <w:rPr>
          <w:sz w:val="24"/>
        </w:rPr>
        <w:instrText xml:space="preserve"> PAGEREF _Toc169616909 \h </w:instrText>
      </w:r>
      <w:r>
        <w:rPr>
          <w:sz w:val="24"/>
        </w:rPr>
        <w:fldChar w:fldCharType="separate"/>
      </w:r>
      <w:r>
        <w:rPr>
          <w:sz w:val="24"/>
        </w:rPr>
        <w:t>79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"_Toc169616910" </w:instrText>
      </w:r>
      <w:r>
        <w:fldChar w:fldCharType="separate"/>
      </w:r>
      <w:r>
        <w:rPr>
          <w:rStyle w:val="35"/>
          <w:rFonts w:ascii="黑体" w:hAnsi="黑体" w:eastAsia="黑体" w:cs="黑体"/>
          <w:color w:val="auto"/>
          <w:sz w:val="24"/>
        </w:rPr>
        <w:t>8.3生态环境影响分析</w:t>
      </w:r>
      <w:r>
        <w:rPr>
          <w:sz w:val="24"/>
        </w:rPr>
        <w:tab/>
      </w:r>
      <w:r>
        <w:rPr>
          <w:sz w:val="24"/>
        </w:rPr>
        <w:fldChar w:fldCharType="begin"/>
      </w:r>
      <w:r>
        <w:rPr>
          <w:sz w:val="24"/>
        </w:rPr>
        <w:instrText xml:space="preserve"> PAGEREF _Toc169616910 \h </w:instrText>
      </w:r>
      <w:r>
        <w:rPr>
          <w:sz w:val="24"/>
        </w:rPr>
        <w:fldChar w:fldCharType="separate"/>
      </w:r>
      <w:r>
        <w:rPr>
          <w:sz w:val="24"/>
        </w:rPr>
        <w:t>79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"_Toc169616911" </w:instrText>
      </w:r>
      <w:r>
        <w:fldChar w:fldCharType="separate"/>
      </w:r>
      <w:r>
        <w:rPr>
          <w:rStyle w:val="35"/>
          <w:rFonts w:ascii="黑体" w:hAnsi="黑体" w:eastAsia="黑体" w:cs="黑体"/>
          <w:color w:val="auto"/>
          <w:sz w:val="24"/>
        </w:rPr>
        <w:t>8.4资源和能源利用效果分析</w:t>
      </w:r>
      <w:r>
        <w:rPr>
          <w:sz w:val="24"/>
        </w:rPr>
        <w:tab/>
      </w:r>
      <w:r>
        <w:rPr>
          <w:sz w:val="24"/>
        </w:rPr>
        <w:fldChar w:fldCharType="begin"/>
      </w:r>
      <w:r>
        <w:rPr>
          <w:sz w:val="24"/>
        </w:rPr>
        <w:instrText xml:space="preserve"> PAGEREF _Toc169616911 \h </w:instrText>
      </w:r>
      <w:r>
        <w:rPr>
          <w:sz w:val="24"/>
        </w:rPr>
        <w:fldChar w:fldCharType="separate"/>
      </w:r>
      <w:r>
        <w:rPr>
          <w:sz w:val="24"/>
        </w:rPr>
        <w:t>80</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"_Toc169616912" </w:instrText>
      </w:r>
      <w:r>
        <w:fldChar w:fldCharType="separate"/>
      </w:r>
      <w:r>
        <w:rPr>
          <w:rStyle w:val="35"/>
          <w:rFonts w:ascii="黑体" w:hAnsi="黑体" w:eastAsia="黑体" w:cs="黑体"/>
          <w:color w:val="auto"/>
          <w:sz w:val="24"/>
        </w:rPr>
        <w:t>第9章 项目风险管控方案</w:t>
      </w:r>
      <w:r>
        <w:rPr>
          <w:sz w:val="24"/>
        </w:rPr>
        <w:tab/>
      </w:r>
      <w:r>
        <w:rPr>
          <w:sz w:val="24"/>
        </w:rPr>
        <w:fldChar w:fldCharType="begin"/>
      </w:r>
      <w:r>
        <w:rPr>
          <w:sz w:val="24"/>
        </w:rPr>
        <w:instrText xml:space="preserve"> PAGEREF _Toc169616912 \h </w:instrText>
      </w:r>
      <w:r>
        <w:rPr>
          <w:sz w:val="24"/>
        </w:rPr>
        <w:fldChar w:fldCharType="separate"/>
      </w:r>
      <w:r>
        <w:rPr>
          <w:sz w:val="24"/>
        </w:rPr>
        <w:t>83</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"_Toc169616913" </w:instrText>
      </w:r>
      <w:r>
        <w:fldChar w:fldCharType="separate"/>
      </w:r>
      <w:r>
        <w:rPr>
          <w:rStyle w:val="35"/>
          <w:rFonts w:ascii="黑体" w:hAnsi="黑体" w:eastAsia="黑体" w:cs="黑体"/>
          <w:color w:val="auto"/>
          <w:sz w:val="24"/>
        </w:rPr>
        <w:t>9.1风险识别与评价</w:t>
      </w:r>
      <w:r>
        <w:rPr>
          <w:sz w:val="24"/>
        </w:rPr>
        <w:tab/>
      </w:r>
      <w:r>
        <w:rPr>
          <w:sz w:val="24"/>
        </w:rPr>
        <w:fldChar w:fldCharType="begin"/>
      </w:r>
      <w:r>
        <w:rPr>
          <w:sz w:val="24"/>
        </w:rPr>
        <w:instrText xml:space="preserve"> PAGEREF _Toc169616913 \h </w:instrText>
      </w:r>
      <w:r>
        <w:rPr>
          <w:sz w:val="24"/>
        </w:rPr>
        <w:fldChar w:fldCharType="separate"/>
      </w:r>
      <w:r>
        <w:rPr>
          <w:sz w:val="24"/>
        </w:rPr>
        <w:t>83</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"_Toc169616914" </w:instrText>
      </w:r>
      <w:r>
        <w:fldChar w:fldCharType="separate"/>
      </w:r>
      <w:r>
        <w:rPr>
          <w:rStyle w:val="35"/>
          <w:rFonts w:ascii="黑体" w:hAnsi="黑体" w:eastAsia="黑体" w:cs="黑体"/>
          <w:color w:val="auto"/>
          <w:sz w:val="24"/>
        </w:rPr>
        <w:t>9.2风险管控方案</w:t>
      </w:r>
      <w:r>
        <w:rPr>
          <w:sz w:val="24"/>
        </w:rPr>
        <w:tab/>
      </w:r>
      <w:r>
        <w:rPr>
          <w:sz w:val="24"/>
        </w:rPr>
        <w:fldChar w:fldCharType="begin"/>
      </w:r>
      <w:r>
        <w:rPr>
          <w:sz w:val="24"/>
        </w:rPr>
        <w:instrText xml:space="preserve"> PAGEREF _Toc169616914 \h </w:instrText>
      </w:r>
      <w:r>
        <w:rPr>
          <w:sz w:val="24"/>
        </w:rPr>
        <w:fldChar w:fldCharType="separate"/>
      </w:r>
      <w:r>
        <w:rPr>
          <w:sz w:val="24"/>
        </w:rPr>
        <w:t>85</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"_Toc169616915" </w:instrText>
      </w:r>
      <w:r>
        <w:fldChar w:fldCharType="separate"/>
      </w:r>
      <w:r>
        <w:rPr>
          <w:rStyle w:val="35"/>
          <w:rFonts w:ascii="黑体" w:hAnsi="黑体" w:eastAsia="黑体" w:cs="黑体"/>
          <w:color w:val="auto"/>
          <w:sz w:val="24"/>
        </w:rPr>
        <w:t>9.3风险应急预案</w:t>
      </w:r>
      <w:r>
        <w:rPr>
          <w:sz w:val="24"/>
        </w:rPr>
        <w:tab/>
      </w:r>
      <w:r>
        <w:rPr>
          <w:sz w:val="24"/>
        </w:rPr>
        <w:fldChar w:fldCharType="begin"/>
      </w:r>
      <w:r>
        <w:rPr>
          <w:sz w:val="24"/>
        </w:rPr>
        <w:instrText xml:space="preserve"> PAGEREF _Toc169616915 \h </w:instrText>
      </w:r>
      <w:r>
        <w:rPr>
          <w:sz w:val="24"/>
        </w:rPr>
        <w:fldChar w:fldCharType="separate"/>
      </w:r>
      <w:r>
        <w:rPr>
          <w:sz w:val="24"/>
        </w:rPr>
        <w:t>86</w:t>
      </w:r>
      <w:r>
        <w:rPr>
          <w:sz w:val="24"/>
        </w:rPr>
        <w:fldChar w:fldCharType="end"/>
      </w:r>
      <w:r>
        <w:rPr>
          <w:sz w:val="24"/>
        </w:rPr>
        <w:fldChar w:fldCharType="end"/>
      </w:r>
    </w:p>
    <w:p>
      <w:pPr>
        <w:pStyle w:val="19"/>
        <w:spacing w:line="480" w:lineRule="exact"/>
        <w:ind w:firstLine="0" w:firstLineChars="0"/>
        <w:rPr>
          <w:rFonts w:asciiTheme="minorHAnsi" w:hAnsiTheme="minorHAnsi" w:eastAsiaTheme="minorEastAsia" w:cstheme="minorBidi"/>
          <w:b w:val="0"/>
          <w:sz w:val="20"/>
          <w:szCs w:val="22"/>
        </w:rPr>
      </w:pPr>
      <w:r>
        <w:fldChar w:fldCharType="begin"/>
      </w:r>
      <w:r>
        <w:instrText xml:space="preserve"> HYPERLINK \l "_Toc169616916" </w:instrText>
      </w:r>
      <w:r>
        <w:fldChar w:fldCharType="separate"/>
      </w:r>
      <w:r>
        <w:rPr>
          <w:rStyle w:val="35"/>
          <w:rFonts w:ascii="黑体" w:hAnsi="黑体" w:eastAsia="黑体" w:cs="黑体"/>
          <w:color w:val="auto"/>
          <w:sz w:val="24"/>
        </w:rPr>
        <w:t>第10章 主要结论及建议</w:t>
      </w:r>
      <w:r>
        <w:rPr>
          <w:sz w:val="24"/>
        </w:rPr>
        <w:tab/>
      </w:r>
      <w:r>
        <w:rPr>
          <w:sz w:val="24"/>
        </w:rPr>
        <w:fldChar w:fldCharType="begin"/>
      </w:r>
      <w:r>
        <w:rPr>
          <w:sz w:val="24"/>
        </w:rPr>
        <w:instrText xml:space="preserve"> PAGEREF _Toc169616916 \h </w:instrText>
      </w:r>
      <w:r>
        <w:rPr>
          <w:sz w:val="24"/>
        </w:rPr>
        <w:fldChar w:fldCharType="separate"/>
      </w:r>
      <w:r>
        <w:rPr>
          <w:sz w:val="24"/>
        </w:rPr>
        <w:t>89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"_Toc169616917" </w:instrText>
      </w:r>
      <w:r>
        <w:fldChar w:fldCharType="separate"/>
      </w:r>
      <w:r>
        <w:rPr>
          <w:rStyle w:val="35"/>
          <w:rFonts w:ascii="黑体" w:hAnsi="黑体" w:eastAsia="黑体" w:cs="黑体"/>
          <w:color w:val="auto"/>
          <w:sz w:val="24"/>
        </w:rPr>
        <w:t>10.1主要结论</w:t>
      </w:r>
      <w:r>
        <w:rPr>
          <w:sz w:val="24"/>
        </w:rPr>
        <w:tab/>
      </w:r>
      <w:r>
        <w:rPr>
          <w:sz w:val="24"/>
        </w:rPr>
        <w:fldChar w:fldCharType="begin"/>
      </w:r>
      <w:r>
        <w:rPr>
          <w:sz w:val="24"/>
        </w:rPr>
        <w:instrText xml:space="preserve"> PAGEREF _Toc169616917 \h </w:instrText>
      </w:r>
      <w:r>
        <w:rPr>
          <w:sz w:val="24"/>
        </w:rPr>
        <w:fldChar w:fldCharType="separate"/>
      </w:r>
      <w:r>
        <w:rPr>
          <w:sz w:val="24"/>
        </w:rPr>
        <w:t>89</w:t>
      </w:r>
      <w:r>
        <w:rPr>
          <w:sz w:val="24"/>
        </w:rPr>
        <w:fldChar w:fldCharType="end"/>
      </w:r>
      <w:r>
        <w:rPr>
          <w:sz w:val="24"/>
        </w:rPr>
        <w:fldChar w:fldCharType="end"/>
      </w:r>
    </w:p>
    <w:p>
      <w:pPr>
        <w:pStyle w:val="23"/>
        <w:tabs>
          <w:tab w:val="right" w:leader="dot" w:pos="9062"/>
        </w:tabs>
        <w:spacing w:line="480" w:lineRule="exact"/>
        <w:ind w:left="560" w:firstLine="0" w:firstLineChars="0"/>
        <w:rPr>
          <w:rFonts w:asciiTheme="minorHAnsi" w:hAnsiTheme="minorHAnsi" w:eastAsiaTheme="minorEastAsia" w:cstheme="minorBidi"/>
          <w:sz w:val="20"/>
          <w:szCs w:val="22"/>
        </w:rPr>
      </w:pPr>
      <w:r>
        <w:fldChar w:fldCharType="begin"/>
      </w:r>
      <w:r>
        <w:instrText xml:space="preserve"> HYPERLINK \l "_Toc169616918" </w:instrText>
      </w:r>
      <w:r>
        <w:fldChar w:fldCharType="separate"/>
      </w:r>
      <w:r>
        <w:rPr>
          <w:rStyle w:val="35"/>
          <w:rFonts w:ascii="黑体" w:hAnsi="黑体" w:eastAsia="黑体" w:cs="黑体"/>
          <w:color w:val="auto"/>
          <w:sz w:val="24"/>
        </w:rPr>
        <w:t>10.2问题与建议</w:t>
      </w:r>
      <w:r>
        <w:rPr>
          <w:sz w:val="24"/>
        </w:rPr>
        <w:tab/>
      </w:r>
      <w:r>
        <w:rPr>
          <w:sz w:val="24"/>
        </w:rPr>
        <w:fldChar w:fldCharType="begin"/>
      </w:r>
      <w:r>
        <w:rPr>
          <w:sz w:val="24"/>
        </w:rPr>
        <w:instrText xml:space="preserve"> PAGEREF _Toc169616918 \h </w:instrText>
      </w:r>
      <w:r>
        <w:rPr>
          <w:sz w:val="24"/>
        </w:rPr>
        <w:fldChar w:fldCharType="separate"/>
      </w:r>
      <w:r>
        <w:rPr>
          <w:sz w:val="24"/>
        </w:rPr>
        <w:t>89</w:t>
      </w:r>
      <w:r>
        <w:rPr>
          <w:sz w:val="24"/>
        </w:rPr>
        <w:fldChar w:fldCharType="end"/>
      </w:r>
      <w:r>
        <w:rPr>
          <w:sz w:val="24"/>
        </w:rPr>
        <w:fldChar w:fldCharType="end"/>
      </w:r>
    </w:p>
    <w:p>
      <w:pPr>
        <w:spacing w:line="276" w:lineRule="auto"/>
        <w:ind w:firstLine="0" w:firstLineChars="0"/>
        <w:rPr>
          <w:rFonts w:asciiTheme="minorEastAsia" w:hAnsiTheme="minorEastAsia" w:eastAsiaTheme="minorEastAsia"/>
          <w:sz w:val="24"/>
        </w:rPr>
      </w:pPr>
      <w:r>
        <w:rPr>
          <w:rFonts w:asciiTheme="minorEastAsia" w:hAnsiTheme="minorEastAsia" w:eastAsiaTheme="minorEastAsia"/>
          <w:sz w:val="24"/>
        </w:rPr>
        <w:fldChar w:fldCharType="end"/>
      </w:r>
    </w:p>
    <w:p>
      <w:pPr>
        <w:spacing w:line="276" w:lineRule="auto"/>
        <w:ind w:firstLine="480"/>
        <w:rPr>
          <w:sz w:val="24"/>
        </w:rPr>
      </w:pPr>
    </w:p>
    <w:p>
      <w:pPr>
        <w:ind w:firstLine="480"/>
        <w:rPr>
          <w:sz w:val="24"/>
        </w:rPr>
      </w:pPr>
    </w:p>
    <w:p>
      <w:pPr>
        <w:ind w:firstLine="480"/>
        <w:rPr>
          <w:sz w:val="24"/>
        </w:rPr>
      </w:pPr>
    </w:p>
    <w:p>
      <w:pPr>
        <w:ind w:firstLine="198" w:firstLineChars="71"/>
        <w:sectPr>
          <w:headerReference r:id="rId7" w:type="first"/>
          <w:footerReference r:id="rId10" w:type="first"/>
          <w:headerReference r:id="rId5" w:type="default"/>
          <w:footerReference r:id="rId8" w:type="default"/>
          <w:headerReference r:id="rId6" w:type="even"/>
          <w:footerReference r:id="rId9" w:type="even"/>
          <w:pgSz w:w="11906" w:h="16838"/>
          <w:pgMar w:top="1474" w:right="1841" w:bottom="1134" w:left="1417" w:header="737" w:footer="744" w:gutter="0"/>
          <w:pgNumType w:fmt="upperRoman" w:start="1"/>
          <w:cols w:space="720" w:num="1"/>
          <w:docGrid w:type="lines" w:linePitch="312" w:charSpace="0"/>
        </w:sectPr>
      </w:pPr>
    </w:p>
    <w:p>
      <w:pPr>
        <w:pStyle w:val="2"/>
        <w:ind w:firstLine="880"/>
        <w:jc w:val="center"/>
        <w:rPr>
          <w:rFonts w:ascii="黑体" w:hAnsi="黑体" w:eastAsia="黑体" w:cs="黑体"/>
          <w:b w:val="0"/>
          <w:bCs w:val="0"/>
        </w:rPr>
      </w:pPr>
      <w:bookmarkStart w:id="0" w:name="_Toc11555"/>
      <w:bookmarkStart w:id="1" w:name="_Toc495307168"/>
      <w:bookmarkStart w:id="2" w:name="_Toc169616861"/>
      <w:r>
        <w:rPr>
          <w:rFonts w:hint="eastAsia" w:ascii="黑体" w:hAnsi="黑体" w:eastAsia="黑体" w:cs="黑体"/>
          <w:b w:val="0"/>
          <w:bCs w:val="0"/>
        </w:rPr>
        <w:t>第1章  总  论</w:t>
      </w:r>
      <w:bookmarkEnd w:id="0"/>
      <w:bookmarkEnd w:id="1"/>
      <w:bookmarkEnd w:id="2"/>
    </w:p>
    <w:p>
      <w:pPr>
        <w:pStyle w:val="3"/>
        <w:spacing w:before="120" w:beforeLines="50"/>
        <w:rPr>
          <w:rFonts w:ascii="黑体" w:hAnsi="黑体" w:eastAsia="黑体" w:cs="黑体"/>
          <w:b w:val="0"/>
          <w:bCs w:val="0"/>
          <w:sz w:val="32"/>
        </w:rPr>
      </w:pPr>
      <w:bookmarkStart w:id="3" w:name="_Toc169616862"/>
      <w:bookmarkStart w:id="4" w:name="_Toc495307169"/>
      <w:bookmarkStart w:id="5" w:name="_Toc15500"/>
      <w:r>
        <w:rPr>
          <w:rFonts w:hint="eastAsia" w:ascii="黑体" w:hAnsi="黑体" w:eastAsia="黑体" w:cs="黑体"/>
          <w:b w:val="0"/>
          <w:bCs w:val="0"/>
          <w:sz w:val="32"/>
        </w:rPr>
        <w:t>1.1项目概况</w:t>
      </w:r>
      <w:bookmarkEnd w:id="3"/>
      <w:bookmarkEnd w:id="4"/>
      <w:bookmarkEnd w:id="5"/>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1.1.1项目名称</w:t>
      </w:r>
    </w:p>
    <w:p>
      <w:pPr>
        <w:snapToGrid w:val="0"/>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田东县平马镇合恒村里弄屯里弄沟黑臭水体治理项目</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2</w:t>
      </w:r>
      <w:r>
        <w:rPr>
          <w:rFonts w:hint="eastAsia" w:ascii="黑体" w:hAnsi="黑体" w:eastAsia="黑体" w:cs="黑体"/>
          <w:b w:val="0"/>
          <w:bCs w:val="0"/>
          <w:sz w:val="30"/>
          <w:szCs w:val="30"/>
        </w:rPr>
        <w:t>建设单位</w:t>
      </w:r>
    </w:p>
    <w:p>
      <w:pPr>
        <w:snapToGrid w:val="0"/>
        <w:ind w:firstLine="560"/>
        <w:rPr>
          <w:rFonts w:hint="eastAsia" w:asciiTheme="minorEastAsia" w:hAnsiTheme="minorEastAsia" w:eastAsiaTheme="minorEastAsia"/>
          <w:szCs w:val="28"/>
          <w:lang w:eastAsia="zh-CN"/>
        </w:rPr>
      </w:pPr>
      <w:r>
        <w:rPr>
          <w:rFonts w:hint="eastAsia" w:asciiTheme="minorEastAsia" w:hAnsiTheme="minorEastAsia" w:eastAsiaTheme="minorEastAsia" w:cstheme="minorEastAsia"/>
          <w:szCs w:val="28"/>
          <w:lang w:eastAsia="zh-CN"/>
        </w:rPr>
        <w:t>田东县住房和城乡建设局</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3</w:t>
      </w:r>
      <w:r>
        <w:rPr>
          <w:rFonts w:hint="eastAsia" w:ascii="黑体" w:hAnsi="黑体" w:eastAsia="黑体" w:cs="黑体"/>
          <w:b w:val="0"/>
          <w:bCs w:val="0"/>
          <w:sz w:val="30"/>
          <w:szCs w:val="30"/>
        </w:rPr>
        <w:t>建设地址</w:t>
      </w:r>
    </w:p>
    <w:p>
      <w:pPr>
        <w:snapToGrid w:val="0"/>
        <w:ind w:firstLine="560"/>
        <w:rPr>
          <w:rFonts w:asciiTheme="minorEastAsia" w:hAnsiTheme="minorEastAsia" w:eastAsiaTheme="minorEastAsia"/>
          <w:szCs w:val="28"/>
        </w:rPr>
      </w:pPr>
      <w:r>
        <w:rPr>
          <w:rFonts w:hint="eastAsia" w:asciiTheme="minorEastAsia" w:hAnsiTheme="minorEastAsia" w:eastAsiaTheme="minorEastAsia" w:cstheme="minorEastAsia"/>
          <w:szCs w:val="28"/>
        </w:rPr>
        <w:t>广西田东县平马镇合恒村里弄屯</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4</w:t>
      </w:r>
      <w:r>
        <w:rPr>
          <w:rFonts w:hint="eastAsia" w:ascii="黑体" w:hAnsi="黑体" w:eastAsia="黑体" w:cs="黑体"/>
          <w:b w:val="0"/>
          <w:bCs w:val="0"/>
          <w:sz w:val="30"/>
          <w:szCs w:val="30"/>
        </w:rPr>
        <w:t>建设性质</w:t>
      </w:r>
    </w:p>
    <w:p>
      <w:pPr>
        <w:snapToGrid w:val="0"/>
        <w:ind w:firstLine="56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新建项目</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5</w:t>
      </w:r>
      <w:r>
        <w:rPr>
          <w:rFonts w:hint="eastAsia" w:ascii="黑体" w:hAnsi="黑体" w:eastAsia="黑体" w:cs="黑体"/>
          <w:b w:val="0"/>
          <w:bCs w:val="0"/>
          <w:sz w:val="30"/>
          <w:szCs w:val="30"/>
        </w:rPr>
        <w:t>编制单位</w:t>
      </w:r>
    </w:p>
    <w:p>
      <w:pPr>
        <w:snapToGrid w:val="0"/>
        <w:ind w:firstLine="560"/>
        <w:rPr>
          <w:rFonts w:asciiTheme="minorEastAsia" w:hAnsiTheme="minorEastAsia" w:eastAsiaTheme="minorEastAsia"/>
          <w:szCs w:val="28"/>
        </w:rPr>
      </w:pPr>
      <w:r>
        <w:rPr>
          <w:rFonts w:hint="eastAsia" w:asciiTheme="minorEastAsia" w:hAnsiTheme="minorEastAsia" w:eastAsiaTheme="minorEastAsia" w:cstheme="minorEastAsia"/>
          <w:szCs w:val="28"/>
        </w:rPr>
        <w:t>广西百晟工程咨询有</w:t>
      </w:r>
      <w:r>
        <w:rPr>
          <w:rFonts w:hint="eastAsia" w:eastAsiaTheme="minorEastAsia"/>
        </w:rPr>
        <w:t>限公司</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6</w:t>
      </w:r>
      <w:r>
        <w:rPr>
          <w:rFonts w:hint="eastAsia" w:ascii="黑体" w:hAnsi="黑体" w:eastAsia="黑体" w:cs="黑体"/>
          <w:b w:val="0"/>
          <w:bCs w:val="0"/>
          <w:sz w:val="30"/>
          <w:szCs w:val="30"/>
        </w:rPr>
        <w:t>项目建设规模及内容</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lang w:eastAsia="zh-CN"/>
        </w:rPr>
        <w:t>本</w:t>
      </w:r>
      <w:r>
        <w:rPr>
          <w:rFonts w:hint="eastAsia" w:cs="宋体" w:asciiTheme="minorEastAsia" w:hAnsiTheme="minorEastAsia" w:eastAsiaTheme="minorEastAsia"/>
          <w:szCs w:val="28"/>
        </w:rPr>
        <w:t>项目包含新建主管网6379米等建设内容，具体如下。</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（1）甲逢屯新建主管网约 2151 米，其中DN400波纹管约 1417米、新建 DN315波纹管约 669 米、DN400钢管65米、</w:t>
      </w:r>
      <w:r>
        <w:rPr>
          <w:rFonts w:hint="eastAsia" w:cs="宋体" w:asciiTheme="minorEastAsia" w:hAnsiTheme="minorEastAsia" w:eastAsiaTheme="minorEastAsia"/>
          <w:szCs w:val="28"/>
          <w:lang w:val="en-US" w:eastAsia="zh-CN"/>
        </w:rPr>
        <w:t>3</w:t>
      </w:r>
      <w:r>
        <w:rPr>
          <w:rFonts w:hint="eastAsia" w:cs="宋体" w:asciiTheme="minorEastAsia" w:hAnsiTheme="minorEastAsia" w:eastAsiaTheme="minorEastAsia"/>
          <w:szCs w:val="28"/>
        </w:rPr>
        <w:t>00m³资源化利用设施一座。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（2）东海屯新建主管网3227米，其中新建DN400波纹管1580米（含100米雨水管）、新建DN315波纹管网约 1647 米，200m³资源化利用设施1座；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（3）里弄屯新建新建DN315波纹管1001米；</w:t>
      </w:r>
    </w:p>
    <w:p>
      <w:pPr>
        <w:snapToGrid w:val="0"/>
        <w:ind w:firstLine="560"/>
      </w:pPr>
      <w:r>
        <w:rPr>
          <w:rFonts w:hint="eastAsia" w:cs="宋体" w:asciiTheme="minorEastAsia" w:hAnsiTheme="minorEastAsia" w:eastAsiaTheme="minorEastAsia"/>
          <w:szCs w:val="28"/>
        </w:rPr>
        <w:t>（4）项目配套DN200PVC屯内入户管2250米，检查井272座，</w:t>
      </w:r>
      <w:r>
        <w:rPr>
          <w:rFonts w:hint="eastAsia" w:cs="宋体" w:asciiTheme="minorEastAsia" w:hAnsiTheme="minorEastAsia" w:eastAsiaTheme="minorEastAsia"/>
          <w:szCs w:val="28"/>
          <w:lang w:eastAsia="zh-CN"/>
        </w:rPr>
        <w:t>疏浚</w:t>
      </w:r>
      <w:r>
        <w:rPr>
          <w:rFonts w:hint="eastAsia" w:cs="宋体" w:asciiTheme="minorEastAsia" w:hAnsiTheme="minorEastAsia" w:eastAsiaTheme="minorEastAsia"/>
          <w:szCs w:val="28"/>
          <w:highlight w:val="green"/>
          <w:lang w:eastAsia="zh-CN"/>
        </w:rPr>
        <w:t>疏浚</w:t>
      </w:r>
      <w:r>
        <w:rPr>
          <w:rFonts w:hint="eastAsia" w:cs="宋体" w:asciiTheme="minorEastAsia" w:hAnsiTheme="minorEastAsia" w:eastAsiaTheme="minorEastAsia"/>
          <w:szCs w:val="28"/>
          <w:highlight w:val="green"/>
          <w:lang w:val="en-US" w:eastAsia="zh-CN"/>
        </w:rPr>
        <w:t>*****（管网名称）</w:t>
      </w:r>
      <w:r>
        <w:rPr>
          <w:rFonts w:hint="eastAsia" w:cs="宋体" w:asciiTheme="minorEastAsia" w:hAnsiTheme="minorEastAsia" w:eastAsiaTheme="minorEastAsia"/>
          <w:szCs w:val="28"/>
        </w:rPr>
        <w:t>3136米，清理水葫芦42000㎡</w:t>
      </w:r>
      <w:r>
        <w:rPr>
          <w:rFonts w:hint="eastAsia" w:cs="宋体" w:asciiTheme="minorEastAsia" w:hAnsiTheme="minorEastAsia" w:eastAsiaTheme="minorEastAsia"/>
          <w:szCs w:val="28"/>
          <w:lang w:eastAsia="zh-CN"/>
        </w:rPr>
        <w:t>等</w:t>
      </w:r>
      <w:r>
        <w:rPr>
          <w:rFonts w:hint="eastAsia"/>
        </w:rPr>
        <w:t>。</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8</w:t>
      </w:r>
      <w:r>
        <w:rPr>
          <w:rFonts w:hint="eastAsia" w:ascii="黑体" w:hAnsi="黑体" w:eastAsia="黑体" w:cs="黑体"/>
          <w:b w:val="0"/>
          <w:bCs w:val="0"/>
          <w:sz w:val="30"/>
          <w:szCs w:val="30"/>
        </w:rPr>
        <w:t>项目总投资估算及资金来源</w:t>
      </w:r>
    </w:p>
    <w:p>
      <w:pPr>
        <w:snapToGrid w:val="0"/>
        <w:ind w:firstLine="560"/>
        <w:rPr>
          <w:rFonts w:ascii="宋体" w:hAnsi="宋体" w:cs="宋体"/>
        </w:rPr>
      </w:pPr>
      <w:r>
        <w:rPr>
          <w:rFonts w:hint="eastAsia" w:ascii="宋体" w:hAnsi="宋体" w:cs="宋体"/>
        </w:rPr>
        <w:t>本项目预计总投资约977.97万元，其中工程费用约884.73万元，其他费用约93.24万元。</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资金来源为：申请自治区农整专项资金。</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1.1.</w:t>
      </w:r>
      <w:r>
        <w:rPr>
          <w:rFonts w:ascii="黑体" w:hAnsi="黑体" w:eastAsia="黑体" w:cs="黑体"/>
          <w:b w:val="0"/>
          <w:bCs w:val="0"/>
          <w:sz w:val="30"/>
          <w:szCs w:val="30"/>
        </w:rPr>
        <w:t>9</w:t>
      </w:r>
      <w:r>
        <w:rPr>
          <w:rFonts w:hint="eastAsia" w:ascii="黑体" w:hAnsi="黑体" w:eastAsia="黑体" w:cs="黑体"/>
          <w:b w:val="0"/>
          <w:bCs w:val="0"/>
          <w:sz w:val="30"/>
          <w:szCs w:val="30"/>
        </w:rPr>
        <w:t>编制单位</w:t>
      </w:r>
    </w:p>
    <w:p>
      <w:pPr>
        <w:ind w:firstLine="560"/>
        <w:rPr>
          <w:rFonts w:ascii="宋体" w:hAnsi="宋体" w:cs="宋体"/>
          <w:szCs w:val="28"/>
        </w:rPr>
      </w:pPr>
      <w:bookmarkStart w:id="6" w:name="_Toc495307170"/>
      <w:r>
        <w:rPr>
          <w:rFonts w:hint="eastAsia" w:ascii="宋体" w:hAnsi="宋体" w:cs="宋体"/>
          <w:szCs w:val="28"/>
        </w:rPr>
        <w:t>编制单位：广西百晟工程咨询有限公司</w:t>
      </w:r>
    </w:p>
    <w:p>
      <w:pPr>
        <w:ind w:firstLine="560"/>
        <w:rPr>
          <w:rFonts w:ascii="宋体" w:hAnsi="宋体" w:cs="宋体"/>
          <w:szCs w:val="28"/>
        </w:rPr>
      </w:pPr>
      <w:r>
        <w:rPr>
          <w:rFonts w:hint="eastAsia" w:ascii="宋体" w:hAnsi="宋体" w:cs="宋体"/>
          <w:szCs w:val="28"/>
        </w:rPr>
        <w:t>法人代表：苏家伟</w:t>
      </w:r>
    </w:p>
    <w:p>
      <w:pPr>
        <w:ind w:firstLine="560"/>
        <w:rPr>
          <w:rFonts w:ascii="宋体" w:hAnsi="宋体" w:cs="宋体"/>
          <w:szCs w:val="28"/>
        </w:rPr>
      </w:pPr>
      <w:r>
        <w:rPr>
          <w:rFonts w:hint="eastAsia" w:ascii="宋体" w:hAnsi="宋体" w:cs="宋体"/>
          <w:szCs w:val="28"/>
        </w:rPr>
        <w:t>咨信证号：乙级91451000MA5KAKNGON-21ZYY21</w:t>
      </w:r>
    </w:p>
    <w:p>
      <w:pPr>
        <w:ind w:firstLine="560"/>
        <w:rPr>
          <w:rFonts w:ascii="宋体" w:hAnsi="宋体" w:cs="宋体"/>
          <w:szCs w:val="28"/>
        </w:rPr>
      </w:pPr>
      <w:r>
        <w:rPr>
          <w:rFonts w:hint="eastAsia" w:ascii="宋体" w:hAnsi="宋体" w:cs="宋体"/>
          <w:szCs w:val="28"/>
        </w:rPr>
        <w:t>发证部门：广西工程咨询协会</w:t>
      </w:r>
    </w:p>
    <w:p>
      <w:pPr>
        <w:pStyle w:val="3"/>
        <w:spacing w:before="120" w:beforeLines="50"/>
        <w:rPr>
          <w:rFonts w:ascii="黑体" w:hAnsi="黑体" w:eastAsia="黑体" w:cs="黑体"/>
          <w:b w:val="0"/>
          <w:bCs w:val="0"/>
          <w:sz w:val="32"/>
        </w:rPr>
      </w:pPr>
      <w:bookmarkStart w:id="7" w:name="_Toc169616863"/>
      <w:r>
        <w:rPr>
          <w:rFonts w:ascii="黑体" w:hAnsi="黑体" w:eastAsia="黑体" w:cs="黑体"/>
          <w:b w:val="0"/>
          <w:bCs w:val="0"/>
          <w:sz w:val="32"/>
        </w:rPr>
        <w:t>1.2</w:t>
      </w:r>
      <w:r>
        <w:rPr>
          <w:rFonts w:hint="eastAsia" w:ascii="黑体" w:hAnsi="黑体" w:eastAsia="黑体" w:cs="黑体"/>
          <w:b w:val="0"/>
          <w:bCs w:val="0"/>
          <w:sz w:val="32"/>
        </w:rPr>
        <w:t>项目</w:t>
      </w:r>
      <w:r>
        <w:rPr>
          <w:rFonts w:ascii="黑体" w:hAnsi="黑体" w:eastAsia="黑体" w:cs="黑体"/>
          <w:b w:val="0"/>
          <w:bCs w:val="0"/>
          <w:sz w:val="32"/>
        </w:rPr>
        <w:t>单位概况</w:t>
      </w:r>
      <w:bookmarkEnd w:id="7"/>
    </w:p>
    <w:p>
      <w:pPr>
        <w:snapToGrid w:val="0"/>
        <w:ind w:firstLine="560"/>
        <w:rPr>
          <w:rFonts w:hint="eastAsia" w:asciiTheme="minorEastAsia" w:hAnsiTheme="minorEastAsia" w:eastAsiaTheme="minorEastAsia" w:cstheme="minorEastAsia"/>
          <w:szCs w:val="28"/>
          <w:lang w:eastAsia="zh-CN"/>
        </w:rPr>
      </w:pPr>
      <w:r>
        <w:rPr>
          <w:rFonts w:hint="eastAsia" w:asciiTheme="minorEastAsia" w:hAnsiTheme="minorEastAsia" w:eastAsiaTheme="minorEastAsia" w:cstheme="minorEastAsia"/>
          <w:szCs w:val="28"/>
          <w:lang w:eastAsia="zh-CN"/>
        </w:rPr>
        <w:t>田东县住房和城乡建设局主要职能如下：</w:t>
      </w:r>
    </w:p>
    <w:p>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rPr>
          <w:rFonts w:hint="eastAsia" w:cs="宋体" w:asciiTheme="minorEastAsia" w:hAnsiTheme="minorEastAsia" w:eastAsiaTheme="minorEastAsia"/>
          <w:kern w:val="2"/>
          <w:sz w:val="28"/>
          <w:szCs w:val="28"/>
          <w:lang w:val="en-US" w:eastAsia="zh-CN" w:bidi="ar-SA"/>
        </w:rPr>
      </w:pPr>
      <w:r>
        <w:rPr>
          <w:rFonts w:hint="eastAsia" w:cs="宋体" w:asciiTheme="minorEastAsia" w:hAnsiTheme="minorEastAsia" w:eastAsiaTheme="minorEastAsia"/>
          <w:kern w:val="2"/>
          <w:sz w:val="28"/>
          <w:szCs w:val="28"/>
          <w:lang w:val="en-US" w:eastAsia="zh-CN" w:bidi="ar-SA"/>
        </w:rPr>
        <w:t xml:space="preserve">建筑工地及市政基础设施扬尘监督管理 - 房屋建筑工地扬尘监督管理：负责监督和管理房屋建筑工地的扬尘控制措施，确保施工活动符合环保标准。 - 市政基础设施建设工地扬尘监督管理：对市政基础设施建设工地的扬尘进行监督管理，包括道路、桥梁、排水等工程。 </w:t>
      </w:r>
    </w:p>
    <w:p>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pPr>
      <w:r>
        <w:rPr>
          <w:rFonts w:hint="eastAsia" w:cs="宋体" w:asciiTheme="minorEastAsia" w:hAnsiTheme="minorEastAsia" w:eastAsiaTheme="minorEastAsia"/>
          <w:kern w:val="2"/>
          <w:sz w:val="28"/>
          <w:szCs w:val="28"/>
          <w:lang w:val="en-US" w:eastAsia="zh-CN" w:bidi="ar-SA"/>
        </w:rPr>
        <w:t xml:space="preserve">建筑物拆除施工扬尘监督管理 - 在职责范围内，负责建筑物拆除施工过程中的扬尘控制，确保拆除活动不对周边环境造成污染。 </w:t>
      </w:r>
    </w:p>
    <w:p>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pPr>
      <w:r>
        <w:rPr>
          <w:rFonts w:hint="eastAsia" w:cs="宋体" w:asciiTheme="minorEastAsia" w:hAnsiTheme="minorEastAsia" w:eastAsiaTheme="minorEastAsia"/>
          <w:kern w:val="2"/>
          <w:sz w:val="28"/>
          <w:szCs w:val="28"/>
          <w:lang w:val="en-US" w:eastAsia="zh-CN" w:bidi="ar-SA"/>
        </w:rPr>
        <w:t xml:space="preserve">建筑垃圾和工程渣土处置监督管理 - 负责城区内建筑垃圾和工程渣土的处置管理，确保垃圾和渣土的堆放、运输和处理符合环保要求。 </w:t>
      </w:r>
    </w:p>
    <w:p>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pPr>
      <w:r>
        <w:rPr>
          <w:rFonts w:hint="eastAsia" w:cs="宋体" w:asciiTheme="minorEastAsia" w:hAnsiTheme="minorEastAsia" w:eastAsiaTheme="minorEastAsia"/>
          <w:kern w:val="2"/>
          <w:sz w:val="28"/>
          <w:szCs w:val="28"/>
          <w:lang w:val="en-US" w:eastAsia="zh-CN" w:bidi="ar-SA"/>
        </w:rPr>
        <w:t xml:space="preserve">城市道路保洁及扬尘污染防治监督管理 - 负责城市道路保洁工作，以及城市道路扬尘污染防治的监督管理，提升城市环境质量。 </w:t>
      </w:r>
    </w:p>
    <w:p>
      <w:pPr>
        <w:pStyle w:val="2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right="0"/>
      </w:pPr>
      <w:r>
        <w:rPr>
          <w:rFonts w:hint="eastAsia" w:cs="宋体" w:asciiTheme="minorEastAsia" w:hAnsiTheme="minorEastAsia" w:eastAsiaTheme="minorEastAsia"/>
          <w:kern w:val="2"/>
          <w:sz w:val="28"/>
          <w:szCs w:val="28"/>
          <w:lang w:val="en-US" w:eastAsia="zh-CN" w:bidi="ar-SA"/>
        </w:rPr>
        <w:t>此外，住房和城乡建设局还可能涉及以下方面的监督管理： - 质量技术监督：在职责范围内，参与对锅炉生产、进口、销售和使用环节执行环境保护标准或要求的监督管理。 - 环境保护协作：与环境保护主管部门协作，共同推进油气回收治理、机动车大气污染防治等工作。</w:t>
      </w:r>
      <w:r>
        <w:t xml:space="preserve"> </w:t>
      </w:r>
    </w:p>
    <w:p>
      <w:pPr>
        <w:pStyle w:val="3"/>
        <w:spacing w:before="120" w:beforeLines="50"/>
        <w:rPr>
          <w:rFonts w:ascii="黑体" w:hAnsi="黑体" w:eastAsia="黑体" w:cs="黑体"/>
          <w:b w:val="0"/>
          <w:bCs w:val="0"/>
          <w:sz w:val="32"/>
        </w:rPr>
      </w:pPr>
      <w:bookmarkStart w:id="8" w:name="_Toc169616864"/>
      <w:bookmarkStart w:id="9" w:name="_Toc16595"/>
      <w:r>
        <w:rPr>
          <w:rFonts w:hint="eastAsia" w:ascii="黑体" w:hAnsi="黑体" w:eastAsia="黑体" w:cs="黑体"/>
          <w:b w:val="0"/>
          <w:bCs w:val="0"/>
          <w:sz w:val="32"/>
        </w:rPr>
        <w:t>1.</w:t>
      </w:r>
      <w:r>
        <w:rPr>
          <w:rFonts w:ascii="黑体" w:hAnsi="黑体" w:eastAsia="黑体" w:cs="黑体"/>
          <w:b w:val="0"/>
          <w:bCs w:val="0"/>
          <w:sz w:val="32"/>
        </w:rPr>
        <w:t>3</w:t>
      </w:r>
      <w:r>
        <w:rPr>
          <w:rFonts w:hint="eastAsia" w:ascii="黑体" w:hAnsi="黑体" w:eastAsia="黑体" w:cs="黑体"/>
          <w:b w:val="0"/>
          <w:bCs w:val="0"/>
          <w:sz w:val="32"/>
        </w:rPr>
        <w:t>项目编制依据</w:t>
      </w:r>
      <w:bookmarkEnd w:id="6"/>
      <w:bookmarkEnd w:id="8"/>
      <w:bookmarkEnd w:id="9"/>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3</w:t>
      </w:r>
      <w:r>
        <w:rPr>
          <w:rFonts w:hint="eastAsia" w:ascii="黑体" w:hAnsi="黑体" w:eastAsia="黑体" w:cs="黑体"/>
          <w:b w:val="0"/>
          <w:bCs w:val="0"/>
          <w:sz w:val="30"/>
          <w:szCs w:val="30"/>
        </w:rPr>
        <w:t>.1有关法律法规</w:t>
      </w:r>
    </w:p>
    <w:p>
      <w:pPr>
        <w:ind w:firstLine="478" w:firstLineChars="171"/>
        <w:rPr>
          <w:rFonts w:ascii="宋体" w:hAnsi="宋体" w:cs="宋体"/>
          <w:szCs w:val="28"/>
        </w:rPr>
      </w:pPr>
      <w:r>
        <w:rPr>
          <w:rFonts w:hint="eastAsia" w:ascii="宋体" w:hAnsi="宋体" w:cs="宋体"/>
          <w:szCs w:val="28"/>
        </w:rPr>
        <w:t>（1）《中华人民共和国城乡规划法》（2019年修正）；</w:t>
      </w:r>
    </w:p>
    <w:p>
      <w:pPr>
        <w:ind w:firstLine="478" w:firstLineChars="171"/>
        <w:rPr>
          <w:rFonts w:ascii="宋体" w:hAnsi="宋体" w:cs="宋体"/>
          <w:szCs w:val="28"/>
        </w:rPr>
      </w:pPr>
      <w:r>
        <w:rPr>
          <w:rFonts w:hint="eastAsia" w:ascii="宋体" w:hAnsi="宋体" w:cs="宋体"/>
          <w:szCs w:val="28"/>
        </w:rPr>
        <w:t>（2）《中华人民共和国环境保护法》（2014年修订）；</w:t>
      </w:r>
    </w:p>
    <w:p>
      <w:pPr>
        <w:ind w:firstLine="478" w:firstLineChars="171"/>
        <w:rPr>
          <w:rFonts w:ascii="宋体" w:hAnsi="宋体" w:cs="宋体"/>
          <w:szCs w:val="28"/>
        </w:rPr>
      </w:pPr>
      <w:r>
        <w:rPr>
          <w:rFonts w:hint="eastAsia" w:ascii="宋体" w:hAnsi="宋体" w:cs="宋体"/>
          <w:szCs w:val="28"/>
        </w:rPr>
        <w:t>（3）《中华人民共和国水法》（2016年修正）；</w:t>
      </w:r>
    </w:p>
    <w:p>
      <w:pPr>
        <w:ind w:firstLine="478" w:firstLineChars="171"/>
        <w:rPr>
          <w:rFonts w:ascii="宋体" w:hAnsi="宋体" w:cs="宋体"/>
          <w:szCs w:val="28"/>
        </w:rPr>
      </w:pPr>
      <w:r>
        <w:rPr>
          <w:rFonts w:hint="eastAsia" w:ascii="宋体" w:hAnsi="宋体" w:cs="宋体"/>
          <w:szCs w:val="28"/>
        </w:rPr>
        <w:t>（4）《中华人民共和国水污染防治法》（2017年修正）；</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5</w:t>
      </w:r>
      <w:r>
        <w:rPr>
          <w:rFonts w:hint="eastAsia" w:ascii="宋体" w:hAnsi="宋体" w:cs="宋体"/>
          <w:szCs w:val="28"/>
        </w:rPr>
        <w:t>）《中华人民共和国土地管理法》；</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6</w:t>
      </w:r>
      <w:r>
        <w:rPr>
          <w:rFonts w:hint="eastAsia" w:ascii="宋体" w:hAnsi="宋体" w:cs="宋体"/>
          <w:szCs w:val="28"/>
        </w:rPr>
        <w:t>）《中华人民共和国环境保护法》；</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7</w:t>
      </w:r>
      <w:r>
        <w:rPr>
          <w:rFonts w:hint="eastAsia" w:ascii="宋体" w:hAnsi="宋体" w:cs="宋体"/>
          <w:szCs w:val="28"/>
        </w:rPr>
        <w:t>）《中华人民共和国防洪法》；</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8</w:t>
      </w:r>
      <w:r>
        <w:rPr>
          <w:rFonts w:hint="eastAsia" w:ascii="宋体" w:hAnsi="宋体" w:cs="宋体"/>
          <w:szCs w:val="28"/>
        </w:rPr>
        <w:t>）《中华人民共和国大气污染防治法》；</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9</w:t>
      </w:r>
      <w:r>
        <w:rPr>
          <w:rFonts w:hint="eastAsia" w:ascii="宋体" w:hAnsi="宋体" w:cs="宋体"/>
          <w:szCs w:val="28"/>
        </w:rPr>
        <w:t>）《中华人民共和国固体废物污染环境防治法》（2</w:t>
      </w:r>
      <w:r>
        <w:rPr>
          <w:rFonts w:ascii="宋体" w:hAnsi="宋体" w:cs="宋体"/>
          <w:szCs w:val="28"/>
        </w:rPr>
        <w:t>020</w:t>
      </w:r>
      <w:r>
        <w:rPr>
          <w:rFonts w:hint="eastAsia" w:ascii="宋体" w:hAnsi="宋体" w:cs="宋体"/>
          <w:szCs w:val="28"/>
        </w:rPr>
        <w:t>年修订）；</w:t>
      </w:r>
    </w:p>
    <w:p>
      <w:pPr>
        <w:ind w:firstLine="478" w:firstLineChars="171"/>
        <w:rPr>
          <w:rFonts w:ascii="宋体" w:hAnsi="宋体" w:cs="宋体"/>
          <w:szCs w:val="28"/>
        </w:rPr>
      </w:pPr>
      <w:r>
        <w:rPr>
          <w:rFonts w:hint="eastAsia" w:ascii="宋体" w:hAnsi="宋体" w:cs="宋体"/>
          <w:szCs w:val="28"/>
        </w:rPr>
        <w:t>（</w:t>
      </w:r>
      <w:r>
        <w:rPr>
          <w:rFonts w:ascii="宋体" w:hAnsi="宋体" w:cs="宋体"/>
          <w:szCs w:val="28"/>
        </w:rPr>
        <w:t>10</w:t>
      </w:r>
      <w:r>
        <w:rPr>
          <w:rFonts w:hint="eastAsia" w:ascii="宋体" w:hAnsi="宋体" w:cs="宋体"/>
          <w:szCs w:val="28"/>
        </w:rPr>
        <w:t>）《城镇排水与污水处理条例》（国务院令第641号）。</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3</w:t>
      </w:r>
      <w:r>
        <w:rPr>
          <w:rFonts w:hint="eastAsia" w:ascii="黑体" w:hAnsi="黑体" w:eastAsia="黑体" w:cs="黑体"/>
          <w:b w:val="0"/>
          <w:bCs w:val="0"/>
          <w:sz w:val="30"/>
          <w:szCs w:val="30"/>
        </w:rPr>
        <w:t>.2有关规范、规程及标准</w:t>
      </w:r>
    </w:p>
    <w:p>
      <w:pPr>
        <w:pStyle w:val="64"/>
        <w:numPr>
          <w:ilvl w:val="0"/>
          <w:numId w:val="3"/>
        </w:numPr>
        <w:tabs>
          <w:tab w:val="left" w:pos="1276"/>
        </w:tabs>
        <w:ind w:left="0" w:firstLine="565" w:firstLineChars="202"/>
      </w:pPr>
      <w:r>
        <w:rPr>
          <w:rFonts w:hint="eastAsia"/>
        </w:rPr>
        <w:t>《城市黑臭水体整治工作指南》；</w:t>
      </w:r>
    </w:p>
    <w:p>
      <w:pPr>
        <w:pStyle w:val="64"/>
        <w:numPr>
          <w:ilvl w:val="0"/>
          <w:numId w:val="3"/>
        </w:numPr>
        <w:tabs>
          <w:tab w:val="left" w:pos="1276"/>
        </w:tabs>
        <w:ind w:left="0" w:firstLine="565" w:firstLineChars="202"/>
      </w:pPr>
      <w:r>
        <w:rPr>
          <w:rFonts w:hint="eastAsia"/>
        </w:rPr>
        <w:t>《地表水环境质量标准》（GB3838-2002）；</w:t>
      </w:r>
    </w:p>
    <w:p>
      <w:pPr>
        <w:pStyle w:val="64"/>
        <w:numPr>
          <w:ilvl w:val="0"/>
          <w:numId w:val="3"/>
        </w:numPr>
        <w:tabs>
          <w:tab w:val="left" w:pos="1276"/>
        </w:tabs>
        <w:ind w:left="0" w:firstLine="565" w:firstLineChars="202"/>
      </w:pPr>
      <w:r>
        <w:rPr>
          <w:rFonts w:hint="eastAsia"/>
        </w:rPr>
        <w:t>《城市给水工程规划规范》（GB50282-2016）；</w:t>
      </w:r>
    </w:p>
    <w:p>
      <w:pPr>
        <w:pStyle w:val="64"/>
        <w:numPr>
          <w:ilvl w:val="0"/>
          <w:numId w:val="3"/>
        </w:numPr>
        <w:tabs>
          <w:tab w:val="left" w:pos="1276"/>
        </w:tabs>
        <w:ind w:left="0" w:firstLine="565" w:firstLineChars="202"/>
      </w:pPr>
      <w:r>
        <w:rPr>
          <w:rFonts w:hint="eastAsia"/>
        </w:rPr>
        <w:t>《城市排水工程规范》（GB50318-2017）；</w:t>
      </w:r>
    </w:p>
    <w:p>
      <w:pPr>
        <w:pStyle w:val="64"/>
        <w:numPr>
          <w:ilvl w:val="0"/>
          <w:numId w:val="3"/>
        </w:numPr>
        <w:tabs>
          <w:tab w:val="left" w:pos="1276"/>
        </w:tabs>
        <w:ind w:left="0" w:firstLine="565" w:firstLineChars="202"/>
      </w:pPr>
      <w:r>
        <w:rPr>
          <w:rFonts w:hint="eastAsia"/>
        </w:rPr>
        <w:t>《城市水系规划规范》（GB50513-2009）；</w:t>
      </w:r>
    </w:p>
    <w:p>
      <w:pPr>
        <w:pStyle w:val="64"/>
        <w:numPr>
          <w:ilvl w:val="0"/>
          <w:numId w:val="3"/>
        </w:numPr>
        <w:tabs>
          <w:tab w:val="left" w:pos="1276"/>
        </w:tabs>
        <w:ind w:left="0" w:firstLine="565" w:firstLineChars="202"/>
      </w:pPr>
      <w:r>
        <w:rPr>
          <w:rFonts w:hint="eastAsia"/>
        </w:rPr>
        <w:t>《室外排水设计标准》（GB50014-2021）；</w:t>
      </w:r>
    </w:p>
    <w:p>
      <w:pPr>
        <w:pStyle w:val="64"/>
        <w:numPr>
          <w:ilvl w:val="0"/>
          <w:numId w:val="3"/>
        </w:numPr>
        <w:tabs>
          <w:tab w:val="left" w:pos="1276"/>
        </w:tabs>
        <w:ind w:left="0" w:firstLine="565" w:firstLineChars="202"/>
      </w:pPr>
      <w:r>
        <w:rPr>
          <w:rFonts w:hint="eastAsia"/>
        </w:rPr>
        <w:t>《室外给水设计标准》（GB50013-2018）；</w:t>
      </w:r>
    </w:p>
    <w:p>
      <w:pPr>
        <w:pStyle w:val="64"/>
        <w:numPr>
          <w:ilvl w:val="0"/>
          <w:numId w:val="3"/>
        </w:numPr>
        <w:tabs>
          <w:tab w:val="left" w:pos="1276"/>
        </w:tabs>
        <w:ind w:left="0" w:firstLine="565" w:firstLineChars="202"/>
      </w:pPr>
      <w:r>
        <w:rPr>
          <w:rFonts w:hint="eastAsia"/>
        </w:rPr>
        <w:t>《污水综合排放标准》（GB8978-2002）；</w:t>
      </w:r>
    </w:p>
    <w:p>
      <w:pPr>
        <w:pStyle w:val="64"/>
        <w:numPr>
          <w:ilvl w:val="0"/>
          <w:numId w:val="3"/>
        </w:numPr>
        <w:tabs>
          <w:tab w:val="left" w:pos="1276"/>
        </w:tabs>
        <w:ind w:left="0" w:firstLine="565" w:firstLineChars="202"/>
      </w:pPr>
      <w:r>
        <w:rPr>
          <w:rFonts w:hint="eastAsia"/>
        </w:rPr>
        <w:t>《城镇污水处理站污染物排放标准》（GB18918-2002）；</w:t>
      </w:r>
    </w:p>
    <w:p>
      <w:pPr>
        <w:pStyle w:val="64"/>
        <w:numPr>
          <w:ilvl w:val="0"/>
          <w:numId w:val="3"/>
        </w:numPr>
        <w:tabs>
          <w:tab w:val="left" w:pos="1418"/>
        </w:tabs>
        <w:ind w:left="0" w:firstLine="565" w:firstLineChars="202"/>
      </w:pPr>
      <w:r>
        <w:rPr>
          <w:rFonts w:hint="eastAsia"/>
        </w:rPr>
        <w:t>《污水排入城市下水道水质标准》（GB/T31962-2018）；</w:t>
      </w:r>
    </w:p>
    <w:p>
      <w:pPr>
        <w:pStyle w:val="64"/>
        <w:numPr>
          <w:ilvl w:val="0"/>
          <w:numId w:val="3"/>
        </w:numPr>
        <w:tabs>
          <w:tab w:val="left" w:pos="1418"/>
        </w:tabs>
        <w:ind w:left="0" w:firstLine="565" w:firstLineChars="202"/>
      </w:pPr>
      <w:r>
        <w:rPr>
          <w:rFonts w:hint="eastAsia"/>
        </w:rPr>
        <w:t>《城市污水处理工程项目建设标准》（建标〔2011〕77号）；</w:t>
      </w:r>
    </w:p>
    <w:p>
      <w:pPr>
        <w:pStyle w:val="64"/>
        <w:numPr>
          <w:ilvl w:val="0"/>
          <w:numId w:val="3"/>
        </w:numPr>
        <w:tabs>
          <w:tab w:val="left" w:pos="1418"/>
        </w:tabs>
        <w:ind w:left="0" w:firstLine="565" w:firstLineChars="202"/>
      </w:pPr>
      <w:r>
        <w:rPr>
          <w:rFonts w:hint="eastAsia"/>
        </w:rPr>
        <w:t>《污水自然处理工程技术规程》（CJJ/T54-2017）；</w:t>
      </w:r>
    </w:p>
    <w:p>
      <w:pPr>
        <w:pStyle w:val="64"/>
        <w:numPr>
          <w:ilvl w:val="0"/>
          <w:numId w:val="3"/>
        </w:numPr>
        <w:tabs>
          <w:tab w:val="left" w:pos="1418"/>
        </w:tabs>
        <w:ind w:left="0" w:firstLine="565" w:firstLineChars="202"/>
      </w:pPr>
      <w:r>
        <w:rPr>
          <w:rFonts w:hint="eastAsia"/>
        </w:rPr>
        <w:t>《人工湿地污水处理工程技术规范》（HJ2005-2010）；</w:t>
      </w:r>
    </w:p>
    <w:p>
      <w:pPr>
        <w:pStyle w:val="64"/>
        <w:numPr>
          <w:ilvl w:val="0"/>
          <w:numId w:val="3"/>
        </w:numPr>
        <w:tabs>
          <w:tab w:val="left" w:pos="1418"/>
        </w:tabs>
        <w:ind w:left="0" w:firstLine="565" w:firstLineChars="202"/>
      </w:pPr>
      <w:r>
        <w:rPr>
          <w:rFonts w:hint="eastAsia"/>
        </w:rPr>
        <w:t>《农村生活污水处理工程技术标准》（GB/T51347-2019）；</w:t>
      </w:r>
    </w:p>
    <w:p>
      <w:pPr>
        <w:pStyle w:val="64"/>
        <w:numPr>
          <w:ilvl w:val="0"/>
          <w:numId w:val="3"/>
        </w:numPr>
        <w:tabs>
          <w:tab w:val="left" w:pos="1418"/>
        </w:tabs>
        <w:ind w:left="0" w:firstLine="565" w:firstLineChars="202"/>
      </w:pPr>
      <w:r>
        <w:rPr>
          <w:rFonts w:hint="eastAsia"/>
        </w:rPr>
        <w:t>《农村生活污水处理项目建设与投资指南》（环发〔2013〕130号）；</w:t>
      </w:r>
    </w:p>
    <w:p>
      <w:pPr>
        <w:pStyle w:val="64"/>
        <w:numPr>
          <w:ilvl w:val="0"/>
          <w:numId w:val="3"/>
        </w:numPr>
        <w:tabs>
          <w:tab w:val="left" w:pos="1418"/>
        </w:tabs>
        <w:ind w:left="0" w:firstLine="565" w:firstLineChars="202"/>
      </w:pPr>
      <w:r>
        <w:rPr>
          <w:rFonts w:hint="eastAsia"/>
        </w:rPr>
        <w:t>《农村户厕卫生规范》（GB19379-2012）；</w:t>
      </w:r>
    </w:p>
    <w:p>
      <w:pPr>
        <w:pStyle w:val="64"/>
        <w:numPr>
          <w:ilvl w:val="0"/>
          <w:numId w:val="3"/>
        </w:numPr>
        <w:tabs>
          <w:tab w:val="left" w:pos="1418"/>
        </w:tabs>
        <w:ind w:left="0" w:firstLine="565" w:firstLineChars="202"/>
      </w:pPr>
      <w:r>
        <w:rPr>
          <w:rFonts w:hint="eastAsia"/>
        </w:rPr>
        <w:t>《农村生活污染控制技术规范》（HJ574-2010）；</w:t>
      </w:r>
    </w:p>
    <w:p>
      <w:pPr>
        <w:pStyle w:val="64"/>
        <w:numPr>
          <w:ilvl w:val="0"/>
          <w:numId w:val="3"/>
        </w:numPr>
        <w:tabs>
          <w:tab w:val="left" w:pos="1418"/>
        </w:tabs>
        <w:ind w:left="0" w:firstLine="565" w:firstLineChars="202"/>
      </w:pPr>
      <w:r>
        <w:rPr>
          <w:rFonts w:hint="eastAsia"/>
        </w:rPr>
        <w:t>《农村生活污染防治技术政策》（环发〔2010〕20号）；</w:t>
      </w:r>
    </w:p>
    <w:p>
      <w:pPr>
        <w:pStyle w:val="64"/>
        <w:numPr>
          <w:ilvl w:val="0"/>
          <w:numId w:val="3"/>
        </w:numPr>
        <w:tabs>
          <w:tab w:val="left" w:pos="1418"/>
        </w:tabs>
        <w:ind w:left="0" w:firstLine="565" w:firstLineChars="202"/>
      </w:pPr>
      <w:r>
        <w:rPr>
          <w:rFonts w:hint="eastAsia"/>
        </w:rPr>
        <w:t>《村庄整治技术规范》（GB50445-2008）；</w:t>
      </w:r>
    </w:p>
    <w:p>
      <w:pPr>
        <w:pStyle w:val="64"/>
        <w:numPr>
          <w:ilvl w:val="0"/>
          <w:numId w:val="3"/>
        </w:numPr>
        <w:tabs>
          <w:tab w:val="left" w:pos="1418"/>
        </w:tabs>
        <w:ind w:left="0" w:firstLine="565" w:firstLineChars="202"/>
      </w:pPr>
      <w:r>
        <w:rPr>
          <w:rFonts w:hint="eastAsia"/>
        </w:rPr>
        <w:t>《农村生活污水处理设施建设标准》（DBJ-45/005-2013）；</w:t>
      </w:r>
    </w:p>
    <w:p>
      <w:pPr>
        <w:pStyle w:val="64"/>
        <w:numPr>
          <w:ilvl w:val="0"/>
          <w:numId w:val="3"/>
        </w:numPr>
        <w:tabs>
          <w:tab w:val="left" w:pos="1418"/>
        </w:tabs>
        <w:ind w:left="0" w:firstLine="565" w:firstLineChars="202"/>
      </w:pPr>
      <w:r>
        <w:rPr>
          <w:rFonts w:hint="eastAsia"/>
        </w:rPr>
        <w:t>《广西农村生活污水处理技术指南》（试行）；</w:t>
      </w:r>
    </w:p>
    <w:p>
      <w:pPr>
        <w:pStyle w:val="64"/>
        <w:numPr>
          <w:ilvl w:val="0"/>
          <w:numId w:val="3"/>
        </w:numPr>
        <w:tabs>
          <w:tab w:val="left" w:pos="1418"/>
        </w:tabs>
        <w:ind w:left="0" w:firstLine="565" w:firstLineChars="202"/>
      </w:pPr>
      <w:r>
        <w:rPr>
          <w:rFonts w:hint="eastAsia"/>
        </w:rPr>
        <w:t>《城乡</w:t>
      </w:r>
      <w:r>
        <w:t>排水工程项目规范</w:t>
      </w:r>
      <w:r>
        <w:rPr>
          <w:rFonts w:hint="eastAsia"/>
        </w:rPr>
        <w:t>》（GB55027-2022）；</w:t>
      </w:r>
    </w:p>
    <w:p>
      <w:pPr>
        <w:pStyle w:val="64"/>
        <w:numPr>
          <w:ilvl w:val="0"/>
          <w:numId w:val="3"/>
        </w:numPr>
        <w:tabs>
          <w:tab w:val="left" w:pos="1418"/>
        </w:tabs>
        <w:ind w:left="0" w:firstLine="565" w:firstLineChars="202"/>
      </w:pPr>
      <w:r>
        <w:rPr>
          <w:rFonts w:hint="eastAsia"/>
        </w:rPr>
        <w:t>《建筑</w:t>
      </w:r>
      <w:r>
        <w:t>与市政工程抗震通用规范</w:t>
      </w:r>
      <w:r>
        <w:rPr>
          <w:rFonts w:hint="eastAsia"/>
        </w:rPr>
        <w:t>》（GB55002-2021）；</w:t>
      </w:r>
    </w:p>
    <w:p>
      <w:pPr>
        <w:pStyle w:val="64"/>
        <w:numPr>
          <w:ilvl w:val="0"/>
          <w:numId w:val="3"/>
        </w:numPr>
        <w:tabs>
          <w:tab w:val="left" w:pos="1418"/>
        </w:tabs>
        <w:ind w:left="0" w:firstLine="565" w:firstLineChars="202"/>
      </w:pPr>
      <w:r>
        <w:rPr>
          <w:rFonts w:hint="eastAsia"/>
        </w:rPr>
        <w:t>《建筑</w:t>
      </w:r>
      <w:r>
        <w:t>与市政地基基础通用规范</w:t>
      </w:r>
      <w:r>
        <w:rPr>
          <w:rFonts w:hint="eastAsia"/>
        </w:rPr>
        <w:t>》（GB55003-2021）；</w:t>
      </w:r>
    </w:p>
    <w:p>
      <w:pPr>
        <w:pStyle w:val="64"/>
        <w:numPr>
          <w:ilvl w:val="0"/>
          <w:numId w:val="3"/>
        </w:numPr>
        <w:tabs>
          <w:tab w:val="left" w:pos="1418"/>
        </w:tabs>
        <w:ind w:left="0" w:firstLine="565" w:firstLineChars="202"/>
      </w:pPr>
      <w:r>
        <w:rPr>
          <w:rFonts w:hint="eastAsia"/>
        </w:rPr>
        <w:t>《农村黑臭水体治理工作指南》（试行）（环办土壤函〔2019〕826号）；</w:t>
      </w:r>
    </w:p>
    <w:p>
      <w:pPr>
        <w:pStyle w:val="64"/>
        <w:numPr>
          <w:ilvl w:val="0"/>
          <w:numId w:val="3"/>
        </w:numPr>
        <w:tabs>
          <w:tab w:val="left" w:pos="1418"/>
        </w:tabs>
        <w:ind w:left="0" w:firstLine="565" w:firstLineChars="202"/>
      </w:pPr>
      <w:r>
        <w:rPr>
          <w:rFonts w:hint="eastAsia"/>
        </w:rPr>
        <w:t>《农村生活污水处理设施水污染物排放标准》（DB45/2413-2021）（广西壮族自治区地方标准）；</w:t>
      </w:r>
    </w:p>
    <w:p>
      <w:pPr>
        <w:pStyle w:val="64"/>
        <w:numPr>
          <w:ilvl w:val="0"/>
          <w:numId w:val="3"/>
        </w:numPr>
        <w:tabs>
          <w:tab w:val="left" w:pos="1418"/>
        </w:tabs>
        <w:ind w:left="0" w:firstLine="565" w:firstLineChars="202"/>
      </w:pPr>
      <w:r>
        <w:rPr>
          <w:rFonts w:hint="eastAsia"/>
        </w:rPr>
        <w:t>《百色市生态环境保护“十四五”规划》</w:t>
      </w:r>
    </w:p>
    <w:p>
      <w:pPr>
        <w:pStyle w:val="64"/>
        <w:numPr>
          <w:ilvl w:val="0"/>
          <w:numId w:val="3"/>
        </w:numPr>
        <w:tabs>
          <w:tab w:val="left" w:pos="1418"/>
        </w:tabs>
        <w:ind w:left="0" w:firstLine="565" w:firstLineChars="202"/>
      </w:pPr>
      <w:r>
        <w:rPr>
          <w:rFonts w:hint="eastAsia"/>
        </w:rPr>
        <w:t>《田东县农村生活污水治理专项规划（2021～2035）》</w:t>
      </w:r>
    </w:p>
    <w:p>
      <w:pPr>
        <w:pStyle w:val="64"/>
        <w:numPr>
          <w:ilvl w:val="0"/>
          <w:numId w:val="3"/>
        </w:numPr>
        <w:tabs>
          <w:tab w:val="left" w:pos="1418"/>
        </w:tabs>
        <w:ind w:left="0" w:firstLine="565" w:firstLineChars="202"/>
      </w:pPr>
      <w:r>
        <w:rPr>
          <w:rFonts w:hint="eastAsia"/>
        </w:rPr>
        <w:t>其他规范、标准、规程及技术规定等。</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3</w:t>
      </w:r>
      <w:r>
        <w:rPr>
          <w:rFonts w:hint="eastAsia" w:ascii="黑体" w:hAnsi="黑体" w:eastAsia="黑体" w:cs="黑体"/>
          <w:b w:val="0"/>
          <w:bCs w:val="0"/>
          <w:sz w:val="30"/>
          <w:szCs w:val="30"/>
        </w:rPr>
        <w:t>.3有关规划、文件</w:t>
      </w:r>
    </w:p>
    <w:p>
      <w:pPr>
        <w:pStyle w:val="64"/>
        <w:numPr>
          <w:ilvl w:val="0"/>
          <w:numId w:val="4"/>
        </w:numPr>
        <w:tabs>
          <w:tab w:val="left" w:pos="1418"/>
        </w:tabs>
        <w:ind w:firstLineChars="0"/>
      </w:pPr>
      <w:r>
        <w:rPr>
          <w:rFonts w:hint="eastAsia"/>
        </w:rPr>
        <w:t>《水污染防治资金管理办法》（财资环〔2019〕10号）；</w:t>
      </w:r>
    </w:p>
    <w:p>
      <w:pPr>
        <w:pStyle w:val="64"/>
        <w:numPr>
          <w:ilvl w:val="0"/>
          <w:numId w:val="4"/>
        </w:numPr>
        <w:tabs>
          <w:tab w:val="left" w:pos="1418"/>
        </w:tabs>
        <w:ind w:left="0" w:firstLine="565" w:firstLineChars="202"/>
      </w:pPr>
      <w:r>
        <w:rPr>
          <w:rFonts w:hint="eastAsia"/>
        </w:rPr>
        <w:t>《城镇污水排入排水管网许可管理办法》（中华人民共和国住房和城乡建设部令第21号）；</w:t>
      </w:r>
    </w:p>
    <w:p>
      <w:pPr>
        <w:pStyle w:val="64"/>
        <w:numPr>
          <w:ilvl w:val="0"/>
          <w:numId w:val="4"/>
        </w:numPr>
        <w:tabs>
          <w:tab w:val="left" w:pos="1418"/>
        </w:tabs>
        <w:ind w:left="0" w:firstLine="565" w:firstLineChars="202"/>
      </w:pPr>
      <w:r>
        <w:rPr>
          <w:rFonts w:hint="eastAsia"/>
        </w:rPr>
        <w:t>《关于制定和调整污水处理收费标准等有关问题的通知》（发改价格〔2015〕119号）；</w:t>
      </w:r>
    </w:p>
    <w:p>
      <w:pPr>
        <w:pStyle w:val="64"/>
        <w:numPr>
          <w:ilvl w:val="0"/>
          <w:numId w:val="4"/>
        </w:numPr>
        <w:tabs>
          <w:tab w:val="left" w:pos="1418"/>
        </w:tabs>
        <w:ind w:left="0" w:firstLine="565" w:firstLineChars="202"/>
      </w:pPr>
      <w:r>
        <w:rPr>
          <w:rFonts w:hint="eastAsia"/>
        </w:rPr>
        <w:t>《中共中央办公厅国务院办公厅关于印发&lt;农村人居环境整治三年行动方案&gt;的通知》（中办发〔2018〕5号）；</w:t>
      </w:r>
    </w:p>
    <w:p>
      <w:pPr>
        <w:pStyle w:val="64"/>
        <w:numPr>
          <w:ilvl w:val="0"/>
          <w:numId w:val="4"/>
        </w:numPr>
        <w:tabs>
          <w:tab w:val="left" w:pos="1418"/>
        </w:tabs>
        <w:ind w:left="0" w:firstLine="565" w:firstLineChars="202"/>
      </w:pPr>
      <w:r>
        <w:rPr>
          <w:rFonts w:hint="eastAsia"/>
        </w:rPr>
        <w:t>《关于推进农村生活污水治理的指导意见》（中农发〔2019〕14号）；</w:t>
      </w:r>
    </w:p>
    <w:p>
      <w:pPr>
        <w:pStyle w:val="64"/>
        <w:numPr>
          <w:ilvl w:val="0"/>
          <w:numId w:val="4"/>
        </w:numPr>
        <w:tabs>
          <w:tab w:val="left" w:pos="1418"/>
        </w:tabs>
        <w:ind w:left="0" w:firstLine="565" w:firstLineChars="202"/>
      </w:pPr>
      <w:r>
        <w:rPr>
          <w:rFonts w:hint="eastAsia"/>
        </w:rPr>
        <w:t>《关于加快推进农业农村生态环境重点工作的通知》（环办土壤〔2020〕4号）；</w:t>
      </w:r>
    </w:p>
    <w:p>
      <w:pPr>
        <w:pStyle w:val="64"/>
        <w:numPr>
          <w:ilvl w:val="0"/>
          <w:numId w:val="4"/>
        </w:numPr>
        <w:tabs>
          <w:tab w:val="left" w:pos="1418"/>
        </w:tabs>
        <w:ind w:left="0" w:firstLine="565" w:firstLineChars="202"/>
      </w:pPr>
      <w:r>
        <w:rPr>
          <w:rFonts w:hint="eastAsia"/>
        </w:rPr>
        <w:t>《农村环境整治实施方案（试行）》（土壤函〔2020〕7号）</w:t>
      </w:r>
    </w:p>
    <w:p>
      <w:pPr>
        <w:pStyle w:val="64"/>
        <w:numPr>
          <w:ilvl w:val="0"/>
          <w:numId w:val="4"/>
        </w:numPr>
        <w:tabs>
          <w:tab w:val="left" w:pos="1418"/>
        </w:tabs>
        <w:ind w:left="0" w:firstLine="565" w:firstLineChars="202"/>
      </w:pPr>
      <w:r>
        <w:rPr>
          <w:rFonts w:hint="eastAsia"/>
        </w:rPr>
        <w:t>《生态环境部农业农村部关于印发农业农村污染治理攻坚战行动计划的通知》（环土壤〔2018〕143号）；</w:t>
      </w:r>
    </w:p>
    <w:p>
      <w:pPr>
        <w:pStyle w:val="64"/>
        <w:numPr>
          <w:ilvl w:val="0"/>
          <w:numId w:val="4"/>
        </w:numPr>
        <w:tabs>
          <w:tab w:val="left" w:pos="1418"/>
        </w:tabs>
        <w:ind w:left="0" w:firstLine="565" w:firstLineChars="202"/>
      </w:pPr>
      <w:r>
        <w:rPr>
          <w:rFonts w:hint="eastAsia"/>
        </w:rPr>
        <w:t>《中央农办、农业农村部关于印送农村人居环境整治工作分工方案的函》（农社函〔2018〕3号）；</w:t>
      </w:r>
    </w:p>
    <w:p>
      <w:pPr>
        <w:pStyle w:val="64"/>
        <w:numPr>
          <w:ilvl w:val="0"/>
          <w:numId w:val="4"/>
        </w:numPr>
        <w:tabs>
          <w:tab w:val="left" w:pos="1418"/>
        </w:tabs>
        <w:ind w:left="0" w:firstLine="565" w:firstLineChars="202"/>
      </w:pPr>
      <w:r>
        <w:rPr>
          <w:rFonts w:hint="eastAsia"/>
        </w:rPr>
        <w:t>《关于进一步加强农业农村生态环境工作的指导意见》（环办土壤〔2019〕24号）；</w:t>
      </w:r>
    </w:p>
    <w:p>
      <w:pPr>
        <w:pStyle w:val="64"/>
        <w:numPr>
          <w:ilvl w:val="0"/>
          <w:numId w:val="4"/>
        </w:numPr>
        <w:tabs>
          <w:tab w:val="left" w:pos="1418"/>
        </w:tabs>
        <w:ind w:left="0" w:firstLine="565" w:firstLineChars="202"/>
      </w:pPr>
      <w:r>
        <w:rPr>
          <w:rFonts w:hint="eastAsia"/>
        </w:rPr>
        <w:t>《财政部关于印发农村环境整治资金管理办法的通知》（财资环〔2019〕12号）；</w:t>
      </w:r>
    </w:p>
    <w:p>
      <w:pPr>
        <w:pStyle w:val="64"/>
        <w:numPr>
          <w:ilvl w:val="0"/>
          <w:numId w:val="4"/>
        </w:numPr>
        <w:tabs>
          <w:tab w:val="left" w:pos="1418"/>
        </w:tabs>
        <w:ind w:left="0" w:firstLine="565" w:firstLineChars="202"/>
      </w:pPr>
      <w:r>
        <w:rPr>
          <w:rFonts w:hint="eastAsia"/>
        </w:rPr>
        <w:t>《广西农村环境综合整治项目管理办法》（桂环规范〔2020〕4号）；</w:t>
      </w:r>
    </w:p>
    <w:p>
      <w:pPr>
        <w:pStyle w:val="64"/>
        <w:numPr>
          <w:ilvl w:val="0"/>
          <w:numId w:val="4"/>
        </w:numPr>
        <w:tabs>
          <w:tab w:val="left" w:pos="1418"/>
        </w:tabs>
        <w:ind w:left="0" w:firstLine="565" w:firstLineChars="202"/>
      </w:pPr>
      <w:r>
        <w:rPr>
          <w:rFonts w:hint="eastAsia"/>
        </w:rPr>
        <w:t>《自治区污染防治攻坚战领导小组办公室关于编制县城农村生活污水治理规划的通知》（桂环函〔2019〕1834号）；</w:t>
      </w:r>
    </w:p>
    <w:p>
      <w:pPr>
        <w:pStyle w:val="64"/>
        <w:numPr>
          <w:ilvl w:val="0"/>
          <w:numId w:val="4"/>
        </w:numPr>
        <w:tabs>
          <w:tab w:val="left" w:pos="1418"/>
        </w:tabs>
        <w:ind w:left="0" w:firstLine="565" w:firstLineChars="202"/>
      </w:pPr>
      <w:r>
        <w:rPr>
          <w:rFonts w:hint="eastAsia"/>
        </w:rPr>
        <w:t>《自治区生态环境厅、自治区农业农村厅、自治区住房城乡建设厅关于印发〈广西农村生活污水治理实施方案〉的函》（桂环函〔2020〕98号）；</w:t>
      </w:r>
    </w:p>
    <w:p>
      <w:pPr>
        <w:pStyle w:val="64"/>
        <w:numPr>
          <w:ilvl w:val="0"/>
          <w:numId w:val="4"/>
        </w:numPr>
        <w:tabs>
          <w:tab w:val="left" w:pos="1418"/>
        </w:tabs>
        <w:ind w:left="0" w:firstLine="565" w:firstLineChars="202"/>
      </w:pPr>
      <w:r>
        <w:rPr>
          <w:rFonts w:hint="eastAsia"/>
        </w:rPr>
        <w:t>《广西壮族自治区农村人居环境整治三年行动实施方案（2018-2020年）》；</w:t>
      </w:r>
    </w:p>
    <w:p>
      <w:pPr>
        <w:pStyle w:val="64"/>
        <w:numPr>
          <w:ilvl w:val="0"/>
          <w:numId w:val="4"/>
        </w:numPr>
        <w:tabs>
          <w:tab w:val="left" w:pos="1418"/>
        </w:tabs>
        <w:ind w:left="0" w:firstLine="565" w:firstLineChars="202"/>
      </w:pPr>
      <w:r>
        <w:rPr>
          <w:rFonts w:hint="eastAsia"/>
        </w:rPr>
        <w:t>《“十四五”广西农村黑臭水体治理实施方案》；</w:t>
      </w:r>
    </w:p>
    <w:p>
      <w:pPr>
        <w:pStyle w:val="64"/>
        <w:numPr>
          <w:ilvl w:val="0"/>
          <w:numId w:val="4"/>
        </w:numPr>
        <w:tabs>
          <w:tab w:val="left" w:pos="1418"/>
        </w:tabs>
        <w:ind w:left="0" w:firstLine="565" w:firstLineChars="202"/>
      </w:pPr>
      <w:r>
        <w:rPr>
          <w:rFonts w:hint="eastAsia"/>
        </w:rPr>
        <w:t>《广西农村生活污水处理设施运行维护管理办法》（试行）；</w:t>
      </w:r>
    </w:p>
    <w:p>
      <w:pPr>
        <w:pStyle w:val="64"/>
        <w:numPr>
          <w:ilvl w:val="0"/>
          <w:numId w:val="4"/>
        </w:numPr>
        <w:tabs>
          <w:tab w:val="left" w:pos="1418"/>
        </w:tabs>
        <w:ind w:left="0" w:firstLine="565" w:firstLineChars="202"/>
      </w:pPr>
      <w:r>
        <w:rPr>
          <w:rFonts w:hint="eastAsia"/>
        </w:rPr>
        <w:t>建设单位委托书；</w:t>
      </w:r>
    </w:p>
    <w:p>
      <w:pPr>
        <w:pStyle w:val="64"/>
        <w:numPr>
          <w:ilvl w:val="0"/>
          <w:numId w:val="4"/>
        </w:numPr>
        <w:tabs>
          <w:tab w:val="left" w:pos="1418"/>
        </w:tabs>
        <w:ind w:left="0" w:firstLine="565" w:firstLineChars="202"/>
      </w:pPr>
      <w:r>
        <w:rPr>
          <w:rFonts w:hint="eastAsia"/>
        </w:rPr>
        <w:t>建设单位提供的本项目的资料及文件(电子文件)。</w:t>
      </w:r>
    </w:p>
    <w:p>
      <w:pPr>
        <w:pStyle w:val="3"/>
        <w:spacing w:before="120" w:beforeLines="50"/>
        <w:rPr>
          <w:rFonts w:ascii="黑体" w:hAnsi="黑体" w:eastAsia="黑体" w:cs="黑体"/>
          <w:b w:val="0"/>
          <w:bCs w:val="0"/>
          <w:sz w:val="32"/>
        </w:rPr>
      </w:pPr>
      <w:bookmarkStart w:id="10" w:name="_Toc495307171"/>
      <w:bookmarkStart w:id="11" w:name="_Toc14696"/>
      <w:bookmarkStart w:id="12" w:name="_Toc169616865"/>
      <w:r>
        <w:rPr>
          <w:rFonts w:hint="eastAsia" w:ascii="黑体" w:hAnsi="黑体" w:eastAsia="黑体" w:cs="黑体"/>
          <w:b w:val="0"/>
          <w:bCs w:val="0"/>
          <w:sz w:val="32"/>
        </w:rPr>
        <w:t>1.</w:t>
      </w:r>
      <w:r>
        <w:rPr>
          <w:rFonts w:ascii="黑体" w:hAnsi="黑体" w:eastAsia="黑体" w:cs="黑体"/>
          <w:b w:val="0"/>
          <w:bCs w:val="0"/>
          <w:sz w:val="32"/>
        </w:rPr>
        <w:t>4</w:t>
      </w:r>
      <w:r>
        <w:rPr>
          <w:rFonts w:hint="eastAsia" w:ascii="黑体" w:hAnsi="黑体" w:eastAsia="黑体" w:cs="黑体"/>
          <w:b w:val="0"/>
          <w:bCs w:val="0"/>
          <w:sz w:val="32"/>
        </w:rPr>
        <w:t>研究工作概况及研究范围</w:t>
      </w:r>
      <w:bookmarkEnd w:id="10"/>
      <w:bookmarkEnd w:id="11"/>
      <w:bookmarkEnd w:id="12"/>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4</w:t>
      </w:r>
      <w:r>
        <w:rPr>
          <w:rFonts w:hint="eastAsia" w:ascii="黑体" w:hAnsi="黑体" w:eastAsia="黑体" w:cs="黑体"/>
          <w:b w:val="0"/>
          <w:bCs w:val="0"/>
          <w:sz w:val="30"/>
          <w:szCs w:val="30"/>
        </w:rPr>
        <w:t>.1重点研究的问题</w:t>
      </w:r>
    </w:p>
    <w:p>
      <w:pPr>
        <w:pStyle w:val="64"/>
        <w:numPr>
          <w:ilvl w:val="0"/>
          <w:numId w:val="5"/>
        </w:numPr>
        <w:tabs>
          <w:tab w:val="left" w:pos="1276"/>
        </w:tabs>
        <w:ind w:left="0" w:firstLine="565" w:firstLineChars="202"/>
      </w:pPr>
      <w:r>
        <w:rPr>
          <w:rFonts w:hint="eastAsia"/>
        </w:rPr>
        <w:t>通过对平马镇合恒村目前的现状和需求，以及对建设条件、要求的研究和分析，确定工程技术方案。</w:t>
      </w:r>
    </w:p>
    <w:p>
      <w:pPr>
        <w:pStyle w:val="64"/>
        <w:numPr>
          <w:ilvl w:val="0"/>
          <w:numId w:val="5"/>
        </w:numPr>
        <w:tabs>
          <w:tab w:val="left" w:pos="1276"/>
        </w:tabs>
        <w:ind w:left="0" w:firstLine="565" w:firstLineChars="202"/>
      </w:pPr>
      <w:r>
        <w:rPr>
          <w:rFonts w:hint="eastAsia"/>
        </w:rPr>
        <w:t>项目需求与项目提出是否合理有据。</w:t>
      </w:r>
    </w:p>
    <w:p>
      <w:pPr>
        <w:pStyle w:val="64"/>
        <w:numPr>
          <w:ilvl w:val="0"/>
          <w:numId w:val="5"/>
        </w:numPr>
        <w:tabs>
          <w:tab w:val="left" w:pos="1276"/>
        </w:tabs>
        <w:ind w:left="0" w:firstLine="565" w:firstLineChars="202"/>
      </w:pPr>
      <w:r>
        <w:rPr>
          <w:rFonts w:hint="eastAsia"/>
        </w:rPr>
        <w:t>建设方案在规模、标准、设计、设备配置等方面是否符合国家有关技术标准，是否先进、实用。</w:t>
      </w:r>
    </w:p>
    <w:p>
      <w:pPr>
        <w:pStyle w:val="64"/>
        <w:numPr>
          <w:ilvl w:val="0"/>
          <w:numId w:val="5"/>
        </w:numPr>
        <w:tabs>
          <w:tab w:val="left" w:pos="1276"/>
        </w:tabs>
        <w:ind w:left="0" w:firstLine="565" w:firstLineChars="202"/>
      </w:pPr>
      <w:r>
        <w:rPr>
          <w:rFonts w:hint="eastAsia"/>
        </w:rPr>
        <w:t>项目建成后是否具有可持续发展能力。</w:t>
      </w:r>
    </w:p>
    <w:p>
      <w:pPr>
        <w:pStyle w:val="64"/>
        <w:numPr>
          <w:ilvl w:val="0"/>
          <w:numId w:val="5"/>
        </w:numPr>
        <w:tabs>
          <w:tab w:val="left" w:pos="1276"/>
          <w:tab w:val="left" w:pos="1418"/>
        </w:tabs>
        <w:ind w:left="0" w:firstLine="565" w:firstLineChars="202"/>
      </w:pPr>
      <w:r>
        <w:rPr>
          <w:rFonts w:hint="eastAsia"/>
        </w:rPr>
        <w:t>工程项目建设组织与建设周期是否合理。</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4</w:t>
      </w:r>
      <w:r>
        <w:rPr>
          <w:rFonts w:hint="eastAsia" w:ascii="黑体" w:hAnsi="黑体" w:eastAsia="黑体" w:cs="黑体"/>
          <w:b w:val="0"/>
          <w:bCs w:val="0"/>
          <w:sz w:val="30"/>
          <w:szCs w:val="30"/>
        </w:rPr>
        <w:t>.2编制原则</w:t>
      </w:r>
    </w:p>
    <w:p>
      <w:pPr>
        <w:pStyle w:val="64"/>
        <w:numPr>
          <w:ilvl w:val="0"/>
          <w:numId w:val="6"/>
        </w:numPr>
        <w:tabs>
          <w:tab w:val="left" w:pos="1276"/>
        </w:tabs>
        <w:ind w:left="567" w:firstLine="0" w:firstLineChars="0"/>
      </w:pPr>
      <w:r>
        <w:t>项目建议书遵循“客观、科学、可行”的原则</w:t>
      </w:r>
      <w:r>
        <w:rPr>
          <w:rFonts w:hint="eastAsia"/>
        </w:rPr>
        <w:t>。</w:t>
      </w:r>
    </w:p>
    <w:p>
      <w:pPr>
        <w:pStyle w:val="64"/>
        <w:numPr>
          <w:ilvl w:val="0"/>
          <w:numId w:val="6"/>
        </w:numPr>
        <w:tabs>
          <w:tab w:val="left" w:pos="1276"/>
        </w:tabs>
        <w:ind w:left="0" w:firstLine="565" w:firstLineChars="202"/>
      </w:pPr>
      <w:r>
        <w:t>项目任务、目标确定与项目需求分析相吻合、相适应</w:t>
      </w:r>
      <w:r>
        <w:rPr>
          <w:rFonts w:hint="eastAsia"/>
        </w:rPr>
        <w:t>。</w:t>
      </w:r>
    </w:p>
    <w:p>
      <w:pPr>
        <w:pStyle w:val="64"/>
        <w:numPr>
          <w:ilvl w:val="0"/>
          <w:numId w:val="6"/>
        </w:numPr>
        <w:tabs>
          <w:tab w:val="left" w:pos="1276"/>
        </w:tabs>
        <w:ind w:left="0" w:firstLine="565" w:firstLineChars="202"/>
      </w:pPr>
      <w:r>
        <w:t>建设方案设计合理，满足使用需要与管理要求</w:t>
      </w:r>
      <w:r>
        <w:rPr>
          <w:rFonts w:hint="eastAsia"/>
        </w:rPr>
        <w:t>。</w:t>
      </w:r>
    </w:p>
    <w:p>
      <w:pPr>
        <w:pStyle w:val="64"/>
        <w:numPr>
          <w:ilvl w:val="0"/>
          <w:numId w:val="6"/>
        </w:numPr>
        <w:tabs>
          <w:tab w:val="left" w:pos="1276"/>
        </w:tabs>
        <w:ind w:left="0" w:firstLine="565" w:firstLineChars="202"/>
        <w:rPr>
          <w:rFonts w:asciiTheme="minorEastAsia" w:hAnsiTheme="minorEastAsia" w:eastAsiaTheme="minorEastAsia"/>
          <w:szCs w:val="28"/>
        </w:rPr>
      </w:pPr>
      <w:r>
        <w:t>经过论证的建议书成果必须成为项目取舍的依据，以及项目</w:t>
      </w:r>
      <w:r>
        <w:rPr>
          <w:rFonts w:asciiTheme="minorEastAsia" w:hAnsiTheme="minorEastAsia" w:eastAsiaTheme="minorEastAsia"/>
          <w:szCs w:val="28"/>
        </w:rPr>
        <w:t>建设全过程纲领性文件</w:t>
      </w:r>
      <w:r>
        <w:rPr>
          <w:rFonts w:hint="eastAsia" w:asciiTheme="minorEastAsia" w:hAnsiTheme="minorEastAsia" w:eastAsiaTheme="minorEastAsia"/>
          <w:szCs w:val="28"/>
        </w:rPr>
        <w:t>。</w:t>
      </w:r>
    </w:p>
    <w:p>
      <w:pPr>
        <w:pStyle w:val="3"/>
        <w:spacing w:before="120" w:beforeLines="50"/>
        <w:rPr>
          <w:rFonts w:ascii="黑体" w:hAnsi="黑体" w:eastAsia="黑体" w:cs="黑体"/>
          <w:b w:val="0"/>
          <w:bCs w:val="0"/>
          <w:sz w:val="32"/>
        </w:rPr>
      </w:pPr>
      <w:bookmarkStart w:id="13" w:name="_Toc169616866"/>
      <w:r>
        <w:rPr>
          <w:rFonts w:hint="eastAsia" w:ascii="黑体" w:hAnsi="黑体" w:eastAsia="黑体" w:cs="黑体"/>
          <w:b w:val="0"/>
          <w:bCs w:val="0"/>
          <w:sz w:val="32"/>
        </w:rPr>
        <w:t>1.5主要建设内容及规模</w:t>
      </w:r>
      <w:bookmarkEnd w:id="13"/>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项目包含新建主管网6379米等建设内容，具体如下。</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（1）甲逢屯新建主管网约 2151 米，其中DN400波纹管约 1417米、新建 DN315波纹管约 669 米、DN400钢管65米、300m³资源化利用设施一座。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（2）东海屯新建主管网3227米，其中新建DN400波纹管1580米（含100米雨水管）、新建DN315波纹管网约 1647 米，200m³资源化利用设施1座；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（3）里弄屯新建新建DN315波纹管1001米；</w:t>
      </w:r>
    </w:p>
    <w:p>
      <w:pPr>
        <w:snapToGrid w:val="0"/>
        <w:ind w:firstLine="560"/>
      </w:pPr>
      <w:r>
        <w:rPr>
          <w:rFonts w:hint="eastAsia" w:cs="宋体" w:asciiTheme="minorEastAsia" w:hAnsiTheme="minorEastAsia" w:eastAsiaTheme="minorEastAsia"/>
          <w:szCs w:val="28"/>
        </w:rPr>
        <w:t>（4）项目配套DN200PVC屯内入户管2250米，检查井272座，</w:t>
      </w:r>
      <w:r>
        <w:rPr>
          <w:rFonts w:hint="eastAsia" w:cs="宋体" w:asciiTheme="minorEastAsia" w:hAnsiTheme="minorEastAsia" w:eastAsiaTheme="minorEastAsia"/>
          <w:szCs w:val="28"/>
          <w:lang w:eastAsia="zh-CN"/>
        </w:rPr>
        <w:t>疏浚</w:t>
      </w:r>
      <w:r>
        <w:rPr>
          <w:rFonts w:hint="eastAsia" w:cs="宋体" w:asciiTheme="minorEastAsia" w:hAnsiTheme="minorEastAsia" w:eastAsiaTheme="minorEastAsia"/>
          <w:szCs w:val="28"/>
          <w:highlight w:val="green"/>
          <w:lang w:eastAsia="zh-CN"/>
        </w:rPr>
        <w:t>疏浚</w:t>
      </w:r>
      <w:r>
        <w:rPr>
          <w:rFonts w:hint="eastAsia" w:cs="宋体" w:asciiTheme="minorEastAsia" w:hAnsiTheme="minorEastAsia" w:eastAsiaTheme="minorEastAsia"/>
          <w:szCs w:val="28"/>
          <w:highlight w:val="green"/>
          <w:lang w:val="en-US" w:eastAsia="zh-CN"/>
        </w:rPr>
        <w:t>*****（管网名称）</w:t>
      </w:r>
      <w:r>
        <w:rPr>
          <w:rFonts w:hint="eastAsia" w:cs="宋体" w:asciiTheme="minorEastAsia" w:hAnsiTheme="minorEastAsia" w:eastAsiaTheme="minorEastAsia"/>
          <w:szCs w:val="28"/>
        </w:rPr>
        <w:t>3136米，清理水葫芦42000㎡</w:t>
      </w:r>
      <w:r>
        <w:rPr>
          <w:rFonts w:hint="eastAsia"/>
        </w:rPr>
        <w:t>。</w:t>
      </w:r>
    </w:p>
    <w:p>
      <w:pPr>
        <w:pStyle w:val="3"/>
        <w:spacing w:before="120" w:beforeLines="50"/>
        <w:rPr>
          <w:rFonts w:ascii="黑体" w:hAnsi="黑体" w:eastAsia="黑体" w:cs="黑体"/>
          <w:b w:val="0"/>
          <w:bCs w:val="0"/>
          <w:sz w:val="32"/>
        </w:rPr>
      </w:pPr>
      <w:bookmarkStart w:id="14" w:name="_Toc169616867"/>
      <w:bookmarkStart w:id="15" w:name="_Toc161845487"/>
      <w:r>
        <w:rPr>
          <w:rFonts w:hint="eastAsia" w:ascii="黑体" w:hAnsi="黑体" w:eastAsia="黑体" w:cs="黑体"/>
          <w:b w:val="0"/>
          <w:bCs w:val="0"/>
          <w:sz w:val="32"/>
        </w:rPr>
        <w:t>1</w:t>
      </w:r>
      <w:r>
        <w:rPr>
          <w:rFonts w:ascii="黑体" w:hAnsi="黑体" w:eastAsia="黑体" w:cs="黑体"/>
          <w:b w:val="0"/>
          <w:bCs w:val="0"/>
          <w:sz w:val="32"/>
        </w:rPr>
        <w:t>.6</w:t>
      </w:r>
      <w:bookmarkStart w:id="16" w:name="_Toc72868673"/>
      <w:r>
        <w:rPr>
          <w:rFonts w:hint="eastAsia" w:ascii="黑体" w:hAnsi="黑体" w:eastAsia="黑体" w:cs="黑体"/>
          <w:b w:val="0"/>
          <w:bCs w:val="0"/>
          <w:sz w:val="32"/>
        </w:rPr>
        <w:t>工程总投资及资金筹措</w:t>
      </w:r>
      <w:bookmarkEnd w:id="14"/>
      <w:bookmarkEnd w:id="15"/>
      <w:bookmarkEnd w:id="16"/>
    </w:p>
    <w:p>
      <w:pPr>
        <w:snapToGrid w:val="0"/>
        <w:ind w:firstLine="560"/>
        <w:rPr>
          <w:rFonts w:ascii="宋体" w:hAnsi="宋体" w:cs="宋体"/>
        </w:rPr>
      </w:pPr>
      <w:r>
        <w:rPr>
          <w:rFonts w:hint="eastAsia" w:ascii="宋体" w:hAnsi="宋体" w:cs="宋体"/>
        </w:rPr>
        <w:t>本项目预计总投资约977.97万元，其中工程费用约884.73万元，其他费用约93.24万元。</w:t>
      </w:r>
    </w:p>
    <w:p>
      <w:pPr>
        <w:snapToGrid w:val="0"/>
        <w:ind w:firstLine="560"/>
      </w:pPr>
      <w:r>
        <w:rPr>
          <w:rFonts w:hint="eastAsia" w:asciiTheme="minorEastAsia" w:hAnsiTheme="minorEastAsia" w:eastAsiaTheme="minorEastAsia"/>
          <w:szCs w:val="28"/>
        </w:rPr>
        <w:t>资金来源为：申请自治区农整专项资金。</w:t>
      </w:r>
    </w:p>
    <w:p>
      <w:pPr>
        <w:pStyle w:val="3"/>
        <w:spacing w:before="120" w:beforeLines="50"/>
        <w:rPr>
          <w:rFonts w:ascii="黑体" w:hAnsi="黑体" w:eastAsia="黑体" w:cs="黑体"/>
          <w:b w:val="0"/>
          <w:bCs w:val="0"/>
          <w:sz w:val="32"/>
        </w:rPr>
      </w:pPr>
      <w:bookmarkStart w:id="17" w:name="_Toc161845488"/>
      <w:bookmarkStart w:id="18" w:name="_Toc169616868"/>
      <w:r>
        <w:rPr>
          <w:rFonts w:hint="eastAsia" w:ascii="黑体" w:hAnsi="黑体" w:eastAsia="黑体" w:cs="黑体"/>
          <w:b w:val="0"/>
          <w:bCs w:val="0"/>
          <w:sz w:val="32"/>
        </w:rPr>
        <w:t>1</w:t>
      </w:r>
      <w:r>
        <w:rPr>
          <w:rFonts w:ascii="黑体" w:hAnsi="黑体" w:eastAsia="黑体" w:cs="黑体"/>
          <w:b w:val="0"/>
          <w:bCs w:val="0"/>
          <w:sz w:val="32"/>
        </w:rPr>
        <w:t>.7</w:t>
      </w:r>
      <w:r>
        <w:rPr>
          <w:rFonts w:hint="eastAsia" w:ascii="黑体" w:hAnsi="黑体" w:eastAsia="黑体" w:cs="黑体"/>
          <w:b w:val="0"/>
          <w:bCs w:val="0"/>
          <w:sz w:val="32"/>
        </w:rPr>
        <w:t>主要技术经济指标</w:t>
      </w:r>
      <w:bookmarkEnd w:id="17"/>
      <w:bookmarkEnd w:id="18"/>
    </w:p>
    <w:p>
      <w:pPr>
        <w:ind w:firstLine="0" w:firstLineChars="0"/>
        <w:jc w:val="center"/>
      </w:pPr>
      <w:r>
        <w:t>主要经济技术指标表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6"/>
        <w:gridCol w:w="1185"/>
        <w:gridCol w:w="1186"/>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6" w:type="dxa"/>
            <w:vAlign w:val="center"/>
          </w:tcPr>
          <w:p>
            <w:pPr>
              <w:pStyle w:val="38"/>
              <w:jc w:val="center"/>
              <w:rPr>
                <w:rFonts w:ascii="宋体" w:hAnsi="宋体"/>
                <w:color w:val="auto"/>
              </w:rPr>
            </w:pPr>
            <w:r>
              <w:rPr>
                <w:rFonts w:hint="eastAsia" w:ascii="宋体" w:hAnsi="宋体"/>
                <w:color w:val="auto"/>
              </w:rPr>
              <w:t>项目名称</w:t>
            </w:r>
          </w:p>
        </w:tc>
        <w:tc>
          <w:tcPr>
            <w:tcW w:w="1185" w:type="dxa"/>
            <w:vAlign w:val="center"/>
          </w:tcPr>
          <w:p>
            <w:pPr>
              <w:pStyle w:val="38"/>
              <w:jc w:val="center"/>
              <w:rPr>
                <w:rFonts w:ascii="宋体" w:hAnsi="宋体"/>
                <w:color w:val="auto"/>
              </w:rPr>
            </w:pPr>
            <w:r>
              <w:rPr>
                <w:rFonts w:hint="eastAsia" w:ascii="宋体" w:hAnsi="宋体"/>
                <w:color w:val="auto"/>
              </w:rPr>
              <w:t>单位</w:t>
            </w:r>
          </w:p>
        </w:tc>
        <w:tc>
          <w:tcPr>
            <w:tcW w:w="1186" w:type="dxa"/>
            <w:vAlign w:val="center"/>
          </w:tcPr>
          <w:p>
            <w:pPr>
              <w:pStyle w:val="38"/>
              <w:jc w:val="center"/>
              <w:rPr>
                <w:rFonts w:ascii="宋体" w:hAnsi="宋体"/>
                <w:color w:val="auto"/>
              </w:rPr>
            </w:pPr>
            <w:r>
              <w:rPr>
                <w:rFonts w:hint="eastAsia" w:ascii="宋体" w:hAnsi="宋体"/>
                <w:color w:val="auto"/>
              </w:rPr>
              <w:t>数量</w:t>
            </w:r>
          </w:p>
        </w:tc>
        <w:tc>
          <w:tcPr>
            <w:tcW w:w="2735" w:type="dxa"/>
            <w:vAlign w:val="center"/>
          </w:tcPr>
          <w:p>
            <w:pPr>
              <w:pStyle w:val="38"/>
              <w:jc w:val="center"/>
              <w:rPr>
                <w:rFonts w:ascii="宋体" w:hAnsi="宋体"/>
                <w:color w:val="auto"/>
              </w:rPr>
            </w:pPr>
            <w:r>
              <w:rPr>
                <w:rFonts w:hint="eastAsia" w:ascii="宋体" w:hAnsi="宋体"/>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ascii="宋体" w:hAnsi="宋体" w:cs="宋体"/>
                <w:color w:val="auto"/>
              </w:rPr>
              <w:t>内径</w:t>
            </w:r>
            <w:r>
              <w:rPr>
                <w:rFonts w:ascii="宋体" w:hAnsi="宋体" w:cs="宋体"/>
                <w:color w:val="auto"/>
              </w:rPr>
              <w:t>400HDPE</w:t>
            </w:r>
            <w:r>
              <w:rPr>
                <w:rFonts w:hint="eastAsia" w:ascii="宋体" w:hAnsi="宋体" w:cs="宋体"/>
                <w:color w:val="auto"/>
              </w:rPr>
              <w:t>增强中空壁缠绕管</w:t>
            </w:r>
            <w:r>
              <w:rPr>
                <w:rFonts w:ascii="宋体" w:hAnsi="宋体" w:cs="宋体"/>
                <w:color w:val="auto"/>
              </w:rPr>
              <w:t>(</w:t>
            </w:r>
            <w:r>
              <w:rPr>
                <w:rFonts w:hint="eastAsia" w:ascii="宋体" w:hAnsi="宋体" w:cs="宋体"/>
                <w:color w:val="auto"/>
              </w:rPr>
              <w:t>直管</w:t>
            </w:r>
            <w:r>
              <w:rPr>
                <w:rFonts w:ascii="宋体" w:hAnsi="宋体" w:cs="宋体"/>
                <w:color w:val="auto"/>
              </w:rPr>
              <w:t>) 8KN/m</w:t>
            </w:r>
            <w:r>
              <w:rPr>
                <w:rFonts w:hint="eastAsia" w:ascii="宋体" w:hAnsi="宋体" w:cs="宋体"/>
                <w:color w:val="auto"/>
              </w:rPr>
              <w:t>²</w:t>
            </w:r>
          </w:p>
        </w:tc>
        <w:tc>
          <w:tcPr>
            <w:tcW w:w="1185" w:type="dxa"/>
            <w:vAlign w:val="center"/>
          </w:tcPr>
          <w:p>
            <w:pPr>
              <w:pStyle w:val="38"/>
              <w:jc w:val="center"/>
              <w:rPr>
                <w:rFonts w:ascii="宋体" w:hAnsi="宋体"/>
                <w:color w:val="auto"/>
              </w:rPr>
            </w:pPr>
            <w:r>
              <w:rPr>
                <w:rFonts w:hint="eastAsia" w:ascii="宋体" w:hAnsi="宋体"/>
                <w:color w:val="auto"/>
              </w:rPr>
              <w:t>米</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s="宋体"/>
                <w:color w:val="auto"/>
                <w:lang w:val="en-US" w:eastAsia="zh-CN"/>
              </w:rPr>
              <w:t>2997</w:t>
            </w:r>
          </w:p>
        </w:tc>
        <w:tc>
          <w:tcPr>
            <w:tcW w:w="2735" w:type="dxa"/>
            <w:vAlign w:val="center"/>
          </w:tcPr>
          <w:p>
            <w:pPr>
              <w:pStyle w:val="38"/>
              <w:jc w:val="center"/>
              <w:rPr>
                <w:rFonts w:ascii="宋体" w:hAnsi="宋体"/>
                <w:color w:val="auto"/>
              </w:rPr>
            </w:pPr>
            <w:r>
              <w:rPr>
                <w:rFonts w:hint="eastAsia" w:ascii="宋体" w:hAnsi="宋体"/>
                <w:color w:val="auto"/>
              </w:rPr>
              <w:t>平均挖1.2米</w:t>
            </w:r>
            <w:r>
              <w:rPr>
                <w:rFonts w:hint="eastAsia" w:ascii="宋体" w:hAnsi="宋体"/>
                <w:color w:val="auto"/>
                <w:lang w:val="en-US" w:eastAsia="zh-CN"/>
              </w:rPr>
              <w:t>-2.2米</w:t>
            </w:r>
            <w:r>
              <w:rPr>
                <w:rFonts w:hint="eastAsia" w:ascii="宋体" w:hAnsi="宋体"/>
                <w:color w:val="auto"/>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ascii="宋体" w:hAnsi="宋体" w:cs="宋体"/>
                <w:color w:val="auto"/>
              </w:rPr>
              <w:t>内径</w:t>
            </w:r>
            <w:r>
              <w:rPr>
                <w:rFonts w:hint="eastAsia" w:ascii="宋体" w:hAnsi="宋体" w:cs="宋体"/>
                <w:color w:val="auto"/>
                <w:lang w:val="en-US" w:eastAsia="zh-CN"/>
              </w:rPr>
              <w:t>3</w:t>
            </w:r>
            <w:r>
              <w:rPr>
                <w:rFonts w:ascii="宋体" w:hAnsi="宋体" w:cs="宋体"/>
                <w:color w:val="auto"/>
              </w:rPr>
              <w:t>00HDPE</w:t>
            </w:r>
            <w:r>
              <w:rPr>
                <w:rFonts w:hint="eastAsia" w:ascii="宋体" w:hAnsi="宋体" w:cs="宋体"/>
                <w:color w:val="auto"/>
              </w:rPr>
              <w:t>增强中空壁缠绕管</w:t>
            </w:r>
            <w:r>
              <w:rPr>
                <w:rFonts w:ascii="宋体" w:hAnsi="宋体" w:cs="宋体"/>
                <w:color w:val="auto"/>
              </w:rPr>
              <w:t>(</w:t>
            </w:r>
            <w:r>
              <w:rPr>
                <w:rFonts w:hint="eastAsia" w:ascii="宋体" w:hAnsi="宋体" w:cs="宋体"/>
                <w:color w:val="auto"/>
              </w:rPr>
              <w:t>直管</w:t>
            </w:r>
            <w:r>
              <w:rPr>
                <w:rFonts w:ascii="宋体" w:hAnsi="宋体" w:cs="宋体"/>
                <w:color w:val="auto"/>
              </w:rPr>
              <w:t>) 8KN/m</w:t>
            </w:r>
            <w:r>
              <w:rPr>
                <w:rFonts w:hint="eastAsia" w:ascii="宋体" w:hAnsi="宋体" w:cs="宋体"/>
                <w:color w:val="auto"/>
              </w:rPr>
              <w:t>²</w:t>
            </w:r>
          </w:p>
        </w:tc>
        <w:tc>
          <w:tcPr>
            <w:tcW w:w="1185" w:type="dxa"/>
            <w:vAlign w:val="center"/>
          </w:tcPr>
          <w:p>
            <w:pPr>
              <w:pStyle w:val="38"/>
              <w:jc w:val="center"/>
              <w:rPr>
                <w:rFonts w:ascii="宋体" w:hAnsi="宋体"/>
                <w:color w:val="auto"/>
              </w:rPr>
            </w:pPr>
            <w:r>
              <w:rPr>
                <w:rFonts w:hint="eastAsia" w:ascii="宋体" w:hAnsi="宋体"/>
                <w:color w:val="auto"/>
              </w:rPr>
              <w:t>米</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s="宋体"/>
                <w:color w:val="auto"/>
                <w:lang w:val="en-US" w:eastAsia="zh-CN"/>
              </w:rPr>
              <w:t>3317</w:t>
            </w:r>
          </w:p>
        </w:tc>
        <w:tc>
          <w:tcPr>
            <w:tcW w:w="2735" w:type="dxa"/>
            <w:vAlign w:val="center"/>
          </w:tcPr>
          <w:p>
            <w:pPr>
              <w:pStyle w:val="38"/>
              <w:jc w:val="center"/>
              <w:rPr>
                <w:rFonts w:ascii="宋体" w:hAnsi="宋体"/>
                <w:color w:val="auto"/>
              </w:rPr>
            </w:pPr>
            <w:r>
              <w:rPr>
                <w:rFonts w:hint="eastAsia" w:ascii="宋体" w:hAnsi="宋体"/>
                <w:color w:val="auto"/>
              </w:rPr>
              <w:t>平均挖1.2米</w:t>
            </w:r>
            <w:r>
              <w:rPr>
                <w:rFonts w:hint="eastAsia" w:ascii="宋体" w:hAnsi="宋体"/>
                <w:color w:val="auto"/>
                <w:lang w:val="en-US" w:eastAsia="zh-CN"/>
              </w:rPr>
              <w:t>-2.2米</w:t>
            </w:r>
            <w:r>
              <w:rPr>
                <w:rFonts w:hint="eastAsia" w:ascii="宋体" w:hAnsi="宋体"/>
                <w:color w:val="auto"/>
              </w:rPr>
              <w:t>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ascii="宋体" w:hAnsi="宋体" w:cs="宋体"/>
                <w:color w:val="auto"/>
              </w:rPr>
              <w:t>内径</w:t>
            </w:r>
            <w:r>
              <w:rPr>
                <w:rFonts w:ascii="宋体" w:hAnsi="宋体" w:cs="宋体"/>
                <w:color w:val="auto"/>
              </w:rPr>
              <w:t>400HDPE</w:t>
            </w:r>
            <w:r>
              <w:rPr>
                <w:rFonts w:hint="eastAsia" w:ascii="宋体" w:hAnsi="宋体" w:cs="宋体"/>
                <w:color w:val="auto"/>
              </w:rPr>
              <w:t>增强过涵洞加固</w:t>
            </w:r>
          </w:p>
        </w:tc>
        <w:tc>
          <w:tcPr>
            <w:tcW w:w="1185" w:type="dxa"/>
            <w:vAlign w:val="center"/>
          </w:tcPr>
          <w:p>
            <w:pPr>
              <w:pStyle w:val="38"/>
              <w:jc w:val="center"/>
              <w:rPr>
                <w:rFonts w:ascii="宋体" w:hAnsi="宋体"/>
                <w:color w:val="auto"/>
              </w:rPr>
            </w:pPr>
            <w:r>
              <w:rPr>
                <w:rFonts w:hint="eastAsia" w:ascii="宋体" w:hAnsi="宋体"/>
                <w:color w:val="auto"/>
              </w:rPr>
              <w:t>米</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olor w:val="auto"/>
                <w:lang w:val="en-US" w:eastAsia="zh-CN"/>
              </w:rPr>
              <w:t>65</w:t>
            </w:r>
          </w:p>
        </w:tc>
        <w:tc>
          <w:tcPr>
            <w:tcW w:w="2735" w:type="dxa"/>
            <w:vAlign w:val="center"/>
          </w:tcPr>
          <w:p>
            <w:pPr>
              <w:pStyle w:val="38"/>
              <w:jc w:val="center"/>
              <w:rPr>
                <w:rFonts w:ascii="宋体" w:hAnsi="宋体"/>
                <w:color w:val="auto"/>
              </w:rPr>
            </w:pPr>
            <w:r>
              <w:rPr>
                <w:rFonts w:hint="eastAsia" w:ascii="宋体" w:hAnsi="宋体"/>
                <w:color w:val="auto"/>
              </w:rPr>
              <w:t>过涵洞角钢架加固铁皮不锈钢板全包（厚2</w:t>
            </w:r>
            <w:r>
              <w:rPr>
                <w:rFonts w:ascii="宋体" w:hAnsi="宋体"/>
                <w:color w:val="auto"/>
              </w:rPr>
              <w:t>01-1.2</w:t>
            </w:r>
            <w:r>
              <w:rPr>
                <w:rFonts w:hint="eastAsia" w:ascii="宋体" w:hAnsi="宋体"/>
                <w:color w:val="auto"/>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ascii="宋体" w:hAnsi="宋体" w:cs="宋体"/>
                <w:color w:val="auto"/>
              </w:rPr>
              <w:t>清理水沟</w:t>
            </w:r>
          </w:p>
        </w:tc>
        <w:tc>
          <w:tcPr>
            <w:tcW w:w="1185" w:type="dxa"/>
            <w:vAlign w:val="center"/>
          </w:tcPr>
          <w:p>
            <w:pPr>
              <w:pStyle w:val="38"/>
              <w:jc w:val="center"/>
              <w:rPr>
                <w:rFonts w:ascii="宋体" w:hAnsi="宋体"/>
                <w:color w:val="auto"/>
              </w:rPr>
            </w:pPr>
            <w:r>
              <w:rPr>
                <w:rFonts w:hint="eastAsia" w:ascii="宋体" w:hAnsi="宋体"/>
                <w:color w:val="auto"/>
              </w:rPr>
              <w:t>米</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s="宋体"/>
                <w:color w:val="auto"/>
                <w:lang w:val="en-US" w:eastAsia="zh-CN"/>
              </w:rPr>
              <w:t>3136</w:t>
            </w:r>
          </w:p>
        </w:tc>
        <w:tc>
          <w:tcPr>
            <w:tcW w:w="2735" w:type="dxa"/>
            <w:vAlign w:val="center"/>
          </w:tcPr>
          <w:p>
            <w:pPr>
              <w:pStyle w:val="38"/>
              <w:jc w:val="center"/>
              <w:rPr>
                <w:rFonts w:ascii="宋体" w:hAnsi="宋体"/>
                <w:color w:val="auto"/>
              </w:rPr>
            </w:pPr>
            <w:r>
              <w:rPr>
                <w:rFonts w:hint="eastAsia" w:ascii="宋体" w:hAnsi="宋体"/>
                <w:color w:val="auto"/>
              </w:rPr>
              <w:t>长</w:t>
            </w:r>
            <w:r>
              <w:rPr>
                <w:rFonts w:hint="eastAsia" w:ascii="宋体" w:hAnsi="宋体"/>
                <w:color w:val="auto"/>
                <w:lang w:val="en-US" w:eastAsia="zh-CN"/>
              </w:rPr>
              <w:t>3136</w:t>
            </w:r>
            <w:r>
              <w:rPr>
                <w:rFonts w:hint="eastAsia" w:ascii="宋体" w:hAnsi="宋体"/>
                <w:color w:val="auto"/>
              </w:rPr>
              <w:t>m×宽3米×高1.2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ascii="宋体" w:hAnsi="宋体" w:cs="宋体"/>
                <w:color w:val="auto"/>
              </w:rPr>
              <w:t>检查井</w:t>
            </w:r>
          </w:p>
        </w:tc>
        <w:tc>
          <w:tcPr>
            <w:tcW w:w="1185" w:type="dxa"/>
            <w:vAlign w:val="center"/>
          </w:tcPr>
          <w:p>
            <w:pPr>
              <w:pStyle w:val="38"/>
              <w:jc w:val="center"/>
              <w:rPr>
                <w:rFonts w:ascii="宋体" w:hAnsi="宋体"/>
                <w:color w:val="auto"/>
              </w:rPr>
            </w:pPr>
            <w:r>
              <w:rPr>
                <w:rFonts w:hint="eastAsia" w:ascii="宋体" w:hAnsi="宋体"/>
                <w:color w:val="auto"/>
              </w:rPr>
              <w:t>个</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s="宋体"/>
                <w:color w:val="auto"/>
                <w:lang w:val="en-US" w:eastAsia="zh-CN"/>
              </w:rPr>
              <w:t>272</w:t>
            </w:r>
          </w:p>
        </w:tc>
        <w:tc>
          <w:tcPr>
            <w:tcW w:w="2735" w:type="dxa"/>
            <w:vAlign w:val="center"/>
          </w:tcPr>
          <w:p>
            <w:pPr>
              <w:pStyle w:val="38"/>
              <w:jc w:val="center"/>
              <w:rPr>
                <w:rFonts w:ascii="宋体" w:hAnsi="宋体"/>
                <w:color w:val="auto"/>
              </w:rPr>
            </w:pPr>
            <w:r>
              <w:rPr>
                <w:rFonts w:hint="eastAsia" w:ascii="宋体" w:hAnsi="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ascii="宋体" w:hAnsi="宋体"/>
                <w:color w:val="auto"/>
              </w:rPr>
            </w:pPr>
            <w:r>
              <w:rPr>
                <w:rFonts w:hint="eastAsia" w:cs="宋体" w:asciiTheme="minorEastAsia" w:hAnsiTheme="minorEastAsia" w:eastAsiaTheme="minorEastAsia"/>
                <w:color w:val="auto"/>
                <w:szCs w:val="28"/>
              </w:rPr>
              <w:t>入户管</w:t>
            </w:r>
          </w:p>
        </w:tc>
        <w:tc>
          <w:tcPr>
            <w:tcW w:w="1185" w:type="dxa"/>
            <w:vAlign w:val="center"/>
          </w:tcPr>
          <w:p>
            <w:pPr>
              <w:pStyle w:val="38"/>
              <w:jc w:val="center"/>
              <w:rPr>
                <w:rFonts w:ascii="宋体" w:hAnsi="宋体"/>
                <w:color w:val="auto"/>
              </w:rPr>
            </w:pPr>
            <w:r>
              <w:rPr>
                <w:rFonts w:hint="eastAsia" w:ascii="宋体" w:hAnsi="宋体"/>
                <w:color w:val="auto"/>
              </w:rPr>
              <w:t>米</w:t>
            </w:r>
          </w:p>
        </w:tc>
        <w:tc>
          <w:tcPr>
            <w:tcW w:w="1186" w:type="dxa"/>
            <w:vAlign w:val="center"/>
          </w:tcPr>
          <w:p>
            <w:pPr>
              <w:pStyle w:val="38"/>
              <w:jc w:val="center"/>
              <w:rPr>
                <w:rFonts w:hint="default" w:ascii="宋体" w:hAnsi="宋体" w:eastAsia="宋体"/>
                <w:color w:val="auto"/>
                <w:lang w:val="en-US" w:eastAsia="zh-CN"/>
              </w:rPr>
            </w:pPr>
            <w:r>
              <w:rPr>
                <w:rFonts w:hint="eastAsia" w:ascii="宋体" w:hAnsi="宋体"/>
                <w:color w:val="auto"/>
                <w:lang w:val="en-US" w:eastAsia="zh-CN"/>
              </w:rPr>
              <w:t>2250</w:t>
            </w:r>
          </w:p>
        </w:tc>
        <w:tc>
          <w:tcPr>
            <w:tcW w:w="2735" w:type="dxa"/>
            <w:vAlign w:val="center"/>
          </w:tcPr>
          <w:p>
            <w:pPr>
              <w:pStyle w:val="38"/>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cs="宋体" w:asciiTheme="minorEastAsia" w:hAnsiTheme="minorEastAsia" w:eastAsiaTheme="minorEastAsia"/>
                <w:color w:val="auto"/>
                <w:szCs w:val="28"/>
              </w:rPr>
            </w:pPr>
            <w:r>
              <w:rPr>
                <w:rFonts w:hint="eastAsia" w:cs="宋体" w:asciiTheme="minorEastAsia" w:hAnsiTheme="minorEastAsia" w:eastAsiaTheme="minorEastAsia"/>
                <w:color w:val="auto"/>
                <w:szCs w:val="28"/>
              </w:rPr>
              <w:t>水葫芦清理</w:t>
            </w:r>
          </w:p>
        </w:tc>
        <w:tc>
          <w:tcPr>
            <w:tcW w:w="1185" w:type="dxa"/>
            <w:vAlign w:val="center"/>
          </w:tcPr>
          <w:p>
            <w:pPr>
              <w:pStyle w:val="38"/>
              <w:jc w:val="center"/>
              <w:rPr>
                <w:rFonts w:ascii="宋体" w:hAnsi="宋体"/>
                <w:color w:val="auto"/>
              </w:rPr>
            </w:pPr>
            <w:r>
              <w:rPr>
                <w:rFonts w:hint="eastAsia" w:ascii="宋体" w:hAnsi="宋体"/>
                <w:color w:val="auto"/>
              </w:rPr>
              <w:t>平方</w:t>
            </w:r>
          </w:p>
        </w:tc>
        <w:tc>
          <w:tcPr>
            <w:tcW w:w="1186" w:type="dxa"/>
            <w:vAlign w:val="center"/>
          </w:tcPr>
          <w:p>
            <w:pPr>
              <w:pStyle w:val="38"/>
              <w:jc w:val="center"/>
              <w:rPr>
                <w:rFonts w:hint="default" w:ascii="宋体" w:hAnsi="宋体" w:eastAsia="宋体" w:cs="宋体"/>
                <w:color w:val="auto"/>
                <w:lang w:val="en-US" w:eastAsia="zh-CN"/>
              </w:rPr>
            </w:pPr>
            <w:r>
              <w:rPr>
                <w:rFonts w:hint="eastAsia" w:ascii="宋体" w:hAnsi="宋体" w:cs="宋体"/>
                <w:color w:val="auto"/>
                <w:lang w:val="en-US" w:eastAsia="zh-CN"/>
              </w:rPr>
              <w:t>42000</w:t>
            </w:r>
          </w:p>
        </w:tc>
        <w:tc>
          <w:tcPr>
            <w:tcW w:w="2735" w:type="dxa"/>
            <w:vAlign w:val="center"/>
          </w:tcPr>
          <w:p>
            <w:pPr>
              <w:pStyle w:val="38"/>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hint="eastAsia" w:cs="宋体" w:asciiTheme="minorEastAsia" w:hAnsiTheme="minorEastAsia" w:eastAsiaTheme="minorEastAsia"/>
                <w:color w:val="auto"/>
                <w:szCs w:val="28"/>
                <w:lang w:eastAsia="zh-CN"/>
              </w:rPr>
            </w:pPr>
            <w:r>
              <w:rPr>
                <w:rFonts w:hint="eastAsia" w:cs="宋体" w:asciiTheme="minorEastAsia" w:hAnsiTheme="minorEastAsia" w:eastAsiaTheme="minorEastAsia"/>
                <w:color w:val="auto"/>
                <w:szCs w:val="28"/>
                <w:lang w:eastAsia="zh-CN"/>
              </w:rPr>
              <w:t>资源化利用设施一座</w:t>
            </w:r>
          </w:p>
        </w:tc>
        <w:tc>
          <w:tcPr>
            <w:tcW w:w="1185" w:type="dxa"/>
            <w:vAlign w:val="center"/>
          </w:tcPr>
          <w:p>
            <w:pPr>
              <w:pStyle w:val="38"/>
              <w:jc w:val="center"/>
              <w:rPr>
                <w:rFonts w:hint="eastAsia" w:ascii="宋体" w:hAnsi="宋体" w:eastAsia="宋体"/>
                <w:color w:val="auto"/>
                <w:lang w:eastAsia="zh-CN"/>
              </w:rPr>
            </w:pPr>
            <w:r>
              <w:rPr>
                <w:rFonts w:hint="eastAsia" w:ascii="宋体" w:hAnsi="宋体"/>
                <w:color w:val="auto"/>
                <w:lang w:eastAsia="zh-CN"/>
              </w:rPr>
              <w:t>立方</w:t>
            </w:r>
          </w:p>
        </w:tc>
        <w:tc>
          <w:tcPr>
            <w:tcW w:w="1186" w:type="dxa"/>
            <w:vAlign w:val="center"/>
          </w:tcPr>
          <w:p>
            <w:pPr>
              <w:pStyle w:val="38"/>
              <w:jc w:val="center"/>
              <w:rPr>
                <w:rFonts w:hint="default" w:ascii="宋体" w:hAnsi="宋体" w:cs="宋体"/>
                <w:color w:val="auto"/>
                <w:lang w:val="en-US" w:eastAsia="zh-CN"/>
              </w:rPr>
            </w:pPr>
            <w:r>
              <w:rPr>
                <w:rFonts w:hint="eastAsia" w:ascii="宋体" w:hAnsi="宋体" w:cs="宋体"/>
                <w:color w:val="auto"/>
                <w:lang w:val="en-US" w:eastAsia="zh-CN"/>
              </w:rPr>
              <w:t>200</w:t>
            </w:r>
          </w:p>
        </w:tc>
        <w:tc>
          <w:tcPr>
            <w:tcW w:w="2735" w:type="dxa"/>
            <w:vAlign w:val="center"/>
          </w:tcPr>
          <w:p>
            <w:pPr>
              <w:pStyle w:val="38"/>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316" w:type="dxa"/>
            <w:vAlign w:val="center"/>
          </w:tcPr>
          <w:p>
            <w:pPr>
              <w:pStyle w:val="38"/>
              <w:rPr>
                <w:rFonts w:hint="eastAsia" w:cs="宋体" w:asciiTheme="minorEastAsia" w:hAnsiTheme="minorEastAsia" w:eastAsiaTheme="minorEastAsia"/>
                <w:color w:val="auto"/>
                <w:szCs w:val="28"/>
              </w:rPr>
            </w:pPr>
            <w:r>
              <w:rPr>
                <w:rFonts w:hint="eastAsia" w:cs="宋体" w:asciiTheme="minorEastAsia" w:hAnsiTheme="minorEastAsia" w:eastAsiaTheme="minorEastAsia"/>
                <w:color w:val="auto"/>
                <w:szCs w:val="28"/>
                <w:lang w:eastAsia="zh-CN"/>
              </w:rPr>
              <w:t>资源化利用设施一座</w:t>
            </w:r>
          </w:p>
        </w:tc>
        <w:tc>
          <w:tcPr>
            <w:tcW w:w="1185" w:type="dxa"/>
            <w:vAlign w:val="center"/>
          </w:tcPr>
          <w:p>
            <w:pPr>
              <w:pStyle w:val="38"/>
              <w:jc w:val="center"/>
              <w:rPr>
                <w:rFonts w:hint="eastAsia" w:ascii="宋体" w:hAnsi="宋体" w:eastAsia="宋体"/>
                <w:color w:val="auto"/>
                <w:lang w:eastAsia="zh-CN"/>
              </w:rPr>
            </w:pPr>
            <w:r>
              <w:rPr>
                <w:rFonts w:hint="eastAsia" w:ascii="宋体" w:hAnsi="宋体"/>
                <w:color w:val="auto"/>
                <w:lang w:eastAsia="zh-CN"/>
              </w:rPr>
              <w:t>立方</w:t>
            </w:r>
          </w:p>
        </w:tc>
        <w:tc>
          <w:tcPr>
            <w:tcW w:w="1186" w:type="dxa"/>
            <w:vAlign w:val="center"/>
          </w:tcPr>
          <w:p>
            <w:pPr>
              <w:pStyle w:val="38"/>
              <w:jc w:val="center"/>
              <w:rPr>
                <w:rFonts w:hint="default" w:ascii="宋体" w:hAnsi="宋体" w:cs="宋体"/>
                <w:color w:val="auto"/>
                <w:lang w:val="en-US" w:eastAsia="zh-CN"/>
              </w:rPr>
            </w:pPr>
            <w:r>
              <w:rPr>
                <w:rFonts w:hint="eastAsia" w:ascii="宋体" w:hAnsi="宋体" w:cs="宋体"/>
                <w:color w:val="auto"/>
                <w:lang w:val="en-US" w:eastAsia="zh-CN"/>
              </w:rPr>
              <w:t>300</w:t>
            </w:r>
          </w:p>
        </w:tc>
        <w:tc>
          <w:tcPr>
            <w:tcW w:w="2735" w:type="dxa"/>
            <w:vAlign w:val="center"/>
          </w:tcPr>
          <w:p>
            <w:pPr>
              <w:pStyle w:val="38"/>
              <w:jc w:val="center"/>
              <w:rPr>
                <w:rFonts w:ascii="宋体" w:hAnsi="宋体"/>
                <w:color w:val="auto"/>
              </w:rPr>
            </w:pPr>
          </w:p>
        </w:tc>
      </w:tr>
    </w:tbl>
    <w:p>
      <w:pPr>
        <w:pStyle w:val="38"/>
        <w:rPr>
          <w:color w:val="auto"/>
        </w:rPr>
      </w:pPr>
    </w:p>
    <w:p>
      <w:pPr>
        <w:pStyle w:val="3"/>
        <w:spacing w:before="120" w:beforeLines="50"/>
        <w:rPr>
          <w:rFonts w:ascii="黑体" w:hAnsi="黑体" w:eastAsia="黑体" w:cs="黑体"/>
          <w:b w:val="0"/>
          <w:bCs w:val="0"/>
          <w:sz w:val="32"/>
        </w:rPr>
      </w:pPr>
      <w:bookmarkStart w:id="19" w:name="_Toc169616869"/>
      <w:bookmarkStart w:id="20" w:name="_Toc10398"/>
      <w:bookmarkStart w:id="21" w:name="_Toc495307172"/>
      <w:r>
        <w:rPr>
          <w:rFonts w:hint="eastAsia" w:ascii="黑体" w:hAnsi="黑体" w:eastAsia="黑体" w:cs="黑体"/>
          <w:b w:val="0"/>
          <w:bCs w:val="0"/>
          <w:sz w:val="32"/>
        </w:rPr>
        <w:t>1.</w:t>
      </w:r>
      <w:r>
        <w:rPr>
          <w:rFonts w:ascii="黑体" w:hAnsi="黑体" w:eastAsia="黑体" w:cs="黑体"/>
          <w:b w:val="0"/>
          <w:bCs w:val="0"/>
          <w:sz w:val="32"/>
        </w:rPr>
        <w:t>8</w:t>
      </w:r>
      <w:r>
        <w:rPr>
          <w:rFonts w:hint="eastAsia" w:ascii="黑体" w:hAnsi="黑体" w:eastAsia="黑体" w:cs="黑体"/>
          <w:b w:val="0"/>
          <w:bCs w:val="0"/>
          <w:sz w:val="32"/>
        </w:rPr>
        <w:t>结论与建议</w:t>
      </w:r>
      <w:bookmarkEnd w:id="19"/>
      <w:bookmarkEnd w:id="20"/>
      <w:bookmarkEnd w:id="21"/>
    </w:p>
    <w:p>
      <w:pPr>
        <w:pStyle w:val="4"/>
        <w:spacing w:before="120" w:beforeLines="50"/>
        <w:rPr>
          <w:rFonts w:ascii="黑体" w:hAnsi="黑体" w:eastAsia="黑体" w:cs="黑体"/>
          <w:b w:val="0"/>
          <w:bCs w:val="0"/>
          <w:sz w:val="30"/>
          <w:szCs w:val="30"/>
        </w:rPr>
      </w:pPr>
      <w:bookmarkStart w:id="22" w:name="_Toc280599434"/>
      <w:bookmarkStart w:id="23" w:name="_Toc280703143"/>
      <w:r>
        <w:rPr>
          <w:rFonts w:hint="eastAsia" w:ascii="黑体" w:hAnsi="黑体" w:eastAsia="黑体" w:cs="黑体"/>
          <w:b w:val="0"/>
          <w:bCs w:val="0"/>
          <w:sz w:val="30"/>
          <w:szCs w:val="30"/>
        </w:rPr>
        <w:t>1.</w:t>
      </w:r>
      <w:r>
        <w:rPr>
          <w:rFonts w:ascii="黑体" w:hAnsi="黑体" w:eastAsia="黑体" w:cs="黑体"/>
          <w:b w:val="0"/>
          <w:bCs w:val="0"/>
          <w:sz w:val="30"/>
          <w:szCs w:val="30"/>
        </w:rPr>
        <w:t>8</w:t>
      </w:r>
      <w:r>
        <w:rPr>
          <w:rFonts w:hint="eastAsia" w:ascii="黑体" w:hAnsi="黑体" w:eastAsia="黑体" w:cs="黑体"/>
          <w:b w:val="0"/>
          <w:bCs w:val="0"/>
          <w:sz w:val="30"/>
          <w:szCs w:val="30"/>
        </w:rPr>
        <w:t>.1</w:t>
      </w:r>
      <w:r>
        <w:rPr>
          <w:rFonts w:hint="eastAsia" w:ascii="黑体" w:hAnsi="黑体" w:eastAsia="黑体" w:cs="黑体"/>
          <w:b w:val="0"/>
          <w:bCs w:val="0"/>
          <w:sz w:val="32"/>
        </w:rPr>
        <w:t>结论</w:t>
      </w:r>
    </w:p>
    <w:bookmarkEnd w:id="22"/>
    <w:bookmarkEnd w:id="23"/>
    <w:p>
      <w:pPr>
        <w:pStyle w:val="64"/>
        <w:numPr>
          <w:ilvl w:val="0"/>
          <w:numId w:val="7"/>
        </w:numPr>
        <w:tabs>
          <w:tab w:val="left" w:pos="1276"/>
        </w:tabs>
        <w:ind w:left="0" w:firstLine="565" w:firstLineChars="202"/>
        <w:rPr>
          <w:rFonts w:cs="宋体" w:asciiTheme="minorEastAsia" w:hAnsiTheme="minorEastAsia" w:eastAsiaTheme="minorEastAsia"/>
          <w:szCs w:val="28"/>
        </w:rPr>
      </w:pPr>
      <w:r>
        <w:rPr>
          <w:rFonts w:hint="eastAsia"/>
        </w:rPr>
        <w:t>本项目对田东县地表水及地下水环境质量极其重要，</w:t>
      </w:r>
      <w:r>
        <w:rPr>
          <w:rFonts w:hint="eastAsia" w:cs="宋体" w:asciiTheme="minorEastAsia" w:hAnsiTheme="minorEastAsia" w:eastAsiaTheme="minorEastAsia"/>
          <w:szCs w:val="28"/>
        </w:rPr>
        <w:t>本项目建设将会极大地改善投资环境。建设资金应尽快落实到位，以免影响建设进度。</w:t>
      </w:r>
    </w:p>
    <w:p>
      <w:pPr>
        <w:pStyle w:val="64"/>
        <w:numPr>
          <w:ilvl w:val="0"/>
          <w:numId w:val="7"/>
        </w:numPr>
        <w:tabs>
          <w:tab w:val="left" w:pos="1276"/>
        </w:tabs>
        <w:ind w:left="0" w:firstLine="565" w:firstLineChars="202"/>
      </w:pPr>
      <w:r>
        <w:rPr>
          <w:rFonts w:hint="eastAsia" w:cs="宋体" w:asciiTheme="minorEastAsia" w:hAnsiTheme="minorEastAsia" w:eastAsiaTheme="minorEastAsia"/>
          <w:szCs w:val="28"/>
        </w:rPr>
        <w:t>本项目的</w:t>
      </w:r>
      <w:r>
        <w:rPr>
          <w:rFonts w:hint="eastAsia"/>
        </w:rPr>
        <w:t>建设投运将大大减少对周围河渠的污染，改善居住生活环境，同时对周边环境无不良影响，是一件利国利民的好事。</w:t>
      </w:r>
    </w:p>
    <w:p>
      <w:pPr>
        <w:pStyle w:val="64"/>
        <w:numPr>
          <w:ilvl w:val="0"/>
          <w:numId w:val="7"/>
        </w:numPr>
        <w:tabs>
          <w:tab w:val="left" w:pos="1276"/>
        </w:tabs>
        <w:ind w:left="0" w:firstLine="565" w:firstLineChars="202"/>
      </w:pPr>
      <w:r>
        <w:rPr>
          <w:rFonts w:hint="eastAsia"/>
        </w:rPr>
        <w:t>项目建设应注意环境保护，不要影响周围单位或个人的工作和生活。</w:t>
      </w:r>
    </w:p>
    <w:p>
      <w:pPr>
        <w:pStyle w:val="64"/>
        <w:numPr>
          <w:ilvl w:val="0"/>
          <w:numId w:val="7"/>
        </w:numPr>
        <w:tabs>
          <w:tab w:val="left" w:pos="1276"/>
        </w:tabs>
        <w:ind w:left="0" w:firstLine="565" w:firstLineChars="202"/>
      </w:pPr>
      <w:r>
        <w:rPr>
          <w:rFonts w:hint="eastAsia"/>
        </w:rPr>
        <w:t>项目建设中应充分利用资源，注意节能、节水。</w:t>
      </w:r>
    </w:p>
    <w:p>
      <w:pPr>
        <w:pStyle w:val="64"/>
        <w:numPr>
          <w:ilvl w:val="0"/>
          <w:numId w:val="7"/>
        </w:numPr>
        <w:tabs>
          <w:tab w:val="left" w:pos="1276"/>
        </w:tabs>
        <w:ind w:left="0" w:firstLine="565" w:firstLineChars="202"/>
        <w:rPr>
          <w:rFonts w:cs="宋体" w:asciiTheme="minorEastAsia" w:hAnsiTheme="minorEastAsia" w:eastAsiaTheme="minorEastAsia"/>
          <w:szCs w:val="28"/>
        </w:rPr>
      </w:pPr>
      <w:r>
        <w:rPr>
          <w:rFonts w:hint="eastAsia" w:ascii="宋体" w:hAnsi="宋体" w:cs="宋体"/>
        </w:rPr>
        <w:t>本项目预计总投资约977.97万元，其中工程费用约884.73万元，其他费用约93.24万元。</w:t>
      </w:r>
      <w:r>
        <w:rPr>
          <w:rFonts w:hint="eastAsia" w:cs="宋体" w:asciiTheme="minorEastAsia" w:hAnsiTheme="minorEastAsia" w:eastAsiaTheme="minorEastAsia"/>
          <w:szCs w:val="28"/>
        </w:rPr>
        <w:t>项目的</w:t>
      </w:r>
      <w:r>
        <w:rPr>
          <w:rFonts w:cs="宋体" w:asciiTheme="minorEastAsia" w:hAnsiTheme="minorEastAsia" w:eastAsiaTheme="minorEastAsia"/>
          <w:szCs w:val="28"/>
        </w:rPr>
        <w:t>规划设计并实施是合理、可行的。</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1.</w:t>
      </w:r>
      <w:r>
        <w:rPr>
          <w:rFonts w:ascii="黑体" w:hAnsi="黑体" w:eastAsia="黑体" w:cs="黑体"/>
          <w:b w:val="0"/>
          <w:bCs w:val="0"/>
          <w:sz w:val="30"/>
          <w:szCs w:val="30"/>
        </w:rPr>
        <w:t>8</w:t>
      </w:r>
      <w:r>
        <w:rPr>
          <w:rFonts w:hint="eastAsia" w:ascii="黑体" w:hAnsi="黑体" w:eastAsia="黑体" w:cs="黑体"/>
          <w:b w:val="0"/>
          <w:bCs w:val="0"/>
          <w:sz w:val="30"/>
          <w:szCs w:val="30"/>
        </w:rPr>
        <w:t>.2建议</w:t>
      </w:r>
    </w:p>
    <w:p>
      <w:pPr>
        <w:pStyle w:val="64"/>
        <w:numPr>
          <w:ilvl w:val="0"/>
          <w:numId w:val="8"/>
        </w:numPr>
        <w:tabs>
          <w:tab w:val="left" w:pos="1276"/>
        </w:tabs>
        <w:ind w:left="0" w:firstLine="567" w:firstLineChars="0"/>
      </w:pPr>
      <w:r>
        <w:rPr>
          <w:rFonts w:hint="eastAsia"/>
        </w:rPr>
        <w:t>为消除黑臭，进一步的整治目标需结合地块开发情况、建设情况等综合确定，请相关主管部门提供周边项目建设计划，以便更好衔接。</w:t>
      </w:r>
    </w:p>
    <w:p>
      <w:pPr>
        <w:pStyle w:val="64"/>
        <w:numPr>
          <w:ilvl w:val="0"/>
          <w:numId w:val="8"/>
        </w:numPr>
        <w:tabs>
          <w:tab w:val="left" w:pos="1276"/>
        </w:tabs>
        <w:ind w:left="0" w:firstLine="565" w:firstLineChars="202"/>
      </w:pPr>
      <w:r>
        <w:rPr>
          <w:rFonts w:hint="eastAsia" w:cs="宋体" w:asciiTheme="minorEastAsia" w:hAnsiTheme="minorEastAsia" w:eastAsiaTheme="minorEastAsia"/>
          <w:szCs w:val="28"/>
        </w:rPr>
        <w:t>项目</w:t>
      </w:r>
      <w:r>
        <w:rPr>
          <w:rFonts w:hint="eastAsia"/>
        </w:rPr>
        <w:t>建设安装完毕后，要组织验收，严</w:t>
      </w:r>
      <w:r>
        <w:rPr>
          <w:rFonts w:hint="eastAsia" w:cs="宋体" w:asciiTheme="minorEastAsia" w:hAnsiTheme="minorEastAsia" w:eastAsiaTheme="minorEastAsia"/>
          <w:szCs w:val="28"/>
        </w:rPr>
        <w:t>把项目质</w:t>
      </w:r>
      <w:r>
        <w:rPr>
          <w:rFonts w:hint="eastAsia"/>
        </w:rPr>
        <w:t>量关。</w:t>
      </w:r>
    </w:p>
    <w:p>
      <w:pPr>
        <w:pStyle w:val="64"/>
        <w:numPr>
          <w:ilvl w:val="0"/>
          <w:numId w:val="8"/>
        </w:numPr>
        <w:tabs>
          <w:tab w:val="left" w:pos="1276"/>
        </w:tabs>
        <w:ind w:left="0" w:firstLine="565" w:firstLineChars="202"/>
      </w:pPr>
      <w:r>
        <w:t>本次建设涉及点多、面广，需要统筹兼顾，通盘考虑，建议从上到下周密计划，合理安排</w:t>
      </w:r>
      <w:r>
        <w:rPr>
          <w:rFonts w:hint="eastAsia"/>
        </w:rPr>
        <w:t>。</w:t>
      </w:r>
    </w:p>
    <w:p>
      <w:pPr>
        <w:pStyle w:val="2"/>
        <w:ind w:firstLine="880"/>
        <w:jc w:val="center"/>
        <w:rPr>
          <w:rFonts w:ascii="黑体" w:hAnsi="黑体" w:eastAsia="黑体" w:cs="黑体"/>
          <w:b w:val="0"/>
          <w:bCs w:val="0"/>
        </w:rPr>
      </w:pPr>
      <w:bookmarkStart w:id="24" w:name="_Toc495307173"/>
      <w:bookmarkStart w:id="25" w:name="_Toc21643"/>
      <w:bookmarkStart w:id="26" w:name="_Toc169616870"/>
      <w:r>
        <w:rPr>
          <w:rFonts w:hint="eastAsia" w:ascii="黑体" w:hAnsi="黑体" w:eastAsia="黑体" w:cs="黑体"/>
          <w:b w:val="0"/>
          <w:bCs w:val="0"/>
        </w:rPr>
        <w:t>第2章  项目建设的背景及必要性</w:t>
      </w:r>
      <w:bookmarkEnd w:id="24"/>
      <w:bookmarkEnd w:id="25"/>
      <w:bookmarkEnd w:id="26"/>
      <w:bookmarkStart w:id="27" w:name="_Toc495307174"/>
    </w:p>
    <w:p>
      <w:pPr>
        <w:pStyle w:val="3"/>
        <w:spacing w:before="120" w:beforeLines="50"/>
        <w:rPr>
          <w:rFonts w:ascii="黑体" w:hAnsi="黑体" w:eastAsia="黑体" w:cs="黑体"/>
          <w:b w:val="0"/>
          <w:bCs w:val="0"/>
          <w:sz w:val="32"/>
        </w:rPr>
      </w:pPr>
      <w:bookmarkStart w:id="28" w:name="_Toc169616871"/>
      <w:r>
        <w:rPr>
          <w:rFonts w:hint="eastAsia" w:ascii="黑体" w:hAnsi="黑体" w:eastAsia="黑体" w:cs="黑体"/>
          <w:b w:val="0"/>
          <w:bCs w:val="0"/>
          <w:sz w:val="32"/>
        </w:rPr>
        <w:t>2.</w:t>
      </w:r>
      <w:r>
        <w:rPr>
          <w:rFonts w:ascii="黑体" w:hAnsi="黑体" w:eastAsia="黑体" w:cs="黑体"/>
          <w:b w:val="0"/>
          <w:bCs w:val="0"/>
          <w:sz w:val="32"/>
        </w:rPr>
        <w:t>1</w:t>
      </w:r>
      <w:r>
        <w:rPr>
          <w:rFonts w:hint="eastAsia" w:ascii="黑体" w:hAnsi="黑体" w:eastAsia="黑体" w:cs="黑体"/>
          <w:b w:val="0"/>
          <w:bCs w:val="0"/>
          <w:sz w:val="32"/>
        </w:rPr>
        <w:t>项目建设背景</w:t>
      </w:r>
      <w:bookmarkEnd w:id="28"/>
    </w:p>
    <w:p>
      <w:pPr>
        <w:widowControl/>
        <w:snapToGrid w:val="0"/>
        <w:ind w:firstLine="560"/>
        <w:jc w:val="left"/>
        <w:rPr>
          <w:lang w:bidi="zh-CN"/>
        </w:rPr>
      </w:pPr>
      <w:r>
        <w:rPr>
          <w:rFonts w:hint="eastAsia"/>
          <w:lang w:bidi="zh-CN"/>
        </w:rPr>
        <w:t>为全面贯彻落实党中央、国务院关于推动大规模设备更新和消费品以旧换新的重大决策部署和《国务院关于印发〈推动大规模设备更新和消费品以旧换新行动方案〉的通知》精神，结合我县实际，制定本工作方案。</w:t>
      </w:r>
    </w:p>
    <w:p>
      <w:pPr>
        <w:widowControl/>
        <w:snapToGrid w:val="0"/>
        <w:ind w:firstLine="560"/>
        <w:jc w:val="left"/>
        <w:rPr>
          <w:lang w:bidi="zh-CN"/>
        </w:rPr>
      </w:pPr>
      <w:r>
        <w:rPr>
          <w:rFonts w:hint="eastAsia"/>
          <w:lang w:bidi="zh-CN"/>
        </w:rPr>
        <w:t>以习近平新时代中国特色社会主义思想为指导，全面贯彻党的二十大精神，深入贯彻落实习近平总书关于广西工作论述的重要要求，按照政府引导、市场主导，鼓励先进、促进发展，标准引领、有效提升的原则。</w:t>
      </w:r>
    </w:p>
    <w:p>
      <w:pPr>
        <w:widowControl/>
        <w:snapToGrid w:val="0"/>
        <w:ind w:firstLine="560"/>
        <w:jc w:val="left"/>
        <w:rPr>
          <w:lang w:bidi="zh-CN"/>
        </w:rPr>
      </w:pPr>
      <w:r>
        <w:rPr>
          <w:rFonts w:hint="eastAsia"/>
          <w:lang w:bidi="zh-CN"/>
        </w:rPr>
        <w:t>随着社会主义新农村建设步伐加快和农民生活水平不断提高，农舍住宅逐渐朝集镇化发展，部分农村人口集聚区生活污水未经过任何处理直接排放，既破坏自身环境，又影响流域、地下水、饮用水源等水质环境。农村生活污水治理是农村人居环境整治的重要内容，是实施乡村振兴战略的重要举措，是全面建成小康社会的内在要求。</w:t>
      </w:r>
    </w:p>
    <w:p>
      <w:pPr>
        <w:widowControl/>
        <w:snapToGrid w:val="0"/>
        <w:ind w:firstLine="560"/>
        <w:jc w:val="left"/>
        <w:rPr>
          <w:lang w:bidi="zh-CN"/>
        </w:rPr>
      </w:pPr>
      <w:r>
        <w:rPr>
          <w:rFonts w:hint="eastAsia"/>
          <w:lang w:bidi="zh-CN"/>
        </w:rPr>
        <w:t>党中央、国务院高度重视农村生活污水治理工作。习近平总书记明确要求，要因地制宜做好厕所下水道管网建设和农村污水处理，不断提高农村居民生活质量。2018年1月，《中共中央国务院关于实施乡村振兴战略的意见》要求，以农村垃圾、污水治理和村容村貌提升为主攻方向，稳步有序推进农村人居环境突出问题治理。2018年2月，中共中央办公厅、国务院办公厅印发《农村人居环境整治三年行动方案》，要求梯次推进农村生活污水治理，鼓励有条件的地区推行城乡垃圾污水处理统一规划、统一建设、统一运行、统一管理。2018年10月，中央农办、农业农村部印发《农村人居环境整治工作分工方案》，明确由生态环境部牵头负责推进农村生活污水治理工作。中央农村工作领导小组办公室、农业农村部、生态环境部等九个部委联合印发的《关于推进农村生活污水治理的指导意见》（中农发[2019]14号）提出总体要求：加强统筹规划、突出重点区域、选择适宜模式，完善标准体系，强化管护机制，善作善成、久久为功，走出一条具有中国特色的农村生活污水治理之路。</w:t>
      </w:r>
    </w:p>
    <w:p>
      <w:pPr>
        <w:widowControl/>
        <w:snapToGrid w:val="0"/>
        <w:ind w:firstLine="560"/>
        <w:jc w:val="left"/>
        <w:rPr>
          <w:lang w:bidi="zh-CN"/>
        </w:rPr>
      </w:pPr>
      <w:r>
        <w:rPr>
          <w:rFonts w:hint="eastAsia"/>
          <w:lang w:bidi="zh-CN"/>
        </w:rPr>
        <w:t>全面推进农村生活污水治理，是人居环境治理、保护生态环境、提高农民生活质量的重要途径；是贯彻“绿水青山就是金山银山”的发展理念；是建设美丽广西具体行动。2019年广西自治区人大常委在开展水污染防治执法检查中发现，广西有90%的农村区域生活污水处理尚未覆盖，农村生活污水治理形势严峻。且广西农村地区的生活污水处理设施建设缓慢、配套管网建设不足、运行经费不到位的问题突出，农村污水处理率低，污水未经处理任意排放现象普遍。</w:t>
      </w:r>
    </w:p>
    <w:p>
      <w:pPr>
        <w:widowControl/>
        <w:snapToGrid w:val="0"/>
        <w:ind w:firstLine="560"/>
        <w:jc w:val="left"/>
        <w:rPr>
          <w:lang w:bidi="zh-CN"/>
        </w:rPr>
      </w:pPr>
      <w:r>
        <w:rPr>
          <w:rFonts w:hint="eastAsia"/>
          <w:lang w:bidi="zh-CN"/>
        </w:rPr>
        <w:t>自治区党委、政府不断强化农村生活污水治理工作部署和推动落实。自治区人民政府办公厅、田东县人民政府先后印发《关于印发广西水污染防治行动计划工作方案的通知》（桂政办发〔2015〕131号）、《</w:t>
      </w:r>
      <w:r>
        <w:rPr>
          <w:lang w:bidi="zh-CN"/>
        </w:rPr>
        <w:t>田东县农村人居环境整治提升行动实施方案（2022—2025年）</w:t>
      </w:r>
      <w:r>
        <w:rPr>
          <w:rFonts w:hint="eastAsia"/>
          <w:lang w:bidi="zh-CN"/>
        </w:rPr>
        <w:t>》，《“十四五”广西农村黑臭水体治理实施方案》、《田东县农村生活污水治理专项规划（2021～2035）》、《百色市农村生活污水治理三年攻坚行动方案（2023-2025年）》的要求，以县（区）级行政区域为单元，实行农村污水处理统一规划、统一建设、统一管理，有条件的地区积极推进城镇污水处理设施和服务向农村延伸。</w:t>
      </w:r>
    </w:p>
    <w:p>
      <w:pPr>
        <w:widowControl/>
        <w:snapToGrid w:val="0"/>
        <w:ind w:firstLine="708" w:firstLineChars="253"/>
        <w:jc w:val="left"/>
        <w:rPr>
          <w:b/>
          <w:bCs/>
          <w:lang w:bidi="zh-CN"/>
        </w:rPr>
      </w:pPr>
      <w:r>
        <w:rPr>
          <w:rFonts w:hint="eastAsia"/>
          <w:lang w:bidi="zh-CN"/>
        </w:rPr>
        <w:t>1</w:t>
      </w:r>
      <w:r>
        <w:rPr>
          <w:lang w:bidi="zh-CN"/>
        </w:rPr>
        <w:t>.</w:t>
      </w:r>
      <w:r>
        <w:rPr>
          <w:rFonts w:hint="eastAsia"/>
          <w:lang w:bidi="zh-CN"/>
        </w:rPr>
        <w:t>《</w:t>
      </w:r>
      <w:r>
        <w:rPr>
          <w:lang w:bidi="zh-CN"/>
        </w:rPr>
        <w:t>田东县农村人居环境整治提升行动实施方案（2022—2025年）</w:t>
      </w:r>
      <w:r>
        <w:rPr>
          <w:rFonts w:hint="eastAsia"/>
          <w:lang w:bidi="zh-CN"/>
        </w:rPr>
        <w:t>》</w:t>
      </w:r>
    </w:p>
    <w:p>
      <w:pPr>
        <w:widowControl/>
        <w:snapToGrid w:val="0"/>
        <w:ind w:firstLine="560"/>
        <w:jc w:val="left"/>
        <w:rPr>
          <w:lang w:bidi="zh-CN"/>
        </w:rPr>
      </w:pPr>
      <w:r>
        <w:rPr>
          <w:lang w:bidi="zh-CN"/>
        </w:rPr>
        <w:t>到2025年，农村人居环境质量显著提升，生态宜居美丽乡村建设取得新进步。全县农村卫生厕所普及率达到</w:t>
      </w:r>
      <w:r>
        <w:rPr>
          <w:rFonts w:hint="eastAsia"/>
          <w:lang w:bidi="zh-CN"/>
        </w:rPr>
        <w:t>98</w:t>
      </w:r>
      <w:r>
        <w:rPr>
          <w:lang w:bidi="zh-CN"/>
        </w:rPr>
        <w:t>%以上，厕所粪污基本得到有效处理。农村生活污水乱倒乱排得到管控，全县农村生活污水治理率达到</w:t>
      </w:r>
      <w:r>
        <w:rPr>
          <w:rFonts w:hint="eastAsia"/>
          <w:lang w:bidi="zh-CN"/>
        </w:rPr>
        <w:t>16.149</w:t>
      </w:r>
      <w:r>
        <w:rPr>
          <w:lang w:bidi="zh-CN"/>
        </w:rPr>
        <w:t>%以上，全县农村黑臭水体治理率达60%以上；农村生活垃圾基本实现有效治理；生活垃圾收运处置体系覆盖</w:t>
      </w:r>
      <w:r>
        <w:rPr>
          <w:rFonts w:hint="eastAsia"/>
          <w:lang w:bidi="zh-CN"/>
        </w:rPr>
        <w:t>95</w:t>
      </w:r>
      <w:r>
        <w:rPr>
          <w:lang w:bidi="zh-CN"/>
        </w:rPr>
        <w:t>%的行政村；有条件的村庄实现生活垃圾分类、源头减量；村庄绿化覆盖率达40%以上，农村人居环境整洁优美，村庄净化、绿化、美化水平大幅提高，村容村貌进一步提升，长效管护机制基本建立，工作推进机制基本完善，农民环境保护意识和卫生健康意识明显增强。有基础、有条件的县城近郊的乡村，全面提升农村人居环境基础设施建设水平，农村卫生厕所全面普及，农村生活污水治理率明显提升，农村生活垃圾基本实现无害化处理并开展分类处理试点示范，村容村貌显著提升，长效管护机制全面建立。有较好基础、基本具备条件的乡村，农村人居环境基础设施持续完善，农村户厕愿改尽改，农村生活污水治理率有效提升，农村生活垃圾收运处置体系基本实现全覆盖，村容村貌不断提升，长效管护机制基本建立。地处偏远、经济欠发达的乡村，农村人居环境基础设施明显改善，农村卫生厕所普及率逐步提高，农村生活垃圾基本得到治理，农村生活污水垃圾治理水平有新提升，村容村貌和公共卫生状况有较大改善，长效管护机制初步建立。</w:t>
      </w:r>
    </w:p>
    <w:p>
      <w:pPr>
        <w:widowControl/>
        <w:snapToGrid w:val="0"/>
        <w:ind w:firstLine="708" w:firstLineChars="253"/>
        <w:jc w:val="left"/>
        <w:rPr>
          <w:bCs/>
          <w:lang w:bidi="zh-CN"/>
        </w:rPr>
      </w:pPr>
      <w:r>
        <w:rPr>
          <w:rFonts w:hint="eastAsia"/>
          <w:bCs/>
          <w:lang w:bidi="zh-CN"/>
        </w:rPr>
        <w:t>2</w:t>
      </w:r>
      <w:r>
        <w:rPr>
          <w:bCs/>
          <w:lang w:bidi="zh-CN"/>
        </w:rPr>
        <w:t>.</w:t>
      </w:r>
      <w:r>
        <w:rPr>
          <w:rFonts w:hint="eastAsia"/>
          <w:bCs/>
          <w:lang w:bidi="zh-CN"/>
        </w:rPr>
        <w:t>《百色市农村生活污水治理三年攻坚行动方案（2023－2025年）》</w:t>
      </w:r>
    </w:p>
    <w:p>
      <w:pPr>
        <w:widowControl/>
        <w:snapToGrid w:val="0"/>
        <w:ind w:firstLine="560"/>
        <w:jc w:val="left"/>
        <w:rPr>
          <w:lang w:bidi="zh-CN"/>
        </w:rPr>
      </w:pPr>
      <w:r>
        <w:rPr>
          <w:rFonts w:hint="eastAsia"/>
          <w:lang w:bidi="zh-CN"/>
        </w:rPr>
        <w:t>因地制宜采用污染治理与资源利用相结合、工程措施与生态措施相结合、集中与分散相结合的建设模式，加快实施农村环境综合整治项目。推动城镇污水管网向周边村庄延伸覆盖。积极推广低成本、低能耗、易维护、高效率的污水处理技术，鼓励采用生态处理工艺。优先选择基础较好、群众积极性高、资金整合力度大的村屯开展整治工作，2018年12月底前，完成2017年中央、自治区预算内资金10个农村环境综合整治项目建设。同时，严格按照要求完成国家及自治区下达的其他农村环境综合整治项目建设。加大相关涉农财政资金投入力度，初步建立农村环境基础设施长效运行维护机制，加强对已建成农村环境基础设施运行管理，落实运营经费，确保达到污染治理预期效果。</w:t>
      </w:r>
    </w:p>
    <w:p>
      <w:pPr>
        <w:widowControl/>
        <w:snapToGrid w:val="0"/>
        <w:ind w:firstLine="560"/>
        <w:jc w:val="left"/>
        <w:rPr>
          <w:lang w:bidi="zh-CN"/>
        </w:rPr>
      </w:pPr>
      <w:r>
        <w:rPr>
          <w:rFonts w:hint="eastAsia"/>
          <w:lang w:bidi="zh-CN"/>
        </w:rPr>
        <w:t>（1）增强农村水污染治理能力。继续推进镇级污水处理设施建设，以县（市、区）为单位，合理布局全域污水治理设施，重点解决人口密集地区、环境敏感地区、水源地保护区村庄、传统村落、美丽宜居示范村等村庄的污水治理问题。优先建设国家、自治区级重点镇和特色小镇、历史文化名镇等特色镇的污水处理设施。</w:t>
      </w:r>
    </w:p>
    <w:p>
      <w:pPr>
        <w:widowControl/>
        <w:snapToGrid w:val="0"/>
        <w:ind w:firstLine="560"/>
        <w:jc w:val="left"/>
        <w:rPr>
          <w:lang w:bidi="zh-CN"/>
        </w:rPr>
      </w:pPr>
      <w:r>
        <w:rPr>
          <w:rFonts w:hint="eastAsia"/>
          <w:lang w:bidi="zh-CN"/>
        </w:rPr>
        <w:t>（2）推进污水治理多元化发展。根据农村不同区位条件、村庄人口聚集程度、污水产生规模等因素，因地制宜采用污染治理与资源利用相结合、工程措施与生态措施相结合、集中治理与分散治理相结合、单户治理与多户治理相结合的污水处理设施建设模式和处理工艺。推动城镇污水管网向周边村庄延伸覆盖，城市、镇区和园区周边的村庄接入城镇污水管网。位置偏远而达到一定规模的村庄，可单独设立污水处理设施，鼓励采用生态处理工艺，推广低成本、低能耗、易操作、易维护、高效率的污水处理技术，建设经济实用的污水处理设施。</w:t>
      </w:r>
    </w:p>
    <w:p>
      <w:pPr>
        <w:widowControl/>
        <w:snapToGrid w:val="0"/>
        <w:ind w:firstLine="560"/>
        <w:jc w:val="left"/>
        <w:rPr>
          <w:lang w:bidi="zh-CN"/>
        </w:rPr>
      </w:pPr>
      <w:r>
        <w:rPr>
          <w:rFonts w:hint="eastAsia"/>
          <w:lang w:bidi="zh-CN"/>
        </w:rPr>
        <w:t>（3）建立水源保护长效机制。采取综合措施恢复水生态。将农村地区水环境治理纳入河长制、湖长制管理。全面落实河长制、湖长制各项责任，组织开展疏浚疏浚行动，治理村屯内部河塘沟渠，加快农村排污管网建设，禁止在集中式饮用水水源地保护区内设置排污口，采取生态措施恢复水环境，逐步消除农村黑臭水体。加强节约用水宣传教育，引导村民形成良好用水习惯，加强生活用水循环节约利用，促进污水源头减量和尾水回收利用。</w:t>
      </w:r>
    </w:p>
    <w:p>
      <w:pPr>
        <w:widowControl/>
        <w:snapToGrid w:val="0"/>
        <w:ind w:firstLine="560"/>
        <w:jc w:val="left"/>
        <w:rPr>
          <w:rFonts w:ascii="黑体" w:hAnsi="黑体" w:eastAsia="黑体" w:cs="黑体"/>
          <w:b/>
          <w:bCs/>
          <w:sz w:val="32"/>
        </w:rPr>
      </w:pPr>
      <w:r>
        <w:rPr>
          <w:rFonts w:hint="eastAsia"/>
          <w:lang w:bidi="zh-CN"/>
        </w:rPr>
        <w:t>（4）创新环境污染治理方式。打破以项目为单位分散式运营模式，采取打捆方式引入第三方进行整体式设计、模块化建设、一体化运营。对以政府为责任主体的污染治理和区域型环境整治等，采取环境绩效合同服务等第三方治理方式。鼓励地方政府引入环境服务公司开展综合环境服务</w:t>
      </w:r>
      <w:r>
        <w:t>。</w:t>
      </w:r>
      <w:bookmarkStart w:id="29" w:name="_Toc169616872"/>
    </w:p>
    <w:p>
      <w:pPr>
        <w:widowControl/>
        <w:snapToGrid w:val="0"/>
        <w:ind w:firstLine="643"/>
        <w:jc w:val="left"/>
        <w:rPr>
          <w:rFonts w:ascii="黑体" w:hAnsi="黑体" w:eastAsia="黑体" w:cs="黑体"/>
          <w:b/>
          <w:bCs/>
          <w:sz w:val="32"/>
        </w:rPr>
      </w:pPr>
      <w:r>
        <w:rPr>
          <w:rFonts w:hint="eastAsia" w:ascii="黑体" w:hAnsi="黑体" w:eastAsia="黑体" w:cs="黑体"/>
          <w:b/>
          <w:bCs/>
          <w:sz w:val="32"/>
        </w:rPr>
        <w:t>2.2规划</w:t>
      </w:r>
      <w:r>
        <w:rPr>
          <w:rFonts w:ascii="黑体" w:hAnsi="黑体" w:eastAsia="黑体" w:cs="黑体"/>
          <w:b/>
          <w:bCs/>
          <w:sz w:val="32"/>
        </w:rPr>
        <w:t>政策</w:t>
      </w:r>
      <w:r>
        <w:rPr>
          <w:rFonts w:hint="eastAsia" w:ascii="黑体" w:hAnsi="黑体" w:eastAsia="黑体" w:cs="黑体"/>
          <w:b/>
          <w:bCs/>
          <w:sz w:val="32"/>
        </w:rPr>
        <w:t>符合性</w:t>
      </w:r>
      <w:bookmarkEnd w:id="29"/>
    </w:p>
    <w:p>
      <w:pPr>
        <w:widowControl/>
        <w:snapToGrid w:val="0"/>
        <w:ind w:firstLine="560"/>
        <w:jc w:val="left"/>
        <w:rPr>
          <w:rFonts w:ascii="黑体" w:hAnsi="黑体" w:eastAsia="黑体" w:cs="黑体"/>
          <w:b/>
          <w:bCs/>
          <w:sz w:val="32"/>
        </w:rPr>
      </w:pPr>
      <w:r>
        <w:rPr>
          <w:rFonts w:hint="eastAsia"/>
        </w:rPr>
        <w:t>2021</w:t>
      </w:r>
      <w:r>
        <w:t>年</w:t>
      </w:r>
      <w:r>
        <w:rPr>
          <w:rFonts w:hint="eastAsia"/>
        </w:rPr>
        <w:t>12</w:t>
      </w:r>
      <w:r>
        <w:t>月，广西壮族自治区人民政府办公厅《关于印发广西生态环境保护</w:t>
      </w:r>
      <w:r>
        <w:rPr>
          <w:rFonts w:hint="eastAsia"/>
        </w:rPr>
        <w:t>“</w:t>
      </w:r>
      <w:r>
        <w:t>十四五</w:t>
      </w:r>
      <w:r>
        <w:rPr>
          <w:rFonts w:hint="eastAsia"/>
        </w:rPr>
        <w:t>”</w:t>
      </w:r>
      <w:r>
        <w:t>规划的通知》（桂政办发〔</w:t>
      </w:r>
      <w:r>
        <w:rPr>
          <w:rFonts w:hint="eastAsia"/>
        </w:rPr>
        <w:t>2021</w:t>
      </w:r>
      <w:r>
        <w:t>〕</w:t>
      </w:r>
      <w:r>
        <w:rPr>
          <w:rFonts w:hint="eastAsia"/>
        </w:rPr>
        <w:t>145</w:t>
      </w:r>
      <w:r>
        <w:t>号）发布，《通知》中以习近平新时代中国特色社会主义思想为指导，全面贯彻党的十九大和十九届历次全会精神，深入贯彻习近平生态文明思想，统筹推进</w:t>
      </w:r>
      <w:r>
        <w:rPr>
          <w:rFonts w:hint="eastAsia"/>
        </w:rPr>
        <w:t>“</w:t>
      </w:r>
      <w:r>
        <w:t>五位一体</w:t>
      </w:r>
      <w:r>
        <w:rPr>
          <w:rFonts w:hint="eastAsia"/>
        </w:rPr>
        <w:t>”</w:t>
      </w:r>
      <w:r>
        <w:t>总体布局、协调推进</w:t>
      </w:r>
      <w:r>
        <w:rPr>
          <w:rFonts w:hint="eastAsia"/>
        </w:rPr>
        <w:t>“</w:t>
      </w:r>
      <w:r>
        <w:t>四个全面</w:t>
      </w:r>
      <w:r>
        <w:rPr>
          <w:rFonts w:hint="eastAsia"/>
        </w:rPr>
        <w:t>”</w:t>
      </w:r>
      <w:r>
        <w:t>战略布局，完整、准确、全面贯彻新发展理念，紧紧围绕凝心聚力建设新时代中国特色社会主义壮美广西</w:t>
      </w:r>
      <w:r>
        <w:rPr>
          <w:rFonts w:hint="eastAsia"/>
        </w:rPr>
        <w:t>“1</w:t>
      </w:r>
      <w:r>
        <w:t>＋</w:t>
      </w:r>
      <w:r>
        <w:rPr>
          <w:rFonts w:hint="eastAsia"/>
        </w:rPr>
        <w:t>1</w:t>
      </w:r>
      <w:r>
        <w:t>＋</w:t>
      </w:r>
      <w:r>
        <w:rPr>
          <w:rFonts w:hint="eastAsia"/>
        </w:rPr>
        <w:t>4</w:t>
      </w:r>
      <w:r>
        <w:t>＋</w:t>
      </w:r>
      <w:r>
        <w:rPr>
          <w:rFonts w:hint="eastAsia"/>
        </w:rPr>
        <w:t>3</w:t>
      </w:r>
      <w:r>
        <w:t>＋</w:t>
      </w:r>
      <w:r>
        <w:rPr>
          <w:rFonts w:hint="eastAsia"/>
        </w:rPr>
        <w:t>N”</w:t>
      </w:r>
      <w:r>
        <w:t>目标任务体系，以保持生态环境全国一流为目标，以</w:t>
      </w:r>
      <w:r>
        <w:rPr>
          <w:rFonts w:hint="eastAsia"/>
        </w:rPr>
        <w:t>“</w:t>
      </w:r>
      <w:r>
        <w:t>保优提质、减污降碳，强基础、增效能、护生态、促发展、防风险</w:t>
      </w:r>
      <w:r>
        <w:rPr>
          <w:rFonts w:hint="eastAsia"/>
        </w:rPr>
        <w:t>”</w:t>
      </w:r>
      <w:r>
        <w:t>为主线，坚持方向不变、力度不减、延伸深度、拓宽广度，坚持综合治理、系统治理、源头治理，更加突出精准治污、科学治污、依法治污，以更高标准深入打好污染防治攻坚战，在推动绿色发展上迈出新步伐，将生态优势更多转化为发展优势，为加快建设美丽广西和生态文明强区奠定坚实生态环境基础。</w:t>
      </w:r>
    </w:p>
    <w:p>
      <w:pPr>
        <w:widowControl/>
        <w:snapToGrid w:val="0"/>
        <w:ind w:firstLine="560"/>
        <w:jc w:val="left"/>
      </w:pPr>
      <w:r>
        <w:t>《通知》还进一步明确推进重点领域水污染物减排：</w:t>
      </w:r>
    </w:p>
    <w:p>
      <w:pPr>
        <w:widowControl/>
        <w:snapToGrid w:val="0"/>
        <w:ind w:firstLine="560"/>
        <w:jc w:val="left"/>
      </w:pPr>
      <w:r>
        <w:rPr>
          <w:rFonts w:hint="eastAsia"/>
        </w:rPr>
        <w:t>1.</w:t>
      </w:r>
      <w:r>
        <w:t>推进城市黑臭水体整治。巩固深化市级城市建成区黑臭水体治理成效，健全黑臭水体动态排查评估机制，开展城市黑臭水体治理效果评估，建立健全长效机制，确保城市黑臭水体</w:t>
      </w:r>
      <w:r>
        <w:rPr>
          <w:lang w:bidi="zh-CN"/>
        </w:rPr>
        <w:t>整治工程长</w:t>
      </w:r>
      <w:r>
        <w:t>效运行。加强对各类违法排污行为执法监管。按照国家部署，开展县级城市建成区黑臭水体排查和综合治理。到</w:t>
      </w:r>
      <w:r>
        <w:rPr>
          <w:rFonts w:hint="eastAsia"/>
        </w:rPr>
        <w:t>2025</w:t>
      </w:r>
      <w:r>
        <w:t>年，城市黑臭水体治理不出现</w:t>
      </w:r>
      <w:r>
        <w:rPr>
          <w:rFonts w:hint="eastAsia"/>
        </w:rPr>
        <w:t>“</w:t>
      </w:r>
      <w:r>
        <w:t>返黑返臭</w:t>
      </w:r>
      <w:r>
        <w:rPr>
          <w:rFonts w:hint="eastAsia"/>
        </w:rPr>
        <w:t>”</w:t>
      </w:r>
      <w:r>
        <w:t>，达到国家相关要求。</w:t>
      </w:r>
    </w:p>
    <w:p>
      <w:pPr>
        <w:widowControl/>
        <w:snapToGrid w:val="0"/>
        <w:ind w:firstLine="560"/>
        <w:jc w:val="left"/>
      </w:pPr>
      <w:r>
        <w:rPr>
          <w:rFonts w:hint="eastAsia"/>
        </w:rPr>
        <w:t>2.</w:t>
      </w:r>
      <w:r>
        <w:t>提高城镇生活污水收集处理效能。推进新旧污水管网建设，加快补齐城镇污水管网短板，提高城镇生活污水收集处理率。新城区要同步规划建设污水处理设施及收集管网，持续强化居民小区及公用建筑排水规范接入市政污水管网监管；开展进水浓度偏低的城镇污水处理厂收水范围内管网排查，加快管网错混接改造、老旧管网更新、破损修复改造、雨污分流改造，有条件的城市管网建设进一步辐射到周边乡镇，基本实现城镇截污纳管全覆盖和生活污水全收集、全处理；全面推进乡镇污水处理设施及其配套管网建设，有条件的乡镇管网建设延伸到周边农村。加快推进城镇生活污水处理设施建设及提质增效，在新区、新城及污水直排、污水处理厂超负荷运行等区域推进生活污水处理能力的提标改造，基本实现镇级污水处理设施全覆盖，提高城镇污水处理能力。有条件的地区开展初期雨水收集、处理和资源化利用。积极推广污水处理设施第三方运营。规范生活污泥处置管理，推广污泥集中焚烧无害化处理和资源化利用，鼓励达标污泥还田利用。</w:t>
      </w:r>
    </w:p>
    <w:p>
      <w:pPr>
        <w:widowControl/>
        <w:snapToGrid w:val="0"/>
        <w:ind w:firstLine="560"/>
        <w:jc w:val="left"/>
      </w:pPr>
      <w:r>
        <w:t>加强入河排污口排查整治。开展入河排污口排查溯源，全面摸清底数，建立入河排污口名录，厘清排污口责任。按照</w:t>
      </w:r>
      <w:r>
        <w:rPr>
          <w:rFonts w:hint="eastAsia"/>
        </w:rPr>
        <w:t>“</w:t>
      </w:r>
      <w:r>
        <w:t>取缔一批、合并一批、规范一批</w:t>
      </w:r>
      <w:r>
        <w:rPr>
          <w:rFonts w:hint="eastAsia"/>
        </w:rPr>
        <w:t>”</w:t>
      </w:r>
      <w:r>
        <w:t>要求，依法实施入河排污口分类整治及规范化建设；建立排污口整治销号制度，加强对需要保留的排污口日常排污监测与监管，确保排污口废水达标排放</w:t>
      </w:r>
      <w:r>
        <w:rPr>
          <w:rFonts w:hint="eastAsia"/>
        </w:rPr>
        <w:t>。</w:t>
      </w:r>
    </w:p>
    <w:p>
      <w:pPr>
        <w:widowControl/>
        <w:snapToGrid w:val="0"/>
        <w:ind w:firstLine="560"/>
        <w:jc w:val="left"/>
      </w:pPr>
      <w:r>
        <w:rPr>
          <w:rFonts w:hint="eastAsia"/>
        </w:rPr>
        <w:t>2021年9月，田东县人民政府印发《田东县国民经济和社会发展第十四个五年规划和二〇三五年远景目标纲要》，规划中指出:“完善市政基础设施。积极对接城市建设总体规划，以全县战略发展和功能分区为指导，以县城为主要空间载体，全面拓展城市框架。构建县城骨干路网。坚持高水平规划、高标准配套，保持适度超前发展，建设与未来发展相适应的基础设施和服务设施，提高城镇对经济社会发展的承载能力。优化合理布局，推动公共厕所、候车亭等城镇公用设施提档升级”“完善城镇地下管网。聚焦关键领域和薄弱环节，完善城镇污水管网、雨水管网、供水管网、燃气管网等地下管网基础设施。推进污水处理厂配套管网建设，逐步消除城中村、老旧城区和城乡结合部生活污水收集处理设施空白区。积极开展已建成镇级污水处理设施新增管网建设，切实提升镇级污水处理设施效能。全面推进雨水管网建设，提升城市防涝水平。</w:t>
      </w:r>
    </w:p>
    <w:p>
      <w:pPr>
        <w:pStyle w:val="3"/>
        <w:spacing w:before="120" w:beforeLines="50"/>
        <w:rPr>
          <w:rFonts w:ascii="黑体" w:hAnsi="黑体" w:eastAsia="黑体" w:cs="黑体"/>
          <w:b w:val="0"/>
          <w:bCs w:val="0"/>
          <w:sz w:val="32"/>
        </w:rPr>
      </w:pPr>
      <w:bookmarkStart w:id="30" w:name="_Toc169616873"/>
      <w:bookmarkStart w:id="31" w:name="_Toc9691"/>
      <w:r>
        <w:rPr>
          <w:rFonts w:hint="eastAsia" w:ascii="黑体" w:hAnsi="黑体" w:eastAsia="黑体" w:cs="黑体"/>
          <w:b w:val="0"/>
          <w:bCs w:val="0"/>
          <w:sz w:val="32"/>
        </w:rPr>
        <w:t>2.3项目建设的必要性</w:t>
      </w:r>
      <w:bookmarkEnd w:id="30"/>
      <w:bookmarkEnd w:id="31"/>
    </w:p>
    <w:p>
      <w:pPr>
        <w:pStyle w:val="4"/>
        <w:spacing w:before="120" w:beforeLines="50"/>
        <w:rPr>
          <w:rFonts w:ascii="黑体" w:hAnsi="黑体" w:eastAsia="黑体" w:cs="黑体"/>
          <w:b w:val="0"/>
          <w:bCs w:val="0"/>
          <w:sz w:val="30"/>
          <w:szCs w:val="30"/>
        </w:rPr>
      </w:pPr>
      <w:bookmarkStart w:id="32" w:name="_Toc535184219"/>
      <w:bookmarkStart w:id="33" w:name="_Toc2165908"/>
      <w:bookmarkStart w:id="34" w:name="_Toc2010382"/>
      <w:bookmarkStart w:id="35" w:name="_Toc534982517"/>
      <w:bookmarkStart w:id="36" w:name="_Toc72868721"/>
      <w:bookmarkStart w:id="37" w:name="_Toc536625083"/>
      <w:bookmarkStart w:id="38" w:name="_Toc536808356"/>
      <w:bookmarkStart w:id="39" w:name="_Toc533594321"/>
      <w:bookmarkStart w:id="40" w:name="_Toc533703078"/>
      <w:r>
        <w:rPr>
          <w:rFonts w:hint="eastAsia" w:ascii="黑体" w:hAnsi="黑体" w:eastAsia="黑体" w:cs="黑体"/>
          <w:b w:val="0"/>
          <w:bCs w:val="0"/>
          <w:sz w:val="30"/>
          <w:szCs w:val="30"/>
        </w:rPr>
        <w:t>2</w:t>
      </w:r>
      <w:r>
        <w:rPr>
          <w:rFonts w:ascii="黑体" w:hAnsi="黑体" w:eastAsia="黑体" w:cs="黑体"/>
          <w:b w:val="0"/>
          <w:bCs w:val="0"/>
          <w:sz w:val="30"/>
          <w:szCs w:val="30"/>
        </w:rPr>
        <w:t>.3.1</w:t>
      </w:r>
      <w:r>
        <w:rPr>
          <w:rFonts w:hint="eastAsia" w:ascii="黑体" w:hAnsi="黑体" w:eastAsia="黑体" w:cs="黑体"/>
          <w:b w:val="0"/>
          <w:bCs w:val="0"/>
          <w:sz w:val="30"/>
          <w:szCs w:val="30"/>
        </w:rPr>
        <w:t>符合田东县政策与发展目标要求，是城市生态文明发展的需要</w:t>
      </w:r>
      <w:bookmarkEnd w:id="32"/>
      <w:bookmarkEnd w:id="33"/>
      <w:bookmarkEnd w:id="34"/>
      <w:bookmarkEnd w:id="35"/>
      <w:bookmarkEnd w:id="36"/>
      <w:bookmarkEnd w:id="37"/>
      <w:bookmarkEnd w:id="38"/>
      <w:bookmarkEnd w:id="39"/>
      <w:bookmarkEnd w:id="40"/>
    </w:p>
    <w:p>
      <w:pPr>
        <w:widowControl/>
        <w:snapToGrid w:val="0"/>
        <w:ind w:firstLine="560"/>
        <w:jc w:val="left"/>
        <w:rPr>
          <w:rFonts w:hint="eastAsia"/>
          <w:lang w:bidi="zh-CN"/>
        </w:rPr>
      </w:pPr>
      <w:bookmarkStart w:id="41" w:name="_Toc534982518"/>
      <w:bookmarkStart w:id="42" w:name="_Toc533703079"/>
      <w:bookmarkStart w:id="43" w:name="_Toc2010383"/>
      <w:bookmarkStart w:id="44" w:name="_Toc536625084"/>
      <w:bookmarkStart w:id="45" w:name="_Toc536808357"/>
      <w:bookmarkStart w:id="46" w:name="_Toc2165909"/>
      <w:bookmarkStart w:id="47" w:name="_Toc533594322"/>
      <w:bookmarkStart w:id="48" w:name="_Toc535184220"/>
      <w:r>
        <w:rPr>
          <w:rFonts w:hint="eastAsia"/>
          <w:lang w:bidi="zh-CN"/>
        </w:rPr>
        <w:t>根据里弄沟黑臭水体形成原因主要有</w:t>
      </w:r>
      <w:r>
        <w:rPr>
          <w:rFonts w:hint="eastAsia"/>
          <w:lang w:val="en-US" w:bidi="zh-CN"/>
        </w:rPr>
        <w:t>5条污染源</w:t>
      </w:r>
      <w:r>
        <w:rPr>
          <w:rFonts w:hint="eastAsia"/>
          <w:lang w:bidi="zh-CN"/>
        </w:rPr>
        <w:t>，涉及范围田东县平马镇合恒村里弄屯、甲逢屯、东海屯等，周边覆盖常住人口约900户；人口约3000人。该片区房屋大部分属于自建房，具有较大的随意性，缺乏合理的总体布局规划。居民现有生活用水排放方式通过村屯排水沟做为主要的排放渠道。通过现场走访发现合恒村里弄屯、甲逢屯、东海屯没有完善生活用水管网，村屯住户收集生活排水无序排放。其次屯内建有排水管网，大部分没有并入市政管道，加上生活垃圾不断填充，使现有排水管道不顺畅，给周边环境造成水质污染。</w:t>
      </w:r>
    </w:p>
    <w:p>
      <w:pPr>
        <w:widowControl/>
        <w:snapToGrid w:val="0"/>
        <w:ind w:firstLine="560"/>
        <w:jc w:val="left"/>
      </w:pPr>
      <w:r>
        <w:rPr>
          <w:rFonts w:hint="eastAsia"/>
        </w:rPr>
        <w:t>里弄屯</w:t>
      </w:r>
      <w:r>
        <w:t>黑臭水体</w:t>
      </w:r>
      <w:r>
        <w:rPr>
          <w:rFonts w:hint="eastAsia"/>
        </w:rPr>
        <w:t>现状类型为水塘，涉及的自然村为里弄屯，水域面积约</w:t>
      </w:r>
      <w:r>
        <w:t>10</w:t>
      </w:r>
      <w:r>
        <w:rPr>
          <w:rFonts w:hint="eastAsia"/>
        </w:rPr>
        <w:t>万m</w:t>
      </w:r>
      <w:r>
        <w:rPr>
          <w:rFonts w:hint="eastAsia"/>
          <w:vertAlign w:val="superscript"/>
        </w:rPr>
        <w:t>2</w:t>
      </w:r>
      <w:r>
        <w:rPr>
          <w:rFonts w:hint="eastAsia"/>
        </w:rPr>
        <w:t>，水体岸线无硬化。黑臭水体的产生还包括区域内生活垃圾堆放管理不当，</w:t>
      </w:r>
      <w:r>
        <w:rPr>
          <w:szCs w:val="28"/>
        </w:rPr>
        <w:t>附近畜禽养殖</w:t>
      </w:r>
      <w:r>
        <w:rPr>
          <w:rFonts w:hint="eastAsia"/>
          <w:szCs w:val="28"/>
        </w:rPr>
        <w:t>及水产养殖</w:t>
      </w:r>
      <w:r>
        <w:rPr>
          <w:szCs w:val="28"/>
        </w:rPr>
        <w:t>产生的粪污</w:t>
      </w:r>
      <w:r>
        <w:rPr>
          <w:rFonts w:hint="eastAsia"/>
          <w:szCs w:val="28"/>
        </w:rPr>
        <w:t>，周边芒果种植区施肥及农药的使用，长期积累导致水质富营养化现象，以及附近工业污水等几方面污水汇集至里弄水塘。加之</w:t>
      </w:r>
      <w:r>
        <w:rPr>
          <w:rFonts w:hint="eastAsia"/>
        </w:rPr>
        <w:t>右江河床地势高于水塘，污水无法完全排出，常年积累沉淀导致水塘水体发黑，产生刺激性气味。该水塘已对田东县自然环境及居民生活造成严重影响。</w:t>
      </w:r>
    </w:p>
    <w:p>
      <w:pPr>
        <w:ind w:firstLine="560"/>
        <w:rPr>
          <w:szCs w:val="28"/>
        </w:rPr>
      </w:pPr>
      <w:r>
        <w:t>根据《百色市农村黑臭水体治理工作—现状调查报告》对</w:t>
      </w:r>
      <w:r>
        <w:rPr>
          <w:rFonts w:hint="eastAsia"/>
        </w:rPr>
        <w:t>田东县平马镇合恒村里弄屯里弄沟</w:t>
      </w:r>
      <w:r>
        <w:t>黑臭水体的现状和成因分析结果。</w:t>
      </w:r>
      <w:r>
        <w:rPr>
          <w:rFonts w:hint="eastAsia"/>
          <w:szCs w:val="23"/>
        </w:rPr>
        <w:t>里弄屯现状排水体制仍然是直泄式合流制排水系统。区域污水旱季时主要为生活污水，雨季时则为雨、污混合水。排水管网系统大部分为石砌暗沟或自然沟渠。</w:t>
      </w:r>
    </w:p>
    <w:p>
      <w:pPr>
        <w:ind w:firstLine="560"/>
        <w:rPr>
          <w:szCs w:val="28"/>
        </w:rPr>
      </w:pPr>
      <w:r>
        <w:rPr>
          <w:rFonts w:hint="eastAsia"/>
          <w:szCs w:val="28"/>
        </w:rPr>
        <w:t>此外，田东县重视水生态文明的建设，作为政策发展的目标。水生态文明城市建设理念要求在城市规划设计中，坚持以习近平总书记新时代中国特色社会主义思想和习近平生态文明思想为指导，坚持精准治污、科学治污、依法治污，坚持问题导向、靶向施策、统筹推进，着力解决百色市水污染防治存在的问题，基本消除黑臭水体、生活污水直排等问题，逐步提高生活污水集中收集率，推动绿色发展，构建生态宜居县城。</w:t>
      </w:r>
    </w:p>
    <w:p>
      <w:pPr>
        <w:pStyle w:val="4"/>
        <w:spacing w:before="120" w:beforeLines="50"/>
        <w:rPr>
          <w:rFonts w:ascii="黑体" w:hAnsi="黑体" w:eastAsia="黑体" w:cs="黑体"/>
          <w:b w:val="0"/>
          <w:bCs w:val="0"/>
          <w:sz w:val="30"/>
          <w:szCs w:val="30"/>
        </w:rPr>
      </w:pPr>
      <w:bookmarkStart w:id="49" w:name="_Toc72868722"/>
      <w:r>
        <w:rPr>
          <w:rFonts w:hint="eastAsia" w:ascii="黑体" w:hAnsi="黑体" w:eastAsia="黑体" w:cs="黑体"/>
          <w:b w:val="0"/>
          <w:bCs w:val="0"/>
          <w:sz w:val="30"/>
          <w:szCs w:val="30"/>
        </w:rPr>
        <w:t>2</w:t>
      </w:r>
      <w:r>
        <w:rPr>
          <w:rFonts w:ascii="黑体" w:hAnsi="黑体" w:eastAsia="黑体" w:cs="黑体"/>
          <w:b w:val="0"/>
          <w:bCs w:val="0"/>
          <w:sz w:val="30"/>
          <w:szCs w:val="30"/>
        </w:rPr>
        <w:t>.3.2</w:t>
      </w:r>
      <w:r>
        <w:rPr>
          <w:rFonts w:hint="eastAsia" w:ascii="黑体" w:hAnsi="黑体" w:eastAsia="黑体" w:cs="黑体"/>
          <w:b w:val="0"/>
          <w:bCs w:val="0"/>
          <w:sz w:val="30"/>
          <w:szCs w:val="30"/>
        </w:rPr>
        <w:t>根据新形势下对水环境治理的要求，改善百色市水环境质量的需要</w:t>
      </w:r>
      <w:bookmarkEnd w:id="41"/>
      <w:bookmarkEnd w:id="42"/>
      <w:bookmarkEnd w:id="43"/>
      <w:bookmarkEnd w:id="44"/>
      <w:bookmarkEnd w:id="45"/>
      <w:bookmarkEnd w:id="46"/>
      <w:bookmarkEnd w:id="47"/>
      <w:bookmarkEnd w:id="48"/>
      <w:bookmarkEnd w:id="49"/>
    </w:p>
    <w:p>
      <w:pPr>
        <w:ind w:firstLine="560"/>
        <w:rPr>
          <w:szCs w:val="28"/>
        </w:rPr>
      </w:pPr>
      <w:r>
        <w:rPr>
          <w:rFonts w:hint="eastAsia"/>
          <w:szCs w:val="28"/>
        </w:rPr>
        <w:t>2015年《水污染防治行动计划》发布。以改善水环境质量为核心，系统推进水污染防治。聚焦水环境质量的改善：消灭黑臭水体！建设“蓝天常在、青山常在、绿水常在”美丽中国。根据《水污染防治行动计划》要求，百色市制定水环境保护规划控制目标，至2020年，地表水无劣五（Ⅴ）类水体；化学需氧量、氨氮排放量比2015年减少1%；城市建成区内基本消除黑臭水体，县级及以上集中式饮用水水源水质达到或优于Ⅲ类比例总体达到100%。到2035年，城市建成区污水处理率达100%。</w:t>
      </w:r>
    </w:p>
    <w:p>
      <w:pPr>
        <w:pStyle w:val="4"/>
        <w:spacing w:before="120" w:beforeLines="50"/>
        <w:rPr>
          <w:rFonts w:ascii="黑体" w:hAnsi="黑体" w:eastAsia="黑体" w:cs="黑体"/>
          <w:b w:val="0"/>
          <w:bCs w:val="0"/>
          <w:sz w:val="30"/>
          <w:szCs w:val="30"/>
        </w:rPr>
      </w:pPr>
      <w:bookmarkStart w:id="50" w:name="_Toc2165910"/>
      <w:bookmarkStart w:id="51" w:name="_Toc534982519"/>
      <w:bookmarkStart w:id="52" w:name="_Toc533703080"/>
      <w:bookmarkStart w:id="53" w:name="_Toc533594323"/>
      <w:bookmarkStart w:id="54" w:name="_Toc535184221"/>
      <w:bookmarkStart w:id="55" w:name="_Toc536808358"/>
      <w:bookmarkStart w:id="56" w:name="_Toc2010384"/>
      <w:bookmarkStart w:id="57" w:name="_Toc72868723"/>
      <w:bookmarkStart w:id="58" w:name="_Toc536625085"/>
      <w:r>
        <w:rPr>
          <w:rFonts w:hint="eastAsia" w:ascii="黑体" w:hAnsi="黑体" w:eastAsia="黑体" w:cs="黑体"/>
          <w:b w:val="0"/>
          <w:bCs w:val="0"/>
          <w:sz w:val="30"/>
          <w:szCs w:val="30"/>
        </w:rPr>
        <w:t>2</w:t>
      </w:r>
      <w:r>
        <w:rPr>
          <w:rFonts w:ascii="黑体" w:hAnsi="黑体" w:eastAsia="黑体" w:cs="黑体"/>
          <w:b w:val="0"/>
          <w:bCs w:val="0"/>
          <w:sz w:val="30"/>
          <w:szCs w:val="30"/>
        </w:rPr>
        <w:t>.3.3</w:t>
      </w:r>
      <w:r>
        <w:rPr>
          <w:rFonts w:hint="eastAsia" w:ascii="黑体" w:hAnsi="黑体" w:eastAsia="黑体" w:cs="黑体"/>
          <w:b w:val="0"/>
          <w:bCs w:val="0"/>
          <w:sz w:val="30"/>
          <w:szCs w:val="30"/>
        </w:rPr>
        <w:t>消除河道水体黑臭，提升污水收集处理率，提升城市水环境品质的需要</w:t>
      </w:r>
      <w:bookmarkEnd w:id="50"/>
      <w:bookmarkEnd w:id="51"/>
      <w:bookmarkEnd w:id="52"/>
      <w:bookmarkEnd w:id="53"/>
      <w:bookmarkEnd w:id="54"/>
      <w:bookmarkEnd w:id="55"/>
      <w:bookmarkEnd w:id="56"/>
      <w:bookmarkEnd w:id="57"/>
      <w:bookmarkEnd w:id="58"/>
    </w:p>
    <w:p>
      <w:pPr>
        <w:ind w:firstLine="560"/>
        <w:rPr>
          <w:rFonts w:ascii="宋体" w:hAnsi="宋体"/>
        </w:rPr>
      </w:pPr>
      <w:r>
        <w:rPr>
          <w:rFonts w:hint="eastAsia" w:ascii="宋体" w:hAnsi="宋体"/>
        </w:rPr>
        <w:t>推进本项目，治理黑臭水体、改造污水管网及截污工程，解决现状污水管网中合流制排放的问题，有望提升项目服务范围内污水收集处理率，减少污水通过其他管道排入水体，改善地表水环境污染现状，消除河道黑臭水体，黑臭整治河段的上游水质不劣于水体整治建设前水质，全面提高水体自净能力，恢复水体生物多样性，是牢固树立以人为本理念，满足流域市民对优质生态环境的需求。改善生态环境和人居环境，提高群众生活质量，建设宜居城市的重要举措；是提升城市品位，增强城市竞争力，推进水环境建设与经济社会协调发展，推进生态文明城市、海绵城市建设的要求。</w:t>
      </w:r>
    </w:p>
    <w:p>
      <w:pPr>
        <w:pStyle w:val="4"/>
        <w:spacing w:before="120" w:beforeLines="50"/>
        <w:rPr>
          <w:rFonts w:ascii="黑体" w:hAnsi="黑体" w:eastAsia="黑体" w:cs="黑体"/>
          <w:b w:val="0"/>
          <w:bCs w:val="0"/>
          <w:sz w:val="30"/>
          <w:szCs w:val="30"/>
        </w:rPr>
      </w:pPr>
      <w:bookmarkStart w:id="59" w:name="_Toc536625086"/>
      <w:bookmarkStart w:id="60" w:name="_Toc536808359"/>
      <w:bookmarkStart w:id="61" w:name="_Toc534982520"/>
      <w:bookmarkStart w:id="62" w:name="_Toc535184222"/>
      <w:bookmarkStart w:id="63" w:name="_Toc72868724"/>
      <w:bookmarkStart w:id="64" w:name="_Toc2010385"/>
      <w:bookmarkStart w:id="65" w:name="_Toc533594324"/>
      <w:bookmarkStart w:id="66" w:name="_Toc2165911"/>
      <w:bookmarkStart w:id="67" w:name="_Toc264450045"/>
      <w:bookmarkStart w:id="68" w:name="_Toc533703081"/>
      <w:r>
        <w:rPr>
          <w:rFonts w:hint="eastAsia" w:ascii="黑体" w:hAnsi="黑体" w:eastAsia="黑体" w:cs="黑体"/>
          <w:b w:val="0"/>
          <w:bCs w:val="0"/>
          <w:sz w:val="30"/>
          <w:szCs w:val="30"/>
        </w:rPr>
        <w:t>2</w:t>
      </w:r>
      <w:r>
        <w:rPr>
          <w:rFonts w:ascii="黑体" w:hAnsi="黑体" w:eastAsia="黑体" w:cs="黑体"/>
          <w:b w:val="0"/>
          <w:bCs w:val="0"/>
          <w:sz w:val="30"/>
          <w:szCs w:val="30"/>
        </w:rPr>
        <w:t>.3.4</w:t>
      </w:r>
      <w:r>
        <w:rPr>
          <w:rFonts w:hint="eastAsia" w:ascii="黑体" w:hAnsi="黑体" w:eastAsia="黑体" w:cs="黑体"/>
          <w:b w:val="0"/>
          <w:bCs w:val="0"/>
          <w:sz w:val="30"/>
          <w:szCs w:val="30"/>
        </w:rPr>
        <w:t>工程的建设，能极大改善投资环境，吸引内、外资金对田东县的投入，实现经济可持续地跨越式发展。</w:t>
      </w:r>
      <w:bookmarkEnd w:id="59"/>
      <w:bookmarkEnd w:id="60"/>
      <w:bookmarkEnd w:id="61"/>
      <w:bookmarkEnd w:id="62"/>
      <w:bookmarkEnd w:id="63"/>
      <w:bookmarkEnd w:id="64"/>
      <w:bookmarkEnd w:id="65"/>
      <w:bookmarkEnd w:id="66"/>
      <w:bookmarkEnd w:id="67"/>
      <w:bookmarkEnd w:id="68"/>
    </w:p>
    <w:p>
      <w:pPr>
        <w:ind w:firstLine="560"/>
        <w:rPr>
          <w:rFonts w:ascii="宋体" w:hAnsi="宋体"/>
        </w:rPr>
      </w:pPr>
      <w:r>
        <w:rPr>
          <w:rFonts w:hint="eastAsia" w:ascii="宋体" w:hAnsi="宋体"/>
        </w:rPr>
        <w:t>优越生态环境，完善基础设施，是营造良好投资环境和经济可持续性发展必要条件，</w:t>
      </w:r>
      <w:r>
        <w:rPr>
          <w:rFonts w:ascii="宋体" w:hAnsi="宋体"/>
        </w:rPr>
        <w:t>田东县提出，聚焦重点产业、核心产品，完善园区基础设施，加大招商引资力度，强弱项、补短板，推动园区转型发展、创新发展、跨越发展。</w:t>
      </w:r>
    </w:p>
    <w:p>
      <w:pPr>
        <w:ind w:firstLine="560"/>
        <w:rPr>
          <w:rFonts w:ascii="宋体" w:hAnsi="宋体"/>
        </w:rPr>
      </w:pPr>
      <w:r>
        <w:rPr>
          <w:rFonts w:ascii="宋体" w:hAnsi="宋体"/>
        </w:rPr>
        <w:t>田东县将加快桂西（田东）绿色现代林木产业园建设，推进征地、五通一平、厂房等前期工作，加大招商引资力度，推动林木加工业向高端化、精品化、智慧化发展，打造广西现代林木加工制造产业集聚发展重要引领区；推动绿色化工循环产业园提质扩容，围绕氯碱化工，积极谋划引进低耗能产业，加快形成从资源产品到新能源新材料产品的完整产业链条，打造“中国西南化工城”；加快农产品加工轻工业园二期工程建设，重点布局农产品深加工和高端智能电子产业等轻工产业，形成1+N的产业结构，打造具有国际与区域影响力的绿色食品加工基地及智能电子产业集群</w:t>
      </w:r>
      <w:r>
        <w:rPr>
          <w:rFonts w:hint="eastAsia" w:ascii="宋体" w:hAnsi="宋体"/>
        </w:rPr>
        <w:t>。但是从现状来看，城市基础设施滞后，雨污排水等市政基础设施匮乏，生活环境恶劣，已严重地阻碍了城市的发展。</w:t>
      </w:r>
    </w:p>
    <w:p>
      <w:pPr>
        <w:ind w:firstLine="560"/>
        <w:rPr>
          <w:rFonts w:ascii="宋体" w:hAnsi="宋体"/>
        </w:rPr>
      </w:pPr>
      <w:r>
        <w:rPr>
          <w:rFonts w:hint="eastAsia" w:ascii="宋体" w:hAnsi="宋体"/>
        </w:rPr>
        <w:t>本项目的建设，将极大改善自然环境、人居环境及投资环境，将吸引更多内、外资金对百色市田东县的投入，田东县的经济发展将更上一层楼。经济发展的同时，再继续加大田东县环境综合整治的力度，形成经济与环境建设的良好循环，才是田东县经济可持续地跨越式发展的根本。</w:t>
      </w:r>
    </w:p>
    <w:p>
      <w:pPr>
        <w:ind w:firstLine="560"/>
        <w:rPr>
          <w:rFonts w:ascii="宋体" w:hAnsi="宋体"/>
        </w:rPr>
      </w:pPr>
      <w:r>
        <w:rPr>
          <w:rFonts w:hint="eastAsia"/>
          <w:lang w:bidi="zh-CN"/>
        </w:rPr>
        <w:t>综上所述里弄屯里弄沟黑臭水体治理项目的实施迫在眉睫。</w:t>
      </w:r>
    </w:p>
    <w:bookmarkEnd w:id="27"/>
    <w:p>
      <w:pPr>
        <w:widowControl/>
        <w:spacing w:line="240" w:lineRule="auto"/>
        <w:ind w:firstLine="0" w:firstLineChars="0"/>
        <w:jc w:val="left"/>
        <w:rPr>
          <w:rFonts w:ascii="黑体" w:hAnsi="黑体" w:eastAsia="黑体" w:cs="黑体"/>
          <w:b/>
          <w:bCs/>
        </w:rPr>
      </w:pPr>
      <w:bookmarkStart w:id="69" w:name="_Toc400"/>
      <w:bookmarkStart w:id="70" w:name="_Toc495307183"/>
      <w:r>
        <w:rPr>
          <w:rFonts w:ascii="黑体" w:hAnsi="黑体" w:eastAsia="黑体" w:cs="黑体"/>
          <w:b/>
          <w:bCs/>
        </w:rPr>
        <w:br w:type="page"/>
      </w:r>
    </w:p>
    <w:p>
      <w:pPr>
        <w:pStyle w:val="2"/>
        <w:ind w:firstLine="880"/>
        <w:jc w:val="center"/>
        <w:rPr>
          <w:rFonts w:ascii="黑体" w:hAnsi="黑体" w:eastAsia="黑体" w:cs="黑体"/>
          <w:b w:val="0"/>
          <w:bCs w:val="0"/>
        </w:rPr>
      </w:pPr>
      <w:bookmarkStart w:id="71" w:name="_Toc169616874"/>
      <w:r>
        <w:rPr>
          <w:rFonts w:hint="eastAsia" w:ascii="黑体" w:hAnsi="黑体" w:eastAsia="黑体" w:cs="黑体"/>
          <w:b w:val="0"/>
          <w:bCs w:val="0"/>
        </w:rPr>
        <w:t>第</w:t>
      </w:r>
      <w:r>
        <w:rPr>
          <w:rFonts w:ascii="黑体" w:hAnsi="黑体" w:eastAsia="黑体" w:cs="黑体"/>
          <w:b w:val="0"/>
          <w:bCs w:val="0"/>
        </w:rPr>
        <w:t>3</w:t>
      </w:r>
      <w:r>
        <w:rPr>
          <w:rFonts w:hint="eastAsia" w:ascii="黑体" w:hAnsi="黑体" w:eastAsia="黑体" w:cs="黑体"/>
          <w:b w:val="0"/>
          <w:bCs w:val="0"/>
        </w:rPr>
        <w:t xml:space="preserve">章 </w:t>
      </w:r>
      <w:r>
        <w:rPr>
          <w:rFonts w:ascii="黑体" w:hAnsi="黑体" w:eastAsia="黑体" w:cs="黑体"/>
          <w:b w:val="0"/>
          <w:bCs w:val="0"/>
        </w:rPr>
        <w:t xml:space="preserve"> </w:t>
      </w:r>
      <w:r>
        <w:rPr>
          <w:rFonts w:hint="eastAsia" w:ascii="黑体" w:hAnsi="黑体" w:eastAsia="黑体" w:cs="黑体"/>
          <w:b w:val="0"/>
          <w:bCs w:val="0"/>
        </w:rPr>
        <w:t>项目需求分析</w:t>
      </w:r>
      <w:r>
        <w:rPr>
          <w:rFonts w:ascii="黑体" w:hAnsi="黑体" w:eastAsia="黑体" w:cs="黑体"/>
          <w:b w:val="0"/>
          <w:bCs w:val="0"/>
        </w:rPr>
        <w:t>与</w:t>
      </w:r>
      <w:r>
        <w:rPr>
          <w:rFonts w:hint="eastAsia" w:ascii="黑体" w:hAnsi="黑体" w:eastAsia="黑体" w:cs="黑体"/>
          <w:b w:val="0"/>
          <w:bCs w:val="0"/>
        </w:rPr>
        <w:t>产出方案</w:t>
      </w:r>
      <w:bookmarkEnd w:id="71"/>
    </w:p>
    <w:p>
      <w:pPr>
        <w:pStyle w:val="3"/>
        <w:spacing w:before="120" w:beforeLines="50"/>
        <w:rPr>
          <w:rFonts w:ascii="黑体" w:hAnsi="黑体" w:eastAsia="黑体" w:cs="黑体"/>
          <w:b w:val="0"/>
          <w:bCs w:val="0"/>
          <w:sz w:val="32"/>
        </w:rPr>
      </w:pPr>
      <w:bookmarkStart w:id="72" w:name="_Toc169616875"/>
      <w:bookmarkStart w:id="73" w:name="_Toc356318251"/>
      <w:bookmarkStart w:id="74" w:name="_Toc28968"/>
      <w:bookmarkStart w:id="75" w:name="_Toc501534022"/>
      <w:r>
        <w:rPr>
          <w:rFonts w:ascii="黑体" w:hAnsi="黑体" w:eastAsia="黑体" w:cs="黑体"/>
          <w:b w:val="0"/>
          <w:bCs w:val="0"/>
          <w:sz w:val="32"/>
        </w:rPr>
        <w:t>3</w:t>
      </w:r>
      <w:r>
        <w:rPr>
          <w:rFonts w:hint="eastAsia" w:ascii="黑体" w:hAnsi="黑体" w:eastAsia="黑体" w:cs="黑体"/>
          <w:b w:val="0"/>
          <w:bCs w:val="0"/>
          <w:sz w:val="32"/>
        </w:rPr>
        <w:t>.</w:t>
      </w:r>
      <w:r>
        <w:rPr>
          <w:rFonts w:ascii="黑体" w:hAnsi="黑体" w:eastAsia="黑体" w:cs="黑体"/>
          <w:b w:val="0"/>
          <w:bCs w:val="0"/>
          <w:sz w:val="32"/>
        </w:rPr>
        <w:t>1</w:t>
      </w:r>
      <w:r>
        <w:rPr>
          <w:rFonts w:hint="eastAsia" w:ascii="黑体" w:hAnsi="黑体" w:eastAsia="黑体" w:cs="黑体"/>
          <w:b w:val="0"/>
          <w:bCs w:val="0"/>
          <w:sz w:val="32"/>
        </w:rPr>
        <w:t>需求分析</w:t>
      </w:r>
      <w:bookmarkEnd w:id="72"/>
      <w:bookmarkEnd w:id="73"/>
      <w:bookmarkEnd w:id="74"/>
      <w:bookmarkEnd w:id="75"/>
    </w:p>
    <w:p>
      <w:pPr>
        <w:ind w:firstLine="0" w:firstLineChars="0"/>
        <w:rPr>
          <w:rFonts w:ascii="宋体" w:hAnsi="宋体"/>
          <w:b/>
          <w:sz w:val="30"/>
          <w:szCs w:val="30"/>
        </w:rPr>
      </w:pPr>
      <w:r>
        <w:rPr>
          <w:rFonts w:hint="eastAsia" w:ascii="宋体" w:hAnsi="宋体"/>
          <w:b/>
          <w:sz w:val="30"/>
          <w:szCs w:val="30"/>
        </w:rPr>
        <w:t>3.1.1社会</w:t>
      </w:r>
      <w:r>
        <w:rPr>
          <w:rFonts w:ascii="宋体" w:hAnsi="宋体"/>
          <w:b/>
          <w:sz w:val="30"/>
          <w:szCs w:val="30"/>
        </w:rPr>
        <w:t>经济</w:t>
      </w:r>
    </w:p>
    <w:p>
      <w:pPr>
        <w:snapToGrid w:val="0"/>
        <w:ind w:firstLine="560"/>
        <w:rPr>
          <w:rFonts w:cs="宋体" w:asciiTheme="minorEastAsia" w:hAnsiTheme="minorEastAsia" w:eastAsiaTheme="minorEastAsia"/>
          <w:szCs w:val="28"/>
        </w:rPr>
      </w:pPr>
      <w:bookmarkStart w:id="76" w:name="_Toc15983444"/>
      <w:bookmarkStart w:id="77" w:name="_Toc142380250"/>
      <w:bookmarkStart w:id="78" w:name="_Toc32098"/>
      <w:bookmarkStart w:id="79" w:name="_Toc356318252"/>
      <w:r>
        <w:rPr>
          <w:rFonts w:hint="eastAsia" w:cs="宋体" w:asciiTheme="minorEastAsia" w:hAnsiTheme="minorEastAsia" w:eastAsiaTheme="minorEastAsia"/>
          <w:szCs w:val="28"/>
        </w:rPr>
        <w:t>（1）综合</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根据地区生产总值统一核算结果，</w:t>
      </w:r>
      <w:r>
        <w:rPr>
          <w:rFonts w:cs="宋体" w:asciiTheme="minorEastAsia" w:hAnsiTheme="minorEastAsia" w:eastAsiaTheme="minorEastAsia"/>
          <w:szCs w:val="28"/>
        </w:rPr>
        <w:t>2023</w:t>
      </w:r>
      <w:r>
        <w:rPr>
          <w:rFonts w:hint="eastAsia" w:cs="宋体" w:asciiTheme="minorEastAsia" w:hAnsiTheme="minorEastAsia" w:eastAsiaTheme="minorEastAsia"/>
          <w:szCs w:val="28"/>
        </w:rPr>
        <w:t>年全县生产总值</w:t>
      </w:r>
      <w:r>
        <w:rPr>
          <w:rFonts w:cs="宋体" w:asciiTheme="minorEastAsia" w:hAnsiTheme="minorEastAsia" w:eastAsiaTheme="minorEastAsia"/>
          <w:szCs w:val="28"/>
        </w:rPr>
        <w:t>198.0</w:t>
      </w:r>
      <w:r>
        <w:rPr>
          <w:rFonts w:hint="eastAsia" w:cs="宋体" w:asciiTheme="minorEastAsia" w:hAnsiTheme="minorEastAsia" w:eastAsiaTheme="minorEastAsia"/>
          <w:szCs w:val="28"/>
        </w:rPr>
        <w:t>亿元，按</w:t>
      </w:r>
      <w:r>
        <w:rPr>
          <w:rFonts w:cs="宋体" w:asciiTheme="minorEastAsia" w:hAnsiTheme="minorEastAsia" w:eastAsiaTheme="minorEastAsia"/>
          <w:szCs w:val="28"/>
        </w:rPr>
        <w:t>2020</w:t>
      </w:r>
      <w:r>
        <w:rPr>
          <w:rFonts w:hint="eastAsia" w:cs="宋体" w:asciiTheme="minorEastAsia" w:hAnsiTheme="minorEastAsia" w:eastAsiaTheme="minorEastAsia"/>
          <w:szCs w:val="28"/>
        </w:rPr>
        <w:t>年不变价格计算，同比增长</w:t>
      </w:r>
      <w:r>
        <w:rPr>
          <w:rFonts w:cs="宋体" w:asciiTheme="minorEastAsia" w:hAnsiTheme="minorEastAsia" w:eastAsiaTheme="minorEastAsia"/>
          <w:szCs w:val="28"/>
        </w:rPr>
        <w:t>1.2%</w:t>
      </w:r>
      <w:r>
        <w:rPr>
          <w:rFonts w:hint="eastAsia" w:cs="宋体" w:asciiTheme="minorEastAsia" w:hAnsiTheme="minorEastAsia" w:eastAsiaTheme="minorEastAsia"/>
          <w:szCs w:val="28"/>
        </w:rPr>
        <w:t>。分产业看，第一产业增加值</w:t>
      </w:r>
      <w:r>
        <w:rPr>
          <w:rFonts w:cs="宋体" w:asciiTheme="minorEastAsia" w:hAnsiTheme="minorEastAsia" w:eastAsiaTheme="minorEastAsia"/>
          <w:szCs w:val="28"/>
        </w:rPr>
        <w:t>49.46</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5.0%</w:t>
      </w:r>
      <w:r>
        <w:rPr>
          <w:rFonts w:hint="eastAsia" w:cs="宋体" w:asciiTheme="minorEastAsia" w:hAnsiTheme="minorEastAsia" w:eastAsiaTheme="minorEastAsia"/>
          <w:szCs w:val="28"/>
        </w:rPr>
        <w:t>；第二产业增加值</w:t>
      </w:r>
      <w:r>
        <w:rPr>
          <w:rFonts w:cs="宋体" w:asciiTheme="minorEastAsia" w:hAnsiTheme="minorEastAsia" w:eastAsiaTheme="minorEastAsia"/>
          <w:szCs w:val="28"/>
        </w:rPr>
        <w:t>82.30</w:t>
      </w:r>
      <w:r>
        <w:rPr>
          <w:rFonts w:hint="eastAsia" w:cs="宋体" w:asciiTheme="minorEastAsia" w:hAnsiTheme="minorEastAsia" w:eastAsiaTheme="minorEastAsia"/>
          <w:szCs w:val="28"/>
        </w:rPr>
        <w:t>亿元，同比下降</w:t>
      </w:r>
      <w:r>
        <w:rPr>
          <w:rFonts w:cs="宋体" w:asciiTheme="minorEastAsia" w:hAnsiTheme="minorEastAsia" w:eastAsiaTheme="minorEastAsia"/>
          <w:szCs w:val="28"/>
        </w:rPr>
        <w:t>2.7%</w:t>
      </w:r>
      <w:r>
        <w:rPr>
          <w:rFonts w:hint="eastAsia" w:cs="宋体" w:asciiTheme="minorEastAsia" w:hAnsiTheme="minorEastAsia" w:eastAsiaTheme="minorEastAsia"/>
          <w:szCs w:val="28"/>
        </w:rPr>
        <w:t>；第三产业增加值</w:t>
      </w:r>
      <w:r>
        <w:rPr>
          <w:rFonts w:cs="宋体" w:asciiTheme="minorEastAsia" w:hAnsiTheme="minorEastAsia" w:eastAsiaTheme="minorEastAsia"/>
          <w:szCs w:val="28"/>
        </w:rPr>
        <w:t>66.24</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2.9%</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（2）农业</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全年全县粮食总产量</w:t>
      </w:r>
      <w:r>
        <w:rPr>
          <w:rFonts w:cs="宋体" w:asciiTheme="minorEastAsia" w:hAnsiTheme="minorEastAsia" w:eastAsiaTheme="minorEastAsia"/>
          <w:szCs w:val="28"/>
        </w:rPr>
        <w:t>11.46</w:t>
      </w:r>
      <w:r>
        <w:rPr>
          <w:rFonts w:hint="eastAsia" w:cs="宋体" w:asciiTheme="minorEastAsia" w:hAnsiTheme="minorEastAsia" w:eastAsiaTheme="minorEastAsia"/>
          <w:szCs w:val="28"/>
        </w:rPr>
        <w:t>万吨，比上年下降</w:t>
      </w:r>
      <w:r>
        <w:rPr>
          <w:rFonts w:cs="宋体" w:asciiTheme="minorEastAsia" w:hAnsiTheme="minorEastAsia" w:eastAsiaTheme="minorEastAsia"/>
          <w:szCs w:val="28"/>
        </w:rPr>
        <w:t>0.8%</w:t>
      </w:r>
      <w:r>
        <w:rPr>
          <w:rFonts w:hint="eastAsia" w:cs="宋体" w:asciiTheme="minorEastAsia" w:hAnsiTheme="minorEastAsia" w:eastAsiaTheme="minorEastAsia"/>
          <w:szCs w:val="28"/>
        </w:rPr>
        <w:t>，其中秋收粮食产量</w:t>
      </w:r>
      <w:r>
        <w:rPr>
          <w:rFonts w:cs="宋体" w:asciiTheme="minorEastAsia" w:hAnsiTheme="minorEastAsia" w:eastAsiaTheme="minorEastAsia"/>
          <w:szCs w:val="28"/>
        </w:rPr>
        <w:t>4.52</w:t>
      </w:r>
      <w:r>
        <w:rPr>
          <w:rFonts w:hint="eastAsia" w:cs="宋体" w:asciiTheme="minorEastAsia" w:hAnsiTheme="minorEastAsia" w:eastAsiaTheme="minorEastAsia"/>
          <w:szCs w:val="28"/>
        </w:rPr>
        <w:t>万吨，增长</w:t>
      </w:r>
      <w:r>
        <w:rPr>
          <w:rFonts w:cs="宋体" w:asciiTheme="minorEastAsia" w:hAnsiTheme="minorEastAsia" w:eastAsiaTheme="minorEastAsia"/>
          <w:szCs w:val="28"/>
        </w:rPr>
        <w:t>1.2%</w:t>
      </w:r>
      <w:r>
        <w:rPr>
          <w:rFonts w:hint="eastAsia" w:cs="宋体" w:asciiTheme="minorEastAsia" w:hAnsiTheme="minorEastAsia" w:eastAsiaTheme="minorEastAsia"/>
          <w:szCs w:val="28"/>
        </w:rPr>
        <w:t>。蔬菜（含食用菌）产量</w:t>
      </w:r>
      <w:r>
        <w:rPr>
          <w:rFonts w:cs="宋体" w:asciiTheme="minorEastAsia" w:hAnsiTheme="minorEastAsia" w:eastAsiaTheme="minorEastAsia"/>
          <w:szCs w:val="28"/>
        </w:rPr>
        <w:t>64.94</w:t>
      </w:r>
      <w:r>
        <w:rPr>
          <w:rFonts w:hint="eastAsia" w:cs="宋体" w:asciiTheme="minorEastAsia" w:hAnsiTheme="minorEastAsia" w:eastAsiaTheme="minorEastAsia"/>
          <w:szCs w:val="28"/>
        </w:rPr>
        <w:t>万吨，同比增长</w:t>
      </w:r>
      <w:r>
        <w:rPr>
          <w:rFonts w:cs="宋体" w:asciiTheme="minorEastAsia" w:hAnsiTheme="minorEastAsia" w:eastAsiaTheme="minorEastAsia"/>
          <w:szCs w:val="28"/>
        </w:rPr>
        <w:t>4.6%</w:t>
      </w:r>
      <w:r>
        <w:rPr>
          <w:rFonts w:hint="eastAsia" w:cs="宋体" w:asciiTheme="minorEastAsia" w:hAnsiTheme="minorEastAsia" w:eastAsiaTheme="minorEastAsia"/>
          <w:szCs w:val="28"/>
        </w:rPr>
        <w:t>。猪牛羊禽肉总产量</w:t>
      </w:r>
      <w:r>
        <w:rPr>
          <w:rFonts w:cs="宋体" w:asciiTheme="minorEastAsia" w:hAnsiTheme="minorEastAsia" w:eastAsiaTheme="minorEastAsia"/>
          <w:szCs w:val="28"/>
        </w:rPr>
        <w:t>3.84</w:t>
      </w:r>
      <w:r>
        <w:rPr>
          <w:rFonts w:hint="eastAsia" w:cs="宋体" w:asciiTheme="minorEastAsia" w:hAnsiTheme="minorEastAsia" w:eastAsiaTheme="minorEastAsia"/>
          <w:szCs w:val="28"/>
        </w:rPr>
        <w:t>万吨，增长</w:t>
      </w:r>
      <w:r>
        <w:rPr>
          <w:rFonts w:cs="宋体" w:asciiTheme="minorEastAsia" w:hAnsiTheme="minorEastAsia" w:eastAsiaTheme="minorEastAsia"/>
          <w:szCs w:val="28"/>
        </w:rPr>
        <w:t>4.77%</w:t>
      </w:r>
      <w:r>
        <w:rPr>
          <w:rFonts w:hint="eastAsia" w:cs="宋体" w:asciiTheme="minorEastAsia" w:hAnsiTheme="minorEastAsia" w:eastAsiaTheme="minorEastAsia"/>
          <w:szCs w:val="28"/>
        </w:rPr>
        <w:t>，其中，猪肉产量</w:t>
      </w:r>
      <w:r>
        <w:rPr>
          <w:rFonts w:cs="宋体" w:asciiTheme="minorEastAsia" w:hAnsiTheme="minorEastAsia" w:eastAsiaTheme="minorEastAsia"/>
          <w:szCs w:val="28"/>
        </w:rPr>
        <w:t>2.32</w:t>
      </w:r>
      <w:r>
        <w:rPr>
          <w:rFonts w:hint="eastAsia" w:cs="宋体" w:asciiTheme="minorEastAsia" w:hAnsiTheme="minorEastAsia" w:eastAsiaTheme="minorEastAsia"/>
          <w:szCs w:val="28"/>
        </w:rPr>
        <w:t>万吨，增长</w:t>
      </w:r>
      <w:r>
        <w:rPr>
          <w:rFonts w:cs="宋体" w:asciiTheme="minorEastAsia" w:hAnsiTheme="minorEastAsia" w:eastAsiaTheme="minorEastAsia"/>
          <w:szCs w:val="28"/>
        </w:rPr>
        <w:t>4.1%</w:t>
      </w:r>
      <w:r>
        <w:rPr>
          <w:rFonts w:hint="eastAsia" w:cs="宋体" w:asciiTheme="minorEastAsia" w:hAnsiTheme="minorEastAsia" w:eastAsiaTheme="minorEastAsia"/>
          <w:szCs w:val="28"/>
        </w:rPr>
        <w:t>；牛肉产量</w:t>
      </w:r>
      <w:r>
        <w:rPr>
          <w:rFonts w:cs="宋体" w:asciiTheme="minorEastAsia" w:hAnsiTheme="minorEastAsia" w:eastAsiaTheme="minorEastAsia"/>
          <w:szCs w:val="28"/>
        </w:rPr>
        <w:t>0.12</w:t>
      </w:r>
      <w:r>
        <w:rPr>
          <w:rFonts w:hint="eastAsia" w:cs="宋体" w:asciiTheme="minorEastAsia" w:hAnsiTheme="minorEastAsia" w:eastAsiaTheme="minorEastAsia"/>
          <w:szCs w:val="28"/>
        </w:rPr>
        <w:t>万吨，增长</w:t>
      </w:r>
      <w:r>
        <w:rPr>
          <w:rFonts w:cs="宋体" w:asciiTheme="minorEastAsia" w:hAnsiTheme="minorEastAsia" w:eastAsiaTheme="minorEastAsia"/>
          <w:szCs w:val="28"/>
        </w:rPr>
        <w:t>1.2%</w:t>
      </w:r>
      <w:r>
        <w:rPr>
          <w:rFonts w:hint="eastAsia" w:cs="宋体" w:asciiTheme="minorEastAsia" w:hAnsiTheme="minorEastAsia" w:eastAsiaTheme="minorEastAsia"/>
          <w:szCs w:val="28"/>
        </w:rPr>
        <w:t>；羊肉产量</w:t>
      </w:r>
      <w:r>
        <w:rPr>
          <w:rFonts w:cs="宋体" w:asciiTheme="minorEastAsia" w:hAnsiTheme="minorEastAsia" w:eastAsiaTheme="minorEastAsia"/>
          <w:szCs w:val="28"/>
        </w:rPr>
        <w:t>891</w:t>
      </w:r>
      <w:r>
        <w:rPr>
          <w:rFonts w:hint="eastAsia" w:cs="宋体" w:asciiTheme="minorEastAsia" w:hAnsiTheme="minorEastAsia" w:eastAsiaTheme="minorEastAsia"/>
          <w:szCs w:val="28"/>
        </w:rPr>
        <w:t>吨，增长</w:t>
      </w:r>
      <w:r>
        <w:rPr>
          <w:rFonts w:cs="宋体" w:asciiTheme="minorEastAsia" w:hAnsiTheme="minorEastAsia" w:eastAsiaTheme="minorEastAsia"/>
          <w:szCs w:val="28"/>
        </w:rPr>
        <w:t>1.7%</w:t>
      </w:r>
      <w:r>
        <w:rPr>
          <w:rFonts w:hint="eastAsia" w:cs="宋体" w:asciiTheme="minorEastAsia" w:hAnsiTheme="minorEastAsia" w:eastAsiaTheme="minorEastAsia"/>
          <w:szCs w:val="28"/>
        </w:rPr>
        <w:t>；禽肉产量</w:t>
      </w:r>
      <w:r>
        <w:rPr>
          <w:rFonts w:cs="宋体" w:asciiTheme="minorEastAsia" w:hAnsiTheme="minorEastAsia" w:eastAsiaTheme="minorEastAsia"/>
          <w:szCs w:val="28"/>
        </w:rPr>
        <w:t>1.31</w:t>
      </w:r>
      <w:r>
        <w:rPr>
          <w:rFonts w:hint="eastAsia" w:cs="宋体" w:asciiTheme="minorEastAsia" w:hAnsiTheme="minorEastAsia" w:eastAsiaTheme="minorEastAsia"/>
          <w:szCs w:val="28"/>
        </w:rPr>
        <w:t>万吨，增长</w:t>
      </w:r>
      <w:r>
        <w:rPr>
          <w:rFonts w:cs="宋体" w:asciiTheme="minorEastAsia" w:hAnsiTheme="minorEastAsia" w:eastAsiaTheme="minorEastAsia"/>
          <w:szCs w:val="28"/>
        </w:rPr>
        <w:t>6.6%</w:t>
      </w:r>
      <w:r>
        <w:rPr>
          <w:rFonts w:hint="eastAsia" w:cs="宋体" w:asciiTheme="minorEastAsia" w:hAnsiTheme="minorEastAsia" w:eastAsiaTheme="minorEastAsia"/>
          <w:szCs w:val="28"/>
        </w:rPr>
        <w:t>。牛奶产量</w:t>
      </w:r>
      <w:r>
        <w:rPr>
          <w:rFonts w:cs="宋体" w:asciiTheme="minorEastAsia" w:hAnsiTheme="minorEastAsia" w:eastAsiaTheme="minorEastAsia"/>
          <w:szCs w:val="28"/>
        </w:rPr>
        <w:t>6571</w:t>
      </w:r>
      <w:r>
        <w:rPr>
          <w:rFonts w:hint="eastAsia" w:cs="宋体" w:asciiTheme="minorEastAsia" w:hAnsiTheme="minorEastAsia" w:eastAsiaTheme="minorEastAsia"/>
          <w:szCs w:val="28"/>
        </w:rPr>
        <w:t>吨，增加</w:t>
      </w:r>
      <w:r>
        <w:rPr>
          <w:rFonts w:cs="宋体" w:asciiTheme="minorEastAsia" w:hAnsiTheme="minorEastAsia" w:eastAsiaTheme="minorEastAsia"/>
          <w:szCs w:val="28"/>
        </w:rPr>
        <w:t>6121.81</w:t>
      </w:r>
      <w:r>
        <w:rPr>
          <w:rFonts w:hint="eastAsia" w:cs="宋体" w:asciiTheme="minorEastAsia" w:hAnsiTheme="minorEastAsia" w:eastAsiaTheme="minorEastAsia"/>
          <w:szCs w:val="28"/>
        </w:rPr>
        <w:t>吨，增长</w:t>
      </w:r>
      <w:r>
        <w:rPr>
          <w:rFonts w:cs="宋体" w:asciiTheme="minorEastAsia" w:hAnsiTheme="minorEastAsia" w:eastAsiaTheme="minorEastAsia"/>
          <w:szCs w:val="28"/>
        </w:rPr>
        <w:t>1360.4%</w:t>
      </w:r>
      <w:r>
        <w:rPr>
          <w:rFonts w:hint="eastAsia" w:cs="宋体" w:asciiTheme="minorEastAsia" w:hAnsiTheme="minorEastAsia" w:eastAsiaTheme="minorEastAsia"/>
          <w:szCs w:val="28"/>
        </w:rPr>
        <w:t>。年末全县生猪存栏</w:t>
      </w:r>
      <w:r>
        <w:rPr>
          <w:rFonts w:cs="宋体" w:asciiTheme="minorEastAsia" w:hAnsiTheme="minorEastAsia" w:eastAsiaTheme="minorEastAsia"/>
          <w:szCs w:val="28"/>
        </w:rPr>
        <w:t>18.58</w:t>
      </w:r>
      <w:r>
        <w:rPr>
          <w:rFonts w:hint="eastAsia" w:cs="宋体" w:asciiTheme="minorEastAsia" w:hAnsiTheme="minorEastAsia" w:eastAsiaTheme="minorEastAsia"/>
          <w:szCs w:val="28"/>
        </w:rPr>
        <w:t>万头，增长</w:t>
      </w:r>
      <w:r>
        <w:rPr>
          <w:rFonts w:cs="宋体" w:asciiTheme="minorEastAsia" w:hAnsiTheme="minorEastAsia" w:eastAsiaTheme="minorEastAsia"/>
          <w:szCs w:val="28"/>
        </w:rPr>
        <w:t>0.4%</w:t>
      </w:r>
      <w:r>
        <w:rPr>
          <w:rFonts w:hint="eastAsia" w:cs="宋体" w:asciiTheme="minorEastAsia" w:hAnsiTheme="minorEastAsia" w:eastAsiaTheme="minorEastAsia"/>
          <w:szCs w:val="28"/>
        </w:rPr>
        <w:t>，其中，能繁母猪</w:t>
      </w:r>
      <w:r>
        <w:rPr>
          <w:rFonts w:cs="宋体" w:asciiTheme="minorEastAsia" w:hAnsiTheme="minorEastAsia" w:eastAsiaTheme="minorEastAsia"/>
          <w:szCs w:val="28"/>
        </w:rPr>
        <w:t>2.36</w:t>
      </w:r>
      <w:r>
        <w:rPr>
          <w:rFonts w:hint="eastAsia" w:cs="宋体" w:asciiTheme="minorEastAsia" w:hAnsiTheme="minorEastAsia" w:eastAsiaTheme="minorEastAsia"/>
          <w:szCs w:val="28"/>
        </w:rPr>
        <w:t>万头，同比下降</w:t>
      </w:r>
      <w:r>
        <w:rPr>
          <w:rFonts w:cs="宋体" w:asciiTheme="minorEastAsia" w:hAnsiTheme="minorEastAsia" w:eastAsiaTheme="minorEastAsia"/>
          <w:szCs w:val="28"/>
        </w:rPr>
        <w:t>5.17%</w:t>
      </w:r>
      <w:r>
        <w:rPr>
          <w:rFonts w:hint="eastAsia" w:cs="宋体" w:asciiTheme="minorEastAsia" w:hAnsiTheme="minorEastAsia" w:eastAsiaTheme="minorEastAsia"/>
          <w:szCs w:val="28"/>
        </w:rPr>
        <w:t>。全年生猪出栏</w:t>
      </w:r>
      <w:r>
        <w:rPr>
          <w:rFonts w:cs="宋体" w:asciiTheme="minorEastAsia" w:hAnsiTheme="minorEastAsia" w:eastAsiaTheme="minorEastAsia"/>
          <w:szCs w:val="28"/>
        </w:rPr>
        <w:t>29.15</w:t>
      </w:r>
      <w:r>
        <w:rPr>
          <w:rFonts w:hint="eastAsia" w:cs="宋体" w:asciiTheme="minorEastAsia" w:hAnsiTheme="minorEastAsia" w:eastAsiaTheme="minorEastAsia"/>
          <w:szCs w:val="28"/>
        </w:rPr>
        <w:t>万头，增长</w:t>
      </w:r>
      <w:r>
        <w:rPr>
          <w:rFonts w:cs="宋体" w:asciiTheme="minorEastAsia" w:hAnsiTheme="minorEastAsia" w:eastAsiaTheme="minorEastAsia"/>
          <w:szCs w:val="28"/>
        </w:rPr>
        <w:t>4.0%</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（3）工业</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全年全县规模以上工业增加值同比增长</w:t>
      </w:r>
      <w:r>
        <w:rPr>
          <w:rFonts w:cs="宋体" w:asciiTheme="minorEastAsia" w:hAnsiTheme="minorEastAsia" w:eastAsiaTheme="minorEastAsia"/>
          <w:szCs w:val="28"/>
        </w:rPr>
        <w:t>10.3%</w:t>
      </w:r>
      <w:r>
        <w:rPr>
          <w:rFonts w:hint="eastAsia" w:cs="宋体" w:asciiTheme="minorEastAsia" w:hAnsiTheme="minorEastAsia" w:eastAsiaTheme="minorEastAsia"/>
          <w:szCs w:val="28"/>
        </w:rPr>
        <w:t>。分经济类型看，股份制企业增加值增长</w:t>
      </w:r>
      <w:r>
        <w:rPr>
          <w:rFonts w:cs="宋体" w:asciiTheme="minorEastAsia" w:hAnsiTheme="minorEastAsia" w:eastAsiaTheme="minorEastAsia"/>
          <w:szCs w:val="28"/>
        </w:rPr>
        <w:t>9.9%</w:t>
      </w:r>
      <w:r>
        <w:rPr>
          <w:rFonts w:hint="eastAsia" w:cs="宋体" w:asciiTheme="minorEastAsia" w:hAnsiTheme="minorEastAsia" w:eastAsiaTheme="minorEastAsia"/>
          <w:szCs w:val="28"/>
        </w:rPr>
        <w:t>，外商及港澳台商投资企业同比增长</w:t>
      </w:r>
      <w:r>
        <w:rPr>
          <w:rFonts w:cs="宋体" w:asciiTheme="minorEastAsia" w:hAnsiTheme="minorEastAsia" w:eastAsiaTheme="minorEastAsia"/>
          <w:szCs w:val="28"/>
        </w:rPr>
        <w:t>292.4%</w:t>
      </w:r>
      <w:r>
        <w:rPr>
          <w:rFonts w:hint="eastAsia" w:cs="宋体" w:asciiTheme="minorEastAsia" w:hAnsiTheme="minorEastAsia" w:eastAsiaTheme="minorEastAsia"/>
          <w:szCs w:val="28"/>
        </w:rPr>
        <w:t>。分三大门类看，制造业增长</w:t>
      </w:r>
      <w:r>
        <w:rPr>
          <w:rFonts w:cs="宋体" w:asciiTheme="minorEastAsia" w:hAnsiTheme="minorEastAsia" w:eastAsiaTheme="minorEastAsia"/>
          <w:szCs w:val="28"/>
        </w:rPr>
        <w:t>5.7%</w:t>
      </w:r>
      <w:r>
        <w:rPr>
          <w:rFonts w:hint="eastAsia" w:cs="宋体" w:asciiTheme="minorEastAsia" w:hAnsiTheme="minorEastAsia" w:eastAsiaTheme="minorEastAsia"/>
          <w:szCs w:val="28"/>
        </w:rPr>
        <w:t>，电力、热力、燃气及水生产和供应业增长</w:t>
      </w:r>
      <w:r>
        <w:rPr>
          <w:rFonts w:cs="宋体" w:asciiTheme="minorEastAsia" w:hAnsiTheme="minorEastAsia" w:eastAsiaTheme="minorEastAsia"/>
          <w:szCs w:val="28"/>
        </w:rPr>
        <w:t>69.4%</w:t>
      </w:r>
      <w:r>
        <w:rPr>
          <w:rFonts w:hint="eastAsia" w:cs="宋体" w:asciiTheme="minorEastAsia" w:hAnsiTheme="minorEastAsia" w:eastAsiaTheme="minorEastAsia"/>
          <w:szCs w:val="28"/>
        </w:rPr>
        <w:t>。分行业看，有色金属冶炼和压延加工业增加值增长</w:t>
      </w:r>
      <w:r>
        <w:rPr>
          <w:rFonts w:cs="宋体" w:asciiTheme="minorEastAsia" w:hAnsiTheme="minorEastAsia" w:eastAsiaTheme="minorEastAsia"/>
          <w:szCs w:val="28"/>
        </w:rPr>
        <w:t>115.6%</w:t>
      </w:r>
      <w:r>
        <w:rPr>
          <w:rFonts w:hint="eastAsia" w:cs="宋体" w:asciiTheme="minorEastAsia" w:hAnsiTheme="minorEastAsia" w:eastAsiaTheme="minorEastAsia"/>
          <w:szCs w:val="28"/>
        </w:rPr>
        <w:t>；电力、热力生产和供应业增长</w:t>
      </w:r>
      <w:r>
        <w:rPr>
          <w:rFonts w:cs="宋体" w:asciiTheme="minorEastAsia" w:hAnsiTheme="minorEastAsia" w:eastAsiaTheme="minorEastAsia"/>
          <w:szCs w:val="28"/>
        </w:rPr>
        <w:t>76.4%</w:t>
      </w:r>
      <w:r>
        <w:rPr>
          <w:rFonts w:hint="eastAsia" w:cs="宋体" w:asciiTheme="minorEastAsia" w:hAnsiTheme="minorEastAsia" w:eastAsiaTheme="minorEastAsia"/>
          <w:szCs w:val="28"/>
        </w:rPr>
        <w:t>；黑色金属冶炼和压延加工业增长</w:t>
      </w:r>
      <w:r>
        <w:rPr>
          <w:rFonts w:cs="宋体" w:asciiTheme="minorEastAsia" w:hAnsiTheme="minorEastAsia" w:eastAsiaTheme="minorEastAsia"/>
          <w:szCs w:val="28"/>
        </w:rPr>
        <w:t>33%</w:t>
      </w:r>
      <w:r>
        <w:rPr>
          <w:rFonts w:hint="eastAsia" w:cs="宋体" w:asciiTheme="minorEastAsia" w:hAnsiTheme="minorEastAsia" w:eastAsiaTheme="minorEastAsia"/>
          <w:szCs w:val="28"/>
        </w:rPr>
        <w:t>；造纸和纸制品业增长</w:t>
      </w:r>
      <w:r>
        <w:rPr>
          <w:rFonts w:cs="宋体" w:asciiTheme="minorEastAsia" w:hAnsiTheme="minorEastAsia" w:eastAsiaTheme="minorEastAsia"/>
          <w:szCs w:val="28"/>
        </w:rPr>
        <w:t>50.8%</w:t>
      </w:r>
      <w:r>
        <w:rPr>
          <w:rFonts w:hint="eastAsia" w:cs="宋体" w:asciiTheme="minorEastAsia" w:hAnsiTheme="minorEastAsia" w:eastAsiaTheme="minorEastAsia"/>
          <w:szCs w:val="28"/>
        </w:rPr>
        <w:t>；木材加工和木、竹、藤、棕、草制品业增加值增长</w:t>
      </w:r>
      <w:r>
        <w:rPr>
          <w:rFonts w:cs="宋体" w:asciiTheme="minorEastAsia" w:hAnsiTheme="minorEastAsia" w:eastAsiaTheme="minorEastAsia"/>
          <w:szCs w:val="28"/>
        </w:rPr>
        <w:t>26.5%</w:t>
      </w:r>
      <w:r>
        <w:rPr>
          <w:rFonts w:hint="eastAsia" w:cs="宋体" w:asciiTheme="minorEastAsia" w:hAnsiTheme="minorEastAsia" w:eastAsiaTheme="minorEastAsia"/>
          <w:szCs w:val="28"/>
        </w:rPr>
        <w:t>。从产品产量看，单板增长</w:t>
      </w:r>
      <w:r>
        <w:rPr>
          <w:rFonts w:cs="宋体" w:asciiTheme="minorEastAsia" w:hAnsiTheme="minorEastAsia" w:eastAsiaTheme="minorEastAsia"/>
          <w:szCs w:val="28"/>
        </w:rPr>
        <w:t>63%</w:t>
      </w:r>
      <w:r>
        <w:rPr>
          <w:rFonts w:hint="eastAsia" w:cs="宋体" w:asciiTheme="minorEastAsia" w:hAnsiTheme="minorEastAsia" w:eastAsiaTheme="minorEastAsia"/>
          <w:szCs w:val="28"/>
        </w:rPr>
        <w:t>，机制纸及纸板增长</w:t>
      </w:r>
      <w:r>
        <w:rPr>
          <w:rFonts w:cs="宋体" w:asciiTheme="minorEastAsia" w:hAnsiTheme="minorEastAsia" w:eastAsiaTheme="minorEastAsia"/>
          <w:szCs w:val="28"/>
        </w:rPr>
        <w:t>48.9%</w:t>
      </w:r>
      <w:r>
        <w:rPr>
          <w:rFonts w:hint="eastAsia" w:cs="宋体" w:asciiTheme="minorEastAsia" w:hAnsiTheme="minorEastAsia" w:eastAsiaTheme="minorEastAsia"/>
          <w:szCs w:val="28"/>
        </w:rPr>
        <w:t>，石灰增长</w:t>
      </w:r>
      <w:r>
        <w:rPr>
          <w:rFonts w:cs="宋体" w:asciiTheme="minorEastAsia" w:hAnsiTheme="minorEastAsia" w:eastAsiaTheme="minorEastAsia"/>
          <w:szCs w:val="28"/>
        </w:rPr>
        <w:t>49.9%</w:t>
      </w:r>
      <w:r>
        <w:rPr>
          <w:rFonts w:hint="eastAsia" w:cs="宋体" w:asciiTheme="minorEastAsia" w:hAnsiTheme="minorEastAsia" w:eastAsiaTheme="minorEastAsia"/>
          <w:szCs w:val="28"/>
        </w:rPr>
        <w:t>，铁合金增长</w:t>
      </w:r>
      <w:r>
        <w:rPr>
          <w:rFonts w:cs="宋体" w:asciiTheme="minorEastAsia" w:hAnsiTheme="minorEastAsia" w:eastAsiaTheme="minorEastAsia"/>
          <w:szCs w:val="28"/>
        </w:rPr>
        <w:t>40.2%</w:t>
      </w:r>
      <w:r>
        <w:rPr>
          <w:rFonts w:hint="eastAsia" w:cs="宋体" w:asciiTheme="minorEastAsia" w:hAnsiTheme="minorEastAsia" w:eastAsiaTheme="minorEastAsia"/>
          <w:szCs w:val="28"/>
        </w:rPr>
        <w:t>，氧化铝增长</w:t>
      </w:r>
      <w:r>
        <w:rPr>
          <w:rFonts w:cs="宋体" w:asciiTheme="minorEastAsia" w:hAnsiTheme="minorEastAsia" w:eastAsiaTheme="minorEastAsia"/>
          <w:szCs w:val="28"/>
        </w:rPr>
        <w:t>91.5%</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（4）服务业</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全年全县第三产业增加值同比增长</w:t>
      </w:r>
      <w:r>
        <w:rPr>
          <w:rFonts w:cs="宋体" w:asciiTheme="minorEastAsia" w:hAnsiTheme="minorEastAsia" w:eastAsiaTheme="minorEastAsia"/>
          <w:szCs w:val="28"/>
        </w:rPr>
        <w:t>2.9%</w:t>
      </w:r>
      <w:r>
        <w:rPr>
          <w:rFonts w:hint="eastAsia" w:cs="宋体" w:asciiTheme="minorEastAsia" w:hAnsiTheme="minorEastAsia" w:eastAsiaTheme="minorEastAsia"/>
          <w:szCs w:val="28"/>
        </w:rPr>
        <w:t>，其中：批发和零售业增加值增长</w:t>
      </w:r>
      <w:r>
        <w:rPr>
          <w:rFonts w:cs="宋体" w:asciiTheme="minorEastAsia" w:hAnsiTheme="minorEastAsia" w:eastAsiaTheme="minorEastAsia"/>
          <w:szCs w:val="28"/>
        </w:rPr>
        <w:t>7.3%</w:t>
      </w:r>
      <w:r>
        <w:rPr>
          <w:rFonts w:hint="eastAsia" w:cs="宋体" w:asciiTheme="minorEastAsia" w:hAnsiTheme="minorEastAsia" w:eastAsiaTheme="minorEastAsia"/>
          <w:szCs w:val="28"/>
        </w:rPr>
        <w:t>，住宿和餐饮业增长</w:t>
      </w:r>
      <w:r>
        <w:rPr>
          <w:rFonts w:cs="宋体" w:asciiTheme="minorEastAsia" w:hAnsiTheme="minorEastAsia" w:eastAsiaTheme="minorEastAsia"/>
          <w:szCs w:val="28"/>
        </w:rPr>
        <w:t>12.2%</w:t>
      </w:r>
      <w:r>
        <w:rPr>
          <w:rFonts w:hint="eastAsia" w:cs="宋体" w:asciiTheme="minorEastAsia" w:hAnsiTheme="minorEastAsia" w:eastAsiaTheme="minorEastAsia"/>
          <w:szCs w:val="28"/>
        </w:rPr>
        <w:t>，金融业增长</w:t>
      </w:r>
      <w:r>
        <w:rPr>
          <w:rFonts w:cs="宋体" w:asciiTheme="minorEastAsia" w:hAnsiTheme="minorEastAsia" w:eastAsiaTheme="minorEastAsia"/>
          <w:szCs w:val="28"/>
        </w:rPr>
        <w:t>6.9%</w:t>
      </w:r>
      <w:r>
        <w:rPr>
          <w:rFonts w:hint="eastAsia" w:cs="宋体" w:asciiTheme="minorEastAsia" w:hAnsiTheme="minorEastAsia" w:eastAsiaTheme="minorEastAsia"/>
          <w:szCs w:val="28"/>
        </w:rPr>
        <w:t>，交通运输仓储和邮政业增长</w:t>
      </w:r>
      <w:r>
        <w:rPr>
          <w:rFonts w:cs="宋体" w:asciiTheme="minorEastAsia" w:hAnsiTheme="minorEastAsia" w:eastAsiaTheme="minorEastAsia"/>
          <w:szCs w:val="28"/>
        </w:rPr>
        <w:t>12.2%</w:t>
      </w:r>
      <w:r>
        <w:rPr>
          <w:rFonts w:hint="eastAsia" w:cs="宋体" w:asciiTheme="minorEastAsia" w:hAnsiTheme="minorEastAsia" w:eastAsiaTheme="minorEastAsia"/>
          <w:szCs w:val="28"/>
        </w:rPr>
        <w:t>，房地产业增长</w:t>
      </w:r>
      <w:r>
        <w:rPr>
          <w:rFonts w:cs="宋体" w:asciiTheme="minorEastAsia" w:hAnsiTheme="minorEastAsia" w:eastAsiaTheme="minorEastAsia"/>
          <w:szCs w:val="28"/>
        </w:rPr>
        <w:t>1.3%</w:t>
      </w:r>
      <w:r>
        <w:rPr>
          <w:rFonts w:hint="eastAsia" w:cs="宋体" w:asciiTheme="minorEastAsia" w:hAnsiTheme="minorEastAsia" w:eastAsiaTheme="minorEastAsia"/>
          <w:szCs w:val="28"/>
        </w:rPr>
        <w:t>。公路、水路客货运输周转量分别增长</w:t>
      </w:r>
      <w:r>
        <w:rPr>
          <w:rFonts w:cs="宋体" w:asciiTheme="minorEastAsia" w:hAnsiTheme="minorEastAsia" w:eastAsiaTheme="minorEastAsia"/>
          <w:szCs w:val="28"/>
        </w:rPr>
        <w:t>6.2%</w:t>
      </w:r>
      <w:r>
        <w:rPr>
          <w:rFonts w:hint="eastAsia" w:cs="宋体" w:asciiTheme="minorEastAsia" w:hAnsiTheme="minorEastAsia" w:eastAsiaTheme="minorEastAsia"/>
          <w:szCs w:val="28"/>
        </w:rPr>
        <w:t>、</w:t>
      </w:r>
      <w:r>
        <w:rPr>
          <w:rFonts w:cs="宋体" w:asciiTheme="minorEastAsia" w:hAnsiTheme="minorEastAsia" w:eastAsiaTheme="minorEastAsia"/>
          <w:szCs w:val="28"/>
        </w:rPr>
        <w:t>41.2%</w:t>
      </w:r>
      <w:r>
        <w:rPr>
          <w:rFonts w:hint="eastAsia" w:cs="宋体" w:asciiTheme="minorEastAsia" w:hAnsiTheme="minorEastAsia" w:eastAsiaTheme="minorEastAsia"/>
          <w:szCs w:val="28"/>
        </w:rPr>
        <w:t>。</w:t>
      </w:r>
      <w:r>
        <w:rPr>
          <w:rFonts w:cs="宋体" w:asciiTheme="minorEastAsia" w:hAnsiTheme="minorEastAsia" w:eastAsiaTheme="minorEastAsia"/>
          <w:szCs w:val="28"/>
        </w:rPr>
        <w:t>1-11</w:t>
      </w:r>
      <w:r>
        <w:rPr>
          <w:rFonts w:hint="eastAsia" w:cs="宋体" w:asciiTheme="minorEastAsia" w:hAnsiTheme="minorEastAsia" w:eastAsiaTheme="minorEastAsia"/>
          <w:szCs w:val="28"/>
        </w:rPr>
        <w:t>月，全县规模以上其他营利性服务业营业收入同比增长</w:t>
      </w:r>
      <w:r>
        <w:rPr>
          <w:rFonts w:cs="宋体" w:asciiTheme="minorEastAsia" w:hAnsiTheme="minorEastAsia" w:eastAsiaTheme="minorEastAsia"/>
          <w:szCs w:val="28"/>
        </w:rPr>
        <w:t>1.2%</w:t>
      </w:r>
      <w:r>
        <w:rPr>
          <w:rFonts w:hint="eastAsia" w:cs="宋体" w:asciiTheme="minorEastAsia" w:hAnsiTheme="minorEastAsia" w:eastAsiaTheme="minorEastAsia"/>
          <w:szCs w:val="28"/>
        </w:rPr>
        <w:t>，其中</w:t>
      </w:r>
      <w:r>
        <w:rPr>
          <w:rFonts w:cs="宋体" w:asciiTheme="minorEastAsia" w:hAnsiTheme="minorEastAsia" w:eastAsiaTheme="minorEastAsia"/>
          <w:szCs w:val="28"/>
        </w:rPr>
        <w:t>:</w:t>
      </w:r>
      <w:r>
        <w:rPr>
          <w:rFonts w:hint="eastAsia" w:cs="宋体" w:asciiTheme="minorEastAsia" w:hAnsiTheme="minorEastAsia" w:eastAsiaTheme="minorEastAsia"/>
          <w:szCs w:val="28"/>
        </w:rPr>
        <w:t>居民服务、修理和其他服务业营业收入增长</w:t>
      </w:r>
      <w:r>
        <w:rPr>
          <w:rFonts w:cs="宋体" w:asciiTheme="minorEastAsia" w:hAnsiTheme="minorEastAsia" w:eastAsiaTheme="minorEastAsia"/>
          <w:szCs w:val="28"/>
        </w:rPr>
        <w:t>19.7%</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5</w:t>
      </w:r>
      <w:r>
        <w:rPr>
          <w:rFonts w:hint="eastAsia" w:cs="宋体" w:asciiTheme="minorEastAsia" w:hAnsiTheme="minorEastAsia" w:eastAsiaTheme="minorEastAsia"/>
          <w:szCs w:val="28"/>
        </w:rPr>
        <w:t>）固定资产投资</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全年全县社会消费品零售总额同比增长</w:t>
      </w:r>
      <w:r>
        <w:rPr>
          <w:rFonts w:cs="宋体" w:asciiTheme="minorEastAsia" w:hAnsiTheme="minorEastAsia" w:eastAsiaTheme="minorEastAsia"/>
          <w:szCs w:val="28"/>
        </w:rPr>
        <w:t>1.6%</w:t>
      </w:r>
      <w:r>
        <w:rPr>
          <w:rFonts w:hint="eastAsia" w:cs="宋体" w:asciiTheme="minorEastAsia" w:hAnsiTheme="minorEastAsia" w:eastAsiaTheme="minorEastAsia"/>
          <w:szCs w:val="28"/>
        </w:rPr>
        <w:t>，比上年提高</w:t>
      </w:r>
      <w:r>
        <w:rPr>
          <w:rFonts w:cs="宋体" w:asciiTheme="minorEastAsia" w:hAnsiTheme="minorEastAsia" w:eastAsiaTheme="minorEastAsia"/>
          <w:szCs w:val="28"/>
        </w:rPr>
        <w:t>2.4</w:t>
      </w:r>
      <w:r>
        <w:rPr>
          <w:rFonts w:hint="eastAsia" w:cs="宋体" w:asciiTheme="minorEastAsia" w:hAnsiTheme="minorEastAsia" w:eastAsiaTheme="minorEastAsia"/>
          <w:szCs w:val="28"/>
        </w:rPr>
        <w:t>个百分点。按经营单位所在地分，城镇消费品零售额增长</w:t>
      </w:r>
      <w:r>
        <w:rPr>
          <w:rFonts w:cs="宋体" w:asciiTheme="minorEastAsia" w:hAnsiTheme="minorEastAsia" w:eastAsiaTheme="minorEastAsia"/>
          <w:szCs w:val="28"/>
        </w:rPr>
        <w:t>2.4%</w:t>
      </w:r>
      <w:r>
        <w:rPr>
          <w:rFonts w:hint="eastAsia" w:cs="宋体" w:asciiTheme="minorEastAsia" w:hAnsiTheme="minorEastAsia" w:eastAsiaTheme="minorEastAsia"/>
          <w:szCs w:val="28"/>
        </w:rPr>
        <w:t>，乡村消费品零售额下降</w:t>
      </w:r>
      <w:r>
        <w:rPr>
          <w:rFonts w:cs="宋体" w:asciiTheme="minorEastAsia" w:hAnsiTheme="minorEastAsia" w:eastAsiaTheme="minorEastAsia"/>
          <w:szCs w:val="28"/>
        </w:rPr>
        <w:t>1.4%</w:t>
      </w:r>
      <w:r>
        <w:rPr>
          <w:rFonts w:hint="eastAsia" w:cs="宋体" w:asciiTheme="minorEastAsia" w:hAnsiTheme="minorEastAsia" w:eastAsiaTheme="minorEastAsia"/>
          <w:szCs w:val="28"/>
        </w:rPr>
        <w:t>。按消费类型分，餐饮收入增长</w:t>
      </w:r>
      <w:r>
        <w:rPr>
          <w:rFonts w:cs="宋体" w:asciiTheme="minorEastAsia" w:hAnsiTheme="minorEastAsia" w:eastAsiaTheme="minorEastAsia"/>
          <w:szCs w:val="28"/>
        </w:rPr>
        <w:t>5.2%</w:t>
      </w:r>
      <w:r>
        <w:rPr>
          <w:rFonts w:hint="eastAsia" w:cs="宋体" w:asciiTheme="minorEastAsia" w:hAnsiTheme="minorEastAsia" w:eastAsiaTheme="minorEastAsia"/>
          <w:szCs w:val="28"/>
        </w:rPr>
        <w:t>，商品零售增长</w:t>
      </w:r>
      <w:r>
        <w:rPr>
          <w:rFonts w:cs="宋体" w:asciiTheme="minorEastAsia" w:hAnsiTheme="minorEastAsia" w:eastAsiaTheme="minorEastAsia"/>
          <w:szCs w:val="28"/>
        </w:rPr>
        <w:t>1.3%</w:t>
      </w:r>
      <w:r>
        <w:rPr>
          <w:rFonts w:hint="eastAsia" w:cs="宋体" w:asciiTheme="minorEastAsia" w:hAnsiTheme="minorEastAsia" w:eastAsiaTheme="minorEastAsia"/>
          <w:szCs w:val="28"/>
        </w:rPr>
        <w:t>。限额以上单位商品类别零售额中，粮油、食品类增长</w:t>
      </w:r>
      <w:r>
        <w:rPr>
          <w:rFonts w:cs="宋体" w:asciiTheme="minorEastAsia" w:hAnsiTheme="minorEastAsia" w:eastAsiaTheme="minorEastAsia"/>
          <w:szCs w:val="28"/>
        </w:rPr>
        <w:t>7.7%</w:t>
      </w:r>
      <w:r>
        <w:rPr>
          <w:rFonts w:hint="eastAsia" w:cs="宋体" w:asciiTheme="minorEastAsia" w:hAnsiTheme="minorEastAsia" w:eastAsiaTheme="minorEastAsia"/>
          <w:szCs w:val="28"/>
        </w:rPr>
        <w:t>；饮料类增长</w:t>
      </w:r>
      <w:r>
        <w:rPr>
          <w:rFonts w:cs="宋体" w:asciiTheme="minorEastAsia" w:hAnsiTheme="minorEastAsia" w:eastAsiaTheme="minorEastAsia"/>
          <w:szCs w:val="28"/>
        </w:rPr>
        <w:t>7.5%</w:t>
      </w:r>
      <w:r>
        <w:rPr>
          <w:rFonts w:hint="eastAsia" w:cs="宋体" w:asciiTheme="minorEastAsia" w:hAnsiTheme="minorEastAsia" w:eastAsiaTheme="minorEastAsia"/>
          <w:szCs w:val="28"/>
        </w:rPr>
        <w:t>；鞋帽类增长</w:t>
      </w:r>
      <w:r>
        <w:rPr>
          <w:rFonts w:cs="宋体" w:asciiTheme="minorEastAsia" w:hAnsiTheme="minorEastAsia" w:eastAsiaTheme="minorEastAsia"/>
          <w:szCs w:val="28"/>
        </w:rPr>
        <w:t>16.1%</w:t>
      </w:r>
      <w:r>
        <w:rPr>
          <w:rFonts w:hint="eastAsia" w:cs="宋体" w:asciiTheme="minorEastAsia" w:hAnsiTheme="minorEastAsia" w:eastAsiaTheme="minorEastAsia"/>
          <w:szCs w:val="28"/>
        </w:rPr>
        <w:t>；五金、电料类增长</w:t>
      </w:r>
      <w:r>
        <w:rPr>
          <w:rFonts w:cs="宋体" w:asciiTheme="minorEastAsia" w:hAnsiTheme="minorEastAsia" w:eastAsiaTheme="minorEastAsia"/>
          <w:szCs w:val="28"/>
        </w:rPr>
        <w:t>160%</w:t>
      </w:r>
      <w:r>
        <w:rPr>
          <w:rFonts w:hint="eastAsia" w:cs="宋体" w:asciiTheme="minorEastAsia" w:hAnsiTheme="minorEastAsia" w:eastAsiaTheme="minorEastAsia"/>
          <w:szCs w:val="28"/>
        </w:rPr>
        <w:t>；体育、娱乐用品类增长</w:t>
      </w:r>
      <w:r>
        <w:rPr>
          <w:rFonts w:cs="宋体" w:asciiTheme="minorEastAsia" w:hAnsiTheme="minorEastAsia" w:eastAsiaTheme="minorEastAsia"/>
          <w:szCs w:val="28"/>
        </w:rPr>
        <w:t>52.3%</w:t>
      </w:r>
      <w:r>
        <w:rPr>
          <w:rFonts w:hint="eastAsia" w:cs="宋体" w:asciiTheme="minorEastAsia" w:hAnsiTheme="minorEastAsia" w:eastAsiaTheme="minorEastAsia"/>
          <w:szCs w:val="28"/>
        </w:rPr>
        <w:t>；文化办公用品类增长</w:t>
      </w:r>
      <w:r>
        <w:rPr>
          <w:rFonts w:cs="宋体" w:asciiTheme="minorEastAsia" w:hAnsiTheme="minorEastAsia" w:eastAsiaTheme="minorEastAsia"/>
          <w:szCs w:val="28"/>
        </w:rPr>
        <w:t>5.2%</w:t>
      </w:r>
      <w:r>
        <w:rPr>
          <w:rFonts w:hint="eastAsia" w:cs="宋体" w:asciiTheme="minorEastAsia" w:hAnsiTheme="minorEastAsia" w:eastAsiaTheme="minorEastAsia"/>
          <w:szCs w:val="28"/>
        </w:rPr>
        <w:t>；机电产品及设备类增长</w:t>
      </w:r>
      <w:r>
        <w:rPr>
          <w:rFonts w:cs="宋体" w:asciiTheme="minorEastAsia" w:hAnsiTheme="minorEastAsia" w:eastAsiaTheme="minorEastAsia"/>
          <w:szCs w:val="28"/>
        </w:rPr>
        <w:t>25.6%</w:t>
      </w:r>
      <w:r>
        <w:rPr>
          <w:rFonts w:hint="eastAsia" w:cs="宋体" w:asciiTheme="minorEastAsia" w:hAnsiTheme="minorEastAsia" w:eastAsiaTheme="minorEastAsia"/>
          <w:szCs w:val="28"/>
        </w:rPr>
        <w:t>；全县通过公共网络实现的限上商品销售增长</w:t>
      </w:r>
      <w:r>
        <w:rPr>
          <w:rFonts w:cs="宋体" w:asciiTheme="minorEastAsia" w:hAnsiTheme="minorEastAsia" w:eastAsiaTheme="minorEastAsia"/>
          <w:szCs w:val="28"/>
        </w:rPr>
        <w:t>28.3%</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（5）金融信贷运行</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全年全县一般公共预算支出</w:t>
      </w:r>
      <w:r>
        <w:rPr>
          <w:rFonts w:cs="宋体" w:asciiTheme="minorEastAsia" w:hAnsiTheme="minorEastAsia" w:eastAsiaTheme="minorEastAsia"/>
          <w:szCs w:val="28"/>
        </w:rPr>
        <w:t>34.8</w:t>
      </w:r>
      <w:r>
        <w:rPr>
          <w:rFonts w:hint="eastAsia" w:cs="宋体" w:asciiTheme="minorEastAsia" w:hAnsiTheme="minorEastAsia" w:eastAsiaTheme="minorEastAsia"/>
          <w:szCs w:val="28"/>
        </w:rPr>
        <w:t>亿元，比上年增长</w:t>
      </w:r>
      <w:r>
        <w:rPr>
          <w:rFonts w:cs="宋体" w:asciiTheme="minorEastAsia" w:hAnsiTheme="minorEastAsia" w:eastAsiaTheme="minorEastAsia"/>
          <w:szCs w:val="28"/>
        </w:rPr>
        <w:t>4.1%</w:t>
      </w:r>
      <w:r>
        <w:rPr>
          <w:rFonts w:hint="eastAsia" w:cs="宋体" w:asciiTheme="minorEastAsia" w:hAnsiTheme="minorEastAsia" w:eastAsiaTheme="minorEastAsia"/>
          <w:szCs w:val="28"/>
        </w:rPr>
        <w:t>。投入民生支出</w:t>
      </w:r>
      <w:r>
        <w:rPr>
          <w:rFonts w:cs="宋体" w:asciiTheme="minorEastAsia" w:hAnsiTheme="minorEastAsia" w:eastAsiaTheme="minorEastAsia"/>
          <w:szCs w:val="28"/>
        </w:rPr>
        <w:t>28.67</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1.1%</w:t>
      </w:r>
      <w:r>
        <w:rPr>
          <w:rFonts w:hint="eastAsia" w:cs="宋体" w:asciiTheme="minorEastAsia" w:hAnsiTheme="minorEastAsia" w:eastAsiaTheme="minorEastAsia"/>
          <w:szCs w:val="28"/>
        </w:rPr>
        <w:t>，占一般公共预算支出的比重为</w:t>
      </w:r>
      <w:r>
        <w:rPr>
          <w:rFonts w:cs="宋体" w:asciiTheme="minorEastAsia" w:hAnsiTheme="minorEastAsia" w:eastAsiaTheme="minorEastAsia"/>
          <w:szCs w:val="28"/>
        </w:rPr>
        <w:t>82.4%</w:t>
      </w:r>
      <w:r>
        <w:rPr>
          <w:rFonts w:hint="eastAsia" w:cs="宋体" w:asciiTheme="minorEastAsia" w:hAnsiTheme="minorEastAsia" w:eastAsiaTheme="minorEastAsia"/>
          <w:szCs w:val="28"/>
        </w:rPr>
        <w:t>。其中，社会保障和就业支出增长</w:t>
      </w:r>
      <w:r>
        <w:rPr>
          <w:rFonts w:cs="宋体" w:asciiTheme="minorEastAsia" w:hAnsiTheme="minorEastAsia" w:eastAsiaTheme="minorEastAsia"/>
          <w:szCs w:val="28"/>
        </w:rPr>
        <w:t>13.7%</w:t>
      </w:r>
      <w:r>
        <w:rPr>
          <w:rFonts w:hint="eastAsia" w:cs="宋体" w:asciiTheme="minorEastAsia" w:hAnsiTheme="minorEastAsia" w:eastAsiaTheme="minorEastAsia"/>
          <w:szCs w:val="28"/>
        </w:rPr>
        <w:t>，城乡社区支出增长</w:t>
      </w:r>
      <w:r>
        <w:rPr>
          <w:rFonts w:cs="宋体" w:asciiTheme="minorEastAsia" w:hAnsiTheme="minorEastAsia" w:eastAsiaTheme="minorEastAsia"/>
          <w:szCs w:val="28"/>
        </w:rPr>
        <w:t>34%</w:t>
      </w:r>
      <w:r>
        <w:rPr>
          <w:rFonts w:hint="eastAsia" w:cs="宋体" w:asciiTheme="minorEastAsia" w:hAnsiTheme="minorEastAsia" w:eastAsiaTheme="minorEastAsia"/>
          <w:szCs w:val="28"/>
        </w:rPr>
        <w:t>，交通运输支出增长</w:t>
      </w:r>
      <w:r>
        <w:rPr>
          <w:rFonts w:cs="宋体" w:asciiTheme="minorEastAsia" w:hAnsiTheme="minorEastAsia" w:eastAsiaTheme="minorEastAsia"/>
          <w:szCs w:val="28"/>
        </w:rPr>
        <w:t>79.2%</w:t>
      </w:r>
      <w:r>
        <w:rPr>
          <w:rFonts w:hint="eastAsia" w:cs="宋体" w:asciiTheme="minorEastAsia" w:hAnsiTheme="minorEastAsia" w:eastAsiaTheme="minorEastAsia"/>
          <w:szCs w:val="28"/>
        </w:rPr>
        <w:t>，科学技术支出增长</w:t>
      </w:r>
      <w:r>
        <w:rPr>
          <w:rFonts w:cs="宋体" w:asciiTheme="minorEastAsia" w:hAnsiTheme="minorEastAsia" w:eastAsiaTheme="minorEastAsia"/>
          <w:szCs w:val="28"/>
        </w:rPr>
        <w:t>3.3%</w:t>
      </w:r>
      <w:r>
        <w:rPr>
          <w:rFonts w:hint="eastAsia" w:cs="宋体" w:asciiTheme="minorEastAsia" w:hAnsiTheme="minorEastAsia" w:eastAsiaTheme="minorEastAsia"/>
          <w:szCs w:val="28"/>
        </w:rPr>
        <w:t>，教育支出增长</w:t>
      </w:r>
      <w:r>
        <w:rPr>
          <w:rFonts w:cs="宋体" w:asciiTheme="minorEastAsia" w:hAnsiTheme="minorEastAsia" w:eastAsiaTheme="minorEastAsia"/>
          <w:szCs w:val="28"/>
        </w:rPr>
        <w:t>0.4%</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年末全县本外币各项存款余额</w:t>
      </w:r>
      <w:r>
        <w:rPr>
          <w:rFonts w:cs="宋体" w:asciiTheme="minorEastAsia" w:hAnsiTheme="minorEastAsia" w:eastAsiaTheme="minorEastAsia"/>
          <w:szCs w:val="28"/>
        </w:rPr>
        <w:t>193.29</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4.6%</w:t>
      </w:r>
      <w:r>
        <w:rPr>
          <w:rFonts w:hint="eastAsia" w:cs="宋体" w:asciiTheme="minorEastAsia" w:hAnsiTheme="minorEastAsia" w:eastAsiaTheme="minorEastAsia"/>
          <w:szCs w:val="28"/>
        </w:rPr>
        <w:t>；本外币各项贷款余额</w:t>
      </w:r>
      <w:r>
        <w:rPr>
          <w:rFonts w:cs="宋体" w:asciiTheme="minorEastAsia" w:hAnsiTheme="minorEastAsia" w:eastAsiaTheme="minorEastAsia"/>
          <w:szCs w:val="28"/>
        </w:rPr>
        <w:t>203.01</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12.1%</w:t>
      </w:r>
      <w:r>
        <w:rPr>
          <w:rFonts w:hint="eastAsia" w:cs="宋体" w:asciiTheme="minorEastAsia" w:hAnsiTheme="minorEastAsia" w:eastAsiaTheme="minorEastAsia"/>
          <w:szCs w:val="28"/>
        </w:rPr>
        <w:t>；本外币存贷款余额</w:t>
      </w:r>
      <w:r>
        <w:rPr>
          <w:rFonts w:cs="宋体" w:asciiTheme="minorEastAsia" w:hAnsiTheme="minorEastAsia" w:eastAsiaTheme="minorEastAsia"/>
          <w:szCs w:val="28"/>
        </w:rPr>
        <w:t>396.30</w:t>
      </w:r>
      <w:r>
        <w:rPr>
          <w:rFonts w:hint="eastAsia" w:cs="宋体" w:asciiTheme="minorEastAsia" w:hAnsiTheme="minorEastAsia" w:eastAsiaTheme="minorEastAsia"/>
          <w:szCs w:val="28"/>
        </w:rPr>
        <w:t>亿元，同比增长</w:t>
      </w:r>
      <w:r>
        <w:rPr>
          <w:rFonts w:cs="宋体" w:asciiTheme="minorEastAsia" w:hAnsiTheme="minorEastAsia" w:eastAsiaTheme="minorEastAsia"/>
          <w:szCs w:val="28"/>
        </w:rPr>
        <w:t>8.4%</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（6）农村居民收入</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2023</w:t>
      </w:r>
      <w:r>
        <w:rPr>
          <w:rFonts w:hint="eastAsia" w:cs="宋体" w:asciiTheme="minorEastAsia" w:hAnsiTheme="minorEastAsia" w:eastAsiaTheme="minorEastAsia"/>
          <w:szCs w:val="28"/>
        </w:rPr>
        <w:t>全县居民人均可支配收入</w:t>
      </w:r>
      <w:r>
        <w:rPr>
          <w:rFonts w:cs="宋体" w:asciiTheme="minorEastAsia" w:hAnsiTheme="minorEastAsia" w:eastAsiaTheme="minorEastAsia"/>
          <w:szCs w:val="28"/>
        </w:rPr>
        <w:t>30210</w:t>
      </w:r>
      <w:r>
        <w:rPr>
          <w:rFonts w:hint="eastAsia" w:cs="宋体" w:asciiTheme="minorEastAsia" w:hAnsiTheme="minorEastAsia" w:eastAsiaTheme="minorEastAsia"/>
          <w:szCs w:val="28"/>
        </w:rPr>
        <w:t>元，比上年名义增长</w:t>
      </w:r>
      <w:r>
        <w:rPr>
          <w:rFonts w:cs="宋体" w:asciiTheme="minorEastAsia" w:hAnsiTheme="minorEastAsia" w:eastAsiaTheme="minorEastAsia"/>
          <w:szCs w:val="28"/>
        </w:rPr>
        <w:t>5.5%</w:t>
      </w:r>
      <w:r>
        <w:rPr>
          <w:rFonts w:hint="eastAsia" w:cs="宋体" w:asciiTheme="minorEastAsia" w:hAnsiTheme="minorEastAsia" w:eastAsiaTheme="minorEastAsia"/>
          <w:szCs w:val="28"/>
        </w:rPr>
        <w:t>；城镇居民人均可支配收入完成</w:t>
      </w:r>
      <w:r>
        <w:rPr>
          <w:rFonts w:cs="宋体" w:asciiTheme="minorEastAsia" w:hAnsiTheme="minorEastAsia" w:eastAsiaTheme="minorEastAsia"/>
          <w:szCs w:val="28"/>
        </w:rPr>
        <w:t>42510</w:t>
      </w:r>
      <w:r>
        <w:rPr>
          <w:rFonts w:hint="eastAsia" w:cs="宋体" w:asciiTheme="minorEastAsia" w:hAnsiTheme="minorEastAsia" w:eastAsiaTheme="minorEastAsia"/>
          <w:szCs w:val="28"/>
        </w:rPr>
        <w:t>元，比上年同期名义增长</w:t>
      </w:r>
      <w:r>
        <w:rPr>
          <w:rFonts w:cs="宋体" w:asciiTheme="minorEastAsia" w:hAnsiTheme="minorEastAsia" w:eastAsiaTheme="minorEastAsia"/>
          <w:szCs w:val="28"/>
        </w:rPr>
        <w:t>4.1%</w:t>
      </w:r>
      <w:r>
        <w:rPr>
          <w:rFonts w:hint="eastAsia" w:cs="宋体" w:asciiTheme="minorEastAsia" w:hAnsiTheme="minorEastAsia" w:eastAsiaTheme="minorEastAsia"/>
          <w:szCs w:val="28"/>
        </w:rPr>
        <w:t>；农村居民人均可支配收入完成</w:t>
      </w:r>
      <w:r>
        <w:rPr>
          <w:rFonts w:cs="宋体" w:asciiTheme="minorEastAsia" w:hAnsiTheme="minorEastAsia" w:eastAsiaTheme="minorEastAsia"/>
          <w:szCs w:val="28"/>
        </w:rPr>
        <w:t>22021</w:t>
      </w:r>
      <w:r>
        <w:rPr>
          <w:rFonts w:hint="eastAsia" w:cs="宋体" w:asciiTheme="minorEastAsia" w:hAnsiTheme="minorEastAsia" w:eastAsiaTheme="minorEastAsia"/>
          <w:szCs w:val="28"/>
        </w:rPr>
        <w:t>元，比上年同期名义增长</w:t>
      </w:r>
      <w:r>
        <w:rPr>
          <w:rFonts w:cs="宋体" w:asciiTheme="minorEastAsia" w:hAnsiTheme="minorEastAsia" w:eastAsiaTheme="minorEastAsia"/>
          <w:szCs w:val="28"/>
        </w:rPr>
        <w:t>7.1%</w:t>
      </w:r>
      <w:r>
        <w:rPr>
          <w:rFonts w:hint="eastAsia" w:cs="宋体" w:asciiTheme="minorEastAsia" w:hAnsiTheme="minorEastAsia" w:eastAsiaTheme="minorEastAsia"/>
          <w:szCs w:val="28"/>
        </w:rPr>
        <w:t>。城乡居民人均收入比为</w:t>
      </w:r>
      <w:r>
        <w:rPr>
          <w:rFonts w:cs="宋体" w:asciiTheme="minorEastAsia" w:hAnsiTheme="minorEastAsia" w:eastAsiaTheme="minorEastAsia"/>
          <w:szCs w:val="28"/>
        </w:rPr>
        <w:t>1.93:1</w:t>
      </w:r>
      <w:r>
        <w:rPr>
          <w:rFonts w:hint="eastAsia" w:cs="宋体" w:asciiTheme="minorEastAsia" w:hAnsiTheme="minorEastAsia" w:eastAsiaTheme="minorEastAsia"/>
          <w:szCs w:val="28"/>
        </w:rPr>
        <w:t>，比上年缩小</w:t>
      </w:r>
      <w:r>
        <w:rPr>
          <w:rFonts w:cs="宋体" w:asciiTheme="minorEastAsia" w:hAnsiTheme="minorEastAsia" w:eastAsiaTheme="minorEastAsia"/>
          <w:szCs w:val="28"/>
        </w:rPr>
        <w:t>0.06</w:t>
      </w:r>
      <w:r>
        <w:rPr>
          <w:rFonts w:hint="eastAsia" w:cs="宋体" w:asciiTheme="minorEastAsia" w:hAnsiTheme="minorEastAsia" w:eastAsiaTheme="minorEastAsia"/>
          <w:szCs w:val="28"/>
        </w:rPr>
        <w:t>。全年全县居民人均消费支出</w:t>
      </w:r>
      <w:r>
        <w:rPr>
          <w:rFonts w:cs="宋体" w:asciiTheme="minorEastAsia" w:hAnsiTheme="minorEastAsia" w:eastAsiaTheme="minorEastAsia"/>
          <w:szCs w:val="28"/>
        </w:rPr>
        <w:t>15684</w:t>
      </w:r>
      <w:r>
        <w:rPr>
          <w:rFonts w:hint="eastAsia" w:cs="宋体" w:asciiTheme="minorEastAsia" w:hAnsiTheme="minorEastAsia" w:eastAsiaTheme="minorEastAsia"/>
          <w:szCs w:val="28"/>
        </w:rPr>
        <w:t>元，比上年名义增长</w:t>
      </w:r>
      <w:r>
        <w:rPr>
          <w:rFonts w:cs="宋体" w:asciiTheme="minorEastAsia" w:hAnsiTheme="minorEastAsia" w:eastAsiaTheme="minorEastAsia"/>
          <w:szCs w:val="28"/>
        </w:rPr>
        <w:t>7.8%</w:t>
      </w:r>
      <w:r>
        <w:rPr>
          <w:rFonts w:hint="eastAsia" w:cs="宋体" w:asciiTheme="minorEastAsia" w:hAnsiTheme="minorEastAsia" w:eastAsiaTheme="minorEastAsia"/>
          <w:szCs w:val="28"/>
        </w:rPr>
        <w:t>。</w:t>
      </w:r>
    </w:p>
    <w:p>
      <w:pPr>
        <w:ind w:firstLine="0" w:firstLineChars="0"/>
        <w:rPr>
          <w:rFonts w:ascii="宋体" w:hAnsi="宋体"/>
          <w:b/>
          <w:sz w:val="30"/>
          <w:szCs w:val="30"/>
        </w:rPr>
      </w:pPr>
      <w:r>
        <w:rPr>
          <w:rFonts w:hint="eastAsia" w:ascii="宋体" w:hAnsi="宋体"/>
          <w:b/>
          <w:sz w:val="30"/>
          <w:szCs w:val="30"/>
        </w:rPr>
        <w:t>3.1.2排水现状及存在问题</w:t>
      </w:r>
    </w:p>
    <w:p>
      <w:pPr>
        <w:snapToGrid w:val="0"/>
        <w:ind w:firstLine="560"/>
        <w:rPr>
          <w:rFonts w:hint="eastAsia" w:cs="宋体" w:asciiTheme="minorEastAsia" w:hAnsiTheme="minorEastAsia" w:eastAsiaTheme="minorEastAsia"/>
          <w:szCs w:val="28"/>
          <w:highlight w:val="green"/>
          <w:lang w:eastAsia="zh-CN"/>
        </w:rPr>
      </w:pPr>
      <w:bookmarkStart w:id="80" w:name="_Toc6443"/>
      <w:r>
        <w:rPr>
          <w:rFonts w:hint="eastAsia" w:cs="宋体" w:asciiTheme="minorEastAsia" w:hAnsiTheme="minorEastAsia" w:eastAsiaTheme="minorEastAsia"/>
          <w:szCs w:val="28"/>
        </w:rPr>
        <w:t>根据里弄沟黑臭水体形成原因</w:t>
      </w:r>
      <w:r>
        <w:rPr>
          <w:rFonts w:hint="eastAsia" w:cs="宋体" w:asciiTheme="minorEastAsia" w:hAnsiTheme="minorEastAsia" w:eastAsiaTheme="minorEastAsia"/>
          <w:szCs w:val="28"/>
          <w:lang w:eastAsia="zh-CN"/>
        </w:rPr>
        <w:t>主要有</w:t>
      </w:r>
      <w:r>
        <w:rPr>
          <w:rFonts w:hint="eastAsia" w:cs="宋体" w:asciiTheme="minorEastAsia" w:hAnsiTheme="minorEastAsia" w:eastAsiaTheme="minorEastAsia"/>
          <w:szCs w:val="28"/>
          <w:lang w:val="en-US" w:eastAsia="zh-CN"/>
        </w:rPr>
        <w:t>5条污染源，来源有甲逢屯、东海屯、里弄屯、</w:t>
      </w:r>
      <w:r>
        <w:rPr>
          <w:rFonts w:hint="eastAsia" w:cs="宋体" w:asciiTheme="minorEastAsia" w:hAnsiTheme="minorEastAsia" w:eastAsiaTheme="minorEastAsia"/>
          <w:szCs w:val="28"/>
          <w:highlight w:val="green"/>
          <w:lang w:val="en-US" w:eastAsia="zh-CN"/>
        </w:rPr>
        <w:t>金芒大道碧桂园段</w:t>
      </w:r>
      <w:r>
        <w:rPr>
          <w:rFonts w:hint="eastAsia" w:cs="宋体" w:asciiTheme="minorEastAsia" w:hAnsiTheme="minorEastAsia" w:eastAsiaTheme="minorEastAsia"/>
          <w:szCs w:val="28"/>
          <w:lang w:val="en-US" w:eastAsia="zh-CN"/>
        </w:rPr>
        <w:t>排水口等生活污水汇集后流入右江，其中</w:t>
      </w:r>
      <w:r>
        <w:rPr>
          <w:rFonts w:hint="eastAsia" w:cs="宋体" w:asciiTheme="minorEastAsia" w:hAnsiTheme="minorEastAsia" w:eastAsiaTheme="minorEastAsia"/>
          <w:szCs w:val="28"/>
          <w:highlight w:val="green"/>
          <w:lang w:val="en-US" w:eastAsia="zh-CN"/>
        </w:rPr>
        <w:t>金芒大道碧桂园段</w:t>
      </w:r>
      <w:r>
        <w:rPr>
          <w:rFonts w:hint="eastAsia" w:cs="宋体" w:asciiTheme="minorEastAsia" w:hAnsiTheme="minorEastAsia" w:eastAsiaTheme="minorEastAsia"/>
          <w:szCs w:val="28"/>
          <w:lang w:val="en-US" w:eastAsia="zh-CN"/>
        </w:rPr>
        <w:t>排水口为城镇污水排放口，待德贷项目完工后，该排放口污水排放将得以改善。</w:t>
      </w:r>
      <w:r>
        <w:rPr>
          <w:rFonts w:hint="eastAsia" w:cs="宋体" w:asciiTheme="minorEastAsia" w:hAnsiTheme="minorEastAsia" w:eastAsiaTheme="minorEastAsia"/>
          <w:szCs w:val="28"/>
          <w:highlight w:val="green"/>
          <w:lang w:val="en-US" w:eastAsia="zh-CN"/>
        </w:rPr>
        <w:t>本</w:t>
      </w:r>
      <w:r>
        <w:rPr>
          <w:rFonts w:hint="eastAsia" w:cs="宋体" w:asciiTheme="minorEastAsia" w:hAnsiTheme="minorEastAsia" w:eastAsiaTheme="minorEastAsia"/>
          <w:szCs w:val="28"/>
        </w:rPr>
        <w:t>项目拟整治范围田东县平马镇合恒村里弄屯、甲逢屯、东海屯等，</w:t>
      </w:r>
      <w:r>
        <w:rPr>
          <w:rFonts w:hint="eastAsia" w:cs="宋体" w:asciiTheme="minorEastAsia" w:hAnsiTheme="minorEastAsia" w:eastAsiaTheme="minorEastAsia"/>
          <w:szCs w:val="28"/>
          <w:highlight w:val="yellow"/>
        </w:rPr>
        <w:t>周边覆盖常住人口约900户；人口约3000人。</w:t>
      </w:r>
      <w:r>
        <w:rPr>
          <w:rFonts w:hint="eastAsia" w:cs="宋体" w:asciiTheme="minorEastAsia" w:hAnsiTheme="minorEastAsia" w:eastAsiaTheme="minorEastAsia"/>
          <w:szCs w:val="28"/>
          <w:highlight w:val="green"/>
          <w:lang w:eastAsia="zh-CN"/>
        </w:rPr>
        <w:t>（覆盖</w:t>
      </w:r>
      <w:r>
        <w:rPr>
          <w:rFonts w:hint="eastAsia" w:cs="宋体" w:asciiTheme="minorEastAsia" w:hAnsiTheme="minorEastAsia" w:eastAsiaTheme="minorEastAsia"/>
          <w:szCs w:val="28"/>
          <w:highlight w:val="green"/>
          <w:lang w:val="en-US" w:eastAsia="zh-CN"/>
        </w:rPr>
        <w:t>900户投资977万元？户数是否包括东海廉租房？建议将整治范围内的全部户数都纳入</w:t>
      </w:r>
      <w:r>
        <w:rPr>
          <w:rFonts w:hint="eastAsia" w:cs="宋体" w:asciiTheme="minorEastAsia" w:hAnsiTheme="minorEastAsia" w:eastAsiaTheme="minorEastAsia"/>
          <w:szCs w:val="28"/>
          <w:highlight w:val="green"/>
          <w:lang w:eastAsia="zh-CN"/>
        </w:rPr>
        <w:t>）</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当前，</w:t>
      </w:r>
      <w:r>
        <w:rPr>
          <w:rFonts w:hint="eastAsia" w:cs="宋体" w:asciiTheme="minorEastAsia" w:hAnsiTheme="minorEastAsia" w:eastAsiaTheme="minorEastAsia"/>
          <w:szCs w:val="28"/>
        </w:rPr>
        <w:t>田东县合恒村片区污水管网</w:t>
      </w:r>
      <w:r>
        <w:rPr>
          <w:rFonts w:cs="宋体" w:asciiTheme="minorEastAsia" w:hAnsiTheme="minorEastAsia" w:eastAsiaTheme="minorEastAsia"/>
          <w:szCs w:val="28"/>
        </w:rPr>
        <w:t>设施建设明显落后或缺失</w:t>
      </w:r>
      <w:r>
        <w:rPr>
          <w:rFonts w:hint="eastAsia" w:cs="宋体" w:asciiTheme="minorEastAsia" w:hAnsiTheme="minorEastAsia" w:eastAsiaTheme="minorEastAsia"/>
          <w:szCs w:val="28"/>
        </w:rPr>
        <w:t>，拟处理自然</w:t>
      </w:r>
      <w:r>
        <w:rPr>
          <w:rFonts w:cs="宋体" w:asciiTheme="minorEastAsia" w:hAnsiTheme="minorEastAsia" w:eastAsiaTheme="minorEastAsia"/>
          <w:szCs w:val="28"/>
        </w:rPr>
        <w:t>屯污水收集管网基本</w:t>
      </w:r>
      <w:r>
        <w:rPr>
          <w:rFonts w:hint="eastAsia" w:cs="宋体" w:asciiTheme="minorEastAsia" w:hAnsiTheme="minorEastAsia" w:eastAsiaTheme="minorEastAsia"/>
          <w:szCs w:val="28"/>
        </w:rPr>
        <w:t>老化</w:t>
      </w:r>
      <w:r>
        <w:rPr>
          <w:rFonts w:cs="宋体" w:asciiTheme="minorEastAsia" w:hAnsiTheme="minorEastAsia" w:eastAsiaTheme="minorEastAsia"/>
          <w:szCs w:val="28"/>
        </w:rPr>
        <w:t>，</w:t>
      </w:r>
      <w:r>
        <w:rPr>
          <w:rFonts w:hint="eastAsia" w:cs="宋体" w:asciiTheme="minorEastAsia" w:hAnsiTheme="minorEastAsia" w:eastAsiaTheme="minorEastAsia"/>
          <w:szCs w:val="28"/>
        </w:rPr>
        <w:t>且设计不合理，</w:t>
      </w:r>
      <w:r>
        <w:rPr>
          <w:rFonts w:cs="宋体" w:asciiTheme="minorEastAsia" w:hAnsiTheme="minorEastAsia" w:eastAsiaTheme="minorEastAsia"/>
          <w:szCs w:val="28"/>
        </w:rPr>
        <w:t>生活污水未经处理直接排入沟渠、水塘、河道或渗入地下</w:t>
      </w:r>
      <w:r>
        <w:rPr>
          <w:rFonts w:hint="eastAsia" w:cs="宋体" w:asciiTheme="minorEastAsia" w:hAnsiTheme="minorEastAsia" w:eastAsiaTheme="minorEastAsia"/>
          <w:szCs w:val="28"/>
        </w:rPr>
        <w:t>，水体黑臭，散发异味严重影响村内的水环境质量和生态环境</w:t>
      </w:r>
      <w:r>
        <w:rPr>
          <w:rFonts w:cs="宋体" w:asciiTheme="minorEastAsia" w:hAnsiTheme="minorEastAsia" w:eastAsiaTheme="minorEastAsia"/>
          <w:szCs w:val="28"/>
        </w:rPr>
        <w:t>。本项目的实行可从根本上解决农村污水横流、恶臭扑鼻、污染严重的现状，改善农村人居环境，保障村民正常生产和生活，促进美丽乡村的建设。</w:t>
      </w:r>
      <w:bookmarkEnd w:id="80"/>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本项目涉及村屯现状均无生活污水收集处理设施</w:t>
      </w:r>
      <w:r>
        <w:rPr>
          <w:rFonts w:hint="eastAsia" w:cs="宋体" w:asciiTheme="minorEastAsia" w:hAnsiTheme="minorEastAsia" w:eastAsiaTheme="minorEastAsia"/>
          <w:szCs w:val="28"/>
        </w:rPr>
        <w:t>、水体黑臭；</w:t>
      </w:r>
      <w:r>
        <w:rPr>
          <w:rFonts w:cs="宋体" w:asciiTheme="minorEastAsia" w:hAnsiTheme="minorEastAsia" w:eastAsiaTheme="minorEastAsia"/>
          <w:szCs w:val="28"/>
        </w:rPr>
        <w:t>村屯内的生活污水随意排放。</w:t>
      </w:r>
    </w:p>
    <w:p>
      <w:pPr>
        <w:ind w:firstLine="560"/>
        <w:jc w:val="left"/>
        <w:rPr>
          <w:szCs w:val="28"/>
        </w:rPr>
      </w:pPr>
      <w:r>
        <w:rPr>
          <w:szCs w:val="28"/>
        </w:rPr>
        <w:t>合恒村里弄屯黑臭水体</w:t>
      </w:r>
      <w:r>
        <w:rPr>
          <w:rFonts w:hint="eastAsia"/>
          <w:szCs w:val="28"/>
        </w:rPr>
        <w:t>位于田东县平马镇合恒村里弄屯，黑臭水体类型为水塘，涉及的自然村为里弄屯，里弄屯未建设污水收集管网，主要依靠村内排水沟排放生活污水，雨污合流，里弄屯村屯内产生的生活污水通过庭院泼洒或排至道路，顺地势排入村屯房屋周边的荒地。此外，位于黑臭水体北面的合恒村，当前未建有污水管网，居民厕卫污水、厨余废水、洗浴废水等生活污水直接排入附近沟渠，该沟渠水体自北向南顺势而流，最终顺沟渠汇入里弄屯黑臭水塘导致水体污染。里弄屯黑臭水塘大面积覆盖水葫芦及藻类等植物，部分沟渠段有大量生活垃圾堆积。污水口及黑臭水体现状图如下：</w:t>
      </w:r>
    </w:p>
    <w:p>
      <w:pPr>
        <w:pStyle w:val="38"/>
        <w:rPr>
          <w:color w:val="auto"/>
        </w:rPr>
      </w:pPr>
    </w:p>
    <w:p>
      <w:pPr>
        <w:widowControl/>
        <w:spacing w:line="240" w:lineRule="auto"/>
        <w:ind w:firstLine="0" w:firstLineChars="0"/>
        <w:jc w:val="left"/>
      </w:pPr>
      <w:r>
        <w:pict>
          <v:shape id="_x0000_i1025" o:spt="75" type="#_x0000_t75" style="height:272.2pt;width:203.85pt;" filled="f" o:preferrelative="t" stroked="f" coordsize="21600,21600">
            <v:path/>
            <v:fill on="f" focussize="0,0"/>
            <v:stroke on="f" joinstyle="miter"/>
            <v:imagedata r:id="rId16" o:title="IMG_20240614_094218"/>
            <o:lock v:ext="edit" aspectratio="t"/>
            <w10:wrap type="none"/>
            <w10:anchorlock/>
          </v:shape>
        </w:pict>
      </w:r>
      <w:r>
        <w:t xml:space="preserve"> </w:t>
      </w:r>
      <w:r>
        <w:rPr>
          <w:rFonts w:cs="宋体" w:asciiTheme="minorEastAsia" w:hAnsiTheme="minorEastAsia" w:eastAsiaTheme="minorEastAsia"/>
          <w:szCs w:val="28"/>
        </w:rPr>
        <w:drawing>
          <wp:inline distT="0" distB="0" distL="0" distR="0">
            <wp:extent cx="2595245" cy="3455670"/>
            <wp:effectExtent l="0" t="0" r="0" b="0"/>
            <wp:docPr id="4" name="图片 4" descr="C:\Users\45825\AppData\Local\Microsoft\Windows\INetCache\Content.Word\微信图片_202406152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45825\AppData\Local\Microsoft\Windows\INetCache\Content.Word\微信图片_202406152059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5245" cy="3455670"/>
                    </a:xfrm>
                    <a:prstGeom prst="rect">
                      <a:avLst/>
                    </a:prstGeom>
                    <a:noFill/>
                    <a:ln>
                      <a:noFill/>
                    </a:ln>
                  </pic:spPr>
                </pic:pic>
              </a:graphicData>
            </a:graphic>
          </wp:inline>
        </w:drawing>
      </w:r>
    </w:p>
    <w:p>
      <w:pPr>
        <w:widowControl/>
        <w:spacing w:line="240" w:lineRule="auto"/>
        <w:ind w:firstLine="0" w:firstLineChars="0"/>
        <w:jc w:val="left"/>
      </w:pPr>
    </w:p>
    <w:p>
      <w:pPr>
        <w:widowControl/>
        <w:spacing w:line="240" w:lineRule="auto"/>
        <w:ind w:firstLine="0" w:firstLineChars="0"/>
        <w:jc w:val="center"/>
        <w:rPr>
          <w:b/>
          <w:sz w:val="24"/>
        </w:rPr>
      </w:pPr>
      <w:r>
        <w:rPr>
          <w:b/>
          <w:sz w:val="24"/>
        </w:rPr>
        <w:t>污水现状图</w:t>
      </w:r>
    </w:p>
    <w:p>
      <w:pPr>
        <w:pStyle w:val="38"/>
        <w:rPr>
          <w:color w:val="auto"/>
        </w:rPr>
      </w:pPr>
    </w:p>
    <w:p>
      <w:pPr>
        <w:pStyle w:val="38"/>
        <w:rPr>
          <w:color w:val="auto"/>
        </w:rPr>
      </w:pPr>
      <w:r>
        <w:rPr>
          <w:color w:val="auto"/>
        </w:rPr>
        <w:pict>
          <v:shape id="_x0000_i1026" o:spt="75" type="#_x0000_t75" style="height:272.75pt;width:203.35pt;" filled="f" o:preferrelative="t" stroked="f" coordsize="21600,21600">
            <v:path/>
            <v:fill on="f" focussize="0,0"/>
            <v:stroke on="f" joinstyle="miter"/>
            <v:imagedata r:id="rId18" o:title="IMG_20240614_100835"/>
            <o:lock v:ext="edit" aspectratio="t"/>
            <w10:wrap type="none"/>
            <w10:anchorlock/>
          </v:shape>
        </w:pict>
      </w:r>
      <w:r>
        <w:rPr>
          <w:color w:val="auto"/>
        </w:rPr>
        <w:t xml:space="preserve"> </w:t>
      </w:r>
      <w:r>
        <w:rPr>
          <w:color w:val="auto"/>
        </w:rPr>
        <w:pict>
          <v:shape id="_x0000_i1027" o:spt="75" type="#_x0000_t75" style="height:272.75pt;width:203.35pt;" filled="f" o:preferrelative="t" stroked="f" coordsize="21600,21600">
            <v:path/>
            <v:fill on="f" focussize="0,0"/>
            <v:stroke on="f" joinstyle="miter"/>
            <v:imagedata r:id="rId19" o:title="IMG_20240614_100839"/>
            <o:lock v:ext="edit" aspectratio="t"/>
            <w10:wrap type="none"/>
            <w10:anchorlock/>
          </v:shape>
        </w:pict>
      </w:r>
    </w:p>
    <w:p>
      <w:pPr>
        <w:widowControl/>
        <w:spacing w:line="240" w:lineRule="auto"/>
        <w:ind w:firstLine="0" w:firstLineChars="0"/>
        <w:jc w:val="center"/>
        <w:rPr>
          <w:b/>
          <w:sz w:val="24"/>
        </w:rPr>
      </w:pPr>
    </w:p>
    <w:p>
      <w:pPr>
        <w:widowControl/>
        <w:spacing w:line="240" w:lineRule="auto"/>
        <w:ind w:firstLine="0" w:firstLineChars="0"/>
        <w:jc w:val="center"/>
        <w:rPr>
          <w:b/>
          <w:sz w:val="24"/>
        </w:rPr>
      </w:pPr>
      <w:r>
        <w:rPr>
          <w:b/>
          <w:sz w:val="24"/>
        </w:rPr>
        <w:t>污水现状图</w:t>
      </w:r>
    </w:p>
    <w:p>
      <w:pPr>
        <w:ind w:firstLine="560"/>
      </w:pPr>
    </w:p>
    <w:p>
      <w:pPr>
        <w:widowControl/>
        <w:spacing w:line="240" w:lineRule="auto"/>
        <w:ind w:firstLine="0" w:firstLineChars="0"/>
        <w:jc w:val="left"/>
      </w:pPr>
      <w:r>
        <w:rPr>
          <w:rFonts w:cs="宋体" w:asciiTheme="minorEastAsia" w:hAnsiTheme="minorEastAsia" w:eastAsiaTheme="minorEastAsia"/>
          <w:szCs w:val="28"/>
        </w:rPr>
        <w:drawing>
          <wp:inline distT="0" distB="0" distL="0" distR="0">
            <wp:extent cx="2595880" cy="3466465"/>
            <wp:effectExtent l="0" t="0" r="0" b="635"/>
            <wp:docPr id="3" name="图片 3" descr="C:\Users\45825\AppData\Local\Microsoft\Windows\INetCache\Content.Word\微信图片_20240615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45825\AppData\Local\Microsoft\Windows\INetCache\Content.Word\微信图片_2024061521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6489" cy="3466800"/>
                    </a:xfrm>
                    <a:prstGeom prst="rect">
                      <a:avLst/>
                    </a:prstGeom>
                    <a:noFill/>
                    <a:ln>
                      <a:noFill/>
                    </a:ln>
                  </pic:spPr>
                </pic:pic>
              </a:graphicData>
            </a:graphic>
          </wp:inline>
        </w:drawing>
      </w:r>
      <w:r>
        <w:t xml:space="preserve"> </w:t>
      </w:r>
      <w:r>
        <w:pict>
          <v:shape id="_x0000_i1028" o:spt="75" type="#_x0000_t75" style="height:272.6pt;width:203.6pt;" filled="f" o:preferrelative="t" stroked="f" coordsize="21600,21600">
            <v:path/>
            <v:fill on="f" focussize="0,0"/>
            <v:stroke on="f" joinstyle="miter"/>
            <v:imagedata r:id="rId21" o:title="微信图片_20240615205957"/>
            <o:lock v:ext="edit" aspectratio="t"/>
            <w10:wrap type="none"/>
            <w10:anchorlock/>
          </v:shape>
        </w:pict>
      </w:r>
    </w:p>
    <w:p>
      <w:pPr>
        <w:widowControl/>
        <w:spacing w:line="240" w:lineRule="auto"/>
        <w:ind w:firstLine="0" w:firstLineChars="0"/>
        <w:jc w:val="left"/>
      </w:pPr>
    </w:p>
    <w:p>
      <w:pPr>
        <w:widowControl/>
        <w:spacing w:line="240" w:lineRule="auto"/>
        <w:ind w:firstLine="0" w:firstLineChars="0"/>
        <w:jc w:val="center"/>
        <w:rPr>
          <w:b/>
          <w:sz w:val="24"/>
        </w:rPr>
      </w:pPr>
      <w:r>
        <w:rPr>
          <w:b/>
          <w:sz w:val="24"/>
        </w:rPr>
        <w:t>污水现状图</w:t>
      </w:r>
    </w:p>
    <w:p>
      <w:pPr>
        <w:widowControl/>
        <w:spacing w:line="240" w:lineRule="auto"/>
        <w:ind w:firstLine="0" w:firstLineChars="0"/>
        <w:jc w:val="left"/>
        <w:rPr>
          <w:rFonts w:cs="宋体" w:asciiTheme="minorEastAsia" w:hAnsiTheme="minorEastAsia" w:eastAsiaTheme="minorEastAsia"/>
          <w:szCs w:val="28"/>
        </w:rPr>
      </w:pPr>
      <w:r>
        <w:rPr>
          <w:rFonts w:cs="宋体" w:asciiTheme="minorEastAsia" w:hAnsiTheme="minorEastAsia" w:eastAsiaTheme="minorEastAsia"/>
          <w:szCs w:val="28"/>
        </w:rPr>
        <w:br w:type="page"/>
      </w:r>
    </w:p>
    <w:p>
      <w:pPr>
        <w:widowControl/>
        <w:spacing w:line="240" w:lineRule="auto"/>
        <w:ind w:firstLine="0" w:firstLineChars="0"/>
        <w:jc w:val="left"/>
      </w:pPr>
      <w:r>
        <w:rPr>
          <w:rFonts w:cs="宋体" w:asciiTheme="minorEastAsia" w:hAnsiTheme="minorEastAsia" w:eastAsiaTheme="minorEastAsia"/>
          <w:szCs w:val="28"/>
        </w:rPr>
        <w:drawing>
          <wp:inline distT="0" distB="0" distL="0" distR="0">
            <wp:extent cx="5290185" cy="3468370"/>
            <wp:effectExtent l="0" t="0" r="5715" b="17780"/>
            <wp:docPr id="11" name="图片 11" descr="C:\Users\45825\AppData\Local\Microsoft\Windows\INetCache\Content.Word\IMG_20240614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45825\AppData\Local\Microsoft\Windows\INetCache\Content.Word\IMG_20240614_1009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90185" cy="3468370"/>
                    </a:xfrm>
                    <a:prstGeom prst="rect">
                      <a:avLst/>
                    </a:prstGeom>
                    <a:noFill/>
                    <a:ln>
                      <a:noFill/>
                    </a:ln>
                  </pic:spPr>
                </pic:pic>
              </a:graphicData>
            </a:graphic>
          </wp:inline>
        </w:drawing>
      </w:r>
      <w:r>
        <w:t xml:space="preserve"> </w:t>
      </w:r>
    </w:p>
    <w:p>
      <w:pPr>
        <w:widowControl/>
        <w:spacing w:line="240" w:lineRule="auto"/>
        <w:ind w:firstLine="0" w:firstLineChars="0"/>
        <w:jc w:val="left"/>
      </w:pPr>
    </w:p>
    <w:p>
      <w:pPr>
        <w:widowControl/>
        <w:spacing w:line="240" w:lineRule="auto"/>
        <w:ind w:firstLine="0" w:firstLineChars="0"/>
        <w:jc w:val="center"/>
        <w:rPr>
          <w:b/>
          <w:sz w:val="24"/>
        </w:rPr>
      </w:pPr>
      <w:r>
        <w:rPr>
          <w:b/>
          <w:sz w:val="24"/>
        </w:rPr>
        <w:t>污水现状图</w:t>
      </w:r>
    </w:p>
    <w:p>
      <w:pPr>
        <w:pStyle w:val="38"/>
        <w:rPr>
          <w:color w:val="auto"/>
        </w:rPr>
      </w:pPr>
    </w:p>
    <w:p>
      <w:pPr>
        <w:widowControl/>
        <w:spacing w:line="240" w:lineRule="auto"/>
        <w:ind w:firstLine="0" w:firstLineChars="0"/>
        <w:jc w:val="left"/>
      </w:pPr>
      <w:r>
        <w:pict>
          <v:shape id="_x0000_i1029" o:spt="75" type="#_x0000_t75" style="height:272.6pt;width:204.45pt;" filled="f" o:preferrelative="t" stroked="f" coordsize="21600,21600">
            <v:path/>
            <v:fill on="f" focussize="0,0"/>
            <v:stroke on="f" joinstyle="miter"/>
            <v:imagedata r:id="rId23" o:title="微信图片_20240615210016"/>
            <o:lock v:ext="edit" aspectratio="t"/>
            <w10:wrap type="none"/>
            <w10:anchorlock/>
          </v:shape>
        </w:pict>
      </w:r>
      <w:r>
        <w:t xml:space="preserve"> </w:t>
      </w:r>
      <w:r>
        <w:pict>
          <v:shape id="_x0000_i1030" o:spt="75" type="#_x0000_t75" style="height:272.6pt;width:203.6pt;" filled="f" o:preferrelative="t" stroked="f" coordsize="21600,21600">
            <v:path/>
            <v:fill on="f" focussize="0,0"/>
            <v:stroke on="f" joinstyle="miter"/>
            <v:imagedata r:id="rId24" o:title="微信图片_20240615210009"/>
            <o:lock v:ext="edit" aspectratio="t"/>
            <w10:wrap type="none"/>
            <w10:anchorlock/>
          </v:shape>
        </w:pict>
      </w:r>
    </w:p>
    <w:p>
      <w:pPr>
        <w:widowControl/>
        <w:spacing w:line="240" w:lineRule="auto"/>
        <w:ind w:firstLine="0" w:firstLineChars="0"/>
        <w:jc w:val="left"/>
      </w:pPr>
    </w:p>
    <w:p>
      <w:pPr>
        <w:widowControl/>
        <w:spacing w:line="240" w:lineRule="auto"/>
        <w:ind w:firstLine="0" w:firstLineChars="0"/>
        <w:jc w:val="center"/>
        <w:rPr>
          <w:b/>
          <w:sz w:val="24"/>
        </w:rPr>
      </w:pPr>
      <w:r>
        <w:rPr>
          <w:b/>
          <w:sz w:val="24"/>
        </w:rPr>
        <w:t>污水现状图</w:t>
      </w:r>
    </w:p>
    <w:p>
      <w:pPr>
        <w:widowControl/>
        <w:spacing w:line="240" w:lineRule="auto"/>
        <w:ind w:firstLine="0" w:firstLineChars="0"/>
        <w:jc w:val="left"/>
        <w:rPr>
          <w:rFonts w:cs="宋体" w:asciiTheme="minorEastAsia" w:hAnsiTheme="minorEastAsia" w:eastAsiaTheme="minorEastAsia"/>
          <w:szCs w:val="28"/>
        </w:rPr>
      </w:pPr>
      <w:r>
        <w:rPr>
          <w:rFonts w:cs="宋体" w:asciiTheme="minorEastAsia" w:hAnsiTheme="minorEastAsia" w:eastAsiaTheme="minorEastAsia"/>
          <w:szCs w:val="28"/>
        </w:rPr>
        <w:br w:type="page"/>
      </w:r>
    </w:p>
    <w:p>
      <w:pPr>
        <w:widowControl/>
        <w:spacing w:line="240" w:lineRule="auto"/>
        <w:ind w:firstLine="0" w:firstLineChars="0"/>
        <w:jc w:val="left"/>
      </w:pPr>
      <w:r>
        <w:pict>
          <v:shape id="_x0000_i1031" o:spt="75" type="#_x0000_t75" style="height:272.75pt;width:203.35pt;" filled="f" o:preferrelative="t" stroked="f" coordsize="21600,21600">
            <v:path/>
            <v:fill on="f" focussize="0,0"/>
            <v:stroke on="f" joinstyle="miter"/>
            <v:imagedata r:id="rId25" o:title="IMG_20240614_102405"/>
            <o:lock v:ext="edit" aspectratio="t"/>
            <w10:wrap type="none"/>
            <w10:anchorlock/>
          </v:shape>
        </w:pict>
      </w:r>
      <w:r>
        <w:t xml:space="preserve"> </w:t>
      </w:r>
      <w:r>
        <w:rPr>
          <w:rFonts w:cs="宋体" w:asciiTheme="minorEastAsia" w:hAnsiTheme="minorEastAsia" w:eastAsiaTheme="minorEastAsia"/>
          <w:szCs w:val="28"/>
        </w:rPr>
        <w:drawing>
          <wp:inline distT="0" distB="0" distL="0" distR="0">
            <wp:extent cx="2585720" cy="3468370"/>
            <wp:effectExtent l="0" t="0" r="5080" b="0"/>
            <wp:docPr id="8" name="图片 8" descr="C:\Users\45825\AppData\Local\Microsoft\Windows\INetCache\Content.Word\IMG_20240614_10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45825\AppData\Local\Microsoft\Windows\INetCache\Content.Word\IMG_20240614_1024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5720" cy="3468370"/>
                    </a:xfrm>
                    <a:prstGeom prst="rect">
                      <a:avLst/>
                    </a:prstGeom>
                    <a:noFill/>
                    <a:ln>
                      <a:noFill/>
                    </a:ln>
                  </pic:spPr>
                </pic:pic>
              </a:graphicData>
            </a:graphic>
          </wp:inline>
        </w:drawing>
      </w:r>
    </w:p>
    <w:p>
      <w:pPr>
        <w:pStyle w:val="38"/>
        <w:rPr>
          <w:color w:val="auto"/>
        </w:rPr>
      </w:pPr>
    </w:p>
    <w:p>
      <w:pPr>
        <w:widowControl/>
        <w:spacing w:line="240" w:lineRule="auto"/>
        <w:ind w:firstLine="0" w:firstLineChars="0"/>
        <w:jc w:val="center"/>
        <w:rPr>
          <w:b/>
          <w:sz w:val="24"/>
        </w:rPr>
      </w:pPr>
      <w:r>
        <w:rPr>
          <w:b/>
          <w:sz w:val="24"/>
        </w:rPr>
        <w:t>污水现状图</w:t>
      </w:r>
    </w:p>
    <w:p>
      <w:pPr>
        <w:pStyle w:val="38"/>
        <w:rPr>
          <w:color w:val="auto"/>
        </w:rPr>
      </w:pPr>
    </w:p>
    <w:p>
      <w:pPr>
        <w:pStyle w:val="3"/>
        <w:spacing w:before="120" w:beforeLines="50"/>
        <w:rPr>
          <w:rFonts w:ascii="仿宋_GB2312" w:hAnsi="宋体" w:eastAsia="仿宋_GB2312"/>
          <w:b w:val="0"/>
          <w:smallCaps/>
          <w:sz w:val="36"/>
          <w:szCs w:val="36"/>
        </w:rPr>
      </w:pPr>
      <w:bookmarkStart w:id="81" w:name="_Toc169616876"/>
      <w:r>
        <w:rPr>
          <w:rFonts w:ascii="黑体" w:hAnsi="黑体" w:eastAsia="黑体" w:cs="黑体"/>
          <w:b w:val="0"/>
          <w:bCs w:val="0"/>
          <w:sz w:val="32"/>
        </w:rPr>
        <w:t>3</w:t>
      </w:r>
      <w:r>
        <w:rPr>
          <w:rFonts w:hint="eastAsia" w:ascii="黑体" w:hAnsi="黑体" w:eastAsia="黑体" w:cs="黑体"/>
          <w:b w:val="0"/>
          <w:bCs w:val="0"/>
          <w:sz w:val="32"/>
        </w:rPr>
        <w:t>.</w:t>
      </w:r>
      <w:r>
        <w:rPr>
          <w:rFonts w:ascii="黑体" w:hAnsi="黑体" w:eastAsia="黑体" w:cs="黑体"/>
          <w:b w:val="0"/>
          <w:bCs w:val="0"/>
          <w:sz w:val="32"/>
        </w:rPr>
        <w:t>2</w:t>
      </w:r>
      <w:r>
        <w:rPr>
          <w:rFonts w:hint="eastAsia" w:ascii="黑体" w:hAnsi="黑体" w:eastAsia="黑体" w:cs="黑体"/>
          <w:b w:val="0"/>
          <w:bCs w:val="0"/>
          <w:sz w:val="32"/>
        </w:rPr>
        <w:t>建设内容和规模</w:t>
      </w:r>
      <w:bookmarkEnd w:id="76"/>
      <w:bookmarkEnd w:id="77"/>
      <w:bookmarkEnd w:id="78"/>
      <w:bookmarkEnd w:id="79"/>
      <w:bookmarkEnd w:id="81"/>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项目包含新建主管网6379米等建设内容，具体如下。</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（1）甲逢屯新建主管网约 2151 米，其中DN400波纹管约 1417米、新建 DN315波纹管约 669 米、DN400钢管65米、300m³资源化利用设施一座。</w:t>
      </w:r>
    </w:p>
    <w:p>
      <w:pPr>
        <w:pStyle w:val="26"/>
        <w:bidi w:val="0"/>
        <w:rPr>
          <w:rFonts w:hint="eastAsia"/>
        </w:rPr>
      </w:pPr>
      <w:r>
        <w:rPr>
          <w:rFonts w:hint="eastAsia"/>
        </w:rPr>
        <w:t>（2）东海屯新建主管网3227米，其中新建DN400波纹管1580米（含100米雨水管）、新建DN315波纹管网约 1647 米，200m³资源化利用设施1座；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（3）里弄屯新建新建DN315波纹管1001米；</w:t>
      </w:r>
    </w:p>
    <w:p>
      <w:pPr>
        <w:snapToGrid w:val="0"/>
        <w:ind w:firstLine="560"/>
      </w:pPr>
      <w:r>
        <w:rPr>
          <w:rFonts w:hint="eastAsia" w:cs="宋体" w:asciiTheme="minorEastAsia" w:hAnsiTheme="minorEastAsia" w:eastAsiaTheme="minorEastAsia"/>
          <w:szCs w:val="28"/>
        </w:rPr>
        <w:t>（4）项目配套DN200PVC屯内入户管2250米，检查井272座，</w:t>
      </w:r>
      <w:r>
        <w:rPr>
          <w:rFonts w:hint="eastAsia" w:cs="宋体" w:asciiTheme="minorEastAsia" w:hAnsiTheme="minorEastAsia" w:eastAsiaTheme="minorEastAsia"/>
          <w:szCs w:val="28"/>
          <w:lang w:eastAsia="zh-CN"/>
        </w:rPr>
        <w:t>疏浚</w:t>
      </w:r>
      <w:r>
        <w:rPr>
          <w:rFonts w:hint="eastAsia" w:cs="宋体" w:asciiTheme="minorEastAsia" w:hAnsiTheme="minorEastAsia" w:eastAsiaTheme="minorEastAsia"/>
          <w:szCs w:val="28"/>
          <w:highlight w:val="green"/>
          <w:lang w:eastAsia="zh-CN"/>
        </w:rPr>
        <w:t>疏浚</w:t>
      </w:r>
      <w:r>
        <w:rPr>
          <w:rFonts w:hint="eastAsia" w:cs="宋体" w:asciiTheme="minorEastAsia" w:hAnsiTheme="minorEastAsia" w:eastAsiaTheme="minorEastAsia"/>
          <w:szCs w:val="28"/>
          <w:highlight w:val="green"/>
          <w:lang w:val="en-US" w:eastAsia="zh-CN"/>
        </w:rPr>
        <w:t>*****（管网名称）</w:t>
      </w:r>
      <w:r>
        <w:rPr>
          <w:rFonts w:hint="eastAsia" w:cs="宋体" w:asciiTheme="minorEastAsia" w:hAnsiTheme="minorEastAsia" w:eastAsiaTheme="minorEastAsia"/>
          <w:szCs w:val="28"/>
        </w:rPr>
        <w:t>3136米，清理水葫芦42000㎡。</w:t>
      </w:r>
    </w:p>
    <w:p>
      <w:pPr>
        <w:pStyle w:val="3"/>
        <w:spacing w:before="120" w:beforeLines="50"/>
        <w:rPr>
          <w:rFonts w:ascii="黑体" w:hAnsi="黑体" w:eastAsia="黑体" w:cs="黑体"/>
          <w:b w:val="0"/>
          <w:bCs w:val="0"/>
          <w:sz w:val="32"/>
        </w:rPr>
      </w:pPr>
      <w:bookmarkStart w:id="82" w:name="_Toc169616877"/>
      <w:r>
        <w:rPr>
          <w:rFonts w:hint="eastAsia" w:ascii="黑体" w:hAnsi="黑体" w:eastAsia="黑体" w:cs="黑体"/>
          <w:b w:val="0"/>
          <w:bCs w:val="0"/>
          <w:sz w:val="32"/>
        </w:rPr>
        <w:t>3.3项目产出方案</w:t>
      </w:r>
      <w:bookmarkEnd w:id="82"/>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本项目为市政项目，项目建设完成后将消除田东县平马镇合恒村里弄沟黑臭水体。项目产出成果为公共服务类产品，建成即达产。建成成果的质量要求应符合工程技术相关规划及设计提出的具体要求。</w:t>
      </w:r>
    </w:p>
    <w:p>
      <w:pPr>
        <w:pStyle w:val="2"/>
        <w:ind w:firstLine="880"/>
        <w:jc w:val="center"/>
        <w:rPr>
          <w:rFonts w:ascii="黑体" w:hAnsi="黑体" w:eastAsia="黑体" w:cs="黑体"/>
          <w:b w:val="0"/>
          <w:bCs w:val="0"/>
        </w:rPr>
      </w:pPr>
      <w:bookmarkStart w:id="83" w:name="_Toc16227"/>
      <w:bookmarkStart w:id="84" w:name="_Toc169616878"/>
      <w:r>
        <w:rPr>
          <w:rFonts w:hint="eastAsia" w:ascii="黑体" w:hAnsi="黑体" w:eastAsia="黑体" w:cs="黑体"/>
          <w:b w:val="0"/>
          <w:bCs w:val="0"/>
        </w:rPr>
        <w:t>第</w:t>
      </w:r>
      <w:r>
        <w:rPr>
          <w:rFonts w:ascii="黑体" w:hAnsi="黑体" w:eastAsia="黑体" w:cs="黑体"/>
          <w:b w:val="0"/>
          <w:bCs w:val="0"/>
        </w:rPr>
        <w:t>4</w:t>
      </w:r>
      <w:r>
        <w:rPr>
          <w:rFonts w:hint="eastAsia" w:ascii="黑体" w:hAnsi="黑体" w:eastAsia="黑体" w:cs="黑体"/>
          <w:b w:val="0"/>
          <w:bCs w:val="0"/>
        </w:rPr>
        <w:t xml:space="preserve">章 </w:t>
      </w:r>
      <w:r>
        <w:rPr>
          <w:rFonts w:ascii="黑体" w:hAnsi="黑体" w:eastAsia="黑体" w:cs="黑体"/>
          <w:b w:val="0"/>
          <w:bCs w:val="0"/>
        </w:rPr>
        <w:t xml:space="preserve"> </w:t>
      </w:r>
      <w:r>
        <w:rPr>
          <w:rFonts w:hint="eastAsia" w:ascii="黑体" w:hAnsi="黑体" w:eastAsia="黑体" w:cs="黑体"/>
          <w:b w:val="0"/>
          <w:bCs w:val="0"/>
        </w:rPr>
        <w:t>项目选址与</w:t>
      </w:r>
      <w:bookmarkEnd w:id="83"/>
      <w:r>
        <w:rPr>
          <w:rFonts w:hint="eastAsia" w:ascii="黑体" w:hAnsi="黑体" w:eastAsia="黑体" w:cs="黑体"/>
          <w:b w:val="0"/>
          <w:bCs w:val="0"/>
        </w:rPr>
        <w:t>要素保障</w:t>
      </w:r>
      <w:bookmarkEnd w:id="84"/>
    </w:p>
    <w:p>
      <w:pPr>
        <w:pStyle w:val="3"/>
        <w:spacing w:before="120" w:beforeLines="50"/>
        <w:rPr>
          <w:rFonts w:ascii="黑体" w:hAnsi="黑体" w:eastAsia="黑体" w:cs="黑体"/>
          <w:b w:val="0"/>
          <w:bCs w:val="0"/>
          <w:sz w:val="32"/>
        </w:rPr>
      </w:pPr>
      <w:bookmarkStart w:id="85" w:name="_Toc169616879"/>
      <w:r>
        <w:rPr>
          <w:rFonts w:ascii="黑体" w:hAnsi="黑体" w:eastAsia="黑体" w:cs="黑体"/>
          <w:b w:val="0"/>
          <w:bCs w:val="0"/>
          <w:sz w:val="32"/>
        </w:rPr>
        <w:t>4</w:t>
      </w:r>
      <w:r>
        <w:rPr>
          <w:rFonts w:hint="eastAsia" w:ascii="黑体" w:hAnsi="黑体" w:eastAsia="黑体" w:cs="黑体"/>
          <w:b w:val="0"/>
          <w:bCs w:val="0"/>
          <w:sz w:val="32"/>
        </w:rPr>
        <w:t>.1项目选址或选线</w:t>
      </w:r>
      <w:bookmarkEnd w:id="85"/>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4</w:t>
      </w:r>
      <w:r>
        <w:rPr>
          <w:rFonts w:hint="eastAsia" w:ascii="黑体" w:hAnsi="黑体" w:eastAsia="黑体" w:cs="黑体"/>
          <w:b w:val="0"/>
          <w:bCs w:val="0"/>
          <w:sz w:val="30"/>
          <w:szCs w:val="30"/>
        </w:rPr>
        <w:t>.1.1选址原则</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选址应遵循以下原则：</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排水系统布局合理。有良好的卫生环境，并便于设立防护地带。</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不受洪水威胁。有较好的</w:t>
      </w:r>
      <w:r>
        <w:rPr>
          <w:rFonts w:hint="eastAsia" w:cs="宋体" w:asciiTheme="minorEastAsia" w:hAnsiTheme="minorEastAsia" w:eastAsiaTheme="minorEastAsia"/>
          <w:szCs w:val="28"/>
        </w:rPr>
        <w:t>截污</w:t>
      </w:r>
      <w:r>
        <w:rPr>
          <w:rFonts w:cs="宋体" w:asciiTheme="minorEastAsia" w:hAnsiTheme="minorEastAsia" w:eastAsiaTheme="minorEastAsia"/>
          <w:szCs w:val="28"/>
        </w:rPr>
        <w:t>排除条件。</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有良好的工程地质条件，少拆迁，不占或少占良田。</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交通方便，水、电接入方便。施工、运行和维护方便。</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尽量设在地质条件较好的地方，以便施工，降低造价。</w:t>
      </w:r>
    </w:p>
    <w:p>
      <w:pPr>
        <w:snapToGrid w:val="0"/>
        <w:ind w:firstLine="560"/>
        <w:rPr>
          <w:rFonts w:cs="宋体" w:asciiTheme="minorEastAsia" w:hAnsiTheme="minorEastAsia" w:eastAsiaTheme="minorEastAsia"/>
          <w:szCs w:val="28"/>
        </w:rPr>
      </w:pPr>
      <w:r>
        <w:rPr>
          <w:rFonts w:cs="宋体" w:asciiTheme="minorEastAsia" w:hAnsiTheme="minorEastAsia" w:eastAsiaTheme="minorEastAsia"/>
          <w:szCs w:val="28"/>
        </w:rPr>
        <w:t>要充分利用地形，应选择有适当坡度的地区，以满足</w:t>
      </w:r>
      <w:r>
        <w:rPr>
          <w:rFonts w:hint="eastAsia" w:cs="宋体" w:asciiTheme="minorEastAsia" w:hAnsiTheme="minorEastAsia" w:eastAsiaTheme="minorEastAsia"/>
          <w:szCs w:val="28"/>
        </w:rPr>
        <w:t>重力管道</w:t>
      </w:r>
      <w:r>
        <w:rPr>
          <w:rFonts w:cs="宋体" w:asciiTheme="minorEastAsia" w:hAnsiTheme="minorEastAsia" w:eastAsiaTheme="minorEastAsia"/>
          <w:szCs w:val="28"/>
        </w:rPr>
        <w:t>布置需要，减少土方工程量</w:t>
      </w:r>
      <w:r>
        <w:rPr>
          <w:rFonts w:hint="eastAsia" w:cs="宋体" w:asciiTheme="minorEastAsia" w:hAnsiTheme="minorEastAsia" w:eastAsiaTheme="minorEastAsia"/>
          <w:szCs w:val="28"/>
        </w:rPr>
        <w:t>。</w:t>
      </w:r>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4</w:t>
      </w:r>
      <w:r>
        <w:rPr>
          <w:rFonts w:hint="eastAsia" w:ascii="黑体" w:hAnsi="黑体" w:eastAsia="黑体" w:cs="黑体"/>
          <w:b w:val="0"/>
          <w:bCs w:val="0"/>
          <w:sz w:val="30"/>
          <w:szCs w:val="30"/>
        </w:rPr>
        <w:t>.1.2项目选址及周边环境状况</w:t>
      </w:r>
    </w:p>
    <w:p>
      <w:pPr>
        <w:snapToGrid w:val="0"/>
        <w:ind w:firstLine="560"/>
        <w:rPr>
          <w:rFonts w:asciiTheme="minorEastAsia" w:hAnsiTheme="minorEastAsia" w:eastAsiaTheme="minorEastAsia"/>
          <w:szCs w:val="28"/>
        </w:rPr>
      </w:pPr>
      <w:r>
        <w:rPr>
          <w:rFonts w:hint="eastAsia"/>
        </w:rPr>
        <w:t>本项位于</w:t>
      </w:r>
      <w:r>
        <w:rPr>
          <w:rFonts w:hint="eastAsia" w:ascii="宋体" w:hAnsi="宋体" w:cs="宋体"/>
          <w:szCs w:val="28"/>
        </w:rPr>
        <w:t>田东县平马镇合恒村里弄屯</w:t>
      </w:r>
      <w:r>
        <w:rPr>
          <w:rFonts w:hint="eastAsia"/>
        </w:rPr>
        <w:t>，主要涉及：1</w:t>
      </w:r>
      <w:r>
        <w:t xml:space="preserve">. </w:t>
      </w:r>
      <w:r>
        <w:rPr>
          <w:rFonts w:hint="eastAsia"/>
        </w:rPr>
        <w:t>里弄屯黑臭水处理；</w:t>
      </w:r>
      <w:r>
        <w:t xml:space="preserve">2. </w:t>
      </w:r>
      <w:r>
        <w:rPr>
          <w:rFonts w:hint="eastAsia"/>
        </w:rPr>
        <w:t>里弄屯黑臭水体水葫芦塘处理；3</w:t>
      </w:r>
      <w:r>
        <w:t xml:space="preserve">. </w:t>
      </w:r>
      <w:r>
        <w:rPr>
          <w:rFonts w:hint="eastAsia"/>
        </w:rPr>
        <w:t>甲逢屯外黑臭水流域处理；</w:t>
      </w:r>
      <w:r>
        <w:t xml:space="preserve">4. </w:t>
      </w:r>
      <w:r>
        <w:rPr>
          <w:rFonts w:hint="eastAsia"/>
          <w:lang w:eastAsia="zh-CN"/>
        </w:rPr>
        <w:t>东海屯</w:t>
      </w:r>
      <w:r>
        <w:rPr>
          <w:rFonts w:hint="eastAsia"/>
        </w:rPr>
        <w:t>区域生活污水排放污染源等。</w:t>
      </w:r>
    </w:p>
    <w:p>
      <w:pPr>
        <w:snapToGrid w:val="0"/>
        <w:ind w:firstLine="560"/>
      </w:pPr>
    </w:p>
    <w:p>
      <w:pPr>
        <w:pStyle w:val="38"/>
        <w:rPr>
          <w:color w:val="auto"/>
        </w:rPr>
      </w:pPr>
    </w:p>
    <w:p>
      <w:pPr>
        <w:pStyle w:val="38"/>
        <w:rPr>
          <w:color w:val="auto"/>
        </w:rPr>
      </w:pPr>
    </w:p>
    <w:p>
      <w:pPr>
        <w:pStyle w:val="38"/>
        <w:rPr>
          <w:color w:val="auto"/>
        </w:rPr>
      </w:pPr>
    </w:p>
    <w:p>
      <w:pPr>
        <w:pStyle w:val="38"/>
        <w:rPr>
          <w:color w:val="auto"/>
        </w:rPr>
      </w:pPr>
    </w:p>
    <w:p>
      <w:pPr>
        <w:pStyle w:val="38"/>
        <w:rPr>
          <w:color w:val="auto"/>
        </w:rPr>
      </w:pPr>
    </w:p>
    <w:p>
      <w:pPr>
        <w:pStyle w:val="38"/>
        <w:rPr>
          <w:color w:val="auto"/>
        </w:rPr>
      </w:pPr>
      <w:r>
        <w:rPr>
          <w:color w:val="auto"/>
        </w:rPr>
        <mc:AlternateContent>
          <mc:Choice Requires="wps">
            <w:drawing>
              <wp:anchor distT="0" distB="0" distL="114300" distR="114300" simplePos="0" relativeHeight="251666432" behindDoc="0" locked="0" layoutInCell="1" allowOverlap="1">
                <wp:simplePos x="0" y="0"/>
                <wp:positionH relativeFrom="column">
                  <wp:posOffset>4238625</wp:posOffset>
                </wp:positionH>
                <wp:positionV relativeFrom="paragraph">
                  <wp:posOffset>1711325</wp:posOffset>
                </wp:positionV>
                <wp:extent cx="956945" cy="393065"/>
                <wp:effectExtent l="304800" t="0" r="15240" b="407035"/>
                <wp:wrapNone/>
                <wp:docPr id="13" name="矩形标注 13"/>
                <wp:cNvGraphicFramePr/>
                <a:graphic xmlns:a="http://schemas.openxmlformats.org/drawingml/2006/main">
                  <a:graphicData uri="http://schemas.microsoft.com/office/word/2010/wordprocessingShape">
                    <wps:wsp>
                      <wps:cNvSpPr/>
                      <wps:spPr>
                        <a:xfrm>
                          <a:off x="0" y="0"/>
                          <a:ext cx="956931" cy="393065"/>
                        </a:xfrm>
                        <a:prstGeom prst="wedgeRectCallout">
                          <a:avLst>
                            <a:gd name="adj1" fmla="val -80170"/>
                            <a:gd name="adj2" fmla="val 144051"/>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75pt;margin-top:134.75pt;height:30.95pt;width:75.35pt;z-index:251666432;v-text-anchor:middle;mso-width-relative:page;mso-height-relative:page;" filled="f" stroked="t" coordsize="21600,21600" o:gfxdata="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JysGR2wAAAAsBAAAPAAAAAAAAAAEAIAAAACIAAABkcnMvZG93bnJldi54bWxQSwEC&#10;FAAUAAAACACHTuJA7hYsoJwCAAAkBQAADgAAAAAAAAABACAAAAAqAQAAZHJzL2Uyb0RvYy54bWxQ&#10;SwUGAAAAAAYABgBZAQAAOAYAAAAA&#10;" adj="-6517,41915">
                <v:fill on="f" focussize="0,0"/>
                <v:stroke weight="0.25pt" color="#FF0000 [3204]" joinstyle="round"/>
                <v:imagedata o:title=""/>
                <o:lock v:ext="edit" aspectratio="f"/>
                <v:textbox>
                  <w:txbxContent>
                    <w:p>
                      <w:pPr>
                        <w:spacing w:line="24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项目区位</w:t>
                      </w:r>
                    </w:p>
                  </w:txbxContent>
                </v:textbox>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3914775</wp:posOffset>
                </wp:positionH>
                <wp:positionV relativeFrom="paragraph">
                  <wp:posOffset>2498090</wp:posOffset>
                </wp:positionV>
                <wp:extent cx="71755" cy="71755"/>
                <wp:effectExtent l="19050" t="38100" r="42545" b="42545"/>
                <wp:wrapNone/>
                <wp:docPr id="12" name="五角星 12"/>
                <wp:cNvGraphicFramePr/>
                <a:graphic xmlns:a="http://schemas.openxmlformats.org/drawingml/2006/main">
                  <a:graphicData uri="http://schemas.microsoft.com/office/word/2010/wordprocessingShape">
                    <wps:wsp>
                      <wps:cNvSpPr/>
                      <wps:spPr>
                        <a:xfrm>
                          <a:off x="0" y="0"/>
                          <a:ext cx="72000" cy="720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8.25pt;margin-top:196.7pt;height:5.65pt;width:5.65pt;z-index:251662336;v-text-anchor:middle;mso-width-relative:page;mso-height-relative:page;" fillcolor="#FF0000" filled="t" stroked="t" coordsize="72000,72000" o:gfxdata="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WiYEtsAAAALAQAADwAAAAAAAAABACAAAAAiAAAAZHJzL2Rvd25yZXYueG1sUEsBAhQA&#10;FAAAAAgAh07iQD7I0kFhAgAA4AQAAA4AAAAAAAAAAQAgAAAAKgEAAGRycy9lMm9Eb2MueG1sUEsF&#10;BgAAAAAGAAYAWQEAAP0FAAAAAA==&#10;" path="m0,27501l27501,27501,36000,0,44498,27501,71999,27501,49750,44498,58249,71999,36000,55002,13750,71999,22249,44498xe">
                <v:path o:connectlocs="36000,0;0,27501;13750,71999;58249,71999;71999,27501" o:connectangles="247,164,82,82,0"/>
                <v:fill on="t" focussize="0,0"/>
                <v:stroke weight="2pt" color="#FF0000 [3204]" joinstyle="round"/>
                <v:imagedata o:title=""/>
                <o:lock v:ext="edit" aspectratio="f"/>
              </v:shape>
            </w:pict>
          </mc:Fallback>
        </mc:AlternateContent>
      </w:r>
      <w:r>
        <w:rPr>
          <w:color w:val="auto"/>
        </w:rPr>
        <w:drawing>
          <wp:inline distT="0" distB="0" distL="0" distR="0">
            <wp:extent cx="5327015" cy="3796030"/>
            <wp:effectExtent l="0" t="0" r="6985" b="0"/>
            <wp:docPr id="9" name="图片 9" descr="C:\Users\45825\AppData\Local\Microsoft\Windows\INetCache\Content.Word\v2-94af7c5766d7e5e8609e2c3f7139255b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45825\AppData\Local\Microsoft\Windows\INetCache\Content.Word\v2-94af7c5766d7e5e8609e2c3f7139255b_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27015" cy="3796030"/>
                    </a:xfrm>
                    <a:prstGeom prst="rect">
                      <a:avLst/>
                    </a:prstGeom>
                    <a:noFill/>
                    <a:ln>
                      <a:noFill/>
                    </a:ln>
                  </pic:spPr>
                </pic:pic>
              </a:graphicData>
            </a:graphic>
          </wp:inline>
        </w:drawing>
      </w:r>
    </w:p>
    <w:p>
      <w:pPr>
        <w:ind w:firstLine="0" w:firstLineChars="0"/>
        <w:jc w:val="center"/>
        <w:rPr>
          <w:b/>
        </w:rPr>
      </w:pPr>
      <w:r>
        <w:rPr>
          <w:b/>
        </w:rPr>
        <w:t>项目区位图</w:t>
      </w:r>
    </w:p>
    <w:p>
      <w:pPr>
        <w:pStyle w:val="38"/>
        <w:rPr>
          <w:color w:val="auto"/>
        </w:rPr>
      </w:pPr>
    </w:p>
    <w:p>
      <w:pPr>
        <w:pStyle w:val="38"/>
        <w:rPr>
          <w:color w:val="auto"/>
        </w:rPr>
      </w:pPr>
      <w:r>
        <w:rPr>
          <w:color w:val="auto"/>
        </w:rPr>
        <mc:AlternateContent>
          <mc:Choice Requires="wps">
            <w:drawing>
              <wp:anchor distT="0" distB="0" distL="114300" distR="114300" simplePos="0" relativeHeight="251660288" behindDoc="0" locked="0" layoutInCell="1" allowOverlap="1">
                <wp:simplePos x="0" y="0"/>
                <wp:positionH relativeFrom="column">
                  <wp:posOffset>2590800</wp:posOffset>
                </wp:positionH>
                <wp:positionV relativeFrom="paragraph">
                  <wp:posOffset>658495</wp:posOffset>
                </wp:positionV>
                <wp:extent cx="1169035" cy="393065"/>
                <wp:effectExtent l="381000" t="0" r="12065" b="749935"/>
                <wp:wrapNone/>
                <wp:docPr id="15" name="矩形标注 15"/>
                <wp:cNvGraphicFramePr/>
                <a:graphic xmlns:a="http://schemas.openxmlformats.org/drawingml/2006/main">
                  <a:graphicData uri="http://schemas.microsoft.com/office/word/2010/wordprocessingShape">
                    <wps:wsp>
                      <wps:cNvSpPr/>
                      <wps:spPr>
                        <a:xfrm>
                          <a:off x="0" y="0"/>
                          <a:ext cx="1169035" cy="393065"/>
                        </a:xfrm>
                        <a:prstGeom prst="wedgeRectCallout">
                          <a:avLst>
                            <a:gd name="adj1" fmla="val -81989"/>
                            <a:gd name="adj2" fmla="val 22790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4pt;margin-top:51.85pt;height:30.95pt;width:92.05pt;z-index:251660288;v-text-anchor:middle;mso-width-relative:page;mso-height-relative:page;" filled="f" stroked="t" coordsize="21600,21600" o:gfxdata="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QFAit2AAAAAsBAAAPAAAAAAAAAAEAIAAAACIAAABkcnMvZG93bnJldi54bWxQSwECFAAU&#10;AAAACACHTuJAaLLKnJwCAAAlBQAADgAAAAAAAAABACAAAAAnAQAAZHJzL2Uyb0RvYy54bWxQSwUG&#10;AAAAAAYABgBZAQAANQYAAAAA&#10;" adj="-6910,60028">
                <v:fill on="f" focussize="0,0"/>
                <v:stroke weight="0.25pt" color="#FF0000 [3204]" joinstyle="round"/>
                <v:imagedata o:title=""/>
                <o:lock v:ext="edit" aspectratio="f"/>
                <v:textbox>
                  <w:txbxContent>
                    <w:p>
                      <w:pPr>
                        <w:spacing w:line="240" w:lineRule="atLeast"/>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所在地</w:t>
                      </w:r>
                    </w:p>
                  </w:txbxContent>
                </v:textbox>
              </v:shape>
            </w:pict>
          </mc:Fallback>
        </mc:AlternateContent>
      </w:r>
      <w:r>
        <w:rPr>
          <w:color w:val="auto"/>
        </w:rPr>
        <w:drawing>
          <wp:inline distT="0" distB="0" distL="0" distR="0">
            <wp:extent cx="5386705" cy="322135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a:stretch>
                      <a:fillRect/>
                    </a:stretch>
                  </pic:blipFill>
                  <pic:spPr>
                    <a:xfrm>
                      <a:off x="0" y="0"/>
                      <a:ext cx="5400345" cy="3229675"/>
                    </a:xfrm>
                    <a:prstGeom prst="rect">
                      <a:avLst/>
                    </a:prstGeom>
                  </pic:spPr>
                </pic:pic>
              </a:graphicData>
            </a:graphic>
          </wp:inline>
        </w:drawing>
      </w:r>
    </w:p>
    <w:p>
      <w:pPr>
        <w:ind w:firstLine="0" w:firstLineChars="0"/>
        <w:jc w:val="center"/>
        <w:rPr>
          <w:b/>
        </w:rPr>
      </w:pPr>
      <w:r>
        <w:rPr>
          <w:b/>
        </w:rPr>
        <w:t>项目地理位置图</w:t>
      </w:r>
    </w:p>
    <w:p>
      <w:pPr>
        <w:pStyle w:val="38"/>
        <w:rPr>
          <w:color w:val="auto"/>
        </w:rPr>
      </w:pPr>
      <w:r>
        <w:rPr>
          <w:color w:val="auto"/>
        </w:rPr>
        <w:drawing>
          <wp:inline distT="0" distB="0" distL="0" distR="0">
            <wp:extent cx="5339715" cy="3596640"/>
            <wp:effectExtent l="0" t="0" r="0" b="3810"/>
            <wp:docPr id="2" name="图片 2" descr="D:\weixin\WeChat Files\wxid_vlkwtam53lrs21\FileStorage\Temp\269e6daf9906f00578f5262b5d9c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weixin\WeChat Files\wxid_vlkwtam53lrs21\FileStorage\Temp\269e6daf9906f00578f5262b5d9c34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39715" cy="3597265"/>
                    </a:xfrm>
                    <a:prstGeom prst="rect">
                      <a:avLst/>
                    </a:prstGeom>
                    <a:noFill/>
                    <a:ln>
                      <a:noFill/>
                    </a:ln>
                  </pic:spPr>
                </pic:pic>
              </a:graphicData>
            </a:graphic>
          </wp:inline>
        </w:drawing>
      </w:r>
    </w:p>
    <w:p>
      <w:pPr>
        <w:ind w:firstLine="0" w:firstLineChars="0"/>
        <w:jc w:val="center"/>
        <w:rPr>
          <w:b/>
        </w:rPr>
      </w:pPr>
      <w:r>
        <w:rPr>
          <w:b/>
        </w:rPr>
        <w:t>项目红线范围</w:t>
      </w:r>
    </w:p>
    <w:p>
      <w:pPr>
        <w:snapToGrid w:val="0"/>
        <w:ind w:firstLine="560"/>
      </w:pPr>
      <w:r>
        <w:rPr>
          <w:rFonts w:hint="eastAsia"/>
        </w:rPr>
        <w:t>里弄屯未建设污水收集管网，主要依靠村内排水沟排放生活污水，雨污合流，里弄屯村屯内产生的生活污水通过庭院泼洒或排至道路，顺地势排入村屯房屋周边的荒地。此外，位于黑臭水体北面的合恒村，当前未建有污水管网，居民厕卫污水、厨余废水、洗浴废水等生活污水直接排入附近沟渠，该沟渠水体自北向南顺势而流，最终顺沟渠汇入里弄屯黑臭水塘。该村黑臭水体的北面岸边有3处水塘圈养养殖鸭及鱼，养殖水循环利用，圈养的鸭产生的粪污冲刷排入水塘，水塘的水外排里弄沟汇最终排入黑臭水塘。</w:t>
      </w:r>
    </w:p>
    <w:p>
      <w:pPr>
        <w:ind w:firstLine="560"/>
      </w:pPr>
      <w:r>
        <w:t>里弄屯黑臭</w:t>
      </w:r>
      <w:r>
        <w:rPr>
          <w:rFonts w:hint="eastAsia"/>
        </w:rPr>
        <w:t>水塘大面积覆盖水葫芦及藻类等植物，部分沟渠段有大量生活垃圾堆积</w:t>
      </w:r>
      <w:r>
        <w:t>。</w:t>
      </w:r>
      <w:r>
        <w:rPr>
          <w:rFonts w:hint="eastAsia"/>
        </w:rPr>
        <w:t>水塘</w:t>
      </w:r>
      <w:r>
        <w:t>沿岸部分农业种植区域产生的氮素和磷素等营养物、农药以及污染物，通过农田地表径流引起水系的有机污染、水体富营养化。由于长期的外源污染输入和水生生物残渣的沉积，导致水体底泥中富集了大量的污染物，如有机物和氮磷营养物质，这些污染物质不断向水体上层释放，成为水体污染的重要次生污染源。该水塘的底泥未进行</w:t>
      </w:r>
      <w:r>
        <w:rPr>
          <w:rFonts w:hint="eastAsia"/>
        </w:rPr>
        <w:t>过</w:t>
      </w:r>
      <w:r>
        <w:rPr>
          <w:rFonts w:hint="eastAsia"/>
          <w:lang w:eastAsia="zh-CN"/>
        </w:rPr>
        <w:t>疏浚</w:t>
      </w:r>
      <w:r>
        <w:t>，根据现场勘测，</w:t>
      </w:r>
      <w:r>
        <w:rPr>
          <w:rFonts w:hint="eastAsia"/>
        </w:rPr>
        <w:t>黑臭</w:t>
      </w:r>
      <w:r>
        <w:t>水</w:t>
      </w:r>
      <w:r>
        <w:rPr>
          <w:rFonts w:hint="eastAsia"/>
        </w:rPr>
        <w:t>塘的</w:t>
      </w:r>
      <w:r>
        <w:t>水深</w:t>
      </w:r>
      <w:r>
        <w:rPr>
          <w:rFonts w:hint="eastAsia"/>
        </w:rPr>
        <w:t>1.5~3</w:t>
      </w:r>
      <w:r>
        <w:t>m，</w:t>
      </w:r>
      <w:r>
        <w:rPr>
          <w:rFonts w:hint="eastAsia"/>
        </w:rPr>
        <w:t>水塘岸边的</w:t>
      </w:r>
      <w:r>
        <w:t>底泥厚度约0.</w:t>
      </w:r>
      <w:r>
        <w:rPr>
          <w:rFonts w:hint="eastAsia"/>
        </w:rPr>
        <w:t>4~0.5</w:t>
      </w:r>
      <w:r>
        <w:t>m，水体颜色</w:t>
      </w:r>
      <w:r>
        <w:rPr>
          <w:rFonts w:hint="eastAsia"/>
        </w:rPr>
        <w:t>不明显，现场观测为无色至淡黄</w:t>
      </w:r>
      <w:r>
        <w:t>色，底泥颜色黄</w:t>
      </w:r>
      <w:r>
        <w:rPr>
          <w:rFonts w:hint="eastAsia"/>
        </w:rPr>
        <w:t>绿</w:t>
      </w:r>
      <w:r>
        <w:t>色无异味。</w:t>
      </w:r>
      <w:r>
        <w:rPr>
          <w:rFonts w:hint="eastAsia"/>
        </w:rPr>
        <w:t>同时对水塘北面的两处黑臭沟渠进行勘测，水深0.3~0.5m，底泥厚度0.3~0.5m，底泥的颜色发黑且有重度异味。</w:t>
      </w:r>
    </w:p>
    <w:p>
      <w:pPr>
        <w:ind w:left="140" w:leftChars="50" w:right="140" w:rightChars="50" w:firstLine="560"/>
      </w:pPr>
      <w:r>
        <w:rPr>
          <w:rFonts w:hint="eastAsia"/>
        </w:rPr>
        <w:t>里弄屯</w:t>
      </w:r>
      <w:r>
        <w:t>村庄地型为平原，主要经济产业为种植芒果及水稻</w:t>
      </w:r>
      <w:r>
        <w:rPr>
          <w:rFonts w:hint="eastAsia"/>
        </w:rPr>
        <w:t>，全村</w:t>
      </w:r>
      <w:r>
        <w:t>现有芒果种植面积150亩，水稻150亩。</w:t>
      </w:r>
      <w:r>
        <w:rPr>
          <w:rFonts w:hint="eastAsia"/>
        </w:rPr>
        <w:t>里弄屯黑臭水塘的南面及东面水塘沿岸等区域有大片芒果种植区，芒果种植区与水塘岸边直接相连，种植施肥及农药的使用可能导致氮、磷等营养物质直接进入黑臭水塘，长期积累可能出现水质富营养化现象，黑臭水塘大面积生长覆盖了水葫芦等植物。</w:t>
      </w:r>
    </w:p>
    <w:p>
      <w:pPr>
        <w:ind w:firstLine="560"/>
        <w:rPr>
          <w:rFonts w:ascii="黑体" w:hAnsi="黑体" w:eastAsia="黑体" w:cs="黑体"/>
          <w:b/>
          <w:bCs/>
          <w:sz w:val="32"/>
        </w:rPr>
      </w:pPr>
      <w:r>
        <w:rPr>
          <w:rFonts w:hint="eastAsia"/>
        </w:rPr>
        <w:t>黑臭水体东北方向约500m处位置有一排污沟渠，沟渠水体颜色异常发黑且有严重酸臭味，现场监测水质溶解氧低于检出限值。该沟渠的下游与里弄屯黑臭水塘汇合，沟渠沿岸无居民集中聚居区分布，未发现有畜禽养殖，沟渠的北面约300m处为田东南华糖业有限公司二塘厂，现场调查了解二糖厂已设置规范排污口，其生产废水经处理后通过管网排入右江，未直接排入里弄屯黑臭水体。二糖厂东侧为广西田东南华纸业有限责任公司。东北面为田东县东海工业园区。现场顺延沟渠上游水流来源方向开展调查，</w:t>
      </w:r>
      <w:bookmarkStart w:id="86" w:name="_Toc1570"/>
      <w:r>
        <w:rPr>
          <w:rFonts w:hint="eastAsia"/>
        </w:rPr>
        <w:t>企业无污水排入。</w:t>
      </w:r>
    </w:p>
    <w:p>
      <w:pPr>
        <w:pStyle w:val="3"/>
        <w:spacing w:before="120" w:beforeLines="50"/>
        <w:rPr>
          <w:rFonts w:ascii="黑体" w:hAnsi="黑体" w:eastAsia="黑体" w:cs="黑体"/>
          <w:b w:val="0"/>
          <w:bCs w:val="0"/>
          <w:sz w:val="32"/>
        </w:rPr>
      </w:pPr>
      <w:bookmarkStart w:id="87" w:name="_Toc169616880"/>
      <w:r>
        <w:rPr>
          <w:rFonts w:ascii="黑体" w:hAnsi="黑体" w:eastAsia="黑体" w:cs="黑体"/>
          <w:b w:val="0"/>
          <w:bCs w:val="0"/>
          <w:sz w:val="32"/>
        </w:rPr>
        <w:t>4</w:t>
      </w:r>
      <w:r>
        <w:rPr>
          <w:rFonts w:hint="eastAsia" w:ascii="黑体" w:hAnsi="黑体" w:eastAsia="黑体" w:cs="黑体"/>
          <w:b w:val="0"/>
          <w:bCs w:val="0"/>
          <w:sz w:val="32"/>
        </w:rPr>
        <w:t>.2项目建设条件</w:t>
      </w:r>
      <w:bookmarkEnd w:id="86"/>
      <w:bookmarkEnd w:id="87"/>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4</w:t>
      </w:r>
      <w:r>
        <w:rPr>
          <w:rFonts w:hint="eastAsia" w:ascii="黑体" w:hAnsi="黑体" w:eastAsia="黑体" w:cs="黑体"/>
          <w:b w:val="0"/>
          <w:bCs w:val="0"/>
          <w:sz w:val="30"/>
          <w:szCs w:val="30"/>
        </w:rPr>
        <w:t>.2.1自然条件</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(1)地形地貌</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田东县位于广西西部，地处百色盆地腹部，右江河从西至东贯穿其中，地理位置介于东经106°53′~107°26′，北纬23°16′~24°01′之间，县境东连平果县，南与田东、天等县相邻，西与田阳县接壤，北与巴马瑶族自治县相连。县城距首府南宁市195公里，距百色市69公里，全县东西距54公里，南北距78公里，总面积2816平方公里。</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地质发展历程经历晚古代、中生代和新生代三个阶段。地层出露不全，仅见上泥盆系、石炭系、三迭系、第三系、第四系出露，占全县土地总面积的98％。境内地质构造较为复杂，大体可分为南部华夏式构造、北部广西山字型西北构造和中部右江盆地，北西断坳向斜构造。晚古生界至中生界为线状褶皱，有北西、北西西；北东、北东东和近东西向三组断裂。</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县内地表总的特点是南北群山起伏，中部地势平缓开阔，周高中低。全县盆地面积占全县面积的6.7%；丘陵面积占71.28%；山地面积分两类：岩溶地面占18.32%，土山面积占3.7%</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(2)气象</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田东县位于北回归线上，太阳辐射强，日照充足，雨量较多，霜雪较少，无霜期长，夏季炎热，冬季温和，夏湿冬干，属南亚热带季风气候。年平均降水量1165.8毫米，蒸发量1681.7毫米，蒸发量大于降水量，是全区最干旱的地区之一，由于受季风环流和地形的影响，降雨量的季节分配和地区分布差异大，其主要特点是南北山区多，右江河谷少，夏季多，冬季少，干湿季分明。以平马镇（县城、气象局）为代表，年平均气温22.2℃，最冷月一月平均温度13.7℃，最热月七月平均温度28.4℃，极端最高温度42℃，极端最低温度零下1.7℃，温度的水平差异小，垂直差异大，山地每上升100米，气温下降0.5℃~0.6℃。由于地形闭塞，地形变化大，所以气候差异也较大，总体来说，干热是田东的主要气候特点。年平均日照时数1711.2小时，其中7至9月份最多，每月达到或超过200小时，平均每天日照7小时。1、2月份最少，均在100小时以内，平均每天只有3小时。全年风向偏东风，全年平均风速2.0米/秒。极端最大风速34米/秒。</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(3)工程地质与水文地质</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lang w:bidi="zh-CN"/>
        </w:rPr>
        <w:t>田东县河流属珠江流域西江水系。境内流域面积为2816.9平方公里，其中：属右江河系县内流域面积20414平方公里；红水河系县内流域面积811.9平方公里。流域面积在10平方公里以上的河流有37条，较大的河流（县境内）有右江、龙须河、古榕江、响水河、灵岐河等5条。右江河发源于云南省广南县，流经百色、田阳后进入县境内，穿越祥周、平马、林逢、思林4个镇，流往平果、南宁方向，属常年河，四季通航。流经田东河段56公里，流域面积2044平方公里。境内注入右江一级支流有响水河、龙须河、古榕江等；北部的灵岐河（又名清水河）注入红水河，河流总长度277公里，河网密度0.098公里/平方公里，平均年流量372.2立方米/秒，年经流量为13.4亿立方米</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(4)地质构造与地震</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①地质构造情况</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根据区域地质资料，拟建场地区内无大断裂及褶皱通过田东县地质环境较脆弱，地质灾害较多发，灾情、险情较严重，县境北部及南部均分布有</w:t>
      </w:r>
      <w:r>
        <w:fldChar w:fldCharType="begin"/>
      </w:r>
      <w:r>
        <w:instrText xml:space="preserve"> HYPERLINK "javascript:0" </w:instrText>
      </w:r>
      <w:r>
        <w:fldChar w:fldCharType="separate"/>
      </w:r>
      <w:r>
        <w:rPr>
          <w:rFonts w:hint="eastAsia"/>
        </w:rPr>
        <w:t>碎屑</w:t>
      </w:r>
      <w:r>
        <w:rPr>
          <w:rFonts w:hint="eastAsia"/>
        </w:rPr>
        <w:fldChar w:fldCharType="end"/>
      </w:r>
      <w:r>
        <w:rPr>
          <w:rFonts w:hint="eastAsia"/>
        </w:rPr>
        <w:t>岩低山</w:t>
      </w:r>
      <w:r>
        <w:rPr>
          <w:rFonts w:hint="eastAsia" w:cs="宋体" w:asciiTheme="minorEastAsia" w:hAnsiTheme="minorEastAsia" w:eastAsiaTheme="minorEastAsia"/>
          <w:szCs w:val="28"/>
        </w:rPr>
        <w:t>、低山丘陵地形，岩石风化强烈，土体松散，修路、建房等人类工程活动对地质环境的影响较大，易发滑坡、崩塌等地质灾害；岩溶峰丛洼地、谷地地形主要分布于南部地区，山体陡峻，岩体节理裂隙发育，岩溶发育，危岩密布，易发</w:t>
      </w:r>
      <w:r>
        <w:fldChar w:fldCharType="begin"/>
      </w:r>
      <w:r>
        <w:instrText xml:space="preserve"> HYPERLINK "javascript:0" </w:instrText>
      </w:r>
      <w:r>
        <w:fldChar w:fldCharType="separate"/>
      </w:r>
      <w:r>
        <w:rPr>
          <w:rFonts w:hint="eastAsia"/>
        </w:rPr>
        <w:t>岩崩</w:t>
      </w:r>
      <w:r>
        <w:rPr>
          <w:rFonts w:hint="eastAsia"/>
        </w:rPr>
        <w:fldChar w:fldCharType="end"/>
      </w:r>
      <w:r>
        <w:rPr>
          <w:rFonts w:hint="eastAsia" w:cs="宋体" w:asciiTheme="minorEastAsia" w:hAnsiTheme="minorEastAsia" w:eastAsiaTheme="minorEastAsia"/>
          <w:szCs w:val="28"/>
        </w:rPr>
        <w:t>灾害；田东盆地分布有下第三系泥岩，泥岩具有一定的胀缩性，易发膨胀岩土地基胀缩变形（</w:t>
      </w:r>
      <w:r>
        <w:fldChar w:fldCharType="begin"/>
      </w:r>
      <w:r>
        <w:instrText xml:space="preserve"> HYPERLINK "javascript:0" </w:instrText>
      </w:r>
      <w:r>
        <w:fldChar w:fldCharType="separate"/>
      </w:r>
      <w:r>
        <w:rPr>
          <w:rFonts w:hint="eastAsia"/>
        </w:rPr>
        <w:t>地裂缝</w:t>
      </w:r>
      <w:r>
        <w:rPr>
          <w:rFonts w:hint="eastAsia"/>
        </w:rPr>
        <w:fldChar w:fldCharType="end"/>
      </w:r>
      <w:r>
        <w:rPr>
          <w:rFonts w:hint="eastAsia" w:cs="宋体" w:asciiTheme="minorEastAsia" w:hAnsiTheme="minorEastAsia" w:eastAsiaTheme="minorEastAsia"/>
          <w:szCs w:val="28"/>
        </w:rPr>
        <w:t>）灾害。</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②地震情况</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根据广西地震烈度区划图(1992)、田东县地震烈度为7度，设计基本加速度为0.15g，地震特征周期：0.35，设计地震分组为一组。本工程抗震设防类别为标准设防类(简称丙类)，故本工程按本地区抗震设防烈度的要求进行抗震作用计算，按7度抗震措施设防。地面粗糙类别为B类。</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③土壤</w:t>
      </w:r>
      <w:r>
        <w:rPr>
          <w:rFonts w:cs="宋体" w:asciiTheme="minorEastAsia" w:hAnsiTheme="minorEastAsia" w:eastAsiaTheme="minorEastAsia"/>
          <w:szCs w:val="28"/>
        </w:rPr>
        <w:t>资源</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根据《田东县土壤普查报告》全县水田共有6个亚类，22个土属，58个土种；旱地共有11个亚类，20个土属，23个土种；林地、荒地共有7个亚类，15个土属，16个土种。县境内土壤成土母质分为7种，分别为砂页岩母质、石灰岩母质、页岩母质、硅质岩母质、红土母质、河流洪流冲积物母质、紫色砂页岩母质等。水稻土遍及县内各个乡村，由于地处南亚热带，地形错综复杂，地貌类型多样，成土母质不同，气候条件各异，耕作制度不一，形成各种各样的水稻土。县境内旱地土壤分为四大部分：分布在砂页岩丘陵谷地的以红壤土、赤壤土、沙质黄泥土为主的旱地土壤、分布在邕色公路两旁的缓丘谷地的以第四纪红土发育为主的红土赤红壤的旱地土壤、分布在平原、河谷的以冲积土为主的旱地土壤、分布在石灰岩地区的以棕泥土为主的旱地土壤。</w:t>
      </w:r>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4</w:t>
      </w:r>
      <w:r>
        <w:rPr>
          <w:rFonts w:hint="eastAsia" w:ascii="黑体" w:hAnsi="黑体" w:eastAsia="黑体" w:cs="黑体"/>
          <w:b w:val="0"/>
          <w:bCs w:val="0"/>
          <w:sz w:val="30"/>
          <w:szCs w:val="30"/>
        </w:rPr>
        <w:t>.2.2公用设施条件</w:t>
      </w:r>
    </w:p>
    <w:p>
      <w:pPr>
        <w:snapToGrid w:val="0"/>
        <w:ind w:firstLine="560"/>
        <w:rPr>
          <w:rFonts w:cs="宋体" w:asciiTheme="minorEastAsia" w:hAnsiTheme="minorEastAsia" w:eastAsiaTheme="minorEastAsia"/>
          <w:szCs w:val="28"/>
        </w:rPr>
      </w:pPr>
      <w:r>
        <w:rPr>
          <w:rFonts w:hint="eastAsia"/>
        </w:rPr>
        <w:t>（1）项目所需的供水、电力、电信等综合管线均已布控到地块，市政配套就近接入。完全可以满足项目要求</w:t>
      </w:r>
      <w:r>
        <w:rPr>
          <w:rFonts w:hint="eastAsia" w:cs="宋体" w:asciiTheme="minorEastAsia" w:hAnsiTheme="minorEastAsia" w:eastAsiaTheme="minorEastAsia"/>
          <w:szCs w:val="28"/>
        </w:rPr>
        <w:t>。</w:t>
      </w:r>
    </w:p>
    <w:p>
      <w:pPr>
        <w:snapToGrid w:val="0"/>
        <w:ind w:firstLine="560"/>
      </w:pPr>
      <w:r>
        <w:rPr>
          <w:rFonts w:hint="eastAsia"/>
        </w:rPr>
        <w:t>（2）</w:t>
      </w:r>
      <w:r>
        <w:t>项目建设地块可进行各种施工，以当前的施工技术，场地完全能符合进行各项施工的要求，项目所需建筑材料均采用汽车运输。建筑材料和设备在田东县或就近采购，特殊部分可从百色市区采购</w:t>
      </w:r>
      <w:r>
        <w:rPr>
          <w:rFonts w:hint="eastAsia"/>
        </w:rPr>
        <w:t>。</w:t>
      </w:r>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4</w:t>
      </w:r>
      <w:r>
        <w:rPr>
          <w:rFonts w:hint="eastAsia" w:ascii="黑体" w:hAnsi="黑体" w:eastAsia="黑体" w:cs="黑体"/>
          <w:b w:val="0"/>
          <w:bCs w:val="0"/>
          <w:sz w:val="30"/>
          <w:szCs w:val="30"/>
        </w:rPr>
        <w:t>.2.3施工条件</w:t>
      </w:r>
    </w:p>
    <w:p>
      <w:pPr>
        <w:ind w:firstLine="560"/>
      </w:pPr>
      <w:r>
        <w:rPr>
          <w:rFonts w:hint="eastAsia" w:cs="宋体" w:asciiTheme="minorEastAsia" w:hAnsiTheme="minorEastAsia" w:eastAsiaTheme="minorEastAsia"/>
          <w:szCs w:val="28"/>
        </w:rPr>
        <w:t>本项目建设场址对外交通为公路运输，工地紧靠城市街道，施工场内外交通基本形成，运输有保障；施工供电、供水接自现有区域设施，现有供电、供水设施，供水、供电有保障；所需建筑材料为水泥、钢材、砂石骨料等，均可以在百色城购买。因此本项目水、电、建筑材料等施工条件成熟，符合建设要求。</w:t>
      </w:r>
    </w:p>
    <w:p>
      <w:pPr>
        <w:pStyle w:val="3"/>
        <w:spacing w:before="120" w:beforeLines="50"/>
        <w:rPr>
          <w:rFonts w:ascii="黑体" w:hAnsi="黑体" w:eastAsia="黑体" w:cs="黑体"/>
          <w:b w:val="0"/>
          <w:bCs w:val="0"/>
          <w:sz w:val="32"/>
        </w:rPr>
      </w:pPr>
      <w:bookmarkStart w:id="88" w:name="_Toc169616881"/>
      <w:r>
        <w:rPr>
          <w:rFonts w:hint="eastAsia" w:ascii="黑体" w:hAnsi="黑体" w:eastAsia="黑体" w:cs="黑体"/>
          <w:b w:val="0"/>
          <w:bCs w:val="0"/>
          <w:sz w:val="32"/>
        </w:rPr>
        <w:t>4.3要素</w:t>
      </w:r>
      <w:r>
        <w:rPr>
          <w:rFonts w:ascii="黑体" w:hAnsi="黑体" w:eastAsia="黑体" w:cs="黑体"/>
          <w:b w:val="0"/>
          <w:bCs w:val="0"/>
          <w:sz w:val="32"/>
        </w:rPr>
        <w:t>保障分析</w:t>
      </w:r>
      <w:bookmarkEnd w:id="88"/>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4.3.1土地</w:t>
      </w:r>
      <w:r>
        <w:rPr>
          <w:rFonts w:ascii="黑体" w:hAnsi="黑体" w:eastAsia="黑体" w:cs="黑体"/>
          <w:b w:val="0"/>
          <w:bCs w:val="0"/>
          <w:sz w:val="30"/>
          <w:szCs w:val="30"/>
        </w:rPr>
        <w:t>要素保障</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本项目在工程施工建设过程中，将改变建设场地的原有地貌，破坏建设区的地表植被，扰动地表，引起水土流失。因此根据国家有关水土保持法律法规的要求，坚持“预防为主、全面规划、综合防治、因地制宜、加强管理、注重效益”的方针，坚持水土保持措施与主体工程建设“同时设计、同时施工、同时投产使用”的三同时制度，必须采取相应的水土保持措施来防治工程建设造成的水土流失。</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根据《开发建设项目水土保持方案技术规范》，本工程水土流失防治责任范围包括项目建设区和直接影响区。</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项目建设区：指工程征地范围和土地使用管辖范围。包括管网</w:t>
      </w:r>
      <w:r>
        <w:rPr>
          <w:rFonts w:hint="eastAsia" w:cs="宋体" w:asciiTheme="minorEastAsia" w:hAnsiTheme="minorEastAsia" w:eastAsiaTheme="minorEastAsia"/>
          <w:szCs w:val="28"/>
        </w:rPr>
        <w:t>和黑臭水体的处理</w:t>
      </w:r>
      <w:r>
        <w:rPr>
          <w:rFonts w:cs="宋体" w:asciiTheme="minorEastAsia" w:hAnsiTheme="minorEastAsia" w:eastAsiaTheme="minorEastAsia"/>
          <w:szCs w:val="28"/>
        </w:rPr>
        <w:t>。</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直接影响区：除项目建设区以外由于开发建设活动而造成的水土流失及其直接危害范围，包括倾倒弃渣及施工扰动的其它区域</w:t>
      </w:r>
      <w:r>
        <w:rPr>
          <w:rFonts w:hint="eastAsia" w:cs="宋体" w:asciiTheme="minorEastAsia" w:hAnsiTheme="minorEastAsia" w:eastAsiaTheme="minorEastAsia"/>
          <w:szCs w:val="28"/>
        </w:rPr>
        <w:t>。</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本工程对水土的影响主要是工程施工期间的土地占用、临时修筑的运输道路、施工材料堆放、施工弃土堆放等占用或破坏部分人工植被和天然植被；施工弃土土质松散，易被降雨和地表径流冲刷流失，若处置和管理不善，易引起水土流失、淤塞沟渠和河道。水土保持措施如下：</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（1）工程措施</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1）对场地平整过程中的多余土石方，设置临时堆放场地，场地周边设置排水沟防护。多余土方、弃渣及时外运处理。</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2）边坡视其边坡坡度情况采取浆砌块石护坡、浆砌块石方格草皮护坡、浆砌块石挡土墙护脚等措施，并在护坡边沿设置砌石排水沟，以利于坡面径流、地下水流等的通畅排出。</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（2）植物复种措施</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对各种填方和挖方形成的低缓边坡或其它小于（30º）土壤自然稳定坡脚、且受到扰动的边坡采取草皮护坡处理</w:t>
      </w:r>
      <w:r>
        <w:rPr>
          <w:rFonts w:hint="eastAsia" w:cs="宋体" w:asciiTheme="minorEastAsia" w:hAnsiTheme="minorEastAsia" w:eastAsiaTheme="minorEastAsia"/>
          <w:szCs w:val="28"/>
        </w:rPr>
        <w:t>。</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4.3.2资源</w:t>
      </w:r>
      <w:r>
        <w:rPr>
          <w:rFonts w:ascii="黑体" w:hAnsi="黑体" w:eastAsia="黑体" w:cs="黑体"/>
          <w:b w:val="0"/>
          <w:bCs w:val="0"/>
          <w:sz w:val="30"/>
          <w:szCs w:val="30"/>
        </w:rPr>
        <w:t>环境要素保障</w:t>
      </w:r>
    </w:p>
    <w:p>
      <w:pPr>
        <w:pStyle w:val="4"/>
        <w:spacing w:before="120" w:beforeLines="50"/>
        <w:rPr>
          <w:rFonts w:ascii="黑体" w:hAnsi="黑体" w:eastAsia="黑体" w:cs="黑体"/>
          <w:b w:val="0"/>
          <w:bCs w:val="0"/>
          <w:szCs w:val="28"/>
        </w:rPr>
      </w:pPr>
      <w:r>
        <w:rPr>
          <w:rFonts w:hint="eastAsia" w:ascii="黑体" w:hAnsi="黑体" w:eastAsia="黑体" w:cs="黑体"/>
          <w:b w:val="0"/>
          <w:bCs w:val="0"/>
          <w:szCs w:val="28"/>
        </w:rPr>
        <w:t>4.3.2.1</w:t>
      </w:r>
      <w:r>
        <w:rPr>
          <w:rFonts w:ascii="黑体" w:hAnsi="黑体" w:eastAsia="黑体" w:cs="黑体"/>
          <w:b w:val="0"/>
          <w:bCs w:val="0"/>
          <w:szCs w:val="28"/>
        </w:rPr>
        <w:t>环</w:t>
      </w:r>
      <w:r>
        <w:rPr>
          <w:rFonts w:hint="eastAsia" w:ascii="黑体" w:hAnsi="黑体" w:eastAsia="黑体" w:cs="黑体"/>
          <w:b w:val="0"/>
          <w:bCs w:val="0"/>
          <w:szCs w:val="28"/>
        </w:rPr>
        <w:t>境评价范围及时段</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评价范围：对</w:t>
      </w:r>
      <w:r>
        <w:rPr>
          <w:rFonts w:hint="eastAsia" w:cs="宋体" w:asciiTheme="minorEastAsia" w:hAnsiTheme="minorEastAsia" w:eastAsiaTheme="minorEastAsia"/>
          <w:szCs w:val="28"/>
        </w:rPr>
        <w:t>施工区域</w:t>
      </w:r>
      <w:r>
        <w:rPr>
          <w:rFonts w:cs="宋体" w:asciiTheme="minorEastAsia" w:hAnsiTheme="minorEastAsia" w:eastAsiaTheme="minorEastAsia"/>
          <w:szCs w:val="28"/>
        </w:rPr>
        <w:t>的地面水环境、空气环境、噪声、固体废弃物等进行评价。</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评价时段：为</w:t>
      </w:r>
      <w:r>
        <w:rPr>
          <w:rFonts w:hint="eastAsia" w:cs="宋体" w:asciiTheme="minorEastAsia" w:hAnsiTheme="minorEastAsia" w:eastAsiaTheme="minorEastAsia"/>
          <w:szCs w:val="28"/>
        </w:rPr>
        <w:t>施工区域</w:t>
      </w:r>
      <w:r>
        <w:rPr>
          <w:rFonts w:cs="宋体" w:asciiTheme="minorEastAsia" w:hAnsiTheme="minorEastAsia" w:eastAsiaTheme="minorEastAsia"/>
          <w:szCs w:val="28"/>
        </w:rPr>
        <w:t>的施工期（从施工开始到工程竣工为止）及项目投入运行后的营运期，评价在正常运行状态下对周围环境影响</w:t>
      </w:r>
      <w:r>
        <w:rPr>
          <w:rFonts w:hint="eastAsia" w:cs="宋体" w:asciiTheme="minorEastAsia" w:hAnsiTheme="minorEastAsia" w:eastAsiaTheme="minorEastAsia"/>
          <w:szCs w:val="28"/>
        </w:rPr>
        <w:t>。</w:t>
      </w:r>
    </w:p>
    <w:p>
      <w:pPr>
        <w:pStyle w:val="4"/>
        <w:spacing w:before="120" w:beforeLines="50"/>
        <w:rPr>
          <w:rFonts w:cs="宋体" w:asciiTheme="minorEastAsia" w:hAnsiTheme="minorEastAsia" w:eastAsiaTheme="minorEastAsia"/>
          <w:szCs w:val="28"/>
        </w:rPr>
      </w:pPr>
      <w:r>
        <w:rPr>
          <w:rFonts w:hint="eastAsia" w:ascii="黑体" w:hAnsi="黑体" w:eastAsia="黑体" w:cs="黑体"/>
          <w:b w:val="0"/>
          <w:bCs w:val="0"/>
          <w:szCs w:val="28"/>
        </w:rPr>
        <w:t>4.3.2.2项目实施过程中的环境影响及对策</w:t>
      </w:r>
    </w:p>
    <w:p>
      <w:pPr>
        <w:ind w:firstLine="560"/>
        <w:rPr>
          <w:rFonts w:ascii="黑体" w:hAnsi="黑体" w:eastAsia="黑体" w:cs="宋体"/>
          <w:szCs w:val="28"/>
        </w:rPr>
      </w:pPr>
      <w:bookmarkStart w:id="89" w:name="_Toc141455009"/>
      <w:bookmarkStart w:id="90" w:name="_Toc5226"/>
      <w:r>
        <w:rPr>
          <w:rFonts w:hint="eastAsia" w:ascii="黑体" w:hAnsi="黑体" w:eastAsia="黑体" w:cs="宋体"/>
          <w:szCs w:val="28"/>
        </w:rPr>
        <w:t>一、</w:t>
      </w:r>
      <w:r>
        <w:rPr>
          <w:rFonts w:ascii="黑体" w:hAnsi="黑体" w:eastAsia="黑体" w:cs="宋体"/>
          <w:szCs w:val="28"/>
        </w:rPr>
        <w:t>工程建设对环境影响</w:t>
      </w:r>
      <w:bookmarkEnd w:id="89"/>
      <w:bookmarkEnd w:id="90"/>
    </w:p>
    <w:p>
      <w:pPr>
        <w:ind w:firstLine="560"/>
        <w:rPr>
          <w:rFonts w:cs="宋体" w:asciiTheme="minorEastAsia" w:hAnsiTheme="minorEastAsia" w:eastAsiaTheme="minorEastAsia"/>
          <w:szCs w:val="28"/>
        </w:rPr>
      </w:pPr>
      <w:r>
        <w:rPr>
          <w:rFonts w:cs="宋体" w:asciiTheme="minorEastAsia" w:hAnsiTheme="minorEastAsia" w:eastAsiaTheme="minorEastAsia"/>
          <w:szCs w:val="28"/>
        </w:rPr>
        <w:t>1）施工扬尘、噪声的影响</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（1）扬尘的影响</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工程施工期间，挖掘的泥土通常堆放在施工现场，短则几星期，长则数月。</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（2）噪声的影响</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施工期间的噪声主要来自施工机械和建筑材料运输、车辆马达的轰鸣及喇叭的喧闹声。</w:t>
      </w:r>
    </w:p>
    <w:p>
      <w:pPr>
        <w:ind w:firstLine="560"/>
        <w:rPr>
          <w:rFonts w:ascii="黑体" w:hAnsi="黑体" w:eastAsia="黑体" w:cs="宋体"/>
          <w:szCs w:val="28"/>
        </w:rPr>
      </w:pPr>
      <w:bookmarkStart w:id="91" w:name="_Toc25267"/>
      <w:bookmarkStart w:id="92" w:name="_Toc141455010"/>
      <w:r>
        <w:rPr>
          <w:rFonts w:hint="eastAsia" w:ascii="黑体" w:hAnsi="黑体" w:eastAsia="黑体" w:cs="宋体"/>
          <w:szCs w:val="28"/>
        </w:rPr>
        <w:t>二、</w:t>
      </w:r>
      <w:r>
        <w:rPr>
          <w:rFonts w:ascii="黑体" w:hAnsi="黑体" w:eastAsia="黑体" w:cs="宋体"/>
          <w:szCs w:val="28"/>
        </w:rPr>
        <w:t>环境影响的缓解措施</w:t>
      </w:r>
      <w:bookmarkEnd w:id="91"/>
      <w:bookmarkEnd w:id="92"/>
    </w:p>
    <w:p>
      <w:pPr>
        <w:ind w:firstLine="560"/>
        <w:rPr>
          <w:rFonts w:cs="宋体" w:asciiTheme="minorEastAsia" w:hAnsiTheme="minorEastAsia" w:eastAsiaTheme="minorEastAsia"/>
          <w:szCs w:val="28"/>
        </w:rPr>
      </w:pPr>
      <w:r>
        <w:rPr>
          <w:rFonts w:cs="宋体" w:asciiTheme="minorEastAsia" w:hAnsiTheme="minorEastAsia" w:eastAsiaTheme="minorEastAsia"/>
          <w:szCs w:val="28"/>
        </w:rPr>
        <w:t>建设单位及工程承包单位应与当地环卫部门联系，及时清理施工现场的生活废弃物；工程承包单位应对施工人员加强教育，不随意乱丢废弃物，保证工人工作生活环境的卫生质量。</w:t>
      </w:r>
    </w:p>
    <w:p>
      <w:pPr>
        <w:pStyle w:val="4"/>
        <w:spacing w:before="120" w:beforeLines="50"/>
        <w:rPr>
          <w:rFonts w:ascii="黑体" w:hAnsi="黑体" w:eastAsia="黑体" w:cs="黑体"/>
          <w:b w:val="0"/>
          <w:bCs w:val="0"/>
          <w:szCs w:val="28"/>
        </w:rPr>
      </w:pPr>
      <w:r>
        <w:rPr>
          <w:rFonts w:hint="eastAsia" w:ascii="黑体" w:hAnsi="黑体" w:eastAsia="黑体" w:cs="黑体"/>
          <w:b w:val="0"/>
          <w:bCs w:val="0"/>
          <w:szCs w:val="28"/>
        </w:rPr>
        <w:t>4.3.2.3项目建成后的环境影响及对策</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全面落实环境影响评价报告中提出的各项防治措施，具体防范措施如下：</w:t>
      </w:r>
    </w:p>
    <w:p>
      <w:pPr>
        <w:ind w:firstLine="560"/>
        <w:rPr>
          <w:rFonts w:cs="宋体" w:asciiTheme="minorEastAsia" w:hAnsiTheme="minorEastAsia" w:eastAsiaTheme="minorEastAsia"/>
          <w:szCs w:val="28"/>
        </w:rPr>
      </w:pPr>
      <w:r>
        <w:rPr>
          <w:rFonts w:cs="宋体" w:asciiTheme="minorEastAsia" w:hAnsiTheme="minorEastAsia" w:eastAsiaTheme="minorEastAsia"/>
          <w:szCs w:val="28"/>
        </w:rPr>
        <w:t>施工期：采取洒水除尘、覆盖和及时清理废弃土方等有效的防治措施，可减轻扬尘影响。采取限制施工时间和使用低噪声设备可减轻噪声的影响。施工期噪声、扬尘影响会随着施工的结束而消失，对环境影响不大。施工人员产生的生活污水经化粪池处理后用于周边农田灌溉，由于施工期产生的废水量较少，周边的农田可以全部消纳。施工期产生的土石方均回填和覆土，建筑垃圾中，对废塑料、金属及废木材，交回收部门再利用，其余的废混凝土、废砖渣可用于作回填材料或运至市政管理部门指定的地点处置</w:t>
      </w:r>
      <w:r>
        <w:rPr>
          <w:rFonts w:hint="eastAsia" w:cs="宋体" w:asciiTheme="minorEastAsia" w:hAnsiTheme="minorEastAsia" w:eastAsiaTheme="minorEastAsia"/>
          <w:szCs w:val="28"/>
        </w:rPr>
        <w:t>。</w:t>
      </w:r>
    </w:p>
    <w:p>
      <w:pPr>
        <w:pStyle w:val="4"/>
        <w:spacing w:before="120" w:beforeLines="50"/>
        <w:rPr>
          <w:rFonts w:ascii="黑体" w:hAnsi="黑体" w:eastAsia="黑体" w:cs="黑体"/>
          <w:b w:val="0"/>
          <w:bCs w:val="0"/>
          <w:szCs w:val="28"/>
        </w:rPr>
      </w:pPr>
      <w:r>
        <w:rPr>
          <w:rFonts w:hint="eastAsia" w:ascii="黑体" w:hAnsi="黑体" w:eastAsia="黑体" w:cs="黑体"/>
          <w:b w:val="0"/>
          <w:bCs w:val="0"/>
          <w:szCs w:val="28"/>
        </w:rPr>
        <w:t>4.3.2.</w:t>
      </w:r>
      <w:r>
        <w:rPr>
          <w:rFonts w:ascii="黑体" w:hAnsi="黑体" w:eastAsia="黑体" w:cs="黑体"/>
          <w:b w:val="0"/>
          <w:bCs w:val="0"/>
          <w:szCs w:val="28"/>
        </w:rPr>
        <w:t>4</w:t>
      </w:r>
      <w:r>
        <w:rPr>
          <w:rFonts w:hint="eastAsia" w:ascii="黑体" w:hAnsi="黑体" w:eastAsia="黑体" w:cs="黑体"/>
          <w:b w:val="0"/>
          <w:bCs w:val="0"/>
          <w:szCs w:val="28"/>
        </w:rPr>
        <w:t>对环境影响的对策</w:t>
      </w:r>
    </w:p>
    <w:p>
      <w:pPr>
        <w:ind w:firstLine="560"/>
      </w:pPr>
      <w:r>
        <w:t>综上所述，虽然本项目建成运行后对周围环境影响不大，但为了进一步减小对环境的影响，本项目拟将采取以下措施：</w:t>
      </w:r>
    </w:p>
    <w:p>
      <w:pPr>
        <w:ind w:firstLine="560"/>
      </w:pPr>
      <w:r>
        <w:t>1）加强噪声的防治，采用低噪声的机械设备，并采取有效的隔音措施，进一步降低噪声对环境的影响。</w:t>
      </w:r>
    </w:p>
    <w:p>
      <w:pPr>
        <w:ind w:firstLine="560"/>
      </w:pPr>
      <w:r>
        <w:t>2）</w:t>
      </w:r>
      <w:r>
        <w:rPr>
          <w:rFonts w:hint="eastAsia"/>
        </w:rPr>
        <w:t>建筑垃圾</w:t>
      </w:r>
      <w:r>
        <w:t>及时清除处置</w:t>
      </w:r>
      <w:r>
        <w:rPr>
          <w:rFonts w:hint="eastAsia"/>
        </w:rPr>
        <w:t>。</w:t>
      </w:r>
    </w:p>
    <w:p>
      <w:pPr>
        <w:pStyle w:val="2"/>
        <w:ind w:firstLine="880"/>
        <w:jc w:val="center"/>
        <w:rPr>
          <w:rFonts w:ascii="黑体" w:hAnsi="黑体" w:eastAsia="黑体" w:cs="黑体"/>
          <w:b w:val="0"/>
          <w:bCs w:val="0"/>
        </w:rPr>
      </w:pPr>
      <w:bookmarkStart w:id="93" w:name="_Toc169616882"/>
      <w:r>
        <w:rPr>
          <w:rFonts w:hint="eastAsia" w:ascii="黑体" w:hAnsi="黑体" w:eastAsia="黑体" w:cs="黑体"/>
          <w:b w:val="0"/>
          <w:bCs w:val="0"/>
        </w:rPr>
        <w:t>第</w:t>
      </w:r>
      <w:r>
        <w:rPr>
          <w:rFonts w:ascii="黑体" w:hAnsi="黑体" w:eastAsia="黑体" w:cs="黑体"/>
          <w:b w:val="0"/>
          <w:bCs w:val="0"/>
        </w:rPr>
        <w:t>5</w:t>
      </w:r>
      <w:r>
        <w:rPr>
          <w:rFonts w:hint="eastAsia" w:ascii="黑体" w:hAnsi="黑体" w:eastAsia="黑体" w:cs="黑体"/>
          <w:b w:val="0"/>
          <w:bCs w:val="0"/>
        </w:rPr>
        <w:t>章 建设工程方案</w:t>
      </w:r>
      <w:bookmarkEnd w:id="69"/>
      <w:bookmarkEnd w:id="70"/>
      <w:bookmarkEnd w:id="93"/>
    </w:p>
    <w:p>
      <w:pPr>
        <w:pStyle w:val="3"/>
        <w:spacing w:before="120" w:beforeLines="50"/>
        <w:rPr>
          <w:rFonts w:ascii="黑体" w:hAnsi="黑体" w:eastAsia="黑体" w:cs="黑体"/>
          <w:b w:val="0"/>
          <w:bCs w:val="0"/>
          <w:sz w:val="32"/>
        </w:rPr>
      </w:pPr>
      <w:bookmarkStart w:id="94" w:name="_Toc169616883"/>
      <w:r>
        <w:rPr>
          <w:rFonts w:hint="eastAsia" w:ascii="黑体" w:hAnsi="黑体" w:eastAsia="黑体" w:cs="黑体"/>
          <w:b w:val="0"/>
          <w:bCs w:val="0"/>
          <w:sz w:val="32"/>
        </w:rPr>
        <w:t>5.1指导思想和</w:t>
      </w:r>
      <w:r>
        <w:rPr>
          <w:rFonts w:ascii="黑体" w:hAnsi="黑体" w:eastAsia="黑体" w:cs="黑体"/>
          <w:b w:val="0"/>
          <w:bCs w:val="0"/>
          <w:sz w:val="32"/>
        </w:rPr>
        <w:t>设计原则</w:t>
      </w:r>
      <w:bookmarkEnd w:id="94"/>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（1）</w:t>
      </w:r>
      <w:r>
        <w:t>充分利用场地，合理布局，创造最佳效益</w:t>
      </w:r>
      <w:r>
        <w:rPr>
          <w:rFonts w:hint="eastAsia"/>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（2）</w:t>
      </w:r>
      <w:r>
        <w:t>结合地形地势条件，满足生产工艺流程的要求，各个工程设计符合国家设计标准及要求，尽量减少动力消耗</w:t>
      </w:r>
      <w:r>
        <w:rPr>
          <w:rFonts w:hint="eastAsia"/>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（3）</w:t>
      </w:r>
      <w:r>
        <w:t>充分利用现有场地自然条件，做到平面布置合理紧凑，管理方便，节约用地，尽量减少建设投资</w:t>
      </w:r>
      <w:r>
        <w:rPr>
          <w:rFonts w:hint="eastAsia"/>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（4）</w:t>
      </w:r>
      <w:r>
        <w:t>利用风向，减少气体、粉尘等相互干扰</w:t>
      </w:r>
      <w:r>
        <w:rPr>
          <w:rFonts w:hint="eastAsia" w:cs="宋体" w:asciiTheme="minorEastAsia" w:hAnsiTheme="minorEastAsia" w:eastAsiaTheme="minorEastAsia"/>
          <w:szCs w:val="28"/>
        </w:rPr>
        <w:t>；</w:t>
      </w:r>
    </w:p>
    <w:p>
      <w:pPr>
        <w:snapToGrid w:val="0"/>
        <w:ind w:firstLine="560"/>
      </w:pPr>
      <w:r>
        <w:rPr>
          <w:rFonts w:hint="eastAsia"/>
        </w:rPr>
        <w:t>（5）</w:t>
      </w:r>
      <w:r>
        <w:t>留有足够的通道宽度，满足运输、防火、防爆、安全、卫生、环保、绿化和设置管线等规范要求</w:t>
      </w:r>
      <w:r>
        <w:rPr>
          <w:rFonts w:hint="eastAsia"/>
        </w:rPr>
        <w:t>；</w:t>
      </w:r>
    </w:p>
    <w:p>
      <w:pPr>
        <w:ind w:firstLine="560"/>
      </w:pPr>
      <w:r>
        <w:rPr>
          <w:rFonts w:hint="eastAsia"/>
        </w:rPr>
        <w:t>（6）</w:t>
      </w:r>
      <w:r>
        <w:t>与城镇规划统一的原则</w:t>
      </w:r>
      <w:r>
        <w:rPr>
          <w:rFonts w:hint="eastAsia"/>
        </w:rPr>
        <w:t>。</w:t>
      </w:r>
    </w:p>
    <w:p>
      <w:pPr>
        <w:pStyle w:val="3"/>
        <w:spacing w:before="120" w:beforeLines="50"/>
        <w:rPr>
          <w:rFonts w:ascii="黑体" w:hAnsi="黑体" w:eastAsia="黑体" w:cs="黑体"/>
          <w:b w:val="0"/>
          <w:bCs w:val="0"/>
          <w:sz w:val="32"/>
        </w:rPr>
      </w:pPr>
      <w:bookmarkStart w:id="95" w:name="_Toc169616884"/>
      <w:r>
        <w:rPr>
          <w:rFonts w:ascii="黑体" w:hAnsi="黑体" w:eastAsia="黑体" w:cs="黑体"/>
          <w:b w:val="0"/>
          <w:bCs w:val="0"/>
          <w:sz w:val="32"/>
        </w:rPr>
        <w:t>5.2</w:t>
      </w:r>
      <w:r>
        <w:rPr>
          <w:rFonts w:hint="eastAsia" w:ascii="黑体" w:hAnsi="黑体" w:eastAsia="黑体" w:cs="黑体"/>
          <w:b w:val="0"/>
          <w:bCs w:val="0"/>
          <w:sz w:val="32"/>
        </w:rPr>
        <w:t>编制依据</w:t>
      </w:r>
      <w:bookmarkEnd w:id="95"/>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 xml:space="preserve"> (</w:t>
      </w:r>
      <w:r>
        <w:rPr>
          <w:rFonts w:cs="宋体" w:asciiTheme="minorEastAsia" w:hAnsiTheme="minorEastAsia" w:eastAsiaTheme="minorEastAsia"/>
          <w:szCs w:val="28"/>
        </w:rPr>
        <w:t>1</w:t>
      </w:r>
      <w:r>
        <w:rPr>
          <w:rFonts w:hint="eastAsia" w:cs="宋体" w:asciiTheme="minorEastAsia" w:hAnsiTheme="minorEastAsia" w:eastAsiaTheme="minorEastAsia"/>
          <w:szCs w:val="28"/>
        </w:rPr>
        <w:t>)《</w:t>
      </w:r>
      <w:r>
        <w:rPr>
          <w:rFonts w:hint="eastAsia" w:ascii="宋体" w:hAnsi="宋体"/>
          <w:bCs/>
        </w:rPr>
        <w:t>室外排水设计标准</w:t>
      </w:r>
      <w:r>
        <w:rPr>
          <w:rFonts w:hint="eastAsia" w:cs="宋体" w:asciiTheme="minorEastAsia" w:hAnsiTheme="minorEastAsia" w:eastAsiaTheme="minorEastAsia"/>
          <w:szCs w:val="28"/>
        </w:rPr>
        <w:t>》（</w:t>
      </w:r>
      <w:r>
        <w:rPr>
          <w:rFonts w:hint="eastAsia" w:cs="宋体" w:asciiTheme="minorEastAsia" w:hAnsiTheme="minorEastAsia" w:eastAsiaTheme="minorEastAsia"/>
          <w:bCs/>
          <w:szCs w:val="28"/>
        </w:rPr>
        <w:t>GB50014-2021</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2</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《城市给</w:t>
      </w:r>
      <w:r>
        <w:rPr>
          <w:rFonts w:hint="eastAsia"/>
        </w:rPr>
        <w:t>水工程规</w:t>
      </w:r>
      <w:r>
        <w:rPr>
          <w:rFonts w:hint="eastAsia" w:asciiTheme="minorEastAsia" w:hAnsiTheme="minorEastAsia" w:eastAsiaTheme="minorEastAsia" w:cstheme="minorEastAsia"/>
          <w:szCs w:val="28"/>
        </w:rPr>
        <w:t>划规范》（GB50282-2016）</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3</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《城市排</w:t>
      </w:r>
      <w:r>
        <w:rPr>
          <w:rFonts w:hint="eastAsia"/>
        </w:rPr>
        <w:t>水工程规</w:t>
      </w:r>
      <w:r>
        <w:rPr>
          <w:rFonts w:hint="eastAsia" w:asciiTheme="minorEastAsia" w:hAnsiTheme="minorEastAsia" w:eastAsiaTheme="minorEastAsia" w:cstheme="minorEastAsia"/>
          <w:szCs w:val="28"/>
        </w:rPr>
        <w:t>范》（GB50318-2017）</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4</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《城镇污水处理站污染物排放标准》（GB18918-2002）</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5</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《污水排入城市下水道水质标准》（GB/T31962-2018）</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6</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《城市污水处理</w:t>
      </w:r>
      <w:r>
        <w:rPr>
          <w:rFonts w:hint="eastAsia"/>
        </w:rPr>
        <w:t>工程</w:t>
      </w:r>
      <w:r>
        <w:rPr>
          <w:rFonts w:hint="eastAsia" w:asciiTheme="minorEastAsia" w:hAnsiTheme="minorEastAsia" w:eastAsiaTheme="minorEastAsia" w:cstheme="minorEastAsia"/>
          <w:szCs w:val="28"/>
        </w:rPr>
        <w:t>项目建设标准》（建标〔2011〕77号）</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7</w:t>
      </w:r>
      <w:r>
        <w:rPr>
          <w:rFonts w:hint="eastAsia" w:cs="宋体" w:asciiTheme="minorEastAsia" w:hAnsiTheme="minorEastAsia" w:eastAsiaTheme="minorEastAsia"/>
          <w:szCs w:val="28"/>
        </w:rPr>
        <w:t>)</w:t>
      </w:r>
      <w:r>
        <w:rPr>
          <w:rFonts w:hint="eastAsia" w:asciiTheme="minorEastAsia" w:hAnsiTheme="minorEastAsia" w:eastAsiaTheme="minorEastAsia" w:cstheme="minorEastAsia"/>
          <w:szCs w:val="28"/>
        </w:rPr>
        <w:t>《污水自然处</w:t>
      </w:r>
      <w:r>
        <w:rPr>
          <w:rFonts w:hint="eastAsia"/>
        </w:rPr>
        <w:t>理工程技</w:t>
      </w:r>
      <w:r>
        <w:rPr>
          <w:rFonts w:hint="eastAsia" w:asciiTheme="minorEastAsia" w:hAnsiTheme="minorEastAsia" w:eastAsiaTheme="minorEastAsia" w:cstheme="minorEastAsia"/>
          <w:szCs w:val="28"/>
        </w:rPr>
        <w:t>术规程》（CJJ/T54-2017）</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8</w:t>
      </w:r>
      <w:r>
        <w:rPr>
          <w:rFonts w:hint="eastAsia" w:cs="宋体" w:asciiTheme="minorEastAsia" w:hAnsiTheme="minorEastAsia" w:eastAsiaTheme="minorEastAsia"/>
          <w:szCs w:val="28"/>
        </w:rPr>
        <w:t>)《</w:t>
      </w:r>
      <w:r>
        <w:rPr>
          <w:rFonts w:hint="eastAsia" w:cs="宋体" w:asciiTheme="minorEastAsia" w:hAnsiTheme="minorEastAsia" w:eastAsiaTheme="minorEastAsia"/>
          <w:bCs/>
          <w:szCs w:val="28"/>
        </w:rPr>
        <w:t>雨水利用</w:t>
      </w:r>
      <w:r>
        <w:rPr>
          <w:rFonts w:hint="eastAsia"/>
        </w:rPr>
        <w:t>工程</w:t>
      </w:r>
      <w:r>
        <w:rPr>
          <w:rFonts w:hint="eastAsia" w:cs="宋体" w:asciiTheme="minorEastAsia" w:hAnsiTheme="minorEastAsia" w:eastAsiaTheme="minorEastAsia"/>
          <w:bCs/>
          <w:szCs w:val="28"/>
        </w:rPr>
        <w:t>技术规范</w:t>
      </w:r>
      <w:r>
        <w:rPr>
          <w:rFonts w:hint="eastAsia" w:cs="宋体" w:asciiTheme="minorEastAsia" w:hAnsiTheme="minorEastAsia" w:eastAsiaTheme="minorEastAsia"/>
          <w:szCs w:val="28"/>
        </w:rPr>
        <w:t>》（</w:t>
      </w:r>
      <w:r>
        <w:rPr>
          <w:rFonts w:hint="eastAsia" w:cs="宋体" w:asciiTheme="minorEastAsia" w:hAnsiTheme="minorEastAsia" w:eastAsiaTheme="minorEastAsia"/>
          <w:bCs/>
          <w:szCs w:val="28"/>
        </w:rPr>
        <w:t>SZDB/Z49-2011</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w:t>
      </w:r>
      <w:r>
        <w:rPr>
          <w:rFonts w:cs="宋体" w:asciiTheme="minorEastAsia" w:hAnsiTheme="minorEastAsia" w:eastAsiaTheme="minorEastAsia"/>
          <w:szCs w:val="28"/>
        </w:rPr>
        <w:t>9</w:t>
      </w:r>
      <w:r>
        <w:rPr>
          <w:rFonts w:hint="eastAsia" w:cs="宋体" w:asciiTheme="minorEastAsia" w:hAnsiTheme="minorEastAsia" w:eastAsiaTheme="minorEastAsia"/>
          <w:szCs w:val="28"/>
        </w:rPr>
        <w:t>)《</w:t>
      </w:r>
      <w:r>
        <w:rPr>
          <w:rFonts w:hint="eastAsia" w:cs="宋体" w:asciiTheme="minorEastAsia" w:hAnsiTheme="minorEastAsia" w:eastAsiaTheme="minorEastAsia"/>
          <w:bCs/>
          <w:szCs w:val="28"/>
        </w:rPr>
        <w:t>低影响开发雨水控制利用设施分类</w:t>
      </w:r>
      <w:r>
        <w:rPr>
          <w:rFonts w:hint="eastAsia" w:cs="宋体" w:asciiTheme="minorEastAsia" w:hAnsiTheme="minorEastAsia" w:eastAsiaTheme="minorEastAsia"/>
          <w:szCs w:val="28"/>
        </w:rPr>
        <w:t>》（</w:t>
      </w:r>
      <w:r>
        <w:rPr>
          <w:rFonts w:hint="eastAsia" w:cs="宋体" w:asciiTheme="minorEastAsia" w:hAnsiTheme="minorEastAsia" w:eastAsiaTheme="minorEastAsia"/>
          <w:bCs/>
          <w:szCs w:val="28"/>
        </w:rPr>
        <w:t>GB/T38906-2020</w:t>
      </w:r>
      <w:r>
        <w:rPr>
          <w:rFonts w:hint="eastAsia" w:cs="宋体" w:asciiTheme="minorEastAsia" w:hAnsiTheme="minorEastAsia" w:eastAsiaTheme="minorEastAsia"/>
          <w:szCs w:val="28"/>
        </w:rPr>
        <w:t>）；</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(1</w:t>
      </w:r>
      <w:r>
        <w:rPr>
          <w:rFonts w:cs="宋体" w:asciiTheme="minorEastAsia" w:hAnsiTheme="minorEastAsia" w:eastAsiaTheme="minorEastAsia"/>
          <w:szCs w:val="28"/>
        </w:rPr>
        <w:t>0</w:t>
      </w:r>
      <w:r>
        <w:rPr>
          <w:rFonts w:hint="eastAsia" w:cs="宋体" w:asciiTheme="minorEastAsia" w:hAnsiTheme="minorEastAsia" w:eastAsiaTheme="minorEastAsia"/>
          <w:szCs w:val="28"/>
        </w:rPr>
        <w:t>)《农村黑臭水体治理工作指南》（试行）（环办土壤函〔2019〕826号）；</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(1</w:t>
      </w:r>
      <w:r>
        <w:rPr>
          <w:rFonts w:cs="宋体" w:asciiTheme="minorEastAsia" w:hAnsiTheme="minorEastAsia" w:eastAsiaTheme="minorEastAsia"/>
          <w:szCs w:val="28"/>
        </w:rPr>
        <w:t>1</w:t>
      </w:r>
      <w:r>
        <w:rPr>
          <w:rFonts w:hint="eastAsia" w:cs="宋体" w:asciiTheme="minorEastAsia" w:hAnsiTheme="minorEastAsia" w:eastAsiaTheme="minorEastAsia"/>
          <w:szCs w:val="28"/>
        </w:rPr>
        <w:t>)其他相关的规范、规定。</w:t>
      </w:r>
    </w:p>
    <w:p>
      <w:pPr>
        <w:pStyle w:val="3"/>
        <w:spacing w:before="120" w:beforeLines="50"/>
        <w:rPr>
          <w:rFonts w:ascii="黑体" w:hAnsi="黑体" w:eastAsia="黑体" w:cs="黑体"/>
          <w:b w:val="0"/>
          <w:bCs w:val="0"/>
          <w:sz w:val="32"/>
        </w:rPr>
      </w:pPr>
      <w:bookmarkStart w:id="96" w:name="_Toc495307186"/>
      <w:bookmarkStart w:id="97" w:name="_Toc24166"/>
      <w:bookmarkStart w:id="98" w:name="_Toc169616885"/>
      <w:r>
        <w:rPr>
          <w:rFonts w:ascii="黑体" w:hAnsi="黑体" w:eastAsia="黑体" w:cs="黑体"/>
          <w:b w:val="0"/>
          <w:bCs w:val="0"/>
          <w:sz w:val="32"/>
        </w:rPr>
        <w:t>5</w:t>
      </w:r>
      <w:r>
        <w:rPr>
          <w:rFonts w:hint="eastAsia" w:ascii="黑体" w:hAnsi="黑体" w:eastAsia="黑体" w:cs="黑体"/>
          <w:b w:val="0"/>
          <w:bCs w:val="0"/>
          <w:sz w:val="32"/>
        </w:rPr>
        <w:t>.3</w:t>
      </w:r>
      <w:bookmarkEnd w:id="96"/>
      <w:bookmarkEnd w:id="97"/>
      <w:bookmarkStart w:id="99" w:name="_Toc8918"/>
      <w:r>
        <w:rPr>
          <w:rFonts w:ascii="黑体" w:hAnsi="黑体" w:eastAsia="黑体" w:cs="黑体"/>
          <w:b w:val="0"/>
          <w:bCs w:val="0"/>
          <w:sz w:val="32"/>
        </w:rPr>
        <w:t>管网</w:t>
      </w:r>
      <w:r>
        <w:rPr>
          <w:rFonts w:hint="eastAsia" w:ascii="黑体" w:hAnsi="黑体" w:eastAsia="黑体" w:cs="黑体"/>
          <w:b w:val="0"/>
          <w:bCs w:val="0"/>
          <w:sz w:val="32"/>
        </w:rPr>
        <w:t>工程</w:t>
      </w:r>
      <w:r>
        <w:rPr>
          <w:rFonts w:ascii="黑体" w:hAnsi="黑体" w:eastAsia="黑体" w:cs="黑体"/>
          <w:b w:val="0"/>
          <w:bCs w:val="0"/>
          <w:sz w:val="32"/>
        </w:rPr>
        <w:t>设计</w:t>
      </w:r>
      <w:bookmarkEnd w:id="98"/>
      <w:bookmarkEnd w:id="99"/>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5</w:t>
      </w:r>
      <w:r>
        <w:rPr>
          <w:rFonts w:hint="eastAsia" w:ascii="黑体" w:hAnsi="黑体" w:eastAsia="黑体" w:cs="黑体"/>
          <w:b w:val="0"/>
          <w:bCs w:val="0"/>
          <w:sz w:val="30"/>
          <w:szCs w:val="30"/>
        </w:rPr>
        <w:t>.3.1污水收集</w:t>
      </w:r>
      <w:r>
        <w:rPr>
          <w:rFonts w:ascii="黑体" w:hAnsi="黑体" w:eastAsia="黑体" w:cs="黑体"/>
          <w:b w:val="0"/>
          <w:bCs w:val="0"/>
          <w:sz w:val="30"/>
          <w:szCs w:val="30"/>
        </w:rPr>
        <w:t>管网设计原则</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（1）概述</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本设计采用雨污分流制。污水管网分布在整个排水流域内，根据管道在排水中所起的作用，可分为主干管、干管和支管。污水由支管流入干管，由干管流入主干管，由主干管流入市政管网，管道由小到大，分布类似河流，呈树枝状。污水在管道中一般是靠管道两端的水面高差从高向低处流动。在大多数情况下，管道内部是不承受压力的，即靠重力流动。</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（2）布置原则</w:t>
      </w:r>
    </w:p>
    <w:p>
      <w:pPr>
        <w:numPr>
          <w:ilvl w:val="0"/>
          <w:numId w:val="9"/>
        </w:num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管道系统布置要符合地形趋势，一般宜顺坡排水，取短捷路线。每段管道均应划给适宜的服务面积。汇水面积划分除依据明确的地形外，在平坦地区要考虑与各毗邻系统的合理分担。</w:t>
      </w:r>
    </w:p>
    <w:p>
      <w:pPr>
        <w:numPr>
          <w:ilvl w:val="0"/>
          <w:numId w:val="9"/>
        </w:num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尽量避免或减少管道穿越不容易通过的地带和构筑物如高地、基岩浅露地带、基底土质不良地带、河道、铁路、地下铁道、人防工事以及各种大断面的地下管道等。当必须穿越时，需采取必要的处理或交叉措施以保证顺利通过。</w:t>
      </w:r>
    </w:p>
    <w:p>
      <w:pPr>
        <w:numPr>
          <w:ilvl w:val="0"/>
          <w:numId w:val="9"/>
        </w:num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安排好控制点的高程。一方面应根据村庄竖向规划，部分区域没有竖向规划，保证汇水面积内各点的水都能够排出，并考虑发展，在埋深上适当留有余地，另一方面应避免因照顾个别控制点而增加全线管道埋深。对后一点，可分别采取以下几项办法和措施，局部管道覆土较浅时，采取加固措施、防冻措施。穿过局部低洼地段时，建成区采用最小管道坡度将局部低洼地带适当填高。必要时采用局部提升办法。管道坡度的改变应尽可能徐缓，避免流速骤减，导致淤积。同直径及不同直径管道在检查井内连接，一般采用管顶平接，不同直径管道也可采用设计水面平接，但在任何情况下进水管底不得低于出水管底。流量很小而地形又较平坦的上游支线，一般可采用非计算管段，即采用最小直径，按最小坡度控制。污水管网按照最高日最高时流量设计。</w:t>
      </w:r>
    </w:p>
    <w:p>
      <w:pPr>
        <w:numPr>
          <w:ilvl w:val="0"/>
          <w:numId w:val="9"/>
        </w:num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排水管道在道路下的埋设位置应符合《室外排水设计标准》（GB50014-2021）的规定。</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（3）污水管道定线</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正确的定线是合理、经济地设计污水管道系统的先决条件，是污水管道系统设计的重要环节。管道定线一般按主干管、干管、支管顺序依次进行。定线应遵循的主要原则是，应尽可能地在管线较短和埋深较小的情况下，让最大区域的污水能自流排出。定线时应充分利用地形，使管道的走向符合地形趋势，一般宜顺坡排水，管道必须具有坡度。在地形平坦地区管线虽然不长，埋深亦会增加很快，当埋深超过一定限值时，需设泵站提升污水。这样便会增加基建投资和常年运转费用，是不利的。但不建泵站而过多地增加管道埋深，不但施工难度大而且造价也很高。</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因此，在管道定线时需作方案比较，选择最适当的定线位置，使之既能尽量减少埋深，又可少建泵站。</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（4）平面布置</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污水管一般和电缆沟布于同侧，以便于电缆沟排水井可以就近接入污水检查井中。布置非机动车道或机动车道下，有利于管道疏通机械或疏通车的运行和维护。对于道路建设，当道路宽度在40米以下时，采用单侧布管，当道路宽度大于40米时，采用双侧布管。如管位冲突，根据具体道路情况作必要调整。</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（5）竖向布置</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竖向布置遵照《</w:t>
      </w:r>
      <w:r>
        <w:rPr>
          <w:rFonts w:hint="eastAsia" w:cs="宋体" w:asciiTheme="minorEastAsia" w:hAnsiTheme="minorEastAsia" w:eastAsiaTheme="minorEastAsia"/>
          <w:szCs w:val="28"/>
        </w:rPr>
        <w:t>城市工程管</w:t>
      </w:r>
      <w:r>
        <w:rPr>
          <w:rFonts w:hint="eastAsia" w:cs="宋体" w:asciiTheme="minorEastAsia" w:hAnsiTheme="minorEastAsia" w:eastAsiaTheme="minorEastAsia"/>
          <w:szCs w:val="28"/>
          <w:lang w:bidi="zh-CN"/>
        </w:rPr>
        <w:t>线综合规划规范》（GB50289-2017）规定的各种管线要求进行布设。如不能满足要求必须进行防护处理，管道在竖向布局上从上到下一般应为：电力电缆沟；电信、给水、燃气管道；雨水管渠；污水管道。</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污水管线布置在各类管线最底层。主要受上方雨水管渠埋深，以及下游已建污水干渠的渠底高程控制。污水管线由雨水管线下方穿越，交叉时的垂直净距一般控制在0.4米左右，最小不低于0.15米。当管线综合在竖向上发生冲突时，宜按照下列原则进行协调：压力管线让重力自流管线；分支管线让主干管线；小管径管线让大管径管线；可弯曲管线让不易弯曲管线。</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（6）检查井</w:t>
      </w:r>
    </w:p>
    <w:p>
      <w:pPr>
        <w:snapToGrid w:val="0"/>
        <w:ind w:firstLine="560"/>
        <w:rPr>
          <w:rFonts w:cs="宋体" w:asciiTheme="minorEastAsia" w:hAnsiTheme="minorEastAsia" w:eastAsiaTheme="minorEastAsia"/>
          <w:szCs w:val="28"/>
          <w:lang w:bidi="zh-CN"/>
        </w:rPr>
      </w:pPr>
      <w:r>
        <w:rPr>
          <w:rFonts w:hint="eastAsia" w:cs="宋体" w:asciiTheme="minorEastAsia" w:hAnsiTheme="minorEastAsia" w:eastAsiaTheme="minorEastAsia"/>
          <w:szCs w:val="28"/>
          <w:lang w:bidi="zh-CN"/>
        </w:rPr>
        <w:t>按照室外排水标准要求，污水干管依照不同管径，按每隔约30～</w:t>
      </w:r>
      <w:r>
        <w:rPr>
          <w:rFonts w:cs="宋体" w:asciiTheme="minorEastAsia" w:hAnsiTheme="minorEastAsia" w:eastAsiaTheme="minorEastAsia"/>
          <w:szCs w:val="28"/>
          <w:lang w:bidi="zh-CN"/>
        </w:rPr>
        <w:t>50</w:t>
      </w:r>
      <w:r>
        <w:rPr>
          <w:rFonts w:hint="eastAsia" w:cs="宋体" w:asciiTheme="minorEastAsia" w:hAnsiTheme="minorEastAsia" w:eastAsiaTheme="minorEastAsia"/>
          <w:szCs w:val="28"/>
          <w:lang w:bidi="zh-CN"/>
        </w:rPr>
        <w:t>m设一个检查井，井内管道连接采用管顶平接，设流槽。</w:t>
      </w:r>
    </w:p>
    <w:p>
      <w:pPr>
        <w:snapToGrid w:val="0"/>
        <w:ind w:firstLine="560"/>
        <w:rPr>
          <w:rFonts w:cs="宋体" w:asciiTheme="minorEastAsia" w:hAnsiTheme="minorEastAsia" w:eastAsiaTheme="minorEastAsia"/>
          <w:szCs w:val="28"/>
        </w:rPr>
      </w:pPr>
      <w:r>
        <w:rPr>
          <w:rFonts w:hint="eastAsia" w:cs="宋体" w:asciiTheme="minorEastAsia" w:hAnsiTheme="minorEastAsia" w:eastAsiaTheme="minorEastAsia"/>
          <w:szCs w:val="28"/>
          <w:lang w:bidi="zh-CN"/>
        </w:rPr>
        <w:t>本设计检查井采用一体化塑料排水检查井，按标准图集16S524对应规格选用，井筒内安装塑钢踏步，设防坠网</w:t>
      </w:r>
      <w:r>
        <w:rPr>
          <w:rFonts w:hint="eastAsia" w:cs="宋体" w:asciiTheme="minorEastAsia" w:hAnsiTheme="minorEastAsia" w:eastAsiaTheme="minorEastAsia"/>
          <w:szCs w:val="28"/>
        </w:rPr>
        <w:t>。</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5.3.2技术</w:t>
      </w:r>
      <w:r>
        <w:rPr>
          <w:rFonts w:ascii="黑体" w:hAnsi="黑体" w:eastAsia="黑体" w:cs="黑体"/>
          <w:b w:val="0"/>
          <w:bCs w:val="0"/>
          <w:sz w:val="30"/>
          <w:szCs w:val="30"/>
        </w:rPr>
        <w:t>标准</w:t>
      </w:r>
    </w:p>
    <w:p>
      <w:pPr>
        <w:ind w:firstLine="562"/>
        <w:rPr>
          <w:rFonts w:ascii="宋体" w:hAnsi="宋体" w:cs="宋体"/>
          <w:b/>
        </w:rPr>
      </w:pPr>
      <w:r>
        <w:rPr>
          <w:rFonts w:hint="eastAsia" w:ascii="宋体" w:hAnsi="宋体" w:cs="宋体"/>
          <w:b/>
        </w:rPr>
        <w:t>（1）雨水技术标准</w:t>
      </w:r>
    </w:p>
    <w:p>
      <w:pPr>
        <w:ind w:firstLine="560"/>
        <w:rPr>
          <w:rFonts w:ascii="宋体" w:hAnsi="宋体" w:cs="宋体"/>
        </w:rPr>
      </w:pPr>
      <w:r>
        <w:rPr>
          <w:rFonts w:hint="eastAsia" w:ascii="宋体" w:hAnsi="宋体" w:cs="宋体"/>
        </w:rPr>
        <w:t>流量计算公式：</w:t>
      </w:r>
    </w:p>
    <w:p>
      <w:pPr>
        <w:ind w:firstLine="560"/>
        <w:rPr>
          <w:rFonts w:ascii="宋体" w:hAnsi="宋体" w:cs="宋体"/>
        </w:rPr>
      </w:pPr>
      <w:r>
        <w:rPr>
          <w:rFonts w:ascii="宋体" w:hAnsi="宋体" w:cs="宋体"/>
        </w:rPr>
        <w:t>Q＝q×ψ×F（L/s）</w:t>
      </w:r>
    </w:p>
    <w:p>
      <w:pPr>
        <w:ind w:firstLine="560"/>
        <w:rPr>
          <w:rFonts w:ascii="宋体" w:hAnsi="宋体" w:cs="宋体"/>
        </w:rPr>
      </w:pPr>
      <w:r>
        <w:rPr>
          <w:rFonts w:ascii="宋体" w:hAnsi="宋体" w:cs="宋体"/>
        </w:rPr>
        <w:t>采用</w:t>
      </w:r>
      <w:r>
        <w:rPr>
          <w:rFonts w:hint="eastAsia" w:ascii="宋体" w:hAnsi="宋体" w:cs="宋体"/>
        </w:rPr>
        <w:t>田东县暴雨强度公式：</w:t>
      </w:r>
    </w:p>
    <w:p>
      <w:pPr>
        <w:spacing w:line="360" w:lineRule="auto"/>
        <w:ind w:firstLine="560"/>
        <w:rPr>
          <w:rFonts w:ascii="宋体" w:hAnsi="宋体" w:cs="宋体"/>
        </w:rPr>
      </w:pPr>
      <m:oMath>
        <m:r>
          <m:rPr>
            <m:sty m:val="p"/>
          </m:rPr>
          <w:rPr>
            <w:rFonts w:ascii="Cambria Math" w:hAnsi="Cambria Math" w:cs="宋体"/>
          </w:rPr>
          <m:t>p=3450（1+0.662</m:t>
        </m:r>
        <m:r>
          <m:rPr>
            <m:sty m:val="b"/>
            <m:scr m:val="script"/>
          </m:rPr>
          <w:rPr>
            <w:rFonts w:ascii="Cambria Math" w:hAnsi="Cambria Math" w:cs="宋体"/>
          </w:rPr>
          <m:t>l</m:t>
        </m:r>
        <m:r>
          <m:rPr>
            <m:sty m:val="p"/>
          </m:rPr>
          <w:rPr>
            <w:rFonts w:ascii="Cambria Math" w:hAnsi="Cambria Math" w:cs="宋体"/>
          </w:rPr>
          <m:t>gP）/</m:t>
        </m:r>
        <m:sSup>
          <m:sSupPr>
            <m:ctrlPr>
              <w:rPr>
                <w:rFonts w:ascii="Cambria Math" w:hAnsi="Cambria Math" w:cs="宋体"/>
                <w:bCs/>
              </w:rPr>
            </m:ctrlPr>
          </m:sSupPr>
          <m:e>
            <m:r>
              <m:rPr>
                <m:sty m:val="p"/>
              </m:rPr>
              <w:rPr>
                <w:rFonts w:ascii="Cambria Math" w:hAnsi="Cambria Math" w:cs="宋体"/>
              </w:rPr>
              <m:t>（t+12）</m:t>
            </m:r>
            <m:ctrlPr>
              <w:rPr>
                <w:rFonts w:ascii="Cambria Math" w:hAnsi="Cambria Math" w:cs="宋体"/>
                <w:bCs/>
              </w:rPr>
            </m:ctrlPr>
          </m:e>
          <m:sup>
            <m:r>
              <m:rPr/>
              <w:rPr>
                <w:rFonts w:ascii="Cambria Math" w:hAnsi="Cambria Math" w:cs="宋体"/>
              </w:rPr>
              <m:t>0.777</m:t>
            </m:r>
            <m:ctrlPr>
              <w:rPr>
                <w:rFonts w:ascii="Cambria Math" w:hAnsi="Cambria Math" w:cs="宋体"/>
                <w:bCs/>
              </w:rPr>
            </m:ctrlPr>
          </m:sup>
        </m:sSup>
      </m:oMath>
      <w:r>
        <w:rPr>
          <w:rFonts w:ascii="宋体" w:hAnsi="宋体" w:cs="宋体"/>
          <w:bCs/>
        </w:rPr>
        <w:t>（</w:t>
      </w:r>
      <w:r>
        <w:rPr>
          <w:rFonts w:hint="eastAsia" w:ascii="宋体" w:hAnsi="宋体" w:cs="宋体"/>
          <w:bCs/>
        </w:rPr>
        <w:t>L</w:t>
      </w:r>
      <w:r>
        <w:rPr>
          <w:rFonts w:ascii="宋体" w:hAnsi="宋体" w:cs="宋体"/>
          <w:bCs/>
        </w:rPr>
        <w:t>/s）</w:t>
      </w:r>
      <w:r>
        <w:rPr>
          <w:rFonts w:ascii="宋体" w:hAnsi="宋体" w:cs="宋体"/>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7" name="矩形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0pt;height:50pt;width:50pt;visibility:hidden;z-index:251665408;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uA6C0QAAAAUBAAAPAAAAAAAAAAEAIAAAACIAAABkcnMvZG93&#10;bnJldi54bWxQSwECFAAUAAAACACHTuJAt9If9wcCAAAPBAAADgAAAAAAAAABACAAAAAgAQAAZHJz&#10;L2Uyb0RvYy54bWxQSwUGAAAAAAYABgBZAQAAmQUAAAAA&#10;">
                <v:fill on="f" focussize="0,0"/>
                <v:stroke on="f"/>
                <v:imagedata o:title=""/>
                <o:lock v:ext="edit" selection="t" aspectratio="t"/>
              </v:rect>
            </w:pict>
          </mc:Fallback>
        </mc:AlternateContent>
      </w:r>
    </w:p>
    <w:p>
      <w:pPr>
        <w:ind w:firstLine="560"/>
        <w:rPr>
          <w:rFonts w:ascii="宋体" w:hAnsi="宋体" w:cs="宋体"/>
        </w:rPr>
      </w:pPr>
      <w:r>
        <w:rPr>
          <w:rFonts w:hint="eastAsia" w:ascii="宋体" w:hAnsi="宋体" w:cs="宋体"/>
        </w:rPr>
        <w:t>式中：</w:t>
      </w:r>
      <w:r>
        <w:rPr>
          <w:rFonts w:ascii="宋体" w:hAnsi="宋体" w:cs="宋体"/>
        </w:rPr>
        <w:t>t—</w:t>
      </w:r>
      <w:r>
        <w:rPr>
          <w:rFonts w:hint="eastAsia" w:ascii="宋体" w:hAnsi="宋体" w:cs="宋体"/>
        </w:rPr>
        <w:t>降雨历时（</w:t>
      </w:r>
      <w:r>
        <w:rPr>
          <w:rFonts w:ascii="宋体" w:hAnsi="宋体" w:cs="宋体"/>
        </w:rPr>
        <w:t>min），t＝t</w:t>
      </w:r>
      <w:r>
        <w:rPr>
          <w:rFonts w:ascii="宋体" w:hAnsi="宋体" w:cs="宋体"/>
          <w:vertAlign w:val="subscript"/>
        </w:rPr>
        <w:t>1</w:t>
      </w:r>
      <w:r>
        <w:rPr>
          <w:rFonts w:ascii="宋体" w:hAnsi="宋体" w:cs="宋体"/>
        </w:rPr>
        <w:t>＋t</w:t>
      </w:r>
      <w:r>
        <w:rPr>
          <w:rFonts w:ascii="宋体" w:hAnsi="宋体" w:cs="宋体"/>
          <w:vertAlign w:val="subscript"/>
        </w:rPr>
        <w:t>2</w:t>
      </w:r>
      <w:r>
        <w:rPr>
          <w:rFonts w:ascii="宋体" w:hAnsi="宋体" w:cs="宋体"/>
        </w:rPr>
        <w:t>，</w:t>
      </w:r>
      <w:r>
        <w:rPr>
          <w:rFonts w:hint="eastAsia" w:ascii="宋体" w:hAnsi="宋体" w:cs="宋体"/>
        </w:rPr>
        <w:t>其中</w:t>
      </w:r>
      <w:r>
        <w:rPr>
          <w:rFonts w:ascii="宋体" w:hAnsi="宋体" w:cs="宋体"/>
        </w:rPr>
        <w:t>t</w:t>
      </w:r>
      <w:r>
        <w:rPr>
          <w:rFonts w:ascii="宋体" w:hAnsi="宋体" w:cs="宋体"/>
          <w:vertAlign w:val="subscript"/>
        </w:rPr>
        <w:t>1</w:t>
      </w:r>
      <w:r>
        <w:rPr>
          <w:rFonts w:ascii="宋体" w:hAnsi="宋体" w:cs="宋体"/>
        </w:rPr>
        <w:t>＝10min</w:t>
      </w:r>
      <w:r>
        <w:rPr>
          <w:rFonts w:hint="eastAsia" w:ascii="宋体" w:hAnsi="宋体" w:cs="宋体"/>
        </w:rPr>
        <w:t>；</w:t>
      </w:r>
    </w:p>
    <w:p>
      <w:pPr>
        <w:ind w:firstLine="1416" w:firstLineChars="506"/>
        <w:rPr>
          <w:rFonts w:ascii="宋体" w:hAnsi="宋体" w:cs="宋体"/>
        </w:rPr>
      </w:pPr>
      <w:r>
        <w:rPr>
          <w:rFonts w:ascii="宋体" w:hAnsi="宋体" w:cs="宋体"/>
        </w:rPr>
        <w:t>P—设计重</w:t>
      </w:r>
      <w:r>
        <w:rPr>
          <w:rFonts w:hint="eastAsia" w:ascii="宋体" w:hAnsi="宋体" w:cs="宋体"/>
        </w:rPr>
        <w:t>现期，取</w:t>
      </w:r>
      <w:r>
        <w:rPr>
          <w:rFonts w:ascii="宋体" w:hAnsi="宋体" w:cs="宋体"/>
        </w:rPr>
        <w:t>P＝3a</w:t>
      </w:r>
      <w:r>
        <w:rPr>
          <w:rFonts w:hint="eastAsia" w:ascii="宋体" w:hAnsi="宋体" w:cs="宋体"/>
        </w:rPr>
        <w:t>；</w:t>
      </w:r>
    </w:p>
    <w:p>
      <w:pPr>
        <w:ind w:firstLine="1416" w:firstLineChars="506"/>
        <w:rPr>
          <w:rFonts w:ascii="宋体" w:hAnsi="宋体" w:cs="宋体"/>
        </w:rPr>
      </w:pPr>
      <w:r>
        <w:rPr>
          <w:rFonts w:ascii="宋体" w:hAnsi="宋体" w:cs="宋体"/>
        </w:rPr>
        <w:t>ψ—管道的</w:t>
      </w:r>
      <w:r>
        <w:rPr>
          <w:rFonts w:hint="eastAsia" w:ascii="宋体" w:hAnsi="宋体" w:cs="宋体"/>
        </w:rPr>
        <w:t>综合径流系数，根据管段汇水范围内的地面覆盖种类及相应的径流系数，按加权平均法确定；</w:t>
      </w:r>
    </w:p>
    <w:p>
      <w:pPr>
        <w:ind w:firstLine="1416" w:firstLineChars="506"/>
        <w:rPr>
          <w:rFonts w:ascii="宋体" w:hAnsi="宋体" w:cs="宋体"/>
        </w:rPr>
      </w:pPr>
      <w:r>
        <w:rPr>
          <w:rFonts w:ascii="宋体" w:hAnsi="宋体" w:cs="宋体"/>
        </w:rPr>
        <w:t>F—管段的</w:t>
      </w:r>
      <w:r>
        <w:rPr>
          <w:rFonts w:hint="eastAsia" w:ascii="宋体" w:hAnsi="宋体" w:cs="宋体"/>
        </w:rPr>
        <w:t>汇水面积，</w:t>
      </w:r>
      <w:r>
        <w:rPr>
          <w:rFonts w:ascii="宋体" w:hAnsi="宋体" w:cs="宋体"/>
        </w:rPr>
        <w:t>ha，</w:t>
      </w:r>
      <w:r>
        <w:rPr>
          <w:rFonts w:hint="eastAsia" w:ascii="宋体" w:hAnsi="宋体" w:cs="宋体"/>
        </w:rPr>
        <w:t>按地形和道路竖向设计划分。</w:t>
      </w:r>
    </w:p>
    <w:p>
      <w:pPr>
        <w:ind w:firstLine="562"/>
        <w:rPr>
          <w:rFonts w:ascii="宋体" w:hAnsi="宋体" w:cs="宋体"/>
          <w:b/>
        </w:rPr>
      </w:pPr>
      <w:r>
        <w:rPr>
          <w:rFonts w:hint="eastAsia" w:ascii="宋体" w:hAnsi="宋体" w:cs="宋体"/>
          <w:b/>
        </w:rPr>
        <w:t>（</w:t>
      </w:r>
      <w:r>
        <w:rPr>
          <w:rFonts w:ascii="宋体" w:hAnsi="宋体" w:cs="宋体"/>
          <w:b/>
        </w:rPr>
        <w:t>2</w:t>
      </w:r>
      <w:r>
        <w:rPr>
          <w:rFonts w:hint="eastAsia" w:ascii="宋体" w:hAnsi="宋体" w:cs="宋体"/>
          <w:b/>
        </w:rPr>
        <w:t>）分流制污水技术标准</w:t>
      </w:r>
    </w:p>
    <w:p>
      <w:pPr>
        <w:adjustRightInd w:val="0"/>
        <w:spacing w:line="360" w:lineRule="auto"/>
        <w:ind w:firstLine="548" w:firstLineChars="196"/>
        <w:jc w:val="left"/>
        <w:textAlignment w:val="baseline"/>
        <w:rPr>
          <w:rFonts w:ascii="宋体" w:hAnsi="宋体" w:cs="宋体"/>
        </w:rPr>
      </w:pPr>
      <w:r>
        <w:rPr>
          <w:rFonts w:ascii="宋体" w:hAnsi="宋体" w:cs="宋体"/>
        </w:rPr>
        <w:t>污水量（</w:t>
      </w:r>
      <w:r>
        <w:rPr>
          <w:rFonts w:hint="eastAsia" w:ascii="宋体" w:hAnsi="宋体" w:cs="宋体"/>
        </w:rPr>
        <w:t>最高日最高时）计算公式：</w:t>
      </w:r>
    </w:p>
    <w:p>
      <w:pPr>
        <w:adjustRightInd w:val="0"/>
        <w:spacing w:line="360" w:lineRule="auto"/>
        <w:ind w:firstLine="548" w:firstLineChars="196"/>
        <w:jc w:val="center"/>
        <w:textAlignment w:val="baseline"/>
        <w:rPr>
          <w:rFonts w:ascii="宋体" w:hAnsi="宋体" w:cs="宋体"/>
        </w:rPr>
      </w:pPr>
      <m:oMath>
        <m:r>
          <m:rPr>
            <m:sty m:val="p"/>
          </m:rPr>
          <w:rPr>
            <w:rFonts w:ascii="Cambria Math" w:hAnsi="Cambria Math" w:cs="宋体"/>
          </w:rPr>
          <m:t>Qmax=</m:t>
        </m:r>
        <m:f>
          <m:fPr>
            <m:ctrlPr>
              <w:rPr>
                <w:rFonts w:ascii="Cambria Math" w:hAnsi="Cambria Math" w:cs="宋体"/>
                <w:i/>
              </w:rPr>
            </m:ctrlPr>
          </m:fPr>
          <m:num>
            <m:r>
              <m:rPr>
                <m:sty m:val="p"/>
              </m:rPr>
              <w:rPr>
                <w:rFonts w:ascii="Cambria Math" w:hAnsi="Cambria Math" w:cs="宋体"/>
              </w:rPr>
              <m:t>1000</m:t>
            </m:r>
            <m:sSub>
              <m:sSubPr>
                <m:ctrlPr>
                  <w:rPr>
                    <w:rFonts w:ascii="Cambria Math" w:hAnsi="Cambria Math" w:cs="宋体"/>
                  </w:rPr>
                </m:ctrlPr>
              </m:sSubPr>
              <m:e>
                <m:r>
                  <m:rPr/>
                  <w:rPr>
                    <w:rFonts w:ascii="Cambria Math" w:hAnsi="Cambria Math" w:cs="宋体"/>
                  </w:rPr>
                  <m:t>K</m:t>
                </m:r>
                <m:ctrlPr>
                  <w:rPr>
                    <w:rFonts w:ascii="Cambria Math" w:hAnsi="Cambria Math" w:cs="宋体"/>
                    <w:i/>
                  </w:rPr>
                </m:ctrlPr>
              </m:e>
              <m:sub>
                <m:r>
                  <m:rPr/>
                  <w:rPr>
                    <w:rFonts w:ascii="Cambria Math" w:hAnsi="Cambria Math" w:cs="宋体"/>
                  </w:rPr>
                  <m:t>z</m:t>
                </m:r>
                <m:ctrlPr>
                  <w:rPr>
                    <w:rFonts w:ascii="Cambria Math" w:hAnsi="Cambria Math" w:cs="宋体"/>
                  </w:rPr>
                </m:ctrlPr>
              </m:sub>
            </m:sSub>
            <m:r>
              <m:rPr/>
              <w:rPr>
                <w:rFonts w:ascii="Cambria Math" w:hAnsi="Cambria Math" w:cs="宋体"/>
              </w:rPr>
              <m:t>×S×q</m:t>
            </m:r>
            <m:ctrlPr>
              <w:rPr>
                <w:rFonts w:ascii="Cambria Math" w:hAnsi="Cambria Math" w:cs="宋体"/>
              </w:rPr>
            </m:ctrlPr>
          </m:num>
          <m:den>
            <m:r>
              <m:rPr/>
              <w:rPr>
                <w:rFonts w:ascii="Cambria Math" w:hAnsi="Cambria Math" w:cs="宋体"/>
              </w:rPr>
              <m:t>86400</m:t>
            </m:r>
            <m:ctrlPr>
              <w:rPr>
                <w:rFonts w:ascii="Cambria Math" w:hAnsi="Cambria Math" w:cs="宋体"/>
                <w:i/>
              </w:rPr>
            </m:ctrlPr>
          </m:den>
        </m:f>
      </m:oMath>
      <w:r>
        <w:rPr>
          <w:rFonts w:ascii="宋体" w:hAnsi="宋体" w:cs="宋体"/>
        </w:rPr>
        <w:t>（</w:t>
      </w:r>
      <w:r>
        <w:rPr>
          <w:rFonts w:hint="eastAsia" w:ascii="宋体" w:hAnsi="宋体" w:cs="宋体"/>
        </w:rPr>
        <w:t>L</w:t>
      </w:r>
      <w:r>
        <w:rPr>
          <w:rFonts w:ascii="宋体" w:hAnsi="宋体" w:cs="宋体"/>
        </w:rPr>
        <w:t>/s）</w:t>
      </w:r>
    </w:p>
    <w:p>
      <w:pPr>
        <w:adjustRightInd w:val="0"/>
        <w:spacing w:line="360" w:lineRule="auto"/>
        <w:ind w:firstLine="548" w:firstLineChars="196"/>
        <w:jc w:val="left"/>
        <w:textAlignment w:val="baseline"/>
        <w:rPr>
          <w:rFonts w:ascii="宋体" w:hAnsi="宋体" w:cs="宋体"/>
        </w:rPr>
      </w:pPr>
      <w:r>
        <w:rPr>
          <w:rFonts w:hint="eastAsia" w:ascii="宋体" w:hAnsi="宋体" w:cs="宋体"/>
        </w:rPr>
        <w:t>式中：</w:t>
      </w:r>
      <w:r>
        <w:rPr>
          <w:rFonts w:ascii="宋体" w:hAnsi="宋体" w:cs="宋体"/>
        </w:rPr>
        <w:object>
          <v:shape id="_x0000_i1032" o:spt="75" type="#_x0000_t75" style="height:12.75pt;width:19.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25" r:id="rId30">
            <o:LockedField>false</o:LockedField>
          </o:OLEObject>
        </w:object>
      </w:r>
      <w:r>
        <w:rPr>
          <w:rFonts w:ascii="宋体" w:hAnsi="宋体" w:cs="宋体"/>
        </w:rPr>
        <w:t>－总变化系数</w:t>
      </w:r>
      <m:oMath>
        <m:sSub>
          <m:sSubPr>
            <m:ctrlPr>
              <w:rPr>
                <w:rFonts w:ascii="Cambria Math" w:hAnsi="Cambria Math" w:cs="宋体"/>
              </w:rPr>
            </m:ctrlPr>
          </m:sSubPr>
          <m:e>
            <m:r>
              <m:rPr/>
              <w:rPr>
                <w:rFonts w:ascii="Cambria Math" w:hAnsi="Cambria Math" w:cs="宋体"/>
              </w:rPr>
              <m:t>K</m:t>
            </m:r>
            <m:ctrlPr>
              <w:rPr>
                <w:rFonts w:ascii="Cambria Math" w:hAnsi="Cambria Math" w:cs="宋体"/>
                <w:i/>
              </w:rPr>
            </m:ctrlPr>
          </m:e>
          <m:sub>
            <m:r>
              <m:rPr/>
              <w:rPr>
                <w:rFonts w:ascii="Cambria Math" w:hAnsi="Cambria Math" w:cs="宋体"/>
              </w:rPr>
              <m:t>Z</m:t>
            </m:r>
            <m:ctrlPr>
              <w:rPr>
                <w:rFonts w:ascii="Cambria Math" w:hAnsi="Cambria Math" w:cs="宋体"/>
              </w:rPr>
            </m:ctrlPr>
          </m:sub>
        </m:sSub>
        <m:r>
          <m:rPr/>
          <w:rPr>
            <w:rFonts w:ascii="Cambria Math" w:hAnsi="Cambria Math" w:cs="宋体"/>
          </w:rPr>
          <m:t>=</m:t>
        </m:r>
        <m:f>
          <m:fPr>
            <m:ctrlPr>
              <w:rPr>
                <w:rFonts w:ascii="Cambria Math" w:hAnsi="Cambria Math" w:cs="宋体"/>
                <w:i/>
              </w:rPr>
            </m:ctrlPr>
          </m:fPr>
          <m:num>
            <m:r>
              <m:rPr/>
              <w:rPr>
                <w:rFonts w:ascii="Cambria Math" w:hAnsi="Cambria Math" w:cs="宋体"/>
              </w:rPr>
              <m:t>2.7</m:t>
            </m:r>
            <m:ctrlPr>
              <w:rPr>
                <w:rFonts w:ascii="Cambria Math" w:hAnsi="Cambria Math" w:cs="宋体"/>
                <w:i/>
              </w:rPr>
            </m:ctrlPr>
          </m:num>
          <m:den>
            <m:sSup>
              <m:sSupPr>
                <m:ctrlPr>
                  <w:rPr>
                    <w:rFonts w:ascii="Cambria Math" w:hAnsi="Cambria Math" w:cs="宋体"/>
                    <w:i/>
                  </w:rPr>
                </m:ctrlPr>
              </m:sSupPr>
              <m:e>
                <m:r>
                  <m:rPr/>
                  <w:rPr>
                    <w:rFonts w:ascii="Cambria Math" w:hAnsi="Cambria Math" w:cs="宋体"/>
                  </w:rPr>
                  <m:t>Q</m:t>
                </m:r>
                <m:ctrlPr>
                  <w:rPr>
                    <w:rFonts w:ascii="Cambria Math" w:hAnsi="Cambria Math" w:cs="宋体"/>
                    <w:i/>
                  </w:rPr>
                </m:ctrlPr>
              </m:e>
              <m:sup>
                <m:r>
                  <m:rPr/>
                  <w:rPr>
                    <w:rFonts w:ascii="Cambria Math" w:hAnsi="Cambria Math" w:cs="宋体"/>
                  </w:rPr>
                  <m:t>0.108</m:t>
                </m:r>
                <m:ctrlPr>
                  <w:rPr>
                    <w:rFonts w:ascii="Cambria Math" w:hAnsi="Cambria Math" w:cs="宋体"/>
                    <w:i/>
                  </w:rPr>
                </m:ctrlPr>
              </m:sup>
            </m:sSup>
            <m:ctrlPr>
              <w:rPr>
                <w:rFonts w:ascii="Cambria Math" w:hAnsi="Cambria Math" w:cs="宋体"/>
                <w:i/>
              </w:rPr>
            </m:ctrlPr>
          </m:den>
        </m:f>
      </m:oMath>
      <w:r>
        <w:rPr>
          <w:rFonts w:hint="eastAsia" w:ascii="宋体" w:hAnsi="宋体" w:cs="宋体"/>
        </w:rPr>
        <w:t>；</w:t>
      </w:r>
    </w:p>
    <w:p>
      <w:pPr>
        <w:ind w:firstLine="1416" w:firstLineChars="506"/>
        <w:rPr>
          <w:rFonts w:ascii="宋体" w:hAnsi="宋体" w:cs="宋体"/>
        </w:rPr>
      </w:pPr>
      <w:r>
        <w:rPr>
          <w:rFonts w:ascii="宋体" w:hAnsi="宋体" w:cs="宋体"/>
        </w:rPr>
        <w:t>S－管段</w:t>
      </w:r>
      <w:r>
        <w:rPr>
          <w:rFonts w:hint="eastAsia" w:ascii="宋体" w:hAnsi="宋体" w:cs="宋体"/>
        </w:rPr>
        <w:t>汇水面积（</w:t>
      </w:r>
      <w:r>
        <w:rPr>
          <w:rFonts w:ascii="宋体" w:hAnsi="宋体" w:cs="宋体"/>
        </w:rPr>
        <w:t>ha）；</w:t>
      </w:r>
    </w:p>
    <w:p>
      <w:pPr>
        <w:ind w:firstLine="1416" w:firstLineChars="506"/>
        <w:rPr>
          <w:rFonts w:ascii="宋体" w:hAnsi="宋体" w:cs="宋体"/>
        </w:rPr>
      </w:pPr>
      <w:r>
        <w:rPr>
          <w:rFonts w:ascii="宋体" w:hAnsi="宋体" w:cs="宋体"/>
        </w:rPr>
        <w:t>q－设计</w:t>
      </w:r>
      <w:r>
        <w:rPr>
          <w:rFonts w:hint="eastAsia" w:ascii="宋体" w:hAnsi="宋体" w:cs="宋体"/>
        </w:rPr>
        <w:t>综合污水量标准</w:t>
      </w:r>
      <w:r>
        <w:rPr>
          <w:rFonts w:ascii="宋体" w:hAnsi="宋体" w:cs="宋体"/>
        </w:rPr>
        <w:t>(m</w:t>
      </w:r>
      <w:r>
        <w:rPr>
          <w:rFonts w:ascii="宋体" w:hAnsi="宋体" w:cs="宋体"/>
          <w:vertAlign w:val="superscript"/>
        </w:rPr>
        <w:t>3</w:t>
      </w:r>
      <w:r>
        <w:rPr>
          <w:rFonts w:ascii="宋体" w:hAnsi="宋体" w:cs="宋体"/>
        </w:rPr>
        <w:t>/d·ha)。</w:t>
      </w:r>
    </w:p>
    <w:p>
      <w:pPr>
        <w:ind w:firstLine="562"/>
        <w:rPr>
          <w:rFonts w:ascii="宋体" w:hAnsi="宋体" w:cs="宋体"/>
          <w:b/>
        </w:rPr>
      </w:pPr>
      <w:r>
        <w:rPr>
          <w:rFonts w:hint="eastAsia" w:ascii="宋体" w:hAnsi="宋体" w:cs="宋体"/>
          <w:b/>
        </w:rPr>
        <w:t>（</w:t>
      </w:r>
      <w:r>
        <w:rPr>
          <w:rFonts w:ascii="宋体" w:hAnsi="宋体" w:cs="宋体"/>
          <w:b/>
        </w:rPr>
        <w:t>3</w:t>
      </w:r>
      <w:r>
        <w:rPr>
          <w:rFonts w:hint="eastAsia" w:ascii="宋体" w:hAnsi="宋体" w:cs="宋体"/>
          <w:b/>
        </w:rPr>
        <w:t>）合流制污水技术标准</w:t>
      </w:r>
    </w:p>
    <w:p>
      <w:pPr>
        <w:ind w:firstLine="560"/>
        <w:rPr>
          <w:rFonts w:ascii="宋体" w:hAnsi="宋体" w:cs="宋体"/>
        </w:rPr>
      </w:pPr>
      <w:r>
        <w:rPr>
          <w:rFonts w:ascii="宋体" w:hAnsi="宋体" w:cs="宋体"/>
        </w:rPr>
        <w:t>合</w:t>
      </w:r>
      <w:r>
        <w:rPr>
          <w:rFonts w:hint="eastAsia" w:ascii="宋体" w:hAnsi="宋体" w:cs="宋体"/>
        </w:rPr>
        <w:t>流量计算公式：</w:t>
      </w:r>
      <w:r>
        <w:rPr>
          <w:rFonts w:ascii="宋体" w:hAnsi="宋体" w:cs="宋体"/>
        </w:rPr>
        <w:object>
          <v:shape id="_x0000_i1033" o:spt="75" type="#_x0000_t75" style="height:19.5pt;width:182.3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26" r:id="rId32">
            <o:LockedField>false</o:LockedField>
          </o:OLEObject>
        </w:object>
      </w:r>
    </w:p>
    <w:p>
      <w:pPr>
        <w:ind w:firstLine="560"/>
        <w:rPr>
          <w:rFonts w:ascii="宋体" w:hAnsi="宋体" w:cs="宋体"/>
        </w:rPr>
      </w:pPr>
      <w:r>
        <w:rPr>
          <w:rFonts w:hint="eastAsia" w:ascii="宋体" w:hAnsi="宋体" w:cs="宋体"/>
        </w:rPr>
        <w:t>式中：</w:t>
      </w:r>
      <w:r>
        <w:rPr>
          <w:rFonts w:ascii="宋体" w:hAnsi="宋体" w:cs="宋体"/>
        </w:rPr>
        <w:t>Q—设计</w:t>
      </w:r>
      <w:r>
        <w:rPr>
          <w:rFonts w:hint="eastAsia" w:ascii="宋体" w:hAnsi="宋体" w:cs="宋体"/>
        </w:rPr>
        <w:t>流量（</w:t>
      </w:r>
      <w:r>
        <w:rPr>
          <w:rFonts w:ascii="宋体" w:hAnsi="宋体" w:cs="宋体"/>
        </w:rPr>
        <w:t>L/S）；</w:t>
      </w:r>
    </w:p>
    <w:p>
      <w:pPr>
        <w:ind w:firstLine="1416" w:firstLineChars="506"/>
        <w:rPr>
          <w:rFonts w:ascii="宋体" w:hAnsi="宋体" w:cs="宋体"/>
        </w:rPr>
      </w:pPr>
      <w:r>
        <w:rPr>
          <w:rFonts w:ascii="宋体" w:hAnsi="宋体" w:cs="宋体"/>
        </w:rPr>
        <w:t>Qd—设计</w:t>
      </w:r>
      <w:r>
        <w:rPr>
          <w:rFonts w:hint="eastAsia" w:ascii="宋体" w:hAnsi="宋体" w:cs="宋体"/>
        </w:rPr>
        <w:t>综合污水量（</w:t>
      </w:r>
      <w:r>
        <w:rPr>
          <w:rFonts w:ascii="宋体" w:hAnsi="宋体" w:cs="宋体"/>
        </w:rPr>
        <w:t>L/S）；</w:t>
      </w:r>
    </w:p>
    <w:p>
      <w:pPr>
        <w:ind w:firstLine="1416" w:firstLineChars="506"/>
        <w:rPr>
          <w:rFonts w:ascii="宋体" w:hAnsi="宋体" w:cs="宋体"/>
        </w:rPr>
      </w:pPr>
      <w:r>
        <w:rPr>
          <w:rFonts w:ascii="宋体" w:hAnsi="宋体" w:cs="宋体"/>
        </w:rPr>
        <w:t>Qm—设计工业废水量（L/S）；</w:t>
      </w:r>
    </w:p>
    <w:p>
      <w:pPr>
        <w:ind w:firstLine="1416" w:firstLineChars="506"/>
        <w:rPr>
          <w:rFonts w:ascii="宋体" w:hAnsi="宋体" w:cs="宋体"/>
        </w:rPr>
      </w:pPr>
      <w:r>
        <w:rPr>
          <w:rFonts w:ascii="宋体" w:hAnsi="宋体" w:cs="宋体"/>
        </w:rPr>
        <w:t>Qs—</w:t>
      </w:r>
      <w:r>
        <w:rPr>
          <w:rFonts w:hint="eastAsia" w:ascii="宋体" w:hAnsi="宋体" w:cs="宋体"/>
        </w:rPr>
        <w:t>雨季设计流量（</w:t>
      </w:r>
      <w:r>
        <w:rPr>
          <w:rFonts w:ascii="宋体" w:hAnsi="宋体" w:cs="宋体"/>
        </w:rPr>
        <w:t>L/S）；</w:t>
      </w:r>
    </w:p>
    <w:p>
      <w:pPr>
        <w:ind w:firstLine="1416" w:firstLineChars="506"/>
        <w:rPr>
          <w:rFonts w:ascii="宋体" w:hAnsi="宋体" w:cs="宋体"/>
        </w:rPr>
      </w:pPr>
      <w:r>
        <w:rPr>
          <w:rFonts w:ascii="宋体" w:hAnsi="宋体" w:cs="宋体"/>
        </w:rPr>
        <w:t>Qdr—</w:t>
      </w:r>
      <w:r>
        <w:rPr>
          <w:rFonts w:hint="eastAsia" w:ascii="宋体" w:hAnsi="宋体" w:cs="宋体"/>
        </w:rPr>
        <w:t>截流井以前的旱季污水量（</w:t>
      </w:r>
      <w:r>
        <w:rPr>
          <w:rFonts w:ascii="宋体" w:hAnsi="宋体" w:cs="宋体"/>
        </w:rPr>
        <w:t>L/S）；</w:t>
      </w:r>
    </w:p>
    <w:p>
      <w:pPr>
        <w:ind w:firstLine="562"/>
        <w:rPr>
          <w:rFonts w:ascii="宋体" w:hAnsi="宋体" w:cs="宋体"/>
          <w:b/>
        </w:rPr>
      </w:pPr>
      <w:r>
        <w:rPr>
          <w:rFonts w:hint="eastAsia" w:ascii="宋体" w:hAnsi="宋体" w:cs="宋体"/>
          <w:b/>
        </w:rPr>
        <w:t>（</w:t>
      </w:r>
      <w:r>
        <w:rPr>
          <w:rFonts w:ascii="宋体" w:hAnsi="宋体" w:cs="宋体"/>
          <w:b/>
        </w:rPr>
        <w:t>4</w:t>
      </w:r>
      <w:r>
        <w:rPr>
          <w:rFonts w:hint="eastAsia" w:ascii="宋体" w:hAnsi="宋体" w:cs="宋体"/>
          <w:b/>
        </w:rPr>
        <w:t>）截流制污水技术标准</w:t>
      </w:r>
    </w:p>
    <w:p>
      <w:pPr>
        <w:ind w:firstLine="560"/>
        <w:rPr>
          <w:rFonts w:ascii="宋体" w:hAnsi="宋体" w:cs="宋体"/>
        </w:rPr>
      </w:pPr>
      <w:r>
        <w:rPr>
          <w:rFonts w:ascii="宋体" w:hAnsi="宋体" w:cs="宋体"/>
        </w:rPr>
        <w:t>合</w:t>
      </w:r>
      <w:r>
        <w:rPr>
          <w:rFonts w:hint="eastAsia" w:ascii="宋体" w:hAnsi="宋体" w:cs="宋体"/>
        </w:rPr>
        <w:t>流量计算公式：</w:t>
      </w:r>
      <w:r>
        <w:rPr>
          <w:rFonts w:ascii="宋体" w:hAnsi="宋体" w:cs="宋体"/>
        </w:rPr>
        <w:object>
          <v:shape id="_x0000_i1034" o:spt="75" type="#_x0000_t75" style="height:19.5pt;width:173.2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27" r:id="rId34">
            <o:LockedField>false</o:LockedField>
          </o:OLEObject>
        </w:object>
      </w:r>
    </w:p>
    <w:p>
      <w:pPr>
        <w:ind w:firstLine="560"/>
        <w:rPr>
          <w:rFonts w:ascii="宋体" w:hAnsi="宋体" w:cs="宋体"/>
        </w:rPr>
      </w:pPr>
      <w:r>
        <w:rPr>
          <w:rFonts w:hint="eastAsia" w:ascii="宋体" w:hAnsi="宋体" w:cs="宋体"/>
        </w:rPr>
        <w:t>式中：</w:t>
      </w:r>
      <w:r>
        <w:rPr>
          <w:rFonts w:ascii="宋体" w:hAnsi="宋体" w:cs="宋体"/>
        </w:rPr>
        <w:t>Q＇—</w:t>
      </w:r>
      <w:r>
        <w:rPr>
          <w:rFonts w:hint="eastAsia" w:ascii="宋体" w:hAnsi="宋体" w:cs="宋体"/>
        </w:rPr>
        <w:t>截流井以后的流量（L/S）</w:t>
      </w:r>
      <w:r>
        <w:rPr>
          <w:rFonts w:ascii="宋体" w:hAnsi="宋体" w:cs="宋体"/>
        </w:rPr>
        <w:t>；</w:t>
      </w:r>
    </w:p>
    <w:p>
      <w:pPr>
        <w:ind w:firstLine="1416" w:firstLineChars="506"/>
        <w:rPr>
          <w:rFonts w:ascii="宋体" w:hAnsi="宋体" w:cs="宋体"/>
        </w:rPr>
      </w:pPr>
      <w:r>
        <w:rPr>
          <w:rFonts w:ascii="宋体" w:hAnsi="宋体" w:cs="宋体"/>
        </w:rPr>
        <w:t>n0—</w:t>
      </w:r>
      <w:r>
        <w:rPr>
          <w:rFonts w:hint="eastAsia" w:ascii="宋体" w:hAnsi="宋体" w:cs="宋体"/>
        </w:rPr>
        <w:t>截流倍数，现状取</w:t>
      </w:r>
      <w:r>
        <w:rPr>
          <w:rFonts w:ascii="宋体" w:hAnsi="宋体" w:cs="宋体"/>
        </w:rPr>
        <w:t>n</w:t>
      </w:r>
      <w:r>
        <w:rPr>
          <w:rFonts w:ascii="宋体" w:hAnsi="宋体" w:cs="宋体"/>
          <w:vertAlign w:val="subscript"/>
        </w:rPr>
        <w:t>0</w:t>
      </w:r>
      <w:r>
        <w:rPr>
          <w:rFonts w:ascii="宋体" w:hAnsi="宋体" w:cs="宋体"/>
        </w:rPr>
        <w:t>=1.3，</w:t>
      </w:r>
      <w:r>
        <w:rPr>
          <w:rFonts w:hint="eastAsia" w:ascii="宋体" w:hAnsi="宋体" w:cs="宋体"/>
        </w:rPr>
        <w:t>本工程设计远期取</w:t>
      </w:r>
      <w:r>
        <w:rPr>
          <w:rFonts w:ascii="宋体" w:hAnsi="宋体" w:cs="宋体"/>
        </w:rPr>
        <w:t>n=3</w:t>
      </w:r>
      <w:r>
        <w:rPr>
          <w:rFonts w:hint="eastAsia" w:ascii="宋体" w:hAnsi="宋体" w:cs="宋体"/>
        </w:rPr>
        <w:t>；</w:t>
      </w:r>
    </w:p>
    <w:p>
      <w:pPr>
        <w:ind w:firstLine="1416" w:firstLineChars="506"/>
        <w:rPr>
          <w:rFonts w:ascii="宋体" w:hAnsi="宋体" w:cs="宋体"/>
        </w:rPr>
      </w:pPr>
      <w:r>
        <w:rPr>
          <w:rFonts w:ascii="宋体" w:hAnsi="宋体" w:cs="宋体"/>
        </w:rPr>
        <w:object>
          <v:shape id="_x0000_i1035" o:spt="75" type="#_x0000_t75" style="height:19.5pt;width:22.5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28" r:id="rId36">
            <o:LockedField>false</o:LockedField>
          </o:OLEObject>
        </w:object>
      </w:r>
      <w:r>
        <w:rPr>
          <w:rFonts w:ascii="宋体" w:hAnsi="宋体" w:cs="宋体"/>
        </w:rPr>
        <w:t>—</w:t>
      </w:r>
      <w:r>
        <w:rPr>
          <w:rFonts w:hint="eastAsia" w:ascii="宋体" w:hAnsi="宋体" w:cs="宋体"/>
        </w:rPr>
        <w:t>截流井以前的旱流污水量（L/S）；</w:t>
      </w:r>
    </w:p>
    <w:p>
      <w:pPr>
        <w:ind w:firstLine="1416" w:firstLineChars="506"/>
        <w:rPr>
          <w:rFonts w:ascii="宋体" w:hAnsi="宋体" w:cs="宋体"/>
        </w:rPr>
      </w:pPr>
      <w:r>
        <w:rPr>
          <w:rFonts w:ascii="宋体" w:hAnsi="宋体" w:cs="宋体"/>
        </w:rPr>
        <w:object>
          <v:shape id="_x0000_i1036" o:spt="75" type="#_x0000_t75" style="height:19.5pt;width:24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29" r:id="rId38">
            <o:LockedField>false</o:LockedField>
          </o:OLEObject>
        </w:object>
      </w:r>
      <w:r>
        <w:rPr>
          <w:rFonts w:ascii="宋体" w:hAnsi="宋体" w:cs="宋体"/>
        </w:rPr>
        <w:t>—</w:t>
      </w:r>
      <w:r>
        <w:rPr>
          <w:rFonts w:hint="eastAsia" w:ascii="宋体" w:hAnsi="宋体" w:cs="宋体"/>
        </w:rPr>
        <w:t>截流井以后的旱季</w:t>
      </w:r>
      <w:r>
        <w:rPr>
          <w:rFonts w:ascii="宋体" w:hAnsi="宋体" w:cs="宋体"/>
        </w:rPr>
        <w:t>污水量</w:t>
      </w:r>
      <w:r>
        <w:rPr>
          <w:rFonts w:hint="eastAsia" w:ascii="宋体" w:hAnsi="宋体" w:cs="宋体"/>
        </w:rPr>
        <w:t>（L/S）；</w:t>
      </w:r>
    </w:p>
    <w:p>
      <w:pPr>
        <w:ind w:firstLine="1416" w:firstLineChars="506"/>
        <w:rPr>
          <w:rFonts w:ascii="宋体" w:hAnsi="宋体" w:cs="宋体"/>
        </w:rPr>
      </w:pPr>
      <w:r>
        <w:rPr>
          <w:rFonts w:ascii="宋体" w:hAnsi="宋体" w:cs="宋体"/>
        </w:rPr>
        <w:object>
          <v:shape id="_x0000_i1037" o:spt="75" type="#_x0000_t75" style="height:19.5pt;width:19.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0" r:id="rId40">
            <o:LockedField>false</o:LockedField>
          </o:OLEObject>
        </w:object>
      </w:r>
      <w:r>
        <w:rPr>
          <w:rFonts w:ascii="宋体" w:hAnsi="宋体" w:cs="宋体"/>
        </w:rPr>
        <w:t>—</w:t>
      </w:r>
      <w:r>
        <w:rPr>
          <w:rFonts w:hint="eastAsia" w:ascii="宋体" w:hAnsi="宋体" w:cs="宋体"/>
        </w:rPr>
        <w:t>截流井以后的汇水面积的雨水设计流量（L/S）。</w:t>
      </w:r>
    </w:p>
    <w:p>
      <w:pPr>
        <w:ind w:firstLine="562"/>
        <w:rPr>
          <w:rFonts w:ascii="宋体" w:hAnsi="宋体" w:cs="宋体"/>
          <w:b/>
        </w:rPr>
      </w:pPr>
      <w:r>
        <w:rPr>
          <w:rFonts w:hint="eastAsia" w:ascii="宋体" w:hAnsi="宋体" w:cs="宋体"/>
          <w:b/>
        </w:rPr>
        <w:t>（5）合流制溢流污染控制计算</w:t>
      </w:r>
    </w:p>
    <w:p>
      <w:pPr>
        <w:ind w:firstLine="560"/>
        <w:rPr>
          <w:rFonts w:ascii="宋体" w:hAnsi="宋体" w:cs="宋体"/>
        </w:rPr>
      </w:pPr>
      <w:r>
        <w:rPr>
          <w:rFonts w:ascii="宋体" w:hAnsi="宋体" w:cs="宋体"/>
        </w:rPr>
        <w:t>用</w:t>
      </w:r>
      <w:r>
        <w:rPr>
          <w:rFonts w:hint="eastAsia" w:ascii="宋体" w:hAnsi="宋体" w:cs="宋体"/>
        </w:rPr>
        <w:t>于溢流污染控制时，可按下式计算：</w:t>
      </w:r>
    </w:p>
    <w:p>
      <w:pPr>
        <w:adjustRightInd w:val="0"/>
        <w:spacing w:line="360" w:lineRule="auto"/>
        <w:ind w:firstLine="470" w:firstLineChars="196"/>
        <w:jc w:val="center"/>
        <w:textAlignment w:val="baseline"/>
        <w:rPr>
          <w:rFonts w:ascii="宋体" w:hAnsi="宋体" w:cs="宋体"/>
        </w:rPr>
      </w:pPr>
      <m:oMathPara>
        <m:oMath>
          <m:r>
            <m:rPr>
              <m:sty m:val="p"/>
            </m:rPr>
            <w:rPr>
              <w:rFonts w:ascii="Cambria Math" w:hAnsi="Cambria Math" w:cs="微软雅黑"/>
              <w:kern w:val="0"/>
              <w:sz w:val="24"/>
              <w:szCs w:val="20"/>
            </w:rPr>
            <m:t>Q=</m:t>
          </m:r>
          <m:f>
            <m:fPr>
              <m:ctrlPr>
                <w:rPr>
                  <w:rFonts w:ascii="Cambria Math" w:hAnsi="Cambria Math" w:cs="微软雅黑"/>
                  <w:kern w:val="0"/>
                  <w:sz w:val="24"/>
                  <w:szCs w:val="20"/>
                </w:rPr>
              </m:ctrlPr>
            </m:fPr>
            <m:num>
              <m:r>
                <m:rPr>
                  <m:sty m:val="p"/>
                </m:rPr>
                <w:rPr>
                  <w:rFonts w:ascii="Cambria Math" w:hAnsi="Cambria Math" w:cs="微软雅黑"/>
                  <w:kern w:val="0"/>
                  <w:sz w:val="24"/>
                  <w:szCs w:val="20"/>
                </w:rPr>
                <m:t>Fhφ</m:t>
              </m:r>
              <m:ctrlPr>
                <w:rPr>
                  <w:rFonts w:ascii="Cambria Math" w:hAnsi="Cambria Math" w:cs="微软雅黑"/>
                  <w:kern w:val="0"/>
                  <w:sz w:val="24"/>
                  <w:szCs w:val="20"/>
                </w:rPr>
              </m:ctrlPr>
            </m:num>
            <m:den>
              <m:r>
                <m:rPr>
                  <m:sty m:val="p"/>
                </m:rPr>
                <w:rPr>
                  <w:rFonts w:ascii="Cambria Math" w:hAnsi="Cambria Math" w:cs="微软雅黑"/>
                  <w:kern w:val="0"/>
                  <w:sz w:val="24"/>
                  <w:szCs w:val="20"/>
                </w:rPr>
                <m:t>360t</m:t>
              </m:r>
              <m:ctrlPr>
                <w:rPr>
                  <w:rFonts w:ascii="Cambria Math" w:hAnsi="Cambria Math" w:cs="微软雅黑"/>
                  <w:kern w:val="0"/>
                  <w:sz w:val="24"/>
                  <w:szCs w:val="20"/>
                </w:rPr>
              </m:ctrlPr>
            </m:den>
          </m:f>
        </m:oMath>
      </m:oMathPara>
    </w:p>
    <w:p>
      <w:pPr>
        <w:ind w:firstLine="560"/>
        <w:rPr>
          <w:rFonts w:ascii="宋体" w:hAnsi="宋体" w:cs="宋体"/>
        </w:rPr>
      </w:pPr>
      <w:r>
        <w:rPr>
          <w:rFonts w:hint="eastAsia" w:ascii="宋体" w:hAnsi="宋体" w:cs="宋体"/>
        </w:rPr>
        <w:t>式中：Q</w:t>
      </w:r>
      <w:r>
        <w:rPr>
          <w:rFonts w:ascii="宋体" w:hAnsi="宋体" w:cs="宋体"/>
        </w:rPr>
        <w:t>—</w:t>
      </w:r>
      <w:r>
        <w:rPr>
          <w:rFonts w:hint="eastAsia" w:ascii="宋体" w:hAnsi="宋体" w:cs="宋体"/>
        </w:rPr>
        <w:t>溢流污染控制流量</w:t>
      </w:r>
      <w:r>
        <w:rPr>
          <w:rFonts w:ascii="宋体" w:hAnsi="宋体" w:cs="宋体"/>
        </w:rPr>
        <w:t>（m³</w:t>
      </w:r>
      <w:r>
        <w:rPr>
          <w:rFonts w:hint="eastAsia" w:ascii="宋体" w:hAnsi="宋体" w:cs="宋体"/>
        </w:rPr>
        <w:t>/s</w:t>
      </w:r>
      <w:r>
        <w:rPr>
          <w:rFonts w:ascii="宋体" w:hAnsi="宋体" w:cs="宋体"/>
        </w:rPr>
        <w:t>）</w:t>
      </w:r>
      <w:r>
        <w:rPr>
          <w:rFonts w:hint="eastAsia" w:ascii="宋体" w:hAnsi="宋体" w:cs="宋体"/>
        </w:rPr>
        <w:t>；</w:t>
      </w:r>
    </w:p>
    <w:p>
      <w:pPr>
        <w:ind w:firstLine="1416" w:firstLineChars="506"/>
        <w:rPr>
          <w:rFonts w:ascii="宋体" w:hAnsi="宋体" w:cs="宋体"/>
        </w:rPr>
      </w:pPr>
      <w:r>
        <w:rPr>
          <w:rFonts w:ascii="宋体" w:hAnsi="宋体" w:cs="宋体"/>
        </w:rPr>
        <w:t>F—</w:t>
      </w:r>
      <w:r>
        <w:rPr>
          <w:rFonts w:hint="eastAsia" w:ascii="宋体" w:hAnsi="宋体" w:cs="宋体"/>
        </w:rPr>
        <w:t>汇水面积（</w:t>
      </w:r>
      <w:r>
        <w:rPr>
          <w:rFonts w:ascii="宋体" w:hAnsi="宋体" w:cs="宋体"/>
        </w:rPr>
        <w:t>h</w:t>
      </w:r>
      <w:r>
        <w:rPr>
          <w:rFonts w:hint="eastAsia" w:ascii="宋体" w:hAnsi="宋体" w:cs="宋体"/>
        </w:rPr>
        <w:t>a</w:t>
      </w:r>
      <w:r>
        <w:rPr>
          <w:rFonts w:ascii="宋体" w:hAnsi="宋体" w:cs="宋体"/>
        </w:rPr>
        <w:t>）</w:t>
      </w:r>
      <w:r>
        <w:rPr>
          <w:rFonts w:hint="eastAsia" w:ascii="宋体" w:hAnsi="宋体" w:cs="宋体"/>
        </w:rPr>
        <w:t>；</w:t>
      </w:r>
    </w:p>
    <w:p>
      <w:pPr>
        <w:ind w:firstLine="1416" w:firstLineChars="506"/>
        <w:rPr>
          <w:rFonts w:ascii="宋体" w:hAnsi="宋体" w:cs="宋体"/>
        </w:rPr>
      </w:pPr>
      <w:r>
        <w:rPr>
          <w:rFonts w:hint="eastAsia" w:ascii="宋体" w:hAnsi="宋体" w:cs="宋体"/>
        </w:rPr>
        <w:t>h</w:t>
      </w:r>
      <w:r>
        <w:rPr>
          <w:rFonts w:ascii="宋体" w:hAnsi="宋体" w:cs="宋体"/>
        </w:rPr>
        <w:t>—</w:t>
      </w:r>
      <w:r>
        <w:rPr>
          <w:rFonts w:hint="eastAsia" w:ascii="宋体" w:hAnsi="宋体" w:cs="宋体"/>
        </w:rPr>
        <w:t>溢流污染控制所对应的降雨厚度（mm）；</w:t>
      </w:r>
    </w:p>
    <w:p>
      <w:pPr>
        <w:ind w:firstLine="1416" w:firstLineChars="506"/>
        <w:rPr>
          <w:rFonts w:ascii="宋体" w:hAnsi="宋体" w:cs="宋体"/>
        </w:rPr>
      </w:pPr>
      <w:r>
        <w:rPr>
          <w:rFonts w:ascii="宋体" w:hAnsi="宋体" w:cs="宋体"/>
        </w:rPr>
        <w:t>Ψ—</w:t>
      </w:r>
      <w:r>
        <w:rPr>
          <w:rFonts w:hint="eastAsia" w:ascii="宋体" w:hAnsi="宋体" w:cs="宋体"/>
        </w:rPr>
        <w:t>径流系数，根据汇水范围内的地面覆盖种类及相应的径流系数，按加权平均法确定；</w:t>
      </w:r>
    </w:p>
    <w:p>
      <w:pPr>
        <w:ind w:firstLine="1416" w:firstLineChars="506"/>
        <w:rPr>
          <w:rFonts w:ascii="宋体" w:hAnsi="宋体" w:cs="宋体"/>
        </w:rPr>
      </w:pPr>
      <w:r>
        <w:rPr>
          <w:rFonts w:hint="eastAsia" w:ascii="宋体" w:hAnsi="宋体" w:cs="宋体"/>
        </w:rPr>
        <w:t>t</w:t>
      </w:r>
      <w:r>
        <w:rPr>
          <w:rFonts w:ascii="宋体" w:hAnsi="宋体" w:cs="宋体"/>
        </w:rPr>
        <w:t>—</w:t>
      </w:r>
      <w:r>
        <w:rPr>
          <w:rFonts w:hint="eastAsia" w:ascii="宋体" w:hAnsi="宋体" w:cs="宋体"/>
        </w:rPr>
        <w:t>达到h降雨厚度的降雨历时（h）。</w:t>
      </w:r>
    </w:p>
    <w:p>
      <w:pPr>
        <w:ind w:firstLine="562"/>
        <w:rPr>
          <w:rFonts w:ascii="宋体" w:hAnsi="宋体" w:cs="宋体"/>
          <w:b/>
        </w:rPr>
      </w:pPr>
      <w:r>
        <w:rPr>
          <w:rFonts w:hint="eastAsia" w:ascii="宋体" w:hAnsi="宋体" w:cs="宋体"/>
          <w:b/>
        </w:rPr>
        <w:t>（6）水力计算公式</w:t>
      </w:r>
    </w:p>
    <w:p>
      <w:pPr>
        <w:ind w:firstLine="560"/>
        <w:rPr>
          <w:rFonts w:ascii="宋体" w:hAnsi="宋体" w:cs="宋体"/>
        </w:rPr>
      </w:pPr>
      <w:r>
        <w:rPr>
          <w:rFonts w:hint="eastAsia" w:ascii="宋体" w:hAnsi="宋体" w:cs="宋体"/>
        </w:rPr>
        <w:t>水力计算公式：</w:t>
      </w:r>
    </w:p>
    <w:p>
      <w:pPr>
        <w:ind w:firstLine="560"/>
        <w:jc w:val="center"/>
        <w:rPr>
          <w:rFonts w:ascii="宋体" w:hAnsi="宋体" w:cs="宋体"/>
        </w:rPr>
      </w:pPr>
      <w:r>
        <w:rPr>
          <w:rFonts w:ascii="宋体" w:hAnsi="宋体" w:cs="宋体"/>
        </w:rPr>
        <w:object>
          <v:shape id="_x0000_i1038" o:spt="75" type="#_x0000_t75" style="height:15pt;width:57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1" r:id="rId42">
            <o:LockedField>false</o:LockedField>
          </o:OLEObject>
        </w:object>
      </w:r>
    </w:p>
    <w:p>
      <w:pPr>
        <w:adjustRightInd w:val="0"/>
        <w:spacing w:line="360" w:lineRule="auto"/>
        <w:ind w:firstLine="548" w:firstLineChars="196"/>
        <w:jc w:val="center"/>
        <w:textAlignment w:val="baseline"/>
        <w:rPr>
          <w:rFonts w:ascii="宋体" w:hAnsi="宋体" w:cs="宋体"/>
        </w:rPr>
      </w:pPr>
      <w:r>
        <w:rPr>
          <w:rFonts w:ascii="宋体" w:hAnsi="宋体" w:cs="宋体"/>
        </w:rPr>
        <w:object>
          <v:shape id="_x0000_i1039" o:spt="75" type="#_x0000_t75" style="height:33.75pt;width:102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2" r:id="rId44">
            <o:LockedField>false</o:LockedField>
          </o:OLEObject>
        </w:object>
      </w:r>
    </w:p>
    <w:p>
      <w:pPr>
        <w:ind w:firstLine="560"/>
        <w:rPr>
          <w:rFonts w:ascii="宋体" w:hAnsi="宋体" w:cs="宋体"/>
        </w:rPr>
      </w:pPr>
      <w:r>
        <w:rPr>
          <w:rFonts w:hint="eastAsia" w:ascii="宋体" w:hAnsi="宋体" w:cs="宋体"/>
        </w:rPr>
        <w:t>式中：Q—设计流量（m</w:t>
      </w:r>
      <w:r>
        <w:rPr>
          <w:rFonts w:hint="eastAsia" w:ascii="宋体" w:hAnsi="宋体" w:cs="宋体"/>
          <w:vertAlign w:val="superscript"/>
        </w:rPr>
        <w:t>3</w:t>
      </w:r>
      <w:r>
        <w:rPr>
          <w:rFonts w:hint="eastAsia" w:ascii="宋体" w:hAnsi="宋体" w:cs="宋体"/>
        </w:rPr>
        <w:t>/s）；</w:t>
      </w:r>
    </w:p>
    <w:p>
      <w:pPr>
        <w:ind w:firstLine="1416" w:firstLineChars="506"/>
        <w:rPr>
          <w:rFonts w:ascii="宋体" w:hAnsi="宋体" w:cs="宋体"/>
        </w:rPr>
      </w:pPr>
      <w:r>
        <w:rPr>
          <w:rFonts w:hint="eastAsia" w:ascii="宋体" w:hAnsi="宋体" w:cs="宋体"/>
        </w:rPr>
        <w:t>V—设计流速（m/s）；</w:t>
      </w:r>
    </w:p>
    <w:p>
      <w:pPr>
        <w:ind w:firstLine="1416" w:firstLineChars="506"/>
        <w:rPr>
          <w:rFonts w:ascii="宋体" w:hAnsi="宋体" w:cs="宋体"/>
        </w:rPr>
      </w:pPr>
      <w:r>
        <w:rPr>
          <w:rFonts w:hint="eastAsia" w:ascii="宋体" w:hAnsi="宋体" w:cs="宋体"/>
        </w:rPr>
        <w:t>A—过水断面面积（m</w:t>
      </w:r>
      <w:r>
        <w:rPr>
          <w:rFonts w:hint="eastAsia" w:ascii="宋体" w:hAnsi="宋体" w:cs="宋体"/>
          <w:vertAlign w:val="superscript"/>
        </w:rPr>
        <w:t>2</w:t>
      </w:r>
      <w:r>
        <w:rPr>
          <w:rFonts w:hint="eastAsia" w:ascii="宋体" w:hAnsi="宋体" w:cs="宋体"/>
        </w:rPr>
        <w:t>）；</w:t>
      </w:r>
    </w:p>
    <w:p>
      <w:pPr>
        <w:ind w:firstLine="1416" w:firstLineChars="506"/>
        <w:rPr>
          <w:rFonts w:ascii="宋体" w:hAnsi="宋体" w:cs="宋体"/>
        </w:rPr>
      </w:pPr>
      <w:r>
        <w:rPr>
          <w:rFonts w:hint="eastAsia" w:ascii="宋体" w:hAnsi="宋体" w:cs="宋体"/>
        </w:rPr>
        <w:t>R—水力半径（m）；</w:t>
      </w:r>
    </w:p>
    <w:p>
      <w:pPr>
        <w:ind w:firstLine="1416" w:firstLineChars="506"/>
        <w:rPr>
          <w:rFonts w:ascii="宋体" w:hAnsi="宋体" w:cs="宋体"/>
        </w:rPr>
      </w:pPr>
      <w:r>
        <w:rPr>
          <w:rFonts w:hint="eastAsia" w:ascii="宋体" w:hAnsi="宋体" w:cs="宋体"/>
        </w:rPr>
        <w:t>I—水力坡降；</w:t>
      </w:r>
    </w:p>
    <w:p>
      <w:pPr>
        <w:ind w:firstLine="1416" w:firstLineChars="506"/>
        <w:rPr>
          <w:rFonts w:ascii="宋体" w:hAnsi="宋体" w:cs="宋体"/>
        </w:rPr>
      </w:pPr>
      <w:r>
        <w:rPr>
          <w:rFonts w:hint="eastAsia" w:ascii="宋体" w:hAnsi="宋体" w:cs="宋体"/>
        </w:rPr>
        <w:t>n—粗糙系数，污水重力管（非满流）取n＝0.01。</w:t>
      </w:r>
    </w:p>
    <w:p>
      <w:pPr>
        <w:ind w:firstLine="562"/>
        <w:rPr>
          <w:rFonts w:ascii="宋体" w:hAnsi="宋体" w:cs="宋体"/>
          <w:b/>
        </w:rPr>
      </w:pPr>
      <w:r>
        <w:rPr>
          <w:rFonts w:hint="eastAsia" w:ascii="宋体" w:hAnsi="宋体" w:cs="宋体"/>
          <w:b/>
        </w:rPr>
        <w:t>截污管道按满流进行水力计算。</w:t>
      </w:r>
    </w:p>
    <w:p>
      <w:pPr>
        <w:ind w:firstLine="560"/>
        <w:rPr>
          <w:rFonts w:ascii="宋体" w:hAnsi="宋体" w:cs="宋体"/>
        </w:rPr>
      </w:pPr>
      <w:r>
        <w:rPr>
          <w:rFonts w:hint="eastAsia" w:ascii="宋体" w:hAnsi="宋体" w:cs="宋体"/>
        </w:rPr>
        <w:t>污水管道按非满流进行水力计算，设计最大充满度如下表。</w:t>
      </w:r>
    </w:p>
    <w:p>
      <w:pPr>
        <w:ind w:firstLine="560"/>
        <w:rPr>
          <w:rFonts w:ascii="宋体" w:hAnsi="宋体" w:cs="宋体"/>
        </w:rPr>
      </w:pPr>
      <w:r>
        <w:rPr>
          <w:rFonts w:hint="eastAsia" w:ascii="宋体" w:hAnsi="宋体" w:cs="宋体"/>
        </w:rPr>
        <w:t>设计最大充满度</w:t>
      </w:r>
    </w:p>
    <w:tbl>
      <w:tblPr>
        <w:tblStyle w:val="29"/>
        <w:tblW w:w="48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3"/>
        <w:gridCol w:w="4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trPr>
        <w:tc>
          <w:tcPr>
            <w:tcW w:w="2386" w:type="pct"/>
            <w:vAlign w:val="center"/>
          </w:tcPr>
          <w:p>
            <w:pPr>
              <w:ind w:firstLine="0" w:firstLineChars="0"/>
              <w:jc w:val="center"/>
              <w:rPr>
                <w:rFonts w:ascii="宋体" w:hAnsi="宋体" w:cs="宋体"/>
              </w:rPr>
            </w:pPr>
            <w:r>
              <w:rPr>
                <w:rFonts w:hint="eastAsia" w:ascii="宋体" w:hAnsi="宋体" w:cs="宋体"/>
              </w:rPr>
              <w:t>管径D（mm</w:t>
            </w:r>
            <w:r>
              <w:rPr>
                <w:rFonts w:ascii="宋体" w:hAnsi="宋体" w:cs="宋体"/>
              </w:rPr>
              <w:t>）</w:t>
            </w:r>
          </w:p>
        </w:tc>
        <w:tc>
          <w:tcPr>
            <w:tcW w:w="2614" w:type="pct"/>
            <w:vAlign w:val="center"/>
          </w:tcPr>
          <w:p>
            <w:pPr>
              <w:ind w:firstLine="0" w:firstLineChars="0"/>
              <w:jc w:val="center"/>
              <w:rPr>
                <w:rFonts w:ascii="宋体" w:hAnsi="宋体" w:cs="宋体"/>
              </w:rPr>
            </w:pPr>
            <w:r>
              <w:rPr>
                <w:rFonts w:hint="eastAsia" w:ascii="宋体" w:hAnsi="宋体" w:cs="宋体"/>
              </w:rPr>
              <w:t>最大设计充满度（h/D</w:t>
            </w:r>
            <w:r>
              <w:rPr>
                <w:rFonts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386" w:type="pct"/>
            <w:vAlign w:val="center"/>
          </w:tcPr>
          <w:p>
            <w:pPr>
              <w:ind w:firstLine="0" w:firstLineChars="0"/>
              <w:jc w:val="center"/>
              <w:rPr>
                <w:rFonts w:ascii="宋体" w:hAnsi="宋体" w:cs="宋体"/>
              </w:rPr>
            </w:pPr>
            <w:r>
              <w:rPr>
                <w:rFonts w:hint="eastAsia" w:ascii="宋体" w:hAnsi="宋体" w:cs="宋体"/>
              </w:rPr>
              <w:t>200</w:t>
            </w:r>
            <w:r>
              <w:rPr>
                <w:rFonts w:ascii="宋体" w:hAnsi="宋体" w:cs="宋体"/>
              </w:rPr>
              <w:t>～</w:t>
            </w:r>
            <w:r>
              <w:rPr>
                <w:rFonts w:hint="eastAsia" w:ascii="宋体" w:hAnsi="宋体" w:cs="宋体"/>
              </w:rPr>
              <w:t>350</w:t>
            </w:r>
          </w:p>
        </w:tc>
        <w:tc>
          <w:tcPr>
            <w:tcW w:w="2614" w:type="pct"/>
            <w:vAlign w:val="center"/>
          </w:tcPr>
          <w:p>
            <w:pPr>
              <w:ind w:firstLine="0" w:firstLineChars="0"/>
              <w:jc w:val="center"/>
              <w:rPr>
                <w:rFonts w:ascii="宋体" w:hAnsi="宋体" w:cs="宋体"/>
              </w:rPr>
            </w:pPr>
            <w:r>
              <w:rPr>
                <w:rFonts w:hint="eastAsia" w:ascii="宋体" w:hAnsi="宋体" w:cs="宋体"/>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386" w:type="pct"/>
            <w:vAlign w:val="center"/>
          </w:tcPr>
          <w:p>
            <w:pPr>
              <w:ind w:firstLine="0" w:firstLineChars="0"/>
              <w:jc w:val="center"/>
              <w:rPr>
                <w:rFonts w:ascii="宋体" w:hAnsi="宋体" w:cs="宋体"/>
              </w:rPr>
            </w:pPr>
            <w:r>
              <w:rPr>
                <w:rFonts w:hint="eastAsia" w:ascii="宋体" w:hAnsi="宋体" w:cs="宋体"/>
              </w:rPr>
              <w:t>350</w:t>
            </w:r>
            <w:r>
              <w:rPr>
                <w:rFonts w:ascii="宋体" w:hAnsi="宋体" w:cs="宋体"/>
              </w:rPr>
              <w:t>～</w:t>
            </w:r>
            <w:r>
              <w:rPr>
                <w:rFonts w:hint="eastAsia" w:ascii="宋体" w:hAnsi="宋体" w:cs="宋体"/>
              </w:rPr>
              <w:t>450</w:t>
            </w:r>
          </w:p>
        </w:tc>
        <w:tc>
          <w:tcPr>
            <w:tcW w:w="2614" w:type="pct"/>
            <w:vAlign w:val="center"/>
          </w:tcPr>
          <w:p>
            <w:pPr>
              <w:ind w:firstLine="0" w:firstLineChars="0"/>
              <w:jc w:val="center"/>
              <w:rPr>
                <w:rFonts w:ascii="宋体" w:hAnsi="宋体" w:cs="宋体"/>
              </w:rPr>
            </w:pPr>
            <w:r>
              <w:rPr>
                <w:rFonts w:hint="eastAsia" w:ascii="宋体" w:hAnsi="宋体" w:cs="宋体"/>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386" w:type="pct"/>
            <w:vAlign w:val="center"/>
          </w:tcPr>
          <w:p>
            <w:pPr>
              <w:ind w:firstLine="0" w:firstLineChars="0"/>
              <w:jc w:val="center"/>
              <w:rPr>
                <w:rFonts w:ascii="宋体" w:hAnsi="宋体" w:cs="宋体"/>
              </w:rPr>
            </w:pPr>
            <w:r>
              <w:rPr>
                <w:rFonts w:hint="eastAsia" w:ascii="宋体" w:hAnsi="宋体" w:cs="宋体"/>
              </w:rPr>
              <w:t>500</w:t>
            </w:r>
            <w:r>
              <w:rPr>
                <w:rFonts w:ascii="宋体" w:hAnsi="宋体" w:cs="宋体"/>
              </w:rPr>
              <w:t>～</w:t>
            </w:r>
            <w:r>
              <w:rPr>
                <w:rFonts w:hint="eastAsia" w:ascii="宋体" w:hAnsi="宋体" w:cs="宋体"/>
              </w:rPr>
              <w:t>900</w:t>
            </w:r>
          </w:p>
        </w:tc>
        <w:tc>
          <w:tcPr>
            <w:tcW w:w="2614" w:type="pct"/>
            <w:vAlign w:val="center"/>
          </w:tcPr>
          <w:p>
            <w:pPr>
              <w:ind w:firstLine="0" w:firstLineChars="0"/>
              <w:jc w:val="center"/>
              <w:rPr>
                <w:rFonts w:ascii="宋体" w:hAnsi="宋体" w:cs="宋体"/>
              </w:rPr>
            </w:pPr>
            <w:r>
              <w:rPr>
                <w:rFonts w:hint="eastAsia" w:ascii="宋体" w:hAnsi="宋体" w:cs="宋体"/>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386" w:type="pct"/>
            <w:vAlign w:val="center"/>
          </w:tcPr>
          <w:p>
            <w:pPr>
              <w:ind w:firstLine="0" w:firstLineChars="0"/>
              <w:jc w:val="center"/>
              <w:rPr>
                <w:rFonts w:ascii="宋体" w:hAnsi="宋体" w:cs="宋体"/>
              </w:rPr>
            </w:pPr>
            <w:r>
              <w:rPr>
                <w:rFonts w:ascii="宋体" w:hAnsi="宋体" w:cs="宋体"/>
              </w:rPr>
              <w:t>≥</w:t>
            </w:r>
            <w:r>
              <w:rPr>
                <w:rFonts w:hint="eastAsia" w:ascii="宋体" w:hAnsi="宋体" w:cs="宋体"/>
              </w:rPr>
              <w:t>1000</w:t>
            </w:r>
          </w:p>
        </w:tc>
        <w:tc>
          <w:tcPr>
            <w:tcW w:w="2614" w:type="pct"/>
            <w:vAlign w:val="center"/>
          </w:tcPr>
          <w:p>
            <w:pPr>
              <w:ind w:firstLine="0" w:firstLineChars="0"/>
              <w:jc w:val="center"/>
              <w:rPr>
                <w:rFonts w:ascii="宋体" w:hAnsi="宋体" w:cs="宋体"/>
              </w:rPr>
            </w:pPr>
            <w:r>
              <w:rPr>
                <w:rFonts w:hint="eastAsia" w:ascii="宋体" w:hAnsi="宋体" w:cs="宋体"/>
              </w:rPr>
              <w:t>0.75</w:t>
            </w:r>
          </w:p>
        </w:tc>
      </w:tr>
    </w:tbl>
    <w:p>
      <w:pPr>
        <w:ind w:firstLine="560"/>
      </w:pPr>
      <w:r>
        <w:rPr>
          <w:rFonts w:hint="eastAsia" w:ascii="宋体" w:hAnsi="宋体" w:cs="宋体"/>
        </w:rPr>
        <w:t>在设计充满度条件下的最小设计流速0.6m/s，非金属管道最大设计流速为5.0m/s</w:t>
      </w:r>
    </w:p>
    <w:p>
      <w:pPr>
        <w:pStyle w:val="4"/>
        <w:spacing w:before="120" w:beforeLines="50"/>
        <w:rPr>
          <w:rFonts w:ascii="黑体" w:hAnsi="黑体" w:eastAsia="黑体" w:cs="黑体"/>
          <w:b w:val="0"/>
          <w:bCs w:val="0"/>
          <w:sz w:val="30"/>
          <w:szCs w:val="30"/>
        </w:rPr>
      </w:pPr>
      <w:r>
        <w:rPr>
          <w:rFonts w:ascii="黑体" w:hAnsi="黑体" w:eastAsia="黑体" w:cs="黑体"/>
          <w:b w:val="0"/>
          <w:bCs w:val="0"/>
          <w:sz w:val="30"/>
          <w:szCs w:val="30"/>
        </w:rPr>
        <w:t>5</w:t>
      </w:r>
      <w:r>
        <w:rPr>
          <w:rFonts w:hint="eastAsia" w:ascii="黑体" w:hAnsi="黑体" w:eastAsia="黑体" w:cs="黑体"/>
          <w:b w:val="0"/>
          <w:bCs w:val="0"/>
          <w:sz w:val="30"/>
          <w:szCs w:val="30"/>
        </w:rPr>
        <w:t>.3.</w:t>
      </w:r>
      <w:r>
        <w:rPr>
          <w:rFonts w:ascii="黑体" w:hAnsi="黑体" w:eastAsia="黑体" w:cs="黑体"/>
          <w:b w:val="0"/>
          <w:bCs w:val="0"/>
          <w:sz w:val="30"/>
          <w:szCs w:val="30"/>
        </w:rPr>
        <w:t>3</w:t>
      </w:r>
      <w:r>
        <w:rPr>
          <w:rFonts w:hint="eastAsia" w:ascii="黑体" w:hAnsi="黑体" w:eastAsia="黑体" w:cs="黑体"/>
          <w:b w:val="0"/>
          <w:bCs w:val="0"/>
          <w:sz w:val="30"/>
          <w:szCs w:val="30"/>
        </w:rPr>
        <w:t>管网布置</w:t>
      </w:r>
    </w:p>
    <w:p>
      <w:pPr>
        <w:ind w:firstLine="560"/>
        <w:rPr>
          <w:rFonts w:ascii="宋体" w:hAnsi="宋体" w:cs="宋体"/>
        </w:rPr>
      </w:pPr>
      <w:r>
        <w:rPr>
          <w:rFonts w:hint="eastAsia" w:ascii="宋体" w:hAnsi="宋体" w:cs="宋体"/>
          <w:lang w:bidi="zh-CN"/>
        </w:rPr>
        <w:t>根据该区域现有的建设条件，</w:t>
      </w:r>
      <w:r>
        <w:rPr>
          <w:rFonts w:hint="eastAsia"/>
          <w:szCs w:val="23"/>
        </w:rPr>
        <w:t>里弄屯地势为单向坡，村屯中的现状沟渠分散，难以利用；</w:t>
      </w:r>
      <w:r>
        <w:rPr>
          <w:rFonts w:hint="eastAsia" w:ascii="宋体" w:hAnsi="宋体" w:cs="宋体"/>
          <w:lang w:bidi="zh-CN"/>
        </w:rPr>
        <w:t>污水干管主要沿村内干路铺设成树枝状，敷设管道时充分利用地形地势，大部分管网采用重力流形式，避免建设提升泵站</w:t>
      </w:r>
      <w:r>
        <w:rPr>
          <w:rFonts w:hint="eastAsia" w:ascii="宋体" w:hAnsi="宋体" w:cs="宋体"/>
        </w:rPr>
        <w:t>。</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5.3.</w:t>
      </w:r>
      <w:r>
        <w:rPr>
          <w:rFonts w:ascii="黑体" w:hAnsi="黑体" w:eastAsia="黑体" w:cs="黑体"/>
          <w:b w:val="0"/>
          <w:bCs w:val="0"/>
          <w:sz w:val="30"/>
          <w:szCs w:val="30"/>
        </w:rPr>
        <w:t>4</w:t>
      </w:r>
      <w:r>
        <w:rPr>
          <w:rFonts w:hint="eastAsia" w:ascii="黑体" w:hAnsi="黑体" w:eastAsia="黑体" w:cs="黑体"/>
          <w:b w:val="0"/>
          <w:bCs w:val="0"/>
          <w:sz w:val="30"/>
          <w:szCs w:val="30"/>
        </w:rPr>
        <w:t>水力计算</w:t>
      </w:r>
    </w:p>
    <w:p>
      <w:pPr>
        <w:ind w:firstLine="560"/>
        <w:rPr>
          <w:rFonts w:ascii="宋体" w:hAnsi="宋体" w:cs="宋体"/>
        </w:rPr>
      </w:pPr>
      <w:r>
        <w:rPr>
          <w:rFonts w:hint="eastAsia" w:ascii="宋体" w:hAnsi="宋体" w:cs="宋体"/>
        </w:rPr>
        <w:t>本项目污水干管沿村屯道路敷设，收集服务范围内的污水。</w:t>
      </w:r>
    </w:p>
    <w:p>
      <w:pPr>
        <w:ind w:firstLine="560"/>
        <w:rPr>
          <w:rFonts w:ascii="宋体" w:hAnsi="宋体" w:cs="宋体"/>
        </w:rPr>
      </w:pPr>
      <w:r>
        <w:rPr>
          <w:rFonts w:hint="eastAsia" w:ascii="宋体" w:hAnsi="宋体" w:cs="宋体"/>
        </w:rPr>
        <w:t>（1）污水流量计算公式</w:t>
      </w:r>
    </w:p>
    <w:p>
      <w:pPr>
        <w:ind w:firstLine="560"/>
        <w:rPr>
          <w:rFonts w:ascii="宋体" w:hAnsi="宋体" w:cs="宋体"/>
        </w:rPr>
      </w:pPr>
      <w:r>
        <w:rPr>
          <w:rFonts w:hint="eastAsia" w:ascii="宋体" w:hAnsi="宋体" w:cs="宋体"/>
        </w:rPr>
        <w:t>污水量（最高日最高时）计算公式：Q</w:t>
      </w:r>
      <w:r>
        <w:rPr>
          <w:rFonts w:hint="eastAsia" w:ascii="宋体" w:hAnsi="宋体" w:cs="宋体"/>
          <w:vertAlign w:val="subscript"/>
        </w:rPr>
        <w:t>max</w:t>
      </w:r>
      <w:r>
        <w:rPr>
          <w:rFonts w:hint="eastAsia" w:ascii="宋体" w:hAnsi="宋体" w:cs="宋体"/>
        </w:rPr>
        <w:t>=1000K</w:t>
      </w:r>
      <w:r>
        <w:rPr>
          <w:rFonts w:hint="eastAsia" w:ascii="宋体" w:hAnsi="宋体" w:cs="宋体"/>
          <w:vertAlign w:val="subscript"/>
        </w:rPr>
        <w:t>z</w:t>
      </w:r>
      <w:r>
        <w:rPr>
          <w:rFonts w:hint="eastAsia" w:ascii="宋体" w:hAnsi="宋体" w:cs="宋体"/>
        </w:rPr>
        <w:t>·S·q/86400（L/s）</w:t>
      </w:r>
    </w:p>
    <w:p>
      <w:pPr>
        <w:ind w:firstLine="560"/>
        <w:rPr>
          <w:rFonts w:ascii="宋体" w:hAnsi="宋体" w:cs="宋体"/>
        </w:rPr>
      </w:pPr>
      <w:r>
        <w:rPr>
          <w:rFonts w:hint="eastAsia" w:ascii="宋体" w:hAnsi="宋体" w:cs="宋体"/>
        </w:rPr>
        <w:t>其中：K</w:t>
      </w:r>
      <w:r>
        <w:rPr>
          <w:rFonts w:hint="eastAsia" w:ascii="宋体" w:hAnsi="宋体" w:cs="宋体"/>
          <w:vertAlign w:val="subscript"/>
        </w:rPr>
        <w:t>z</w:t>
      </w:r>
      <w:r>
        <w:rPr>
          <w:rFonts w:hint="eastAsia" w:ascii="宋体" w:hAnsi="宋体" w:cs="宋体"/>
        </w:rPr>
        <w:t>—总变化系数；</w:t>
      </w:r>
    </w:p>
    <w:p>
      <w:pPr>
        <w:ind w:firstLine="1416" w:firstLineChars="506"/>
        <w:rPr>
          <w:rFonts w:ascii="宋体" w:hAnsi="宋体" w:cs="宋体"/>
        </w:rPr>
      </w:pPr>
      <w:r>
        <w:rPr>
          <w:rFonts w:hint="eastAsia" w:ascii="宋体" w:hAnsi="宋体" w:cs="宋体"/>
        </w:rPr>
        <w:t>S—汇水面积（ha）；</w:t>
      </w:r>
    </w:p>
    <w:p>
      <w:pPr>
        <w:ind w:firstLine="1416" w:firstLineChars="506"/>
        <w:rPr>
          <w:rFonts w:ascii="宋体" w:hAnsi="宋体" w:cs="宋体"/>
        </w:rPr>
      </w:pPr>
      <w:r>
        <w:rPr>
          <w:rFonts w:hint="eastAsia" w:ascii="宋体" w:hAnsi="宋体" w:cs="宋体"/>
        </w:rPr>
        <w:t>q—设计综合污水量标准（m³/d·ha）。</w:t>
      </w:r>
    </w:p>
    <w:p>
      <w:pPr>
        <w:ind w:firstLine="560"/>
        <w:rPr>
          <w:rFonts w:ascii="宋体" w:hAnsi="宋体" w:cs="宋体"/>
        </w:rPr>
      </w:pPr>
      <w:r>
        <w:rPr>
          <w:rFonts w:hint="eastAsia" w:ascii="宋体" w:hAnsi="宋体" w:cs="宋体"/>
        </w:rPr>
        <w:t>（2）水力计算公式</w:t>
      </w:r>
    </w:p>
    <w:p>
      <w:pPr>
        <w:ind w:firstLine="560"/>
        <w:rPr>
          <w:rFonts w:ascii="宋体" w:hAnsi="宋体" w:cs="宋体"/>
        </w:rPr>
      </w:pPr>
      <w:r>
        <w:rPr>
          <w:rFonts w:hint="eastAsia" w:ascii="宋体" w:hAnsi="宋体" w:cs="宋体"/>
        </w:rPr>
        <w:t>根据本项目规模计算，各村寨近期旱季污水量Q。</w:t>
      </w:r>
    </w:p>
    <w:p>
      <w:pPr>
        <w:ind w:firstLine="560"/>
        <w:rPr>
          <w:rFonts w:ascii="宋体" w:hAnsi="宋体" w:cs="宋体"/>
        </w:rPr>
      </w:pPr>
      <w:r>
        <w:rPr>
          <w:rFonts w:hint="eastAsia" w:ascii="宋体" w:hAnsi="宋体" w:cs="宋体"/>
        </w:rPr>
        <w:t>计算公式：</w:t>
      </w:r>
    </w:p>
    <w:p>
      <w:pPr>
        <w:ind w:firstLine="560"/>
        <w:rPr>
          <w:rFonts w:ascii="宋体" w:hAnsi="宋体" w:cs="宋体"/>
        </w:rPr>
      </w:pPr>
      <w:r>
        <w:rPr>
          <w:rFonts w:hint="eastAsia" w:ascii="宋体" w:hAnsi="宋体" w:cs="宋体"/>
        </w:rPr>
        <w:t>流量公式：Q=AV</w:t>
      </w:r>
    </w:p>
    <w:p>
      <w:pPr>
        <w:ind w:firstLine="560"/>
        <w:rPr>
          <w:rFonts w:ascii="宋体" w:hAnsi="宋体" w:cs="宋体"/>
        </w:rPr>
      </w:pPr>
      <w:r>
        <w:rPr>
          <w:rFonts w:hint="eastAsia" w:ascii="宋体" w:hAnsi="宋体" w:cs="宋体"/>
        </w:rPr>
        <w:t>其中：Q—设计流量(m³/s)；</w:t>
      </w:r>
    </w:p>
    <w:p>
      <w:pPr>
        <w:ind w:firstLine="1416" w:firstLineChars="506"/>
        <w:rPr>
          <w:rFonts w:ascii="宋体" w:hAnsi="宋体" w:cs="宋体"/>
        </w:rPr>
      </w:pPr>
      <w:r>
        <w:rPr>
          <w:rFonts w:hint="eastAsia" w:ascii="宋体" w:hAnsi="宋体" w:cs="宋体"/>
        </w:rPr>
        <w:t>A—水流有效断面面积(m</w:t>
      </w:r>
      <w:r>
        <w:rPr>
          <w:rFonts w:hint="eastAsia" w:ascii="宋体" w:hAnsi="宋体" w:cs="宋体"/>
          <w:vertAlign w:val="superscript"/>
        </w:rPr>
        <w:t>2</w:t>
      </w:r>
      <w:r>
        <w:rPr>
          <w:rFonts w:hint="eastAsia" w:ascii="宋体" w:hAnsi="宋体" w:cs="宋体"/>
        </w:rPr>
        <w:t>)；</w:t>
      </w:r>
    </w:p>
    <w:p>
      <w:pPr>
        <w:ind w:firstLine="1416" w:firstLineChars="506"/>
        <w:rPr>
          <w:rFonts w:ascii="宋体" w:hAnsi="宋体" w:cs="宋体"/>
        </w:rPr>
      </w:pPr>
      <w:r>
        <w:rPr>
          <w:rFonts w:hint="eastAsia" w:ascii="宋体" w:hAnsi="宋体" w:cs="宋体"/>
        </w:rPr>
        <w:t>V—流速（m/s）。</w:t>
      </w:r>
    </w:p>
    <w:p>
      <w:pPr>
        <w:ind w:firstLine="560"/>
        <w:rPr>
          <w:rFonts w:ascii="宋体" w:hAnsi="宋体" w:cs="宋体"/>
        </w:rPr>
      </w:pPr>
      <w:r>
        <w:rPr>
          <w:rFonts w:hint="eastAsia" w:ascii="宋体" w:hAnsi="宋体" w:cs="宋体"/>
        </w:rPr>
        <w:t>流速公式：V=1/n·R2/3·i1/2</w:t>
      </w:r>
    </w:p>
    <w:p>
      <w:pPr>
        <w:ind w:firstLine="560"/>
        <w:rPr>
          <w:rFonts w:ascii="宋体" w:hAnsi="宋体" w:cs="宋体"/>
        </w:rPr>
      </w:pPr>
      <w:r>
        <w:rPr>
          <w:rFonts w:hint="eastAsia" w:ascii="宋体" w:hAnsi="宋体" w:cs="宋体"/>
        </w:rPr>
        <w:t>其中：n—粗糙系数，非满流钢筋混凝土排水管n＝0.014；非满流塑料管n＝0.010；</w:t>
      </w:r>
    </w:p>
    <w:p>
      <w:pPr>
        <w:ind w:firstLine="1416" w:firstLineChars="506"/>
        <w:rPr>
          <w:rFonts w:ascii="宋体" w:hAnsi="宋体" w:cs="宋体"/>
        </w:rPr>
      </w:pPr>
      <w:r>
        <w:rPr>
          <w:rFonts w:hint="eastAsia" w:ascii="宋体" w:hAnsi="宋体" w:cs="宋体"/>
        </w:rPr>
        <w:t>R—水力半径(m)，R=A/P，P为湿周；</w:t>
      </w:r>
    </w:p>
    <w:p>
      <w:pPr>
        <w:ind w:firstLine="1416" w:firstLineChars="506"/>
        <w:rPr>
          <w:rFonts w:ascii="宋体" w:hAnsi="宋体" w:cs="宋体"/>
        </w:rPr>
      </w:pPr>
      <w:r>
        <w:rPr>
          <w:rFonts w:hint="eastAsia" w:ascii="宋体" w:hAnsi="宋体" w:cs="宋体"/>
        </w:rPr>
        <w:t>i—水力坡降。</w:t>
      </w:r>
    </w:p>
    <w:p>
      <w:pPr>
        <w:ind w:firstLine="560"/>
        <w:rPr>
          <w:rFonts w:ascii="宋体" w:hAnsi="宋体" w:cs="宋体"/>
        </w:rPr>
      </w:pPr>
      <w:r>
        <w:rPr>
          <w:rFonts w:hint="eastAsia" w:ascii="宋体" w:hAnsi="宋体" w:cs="宋体"/>
        </w:rPr>
        <w:t>为了保证污水管道的正常运行，《室外排水设计标准》（GB50014-2021）对如下数据做了规定：</w:t>
      </w:r>
    </w:p>
    <w:p>
      <w:pPr>
        <w:ind w:firstLine="560"/>
        <w:rPr>
          <w:rFonts w:ascii="宋体" w:hAnsi="宋体" w:cs="宋体"/>
        </w:rPr>
      </w:pPr>
      <w:r>
        <w:rPr>
          <w:rFonts w:hint="eastAsia" w:ascii="宋体" w:hAnsi="宋体" w:cs="宋体"/>
        </w:rPr>
        <w:t>①计充满度h/D</w:t>
      </w:r>
    </w:p>
    <w:p>
      <w:pPr>
        <w:ind w:firstLine="560"/>
        <w:rPr>
          <w:rFonts w:ascii="宋体" w:hAnsi="宋体" w:cs="宋体"/>
        </w:rPr>
      </w:pPr>
      <w:r>
        <w:rPr>
          <w:rFonts w:hint="eastAsia" w:ascii="宋体" w:hAnsi="宋体" w:cs="宋体"/>
        </w:rPr>
        <w:t>我国规定污水管道按不满流(h/D≤1)进行设计，其最大设计充满度规定如下表。</w:t>
      </w:r>
    </w:p>
    <w:p>
      <w:pPr>
        <w:ind w:firstLine="562"/>
        <w:jc w:val="center"/>
        <w:rPr>
          <w:rFonts w:ascii="宋体" w:hAnsi="宋体" w:cs="宋体"/>
          <w:b/>
          <w:bCs/>
        </w:rPr>
      </w:pPr>
      <w:r>
        <w:rPr>
          <w:rFonts w:hint="eastAsia" w:ascii="宋体" w:hAnsi="宋体" w:cs="宋体"/>
          <w:b/>
          <w:bCs/>
        </w:rPr>
        <w:t>表</w:t>
      </w:r>
      <w:r>
        <w:rPr>
          <w:rFonts w:ascii="宋体" w:hAnsi="宋体" w:cs="宋体"/>
          <w:b/>
          <w:bCs/>
        </w:rPr>
        <w:t>5</w:t>
      </w:r>
      <w:r>
        <w:rPr>
          <w:rFonts w:hint="eastAsia" w:ascii="宋体" w:hAnsi="宋体" w:cs="宋体"/>
          <w:b/>
          <w:bCs/>
        </w:rPr>
        <w:t>-</w:t>
      </w:r>
      <w:r>
        <w:rPr>
          <w:rFonts w:ascii="宋体" w:hAnsi="宋体" w:cs="宋体"/>
          <w:b/>
          <w:bCs/>
        </w:rPr>
        <w:t>1</w:t>
      </w:r>
      <w:r>
        <w:rPr>
          <w:rFonts w:hint="eastAsia" w:ascii="宋体" w:hAnsi="宋体" w:cs="宋体"/>
          <w:b/>
          <w:bCs/>
        </w:rPr>
        <w:t xml:space="preserve"> 最大设计充满度表</w:t>
      </w:r>
    </w:p>
    <w:p>
      <w:pPr>
        <w:pStyle w:val="38"/>
        <w:tabs>
          <w:tab w:val="left" w:pos="1115"/>
        </w:tabs>
        <w:rPr>
          <w:color w:val="auto"/>
        </w:rPr>
      </w:pPr>
      <w:r>
        <w:rPr>
          <w:color w:val="auto"/>
        </w:rPr>
        <w:tab/>
      </w:r>
    </w:p>
    <w:tbl>
      <w:tblPr>
        <w:tblStyle w:val="29"/>
        <w:tblW w:w="87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60"/>
        <w:gridCol w:w="42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4460"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管径(d)或暗沟渠高(H)(mm)</w:t>
            </w:r>
          </w:p>
        </w:tc>
        <w:tc>
          <w:tcPr>
            <w:tcW w:w="4279"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最大设计充满度(H/D)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4460"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100~150</w:t>
            </w:r>
          </w:p>
        </w:tc>
        <w:tc>
          <w:tcPr>
            <w:tcW w:w="4279"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exact"/>
          <w:jc w:val="center"/>
        </w:trPr>
        <w:tc>
          <w:tcPr>
            <w:tcW w:w="4460"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200～300</w:t>
            </w:r>
          </w:p>
        </w:tc>
        <w:tc>
          <w:tcPr>
            <w:tcW w:w="4279" w:type="dxa"/>
            <w:vAlign w:val="center"/>
          </w:tcPr>
          <w:p>
            <w:pPr>
              <w:pStyle w:val="74"/>
              <w:ind w:firstLine="560"/>
              <w:rPr>
                <w:rFonts w:asciiTheme="minorEastAsia" w:hAnsiTheme="minorEastAsia" w:eastAsiaTheme="minorEastAsia" w:cstheme="minorEastAsia"/>
              </w:rPr>
            </w:pPr>
            <w:r>
              <w:rPr>
                <w:rFonts w:hint="eastAsia" w:asciiTheme="minorEastAsia" w:hAnsiTheme="minorEastAsia" w:eastAsiaTheme="minorEastAsia" w:cstheme="minorEastAsia"/>
              </w:rPr>
              <w:t>0.55</w:t>
            </w:r>
          </w:p>
        </w:tc>
      </w:tr>
    </w:tbl>
    <w:p>
      <w:pPr>
        <w:pStyle w:val="38"/>
        <w:tabs>
          <w:tab w:val="left" w:pos="1115"/>
        </w:tabs>
        <w:rPr>
          <w:color w:val="auto"/>
        </w:rPr>
      </w:pPr>
    </w:p>
    <w:p>
      <w:pPr>
        <w:ind w:firstLine="560"/>
        <w:rPr>
          <w:rFonts w:ascii="宋体" w:hAnsi="宋体" w:cs="宋体"/>
        </w:rPr>
      </w:pPr>
      <w:r>
        <w:rPr>
          <w:rFonts w:hint="eastAsia" w:ascii="宋体" w:hAnsi="宋体" w:cs="宋体"/>
        </w:rPr>
        <w:t>②设计流速</w:t>
      </w:r>
    </w:p>
    <w:p>
      <w:pPr>
        <w:ind w:firstLine="560"/>
        <w:rPr>
          <w:rFonts w:ascii="宋体" w:hAnsi="宋体" w:cs="宋体"/>
        </w:rPr>
      </w:pPr>
      <w:r>
        <w:rPr>
          <w:rFonts w:hint="eastAsia" w:ascii="宋体" w:hAnsi="宋体" w:cs="宋体"/>
        </w:rPr>
        <w:t>流速控制在放淤流速和防冲刷流速之间。</w:t>
      </w:r>
    </w:p>
    <w:p>
      <w:pPr>
        <w:ind w:firstLine="560"/>
        <w:rPr>
          <w:rFonts w:ascii="宋体" w:hAnsi="宋体" w:cs="宋体"/>
        </w:rPr>
      </w:pPr>
      <w:r>
        <w:rPr>
          <w:rFonts w:hint="eastAsia" w:ascii="宋体" w:hAnsi="宋体" w:cs="宋体"/>
        </w:rPr>
        <w:t>最小设计流速：Vmin=0.60m/s</w:t>
      </w:r>
    </w:p>
    <w:p>
      <w:pPr>
        <w:ind w:firstLine="560"/>
        <w:rPr>
          <w:rFonts w:ascii="宋体" w:hAnsi="宋体" w:cs="宋体"/>
        </w:rPr>
      </w:pPr>
      <w:r>
        <w:rPr>
          <w:rFonts w:hint="eastAsia" w:ascii="宋体" w:hAnsi="宋体" w:cs="宋体"/>
        </w:rPr>
        <w:t>最大设计流速：金属管Vmax=10m/s</w:t>
      </w:r>
    </w:p>
    <w:p>
      <w:pPr>
        <w:ind w:firstLine="560"/>
        <w:rPr>
          <w:rFonts w:ascii="宋体" w:hAnsi="宋体" w:cs="宋体"/>
        </w:rPr>
      </w:pPr>
      <w:r>
        <w:rPr>
          <w:rFonts w:hint="eastAsia" w:ascii="宋体" w:hAnsi="宋体" w:cs="宋体"/>
        </w:rPr>
        <w:t>非金属管Vmax=5m/s</w:t>
      </w:r>
    </w:p>
    <w:p>
      <w:pPr>
        <w:ind w:firstLine="560"/>
        <w:rPr>
          <w:rFonts w:ascii="宋体" w:hAnsi="宋体" w:cs="宋体"/>
        </w:rPr>
      </w:pPr>
      <w:r>
        <w:rPr>
          <w:rFonts w:hint="eastAsia" w:ascii="宋体" w:hAnsi="宋体" w:cs="宋体"/>
        </w:rPr>
        <w:t>最小管径与最小设计坡度</w:t>
      </w:r>
    </w:p>
    <w:p>
      <w:pPr>
        <w:ind w:firstLine="560"/>
        <w:rPr>
          <w:rFonts w:ascii="宋体" w:hAnsi="宋体" w:cs="宋体"/>
        </w:rPr>
      </w:pPr>
      <w:r>
        <w:rPr>
          <w:rFonts w:hint="eastAsia" w:ascii="宋体" w:hAnsi="宋体" w:cs="宋体"/>
        </w:rPr>
        <w:t>村组内污水管道的最小管径为DN160，相应的最小设计坡度为0.003；道路下最小管径为DN400，相应的最小设计坡度0.003。</w:t>
      </w:r>
    </w:p>
    <w:p>
      <w:pPr>
        <w:ind w:firstLine="560"/>
        <w:rPr>
          <w:rFonts w:ascii="宋体" w:hAnsi="宋体" w:cs="宋体"/>
        </w:rPr>
      </w:pPr>
      <w:r>
        <w:rPr>
          <w:rFonts w:hint="eastAsia" w:ascii="宋体" w:hAnsi="宋体" w:cs="宋体"/>
        </w:rPr>
        <w:t>③道起始覆土深度</w:t>
      </w:r>
    </w:p>
    <w:p>
      <w:pPr>
        <w:ind w:firstLine="560"/>
        <w:rPr>
          <w:rFonts w:ascii="宋体" w:hAnsi="宋体" w:cs="宋体"/>
        </w:rPr>
      </w:pPr>
      <w:r>
        <w:rPr>
          <w:rFonts w:hint="eastAsia" w:ascii="宋体" w:hAnsi="宋体" w:cs="宋体"/>
        </w:rPr>
        <w:t>为了便于污水支管接入污水主干管，管道的起始覆土深度不小于0.7m。</w:t>
      </w:r>
    </w:p>
    <w:p>
      <w:pPr>
        <w:ind w:firstLine="562"/>
        <w:jc w:val="center"/>
        <w:rPr>
          <w:rFonts w:ascii="宋体" w:hAnsi="宋体" w:cs="宋体"/>
          <w:b/>
          <w:bCs/>
        </w:rPr>
      </w:pPr>
      <w:r>
        <w:rPr>
          <w:rFonts w:hint="eastAsia" w:ascii="宋体" w:hAnsi="宋体" w:cs="宋体"/>
          <w:b/>
          <w:bCs/>
        </w:rPr>
        <w:t>表</w:t>
      </w:r>
      <w:r>
        <w:rPr>
          <w:rFonts w:ascii="宋体" w:hAnsi="宋体" w:cs="宋体"/>
          <w:b/>
          <w:bCs/>
        </w:rPr>
        <w:t>5</w:t>
      </w:r>
      <w:r>
        <w:rPr>
          <w:rFonts w:hint="eastAsia" w:ascii="宋体" w:hAnsi="宋体" w:cs="宋体"/>
          <w:b/>
          <w:bCs/>
        </w:rPr>
        <w:t>-</w:t>
      </w:r>
      <w:r>
        <w:rPr>
          <w:rFonts w:ascii="宋体" w:hAnsi="宋体" w:cs="宋体"/>
          <w:b/>
          <w:bCs/>
        </w:rPr>
        <w:t>2</w:t>
      </w:r>
      <w:r>
        <w:rPr>
          <w:rFonts w:hint="eastAsia" w:ascii="宋体" w:hAnsi="宋体" w:cs="宋体"/>
          <w:b/>
          <w:bCs/>
        </w:rPr>
        <w:t xml:space="preserve"> 生活污水量总变化系数表</w:t>
      </w:r>
    </w:p>
    <w:tbl>
      <w:tblPr>
        <w:tblStyle w:val="29"/>
        <w:tblW w:w="86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765"/>
        <w:gridCol w:w="735"/>
        <w:gridCol w:w="705"/>
        <w:gridCol w:w="677"/>
        <w:gridCol w:w="698"/>
        <w:gridCol w:w="698"/>
        <w:gridCol w:w="698"/>
        <w:gridCol w:w="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2697" w:type="dxa"/>
            <w:vAlign w:val="center"/>
          </w:tcPr>
          <w:p>
            <w:pPr>
              <w:pStyle w:val="74"/>
              <w:rPr>
                <w:rFonts w:cs="Times New Roman" w:eastAsiaTheme="minorEastAsia"/>
              </w:rPr>
            </w:pPr>
            <w:r>
              <w:rPr>
                <w:rFonts w:cs="Times New Roman" w:eastAsiaTheme="minorEastAsia"/>
              </w:rPr>
              <w:t>污水平均日流量（L/S）</w:t>
            </w:r>
          </w:p>
        </w:tc>
        <w:tc>
          <w:tcPr>
            <w:tcW w:w="765" w:type="dxa"/>
            <w:vAlign w:val="center"/>
          </w:tcPr>
          <w:p>
            <w:pPr>
              <w:pStyle w:val="74"/>
              <w:rPr>
                <w:rFonts w:cs="Times New Roman" w:eastAsiaTheme="minorEastAsia"/>
              </w:rPr>
            </w:pPr>
            <w:r>
              <w:rPr>
                <w:rFonts w:cs="Times New Roman" w:eastAsiaTheme="minorEastAsia"/>
              </w:rPr>
              <w:t>5</w:t>
            </w:r>
          </w:p>
        </w:tc>
        <w:tc>
          <w:tcPr>
            <w:tcW w:w="735" w:type="dxa"/>
            <w:vAlign w:val="center"/>
          </w:tcPr>
          <w:p>
            <w:pPr>
              <w:pStyle w:val="74"/>
              <w:rPr>
                <w:rFonts w:cs="Times New Roman" w:eastAsiaTheme="minorEastAsia"/>
              </w:rPr>
            </w:pPr>
            <w:r>
              <w:rPr>
                <w:rFonts w:cs="Times New Roman" w:eastAsiaTheme="minorEastAsia"/>
              </w:rPr>
              <w:t>15</w:t>
            </w:r>
          </w:p>
        </w:tc>
        <w:tc>
          <w:tcPr>
            <w:tcW w:w="705" w:type="dxa"/>
            <w:vAlign w:val="center"/>
          </w:tcPr>
          <w:p>
            <w:pPr>
              <w:pStyle w:val="74"/>
              <w:rPr>
                <w:rFonts w:cs="Times New Roman" w:eastAsiaTheme="minorEastAsia"/>
              </w:rPr>
            </w:pPr>
            <w:r>
              <w:rPr>
                <w:rFonts w:cs="Times New Roman" w:eastAsiaTheme="minorEastAsia"/>
              </w:rPr>
              <w:t>40</w:t>
            </w:r>
          </w:p>
        </w:tc>
        <w:tc>
          <w:tcPr>
            <w:tcW w:w="677" w:type="dxa"/>
            <w:vAlign w:val="center"/>
          </w:tcPr>
          <w:p>
            <w:pPr>
              <w:pStyle w:val="74"/>
              <w:rPr>
                <w:rFonts w:cs="Times New Roman" w:eastAsiaTheme="minorEastAsia"/>
              </w:rPr>
            </w:pPr>
            <w:r>
              <w:rPr>
                <w:rFonts w:cs="Times New Roman" w:eastAsiaTheme="minorEastAsia"/>
              </w:rPr>
              <w:t>70</w:t>
            </w:r>
          </w:p>
        </w:tc>
        <w:tc>
          <w:tcPr>
            <w:tcW w:w="698" w:type="dxa"/>
            <w:vAlign w:val="center"/>
          </w:tcPr>
          <w:p>
            <w:pPr>
              <w:pStyle w:val="74"/>
              <w:rPr>
                <w:rFonts w:cs="Times New Roman" w:eastAsiaTheme="minorEastAsia"/>
              </w:rPr>
            </w:pPr>
            <w:r>
              <w:rPr>
                <w:rFonts w:cs="Times New Roman" w:eastAsiaTheme="minorEastAsia"/>
              </w:rPr>
              <w:t>100</w:t>
            </w:r>
          </w:p>
        </w:tc>
        <w:tc>
          <w:tcPr>
            <w:tcW w:w="698" w:type="dxa"/>
            <w:vAlign w:val="center"/>
          </w:tcPr>
          <w:p>
            <w:pPr>
              <w:pStyle w:val="74"/>
              <w:rPr>
                <w:rFonts w:cs="Times New Roman" w:eastAsiaTheme="minorEastAsia"/>
              </w:rPr>
            </w:pPr>
            <w:r>
              <w:rPr>
                <w:rFonts w:cs="Times New Roman" w:eastAsiaTheme="minorEastAsia"/>
              </w:rPr>
              <w:t>200</w:t>
            </w:r>
          </w:p>
        </w:tc>
        <w:tc>
          <w:tcPr>
            <w:tcW w:w="698" w:type="dxa"/>
            <w:vAlign w:val="center"/>
          </w:tcPr>
          <w:p>
            <w:pPr>
              <w:pStyle w:val="74"/>
              <w:rPr>
                <w:rFonts w:cs="Times New Roman" w:eastAsiaTheme="minorEastAsia"/>
              </w:rPr>
            </w:pPr>
            <w:r>
              <w:rPr>
                <w:rFonts w:cs="Times New Roman" w:eastAsiaTheme="minorEastAsia"/>
              </w:rPr>
              <w:t>500</w:t>
            </w:r>
          </w:p>
        </w:tc>
        <w:tc>
          <w:tcPr>
            <w:tcW w:w="990" w:type="dxa"/>
            <w:vAlign w:val="center"/>
          </w:tcPr>
          <w:p>
            <w:pPr>
              <w:pStyle w:val="74"/>
              <w:rPr>
                <w:rFonts w:cs="Times New Roman" w:eastAsiaTheme="minorEastAsia"/>
              </w:rPr>
            </w:pPr>
            <w:r>
              <w:rPr>
                <w:rFonts w:cs="Times New Roman" w:eastAsiaTheme="minorEastAsia"/>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2697" w:type="dxa"/>
            <w:vAlign w:val="center"/>
          </w:tcPr>
          <w:p>
            <w:pPr>
              <w:pStyle w:val="74"/>
              <w:rPr>
                <w:rFonts w:cs="Times New Roman" w:eastAsiaTheme="minorEastAsia"/>
              </w:rPr>
            </w:pPr>
            <w:r>
              <w:rPr>
                <w:rFonts w:cs="Times New Roman" w:eastAsiaTheme="minorEastAsia"/>
              </w:rPr>
              <w:t>总变化系数</w:t>
            </w:r>
          </w:p>
        </w:tc>
        <w:tc>
          <w:tcPr>
            <w:tcW w:w="765" w:type="dxa"/>
            <w:vAlign w:val="center"/>
          </w:tcPr>
          <w:p>
            <w:pPr>
              <w:pStyle w:val="74"/>
              <w:rPr>
                <w:rFonts w:cs="Times New Roman" w:eastAsiaTheme="minorEastAsia"/>
              </w:rPr>
            </w:pPr>
            <w:r>
              <w:rPr>
                <w:rFonts w:cs="Times New Roman" w:eastAsiaTheme="minorEastAsia"/>
              </w:rPr>
              <w:t>2.7</w:t>
            </w:r>
          </w:p>
        </w:tc>
        <w:tc>
          <w:tcPr>
            <w:tcW w:w="735" w:type="dxa"/>
            <w:vAlign w:val="center"/>
          </w:tcPr>
          <w:p>
            <w:pPr>
              <w:pStyle w:val="74"/>
              <w:rPr>
                <w:rFonts w:cs="Times New Roman" w:eastAsiaTheme="minorEastAsia"/>
              </w:rPr>
            </w:pPr>
            <w:r>
              <w:rPr>
                <w:rFonts w:cs="Times New Roman" w:eastAsiaTheme="minorEastAsia"/>
              </w:rPr>
              <w:t>2.4</w:t>
            </w:r>
          </w:p>
        </w:tc>
        <w:tc>
          <w:tcPr>
            <w:tcW w:w="705" w:type="dxa"/>
            <w:vAlign w:val="center"/>
          </w:tcPr>
          <w:p>
            <w:pPr>
              <w:pStyle w:val="74"/>
              <w:rPr>
                <w:rFonts w:cs="Times New Roman" w:eastAsiaTheme="minorEastAsia"/>
              </w:rPr>
            </w:pPr>
            <w:r>
              <w:rPr>
                <w:rFonts w:cs="Times New Roman" w:eastAsiaTheme="minorEastAsia"/>
              </w:rPr>
              <w:t>2.1</w:t>
            </w:r>
          </w:p>
        </w:tc>
        <w:tc>
          <w:tcPr>
            <w:tcW w:w="677" w:type="dxa"/>
            <w:vAlign w:val="center"/>
          </w:tcPr>
          <w:p>
            <w:pPr>
              <w:pStyle w:val="74"/>
              <w:rPr>
                <w:rFonts w:cs="Times New Roman" w:eastAsiaTheme="minorEastAsia"/>
              </w:rPr>
            </w:pPr>
            <w:r>
              <w:rPr>
                <w:rFonts w:cs="Times New Roman" w:eastAsiaTheme="minorEastAsia"/>
              </w:rPr>
              <w:t>2.0</w:t>
            </w:r>
          </w:p>
        </w:tc>
        <w:tc>
          <w:tcPr>
            <w:tcW w:w="698" w:type="dxa"/>
            <w:vAlign w:val="center"/>
          </w:tcPr>
          <w:p>
            <w:pPr>
              <w:pStyle w:val="74"/>
              <w:rPr>
                <w:rFonts w:cs="Times New Roman" w:eastAsiaTheme="minorEastAsia"/>
              </w:rPr>
            </w:pPr>
            <w:r>
              <w:rPr>
                <w:rFonts w:cs="Times New Roman" w:eastAsiaTheme="minorEastAsia"/>
              </w:rPr>
              <w:t>1.9</w:t>
            </w:r>
          </w:p>
        </w:tc>
        <w:tc>
          <w:tcPr>
            <w:tcW w:w="698" w:type="dxa"/>
            <w:vAlign w:val="center"/>
          </w:tcPr>
          <w:p>
            <w:pPr>
              <w:pStyle w:val="74"/>
              <w:rPr>
                <w:rFonts w:cs="Times New Roman" w:eastAsiaTheme="minorEastAsia"/>
              </w:rPr>
            </w:pPr>
            <w:r>
              <w:rPr>
                <w:rFonts w:cs="Times New Roman" w:eastAsiaTheme="minorEastAsia"/>
              </w:rPr>
              <w:t>1.8</w:t>
            </w:r>
          </w:p>
        </w:tc>
        <w:tc>
          <w:tcPr>
            <w:tcW w:w="698" w:type="dxa"/>
            <w:vAlign w:val="center"/>
          </w:tcPr>
          <w:p>
            <w:pPr>
              <w:pStyle w:val="74"/>
              <w:rPr>
                <w:rFonts w:cs="Times New Roman" w:eastAsiaTheme="minorEastAsia"/>
              </w:rPr>
            </w:pPr>
            <w:r>
              <w:rPr>
                <w:rFonts w:cs="Times New Roman" w:eastAsiaTheme="minorEastAsia"/>
              </w:rPr>
              <w:t>1.6</w:t>
            </w:r>
          </w:p>
        </w:tc>
        <w:tc>
          <w:tcPr>
            <w:tcW w:w="990" w:type="dxa"/>
            <w:vAlign w:val="center"/>
          </w:tcPr>
          <w:p>
            <w:pPr>
              <w:pStyle w:val="74"/>
              <w:rPr>
                <w:rFonts w:cs="Times New Roman" w:eastAsiaTheme="minorEastAsia"/>
              </w:rPr>
            </w:pPr>
            <w:r>
              <w:rPr>
                <w:rFonts w:cs="Times New Roman" w:eastAsiaTheme="minorEastAsia"/>
              </w:rPr>
              <w:t>1.5</w:t>
            </w:r>
          </w:p>
        </w:tc>
      </w:tr>
    </w:tbl>
    <w:p>
      <w:pPr>
        <w:pStyle w:val="38"/>
        <w:rPr>
          <w:color w:val="auto"/>
        </w:rPr>
      </w:pPr>
    </w:p>
    <w:p>
      <w:pPr>
        <w:ind w:firstLine="560"/>
        <w:rPr>
          <w:rFonts w:ascii="宋体" w:hAnsi="宋体" w:cs="宋体"/>
        </w:rPr>
      </w:pPr>
      <w:r>
        <w:rPr>
          <w:rFonts w:hint="eastAsia" w:ascii="宋体" w:hAnsi="宋体" w:cs="宋体"/>
        </w:rPr>
        <w:t>④管道连接</w:t>
      </w:r>
    </w:p>
    <w:p>
      <w:pPr>
        <w:ind w:firstLine="560"/>
        <w:rPr>
          <w:rFonts w:ascii="宋体" w:hAnsi="宋体" w:cs="宋体"/>
        </w:rPr>
      </w:pPr>
      <w:r>
        <w:rPr>
          <w:rFonts w:hint="eastAsia" w:ascii="宋体" w:hAnsi="宋体" w:cs="宋体"/>
        </w:rPr>
        <w:t>污水管道管径连接均采用承插连接。在任何情况下进水管底标高不低于出水管管底标高。各村屯管网布置方案：</w:t>
      </w:r>
    </w:p>
    <w:p>
      <w:pPr>
        <w:ind w:firstLine="560"/>
        <w:rPr>
          <w:rFonts w:ascii="宋体" w:hAnsi="宋体" w:cs="宋体"/>
        </w:rPr>
      </w:pPr>
      <w:r>
        <w:rPr>
          <w:rFonts w:hint="eastAsia" w:ascii="宋体" w:hAnsi="宋体" w:cs="宋体"/>
        </w:rPr>
        <w:t>根据各村屯地形，污水管网以重力流式对村内各个农户污水接入户管收集，污水干管主要沿村内道路铺设成树枝状，管径分别为DN400和DN800</w:t>
      </w:r>
      <w:r>
        <w:rPr>
          <w:rFonts w:ascii="宋体" w:hAnsi="宋体" w:cs="宋体"/>
        </w:rPr>
        <w:t>。</w:t>
      </w: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5.3.</w:t>
      </w:r>
      <w:r>
        <w:rPr>
          <w:rFonts w:ascii="黑体" w:hAnsi="黑体" w:eastAsia="黑体" w:cs="黑体"/>
          <w:b w:val="0"/>
          <w:bCs w:val="0"/>
          <w:sz w:val="30"/>
          <w:szCs w:val="30"/>
        </w:rPr>
        <w:t>5</w:t>
      </w:r>
      <w:r>
        <w:rPr>
          <w:rFonts w:hint="eastAsia" w:ascii="黑体" w:hAnsi="黑体" w:eastAsia="黑体" w:cs="黑体"/>
          <w:b w:val="0"/>
          <w:bCs w:val="0"/>
          <w:sz w:val="30"/>
          <w:szCs w:val="30"/>
        </w:rPr>
        <w:t>管材</w:t>
      </w:r>
      <w:r>
        <w:rPr>
          <w:rFonts w:ascii="黑体" w:hAnsi="黑体" w:eastAsia="黑体" w:cs="黑体"/>
          <w:b w:val="0"/>
          <w:bCs w:val="0"/>
          <w:sz w:val="30"/>
          <w:szCs w:val="30"/>
        </w:rPr>
        <w:t>选择</w:t>
      </w:r>
    </w:p>
    <w:p>
      <w:pPr>
        <w:ind w:firstLine="560"/>
        <w:rPr>
          <w:rFonts w:cs="宋体" w:asciiTheme="minorEastAsia" w:hAnsiTheme="minorEastAsia" w:eastAsiaTheme="minorEastAsia"/>
          <w:szCs w:val="28"/>
        </w:rPr>
      </w:pPr>
      <w:r>
        <w:rPr>
          <w:rFonts w:hint="eastAsia" w:cs="宋体" w:asciiTheme="minorEastAsia" w:hAnsiTheme="minorEastAsia" w:eastAsiaTheme="minorEastAsia"/>
          <w:szCs w:val="28"/>
        </w:rPr>
        <w:t>在污水工程中，管道工程投资在工程总投资中占有很大的比例，而管道工程总投资中，管材费用也占有很大的比例。污水管道属于地下永久性隐藏工程设施，要求具有很高的安全可靠性。因此，合理选择管材非常重要。</w:t>
      </w:r>
    </w:p>
    <w:p>
      <w:pPr>
        <w:ind w:firstLine="560"/>
        <w:rPr>
          <w:rFonts w:ascii="宋体" w:hAnsi="宋体" w:cs="宋体"/>
        </w:rPr>
      </w:pPr>
      <w:bookmarkStart w:id="100" w:name="_Toc23050_WPSOffice_Level3"/>
      <w:r>
        <w:rPr>
          <w:rFonts w:hint="eastAsia" w:ascii="宋体" w:hAnsi="宋体" w:cs="宋体"/>
        </w:rPr>
        <w:t>1.管道材料要求</w:t>
      </w:r>
      <w:bookmarkEnd w:id="100"/>
    </w:p>
    <w:p>
      <w:pPr>
        <w:ind w:firstLine="560"/>
        <w:rPr>
          <w:rFonts w:ascii="宋体" w:hAnsi="宋体" w:cs="宋体"/>
        </w:rPr>
      </w:pPr>
      <w:r>
        <w:rPr>
          <w:rFonts w:hint="eastAsia" w:ascii="宋体" w:hAnsi="宋体" w:cs="宋体"/>
        </w:rPr>
        <w:t>（1）排水管渠的材料必须满足一定要求，才能保证正常的排水功能。</w:t>
      </w:r>
    </w:p>
    <w:p>
      <w:pPr>
        <w:ind w:firstLine="560"/>
        <w:rPr>
          <w:rFonts w:ascii="宋体" w:hAnsi="宋体" w:cs="宋体"/>
        </w:rPr>
      </w:pPr>
      <w:r>
        <w:rPr>
          <w:rFonts w:hint="eastAsia" w:ascii="宋体" w:hAnsi="宋体" w:cs="宋体"/>
        </w:rPr>
        <w:t>（2）排水管渠必须具有足够的强度，以承受外部的荷载和内部的水压。</w:t>
      </w:r>
    </w:p>
    <w:p>
      <w:pPr>
        <w:ind w:firstLine="560"/>
        <w:rPr>
          <w:rFonts w:ascii="宋体" w:hAnsi="宋体" w:cs="宋体"/>
        </w:rPr>
      </w:pPr>
      <w:r>
        <w:rPr>
          <w:rFonts w:hint="eastAsia" w:ascii="宋体" w:hAnsi="宋体" w:cs="宋体"/>
        </w:rPr>
        <w:t>（3）排水管渠必须具有抵抗污水中杂质的冲刷和磨损的作用。也应有抗腐蚀的性能，特别对某些腐蚀性的工业废水。</w:t>
      </w:r>
    </w:p>
    <w:p>
      <w:pPr>
        <w:ind w:firstLine="560"/>
        <w:rPr>
          <w:rFonts w:ascii="宋体" w:hAnsi="宋体" w:cs="宋体"/>
        </w:rPr>
      </w:pPr>
      <w:r>
        <w:rPr>
          <w:rFonts w:hint="eastAsia" w:ascii="宋体" w:hAnsi="宋体" w:cs="宋体"/>
        </w:rPr>
        <w:t>（4）排水管渠必须不透水，以防止污水渗出或地下水渗入，而污染地下水或腐蚀其他管线和建筑物基础。</w:t>
      </w:r>
    </w:p>
    <w:p>
      <w:pPr>
        <w:ind w:firstLine="560"/>
        <w:rPr>
          <w:rFonts w:ascii="宋体" w:hAnsi="宋体" w:cs="宋体"/>
        </w:rPr>
      </w:pPr>
      <w:r>
        <w:rPr>
          <w:rFonts w:hint="eastAsia" w:ascii="宋体" w:hAnsi="宋体" w:cs="宋体"/>
        </w:rPr>
        <w:t>（5）排水管渠的内壁应整齐光滑，使水流阻力尽量减小。</w:t>
      </w:r>
    </w:p>
    <w:p>
      <w:pPr>
        <w:ind w:firstLine="560"/>
        <w:rPr>
          <w:rFonts w:ascii="宋体" w:hAnsi="宋体" w:cs="宋体"/>
        </w:rPr>
      </w:pPr>
      <w:r>
        <w:rPr>
          <w:rFonts w:hint="eastAsia" w:ascii="宋体" w:hAnsi="宋体" w:cs="宋体"/>
        </w:rPr>
        <w:t>（6）排水管渠应尽量就地取材，并考虑到预制管件及快速施工的可能，减少运输和施工费用。</w:t>
      </w:r>
    </w:p>
    <w:p>
      <w:pPr>
        <w:ind w:firstLine="560"/>
        <w:rPr>
          <w:rFonts w:ascii="宋体" w:hAnsi="宋体" w:cs="宋体"/>
        </w:rPr>
      </w:pPr>
      <w:bookmarkStart w:id="101" w:name="_Toc1605_WPSOffice_Level3"/>
      <w:r>
        <w:rPr>
          <w:rFonts w:hint="eastAsia" w:ascii="宋体" w:hAnsi="宋体" w:cs="宋体"/>
        </w:rPr>
        <w:t>2.管材性能比较</w:t>
      </w:r>
      <w:bookmarkEnd w:id="101"/>
    </w:p>
    <w:p>
      <w:pPr>
        <w:ind w:firstLine="560"/>
        <w:rPr>
          <w:rFonts w:ascii="宋体" w:hAnsi="宋体" w:cs="宋体"/>
        </w:rPr>
      </w:pPr>
      <w:r>
        <w:rPr>
          <w:rFonts w:hint="eastAsia" w:ascii="宋体" w:hAnsi="宋体" w:cs="宋体"/>
        </w:rPr>
        <w:t>目前国内常用的管材主要有两大类，传统材质管材和新型材质管材，传统材质管材常用的有预应力钢筋混凝土管、钢管等，新型材质管材常用的有硬聚氯乙烯管（UPVC）、高密度聚乙烯管（HDPE）、纤维缠绕增强玻璃钢夹砂管（简称RPMP），以上管材有其各自的特点和适用条件。下面对各管材的性能进行简单比较。</w:t>
      </w:r>
    </w:p>
    <w:p>
      <w:pPr>
        <w:ind w:firstLine="560"/>
        <w:rPr>
          <w:rFonts w:ascii="宋体" w:hAnsi="宋体" w:cs="宋体"/>
        </w:rPr>
      </w:pPr>
      <w:r>
        <w:rPr>
          <w:rFonts w:hint="eastAsia" w:ascii="宋体" w:hAnsi="宋体" w:cs="宋体"/>
        </w:rPr>
        <w:t>（1）钢筋混凝土管</w:t>
      </w:r>
    </w:p>
    <w:p>
      <w:pPr>
        <w:ind w:firstLine="560"/>
        <w:rPr>
          <w:rFonts w:ascii="宋体" w:hAnsi="宋体" w:cs="宋体"/>
        </w:rPr>
      </w:pPr>
      <w:r>
        <w:rPr>
          <w:rFonts w:hint="eastAsia" w:ascii="宋体" w:hAnsi="宋体" w:cs="宋体"/>
        </w:rPr>
        <w:t>利用先张法、后张法对环向钢筋、纵向钢筋进行张拉，使混凝土内产生预应力，从而提高管材的承载力。具有节约钢材抗震性好、耐久性好、使用寿命长等特点，据生产工艺分为一阶段管、三阶段管。管径范围Φ800～Φ1400，承受内压能力为0.4～0.8MPa，粗糙度系数n＝0.013～0.014。多用于有压流输送。密度大，重量大；接头数量多，基础要求高；因接口形式限制，污水渗漏严重。</w:t>
      </w:r>
    </w:p>
    <w:p>
      <w:pPr>
        <w:ind w:firstLine="560"/>
        <w:rPr>
          <w:rFonts w:ascii="宋体" w:hAnsi="宋体" w:cs="宋体"/>
        </w:rPr>
      </w:pPr>
      <w:r>
        <w:rPr>
          <w:rFonts w:hint="eastAsia" w:ascii="宋体" w:hAnsi="宋体" w:cs="宋体"/>
        </w:rPr>
        <w:t>钢筋混凝土管采用C20钢筋混凝土基础，基底遇淤泥时，须作特殊处理。</w:t>
      </w:r>
    </w:p>
    <w:p>
      <w:pPr>
        <w:ind w:firstLine="560"/>
        <w:rPr>
          <w:rFonts w:ascii="宋体" w:hAnsi="宋体" w:cs="宋体"/>
        </w:rPr>
      </w:pPr>
      <w:r>
        <w:rPr>
          <w:rFonts w:hint="eastAsia" w:ascii="宋体" w:hAnsi="宋体" w:cs="宋体"/>
        </w:rPr>
        <w:t>（2）钢管</w:t>
      </w:r>
    </w:p>
    <w:p>
      <w:pPr>
        <w:ind w:firstLine="560"/>
        <w:rPr>
          <w:rFonts w:ascii="宋体" w:hAnsi="宋体" w:cs="宋体"/>
        </w:rPr>
      </w:pPr>
      <w:r>
        <w:rPr>
          <w:rFonts w:hint="eastAsia" w:ascii="宋体" w:hAnsi="宋体" w:cs="宋体"/>
        </w:rPr>
        <w:t>钢管具有较好的机械强度，可承受较高的外压和内压，适应性强，但不做好防腐，极易腐蚀，不宜埋地用作排水管，如果通过做内外层防腐及电化学保护，可达到防腐目的，但工艺技术要求高，且费工费钱。一般不在大型管道收集系统中采用。</w:t>
      </w:r>
    </w:p>
    <w:p>
      <w:pPr>
        <w:ind w:firstLine="560"/>
        <w:rPr>
          <w:rFonts w:ascii="宋体" w:hAnsi="宋体" w:cs="宋体"/>
        </w:rPr>
      </w:pPr>
      <w:r>
        <w:rPr>
          <w:rFonts w:hint="eastAsia" w:ascii="宋体" w:hAnsi="宋体" w:cs="宋体"/>
        </w:rPr>
        <w:t>钢管连接通常为焊接或法兰连接。</w:t>
      </w:r>
    </w:p>
    <w:p>
      <w:pPr>
        <w:ind w:firstLine="560"/>
        <w:rPr>
          <w:rFonts w:ascii="宋体" w:hAnsi="宋体" w:cs="宋体"/>
        </w:rPr>
      </w:pPr>
      <w:r>
        <w:rPr>
          <w:rFonts w:hint="eastAsia" w:ascii="宋体" w:hAnsi="宋体" w:cs="宋体"/>
        </w:rPr>
        <w:t>（3）硬聚氯乙烯管（UPVC）</w:t>
      </w:r>
    </w:p>
    <w:p>
      <w:pPr>
        <w:ind w:firstLine="560"/>
        <w:rPr>
          <w:rFonts w:ascii="宋体" w:hAnsi="宋体" w:cs="宋体"/>
        </w:rPr>
      </w:pPr>
      <w:r>
        <w:rPr>
          <w:rFonts w:hint="eastAsia" w:ascii="宋体" w:hAnsi="宋体" w:cs="宋体"/>
        </w:rPr>
        <w:t>目前小管径硬聚氯乙烯管在市政工程中应用逐渐增多，主要有硬聚氯乙烯管如果地质较差，采用管底压密注浆加固地基。</w:t>
      </w:r>
    </w:p>
    <w:p>
      <w:pPr>
        <w:ind w:firstLine="560"/>
        <w:rPr>
          <w:rFonts w:ascii="宋体" w:hAnsi="宋体" w:cs="宋体"/>
        </w:rPr>
      </w:pPr>
      <w:r>
        <w:rPr>
          <w:rFonts w:hint="eastAsia" w:ascii="宋体" w:hAnsi="宋体" w:cs="宋体"/>
        </w:rPr>
        <w:t>钢筋混凝土管接口采用橡胶圈子母口承插式接口，施工简单。</w:t>
      </w:r>
    </w:p>
    <w:p>
      <w:pPr>
        <w:ind w:firstLine="560"/>
        <w:rPr>
          <w:rFonts w:ascii="宋体" w:hAnsi="宋体" w:cs="宋体"/>
        </w:rPr>
      </w:pPr>
      <w:r>
        <w:rPr>
          <w:rFonts w:hint="eastAsia" w:ascii="宋体" w:hAnsi="宋体" w:cs="宋体"/>
        </w:rPr>
        <w:t>（UPVC）和硬聚氯乙烯双壁波纹管（PVC－U）。采用引进配方和辅料，由挤出机一次挤出成形，内壁光滑，管道工作内压0.2Mpa，粗糙系数n＝0.01。一般应用中管径小于Φ600。耐腐蚀，阻力小，使用寿命长，连接方便，柔性接口抗不均匀沉降性能强，重量轻。小管径价格有优势，但大管径为保证强度要求，管壁加厚，导致价格直线上升，故大管径不用；因属柔性管道，埋地铺设施工技术要求高；管道配件不全，导致价格昂贵。</w:t>
      </w:r>
    </w:p>
    <w:p>
      <w:pPr>
        <w:ind w:firstLine="560"/>
        <w:rPr>
          <w:rFonts w:ascii="宋体" w:hAnsi="宋体" w:cs="宋体"/>
        </w:rPr>
      </w:pPr>
      <w:r>
        <w:rPr>
          <w:rFonts w:hint="eastAsia" w:ascii="宋体" w:hAnsi="宋体" w:cs="宋体"/>
        </w:rPr>
        <w:t>硬聚氯乙烯管为柔性管材，可以有一定变形仍不损坏，对基础的要求比钢筋混凝土管道低，采用沙石垫层。</w:t>
      </w:r>
    </w:p>
    <w:p>
      <w:pPr>
        <w:ind w:firstLine="560"/>
        <w:rPr>
          <w:rFonts w:ascii="宋体" w:hAnsi="宋体" w:cs="宋体"/>
        </w:rPr>
      </w:pPr>
      <w:r>
        <w:rPr>
          <w:rFonts w:hint="eastAsia" w:ascii="宋体" w:hAnsi="宋体" w:cs="宋体"/>
        </w:rPr>
        <w:t>硬聚氯乙烯管多采用热熔连接方式和承插粘合剂粘结方式，还可采用法兰式连接方式。</w:t>
      </w:r>
    </w:p>
    <w:p>
      <w:pPr>
        <w:ind w:firstLine="560"/>
        <w:rPr>
          <w:rFonts w:ascii="宋体" w:hAnsi="宋体" w:cs="宋体"/>
        </w:rPr>
      </w:pPr>
      <w:r>
        <w:rPr>
          <w:rFonts w:hint="eastAsia" w:ascii="宋体" w:hAnsi="宋体" w:cs="宋体"/>
        </w:rPr>
        <w:t>（4）纤维缠绕增强玻璃钢夹砂管(RPMP)</w:t>
      </w:r>
    </w:p>
    <w:p>
      <w:pPr>
        <w:ind w:firstLine="560"/>
        <w:rPr>
          <w:rFonts w:ascii="宋体" w:hAnsi="宋体" w:cs="宋体"/>
        </w:rPr>
      </w:pPr>
      <w:r>
        <w:rPr>
          <w:rFonts w:hint="eastAsia" w:ascii="宋体" w:hAnsi="宋体" w:cs="宋体"/>
        </w:rPr>
        <w:t>以玻璃纤维及其制品为增强材料，以热固性树脂为基体材料，中间夹以石英砂，通过连续往复交叉不缠绕工艺制作而成的一种新型管材。管道直径Φ400～Φ2500，管道工作内压0.2MPa，粗糙系数n＝0.009。耐腐蚀，阻力小，使用寿命长，连接方便，良好的柔韧性及柔性接口抗不均匀沉降性能强，重量轻。较金属管材强度低，易损坏，施工技术要求高，不能在阳光下曝晒。多数厂家产品不耐压，只能应用于重力流管道。</w:t>
      </w:r>
    </w:p>
    <w:p>
      <w:pPr>
        <w:ind w:firstLine="560"/>
        <w:rPr>
          <w:rFonts w:ascii="宋体" w:hAnsi="宋体" w:cs="宋体"/>
        </w:rPr>
      </w:pPr>
      <w:r>
        <w:rPr>
          <w:rFonts w:hint="eastAsia" w:ascii="宋体" w:hAnsi="宋体" w:cs="宋体"/>
        </w:rPr>
        <w:t>玻璃钢夹砂管对基础的要求比钢筋混凝土管道低，可采用原状土地基，也可采用100mm厚的砂石垫层，如遇基岩地质，不能直接铺设，需采用150mm厚的砂石垫层。</w:t>
      </w:r>
    </w:p>
    <w:p>
      <w:pPr>
        <w:ind w:firstLine="560"/>
        <w:rPr>
          <w:rFonts w:ascii="宋体" w:hAnsi="宋体" w:cs="宋体"/>
        </w:rPr>
      </w:pPr>
      <w:r>
        <w:rPr>
          <w:rFonts w:hint="eastAsia" w:ascii="宋体" w:hAnsi="宋体" w:cs="宋体"/>
        </w:rPr>
        <w:t>玻璃钢夹砂管可以采用“O”型双密封橡胶圈承插连接，也可以采用法兰连接和对接形式。</w:t>
      </w:r>
    </w:p>
    <w:p>
      <w:pPr>
        <w:ind w:firstLine="560"/>
        <w:rPr>
          <w:rFonts w:ascii="宋体" w:hAnsi="宋体" w:cs="宋体"/>
        </w:rPr>
      </w:pPr>
      <w:r>
        <w:rPr>
          <w:rFonts w:hint="eastAsia" w:ascii="宋体" w:hAnsi="宋体" w:cs="宋体"/>
        </w:rPr>
        <w:t>（5）高密度聚乙烯管（HDPE）</w:t>
      </w:r>
    </w:p>
    <w:p>
      <w:pPr>
        <w:ind w:firstLine="560"/>
        <w:rPr>
          <w:rFonts w:ascii="宋体" w:hAnsi="宋体" w:cs="宋体"/>
        </w:rPr>
      </w:pPr>
      <w:r>
        <w:rPr>
          <w:rFonts w:hint="eastAsia" w:ascii="宋体" w:hAnsi="宋体" w:cs="宋体"/>
        </w:rPr>
        <w:t>高密度聚乙烯管包括双壁波纹管和大口径缠绕增强管。是一种以高密度聚乙烯（HDPE）材料，采用特殊挤出工艺在热熔融状态下缠绕成管，同时熔接成整体制成的管道，管道工作内压0.2MPa，管道环刚度大于8MPa (抗外负载)，粗糙系数n＝0.01。高密度聚乙烯双壁波纹管最大可做到Φ1200，一般应用在Φ600～Φ1000，高密度聚乙烯缠绕结构壁螺旋管最大可做到Φ2500，一般应用在Φ1000～Φ1600。耐腐蚀，阻力小，使用寿命长，连接方便，良好的柔韧性及柔性接口抗不均匀沉降性能强，重量轻。因属柔性管道，埋地铺设施工技术要求高；管道配件不全，导致价格昂贵。</w:t>
      </w:r>
    </w:p>
    <w:p>
      <w:pPr>
        <w:ind w:firstLine="560"/>
        <w:rPr>
          <w:rFonts w:ascii="宋体" w:hAnsi="宋体" w:cs="宋体"/>
        </w:rPr>
      </w:pPr>
      <w:r>
        <w:rPr>
          <w:rFonts w:hint="eastAsia" w:ascii="宋体" w:hAnsi="宋体" w:cs="宋体"/>
        </w:rPr>
        <w:t>高密度聚乙烯管为柔性管材，可以有一定变形仍不损坏，对基础的要求比钢筋混凝土管道低，可采用原状土地基，也可采用100mm厚的砂石垫层。对于处于地下水以下的软土地基，可采用150mm厚的碎石垫层，上面再铺50mm厚的中粗砂。</w:t>
      </w:r>
    </w:p>
    <w:p>
      <w:pPr>
        <w:ind w:firstLine="560"/>
        <w:rPr>
          <w:rFonts w:ascii="宋体" w:hAnsi="宋体" w:cs="宋体"/>
        </w:rPr>
      </w:pPr>
      <w:r>
        <w:rPr>
          <w:rFonts w:hint="eastAsia" w:ascii="宋体" w:hAnsi="宋体" w:cs="宋体"/>
        </w:rPr>
        <w:t>高密度聚乙烯管可采用热熔连接、承插橡胶圈连接、承插粘结、管卡连接、法兰连接等多种连接方式。</w:t>
      </w:r>
    </w:p>
    <w:p>
      <w:pPr>
        <w:ind w:firstLine="560"/>
        <w:rPr>
          <w:rFonts w:ascii="宋体" w:hAnsi="宋体" w:cs="宋体"/>
        </w:rPr>
      </w:pPr>
      <w:r>
        <w:rPr>
          <w:rFonts w:hint="eastAsia" w:ascii="宋体" w:hAnsi="宋体" w:cs="宋体"/>
        </w:rPr>
        <w:t>（6）内衬塑PE复合管</w:t>
      </w:r>
    </w:p>
    <w:p>
      <w:pPr>
        <w:ind w:firstLine="560"/>
        <w:rPr>
          <w:rFonts w:ascii="宋体" w:hAnsi="宋体" w:cs="宋体"/>
        </w:rPr>
      </w:pPr>
      <w:r>
        <w:rPr>
          <w:rFonts w:hint="eastAsia" w:ascii="宋体" w:hAnsi="宋体" w:cs="宋体"/>
        </w:rPr>
        <w:t>内衬塑复合管道是以普通碳素钢管作为基体，内衬化学稳定性优良高分子聚乙烯，经冷拉复合或滚塑成型，内壁光滑平整，粗糙系数n＝0.01，它既有钢管的机械性能，又有</w:t>
      </w:r>
      <w:r>
        <w:rPr>
          <w:rFonts w:hint="eastAsia" w:cs="宋体" w:asciiTheme="minorEastAsia" w:hAnsiTheme="minorEastAsia" w:eastAsiaTheme="minorEastAsia"/>
          <w:szCs w:val="28"/>
        </w:rPr>
        <w:t>工程塑</w:t>
      </w:r>
      <w:r>
        <w:rPr>
          <w:rFonts w:hint="eastAsia" w:ascii="宋体" w:hAnsi="宋体" w:cs="宋体"/>
        </w:rPr>
        <w:t>料的耐腐蚀，缓结垢，不易生长微生物的特点，可长距离压力输送污水。</w:t>
      </w:r>
    </w:p>
    <w:p>
      <w:pPr>
        <w:ind w:firstLine="560"/>
        <w:rPr>
          <w:rFonts w:ascii="宋体" w:hAnsi="宋体" w:cs="宋体"/>
        </w:rPr>
      </w:pPr>
      <w:r>
        <w:rPr>
          <w:rFonts w:hint="eastAsia" w:ascii="宋体" w:hAnsi="宋体" w:cs="宋体"/>
        </w:rPr>
        <w:t>采用原状地基，也可采用100mm厚砂砾层。</w:t>
      </w:r>
    </w:p>
    <w:p>
      <w:pPr>
        <w:ind w:firstLine="562"/>
        <w:jc w:val="center"/>
        <w:rPr>
          <w:b/>
          <w:bCs/>
        </w:rPr>
      </w:pPr>
      <w:r>
        <w:rPr>
          <w:rFonts w:hint="eastAsia"/>
          <w:b/>
          <w:bCs/>
        </w:rPr>
        <w:t>表</w:t>
      </w:r>
      <w:r>
        <w:rPr>
          <w:b/>
          <w:bCs/>
        </w:rPr>
        <w:t>5</w:t>
      </w:r>
      <w:r>
        <w:rPr>
          <w:rFonts w:hint="eastAsia"/>
          <w:b/>
          <w:bCs/>
        </w:rPr>
        <w:t>-</w:t>
      </w:r>
      <w:r>
        <w:rPr>
          <w:b/>
          <w:bCs/>
        </w:rPr>
        <w:t>3</w:t>
      </w:r>
      <w:r>
        <w:rPr>
          <w:rFonts w:hint="eastAsia"/>
          <w:b/>
          <w:bCs/>
        </w:rPr>
        <w:t xml:space="preserve">  管材性能比较表</w:t>
      </w:r>
    </w:p>
    <w:tbl>
      <w:tblPr>
        <w:tblStyle w:val="29"/>
        <w:tblW w:w="9018" w:type="dxa"/>
        <w:jc w:val="center"/>
        <w:tblBorders>
          <w:top w:val="single" w:color="auto" w:sz="8" w:space="0"/>
          <w:left w:val="single" w:color="auto" w:sz="8" w:space="0"/>
          <w:bottom w:val="single" w:color="auto" w:sz="8"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1286"/>
        <w:gridCol w:w="1424"/>
        <w:gridCol w:w="1359"/>
        <w:gridCol w:w="1200"/>
        <w:gridCol w:w="1187"/>
        <w:gridCol w:w="1187"/>
        <w:gridCol w:w="1375"/>
      </w:tblGrid>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1134" w:hRule="atLeast"/>
          <w:jc w:val="center"/>
        </w:trPr>
        <w:tc>
          <w:tcPr>
            <w:tcW w:w="1286" w:type="dxa"/>
            <w:tcBorders>
              <w:bottom w:val="single" w:color="auto" w:sz="4" w:space="0"/>
              <w:right w:val="single" w:color="auto" w:sz="4" w:space="0"/>
            </w:tcBorders>
            <w:vAlign w:val="center"/>
          </w:tcPr>
          <w:p>
            <w:pPr>
              <w:adjustRightInd w:val="0"/>
              <w:spacing w:line="240" w:lineRule="auto"/>
              <w:ind w:firstLine="0" w:firstLineChars="0"/>
              <w:jc w:val="center"/>
              <w:textAlignment w:val="baseline"/>
              <w:rPr>
                <w:kern w:val="0"/>
                <w:sz w:val="22"/>
                <w:szCs w:val="22"/>
              </w:rPr>
            </w:pPr>
            <w:r>
              <w:rPr>
                <w:rFonts w:hint="eastAsia" w:eastAsiaTheme="minorEastAsia"/>
                <w:kern w:val="0"/>
                <w:sz w:val="22"/>
                <w:szCs w:val="22"/>
              </w:rPr>
              <w:t>管材</w:t>
            </w:r>
            <w:r>
              <w:rPr>
                <w:rFonts w:hint="eastAsia"/>
                <w:sz w:val="22"/>
                <w:szCs w:val="22"/>
              </w:rPr>
              <w:t>性能</w:t>
            </w:r>
          </w:p>
        </w:tc>
        <w:tc>
          <w:tcPr>
            <w:tcW w:w="1424" w:type="dxa"/>
            <w:tcBorders>
              <w:left w:val="single" w:color="auto" w:sz="4" w:space="0"/>
              <w:bottom w:val="single" w:color="auto" w:sz="4" w:space="0"/>
              <w:right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钢筋混凝土管</w:t>
            </w:r>
          </w:p>
        </w:tc>
        <w:tc>
          <w:tcPr>
            <w:tcW w:w="1359" w:type="dxa"/>
            <w:tcBorders>
              <w:left w:val="single" w:color="auto" w:sz="4" w:space="0"/>
              <w:bottom w:val="single" w:color="auto" w:sz="4" w:space="0"/>
              <w:right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高密度聚乙烯双壁波纹管（HDPE）</w:t>
            </w:r>
          </w:p>
        </w:tc>
        <w:tc>
          <w:tcPr>
            <w:tcW w:w="1200" w:type="dxa"/>
            <w:tcBorders>
              <w:left w:val="single" w:color="auto" w:sz="4" w:space="0"/>
              <w:bottom w:val="single" w:color="auto" w:sz="4" w:space="0"/>
              <w:right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夹砂玻璃钢管</w:t>
            </w:r>
          </w:p>
        </w:tc>
        <w:tc>
          <w:tcPr>
            <w:tcW w:w="1187" w:type="dxa"/>
            <w:tcBorders>
              <w:left w:val="single" w:color="auto" w:sz="4" w:space="0"/>
              <w:bottom w:val="single" w:color="000000" w:sz="4" w:space="0"/>
              <w:right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内衬塑PE复合管</w:t>
            </w:r>
          </w:p>
        </w:tc>
        <w:tc>
          <w:tcPr>
            <w:tcW w:w="1187" w:type="dxa"/>
            <w:tcBorders>
              <w:left w:val="single" w:color="auto" w:sz="4" w:space="0"/>
              <w:bottom w:val="single" w:color="auto" w:sz="4" w:space="0"/>
              <w:right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钢管</w:t>
            </w:r>
          </w:p>
        </w:tc>
        <w:tc>
          <w:tcPr>
            <w:tcW w:w="1375" w:type="dxa"/>
            <w:tcBorders>
              <w:left w:val="single" w:color="auto" w:sz="4" w:space="0"/>
              <w:bottom w:val="single" w:color="auto" w:sz="4" w:space="0"/>
            </w:tcBorders>
            <w:vAlign w:val="center"/>
          </w:tcPr>
          <w:p>
            <w:pPr>
              <w:pStyle w:val="74"/>
              <w:rPr>
                <w:rFonts w:cs="Times New Roman" w:eastAsiaTheme="minorEastAsia"/>
                <w:sz w:val="22"/>
                <w:szCs w:val="22"/>
              </w:rPr>
            </w:pPr>
            <w:r>
              <w:rPr>
                <w:rFonts w:cs="Times New Roman" w:eastAsiaTheme="minorEastAsia"/>
                <w:sz w:val="22"/>
                <w:szCs w:val="22"/>
              </w:rPr>
              <w:t>硬聚氯乙烯管（UPVC）</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358" w:hRule="atLeast"/>
          <w:jc w:val="center"/>
        </w:trPr>
        <w:tc>
          <w:tcPr>
            <w:tcW w:w="1286" w:type="dxa"/>
            <w:tcBorders>
              <w:top w:val="single" w:color="auto" w:sz="4" w:space="0"/>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使用寿命</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较长</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长</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长</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长</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358" w:hRule="atLeast"/>
          <w:jc w:val="center"/>
        </w:trPr>
        <w:tc>
          <w:tcPr>
            <w:tcW w:w="1286" w:type="dxa"/>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抗渗性能</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较强</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358" w:hRule="atLeast"/>
          <w:jc w:val="center"/>
        </w:trPr>
        <w:tc>
          <w:tcPr>
            <w:tcW w:w="1286" w:type="dxa"/>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防腐能力</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强</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较强</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较弱</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较强</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904" w:hRule="atLeast"/>
          <w:jc w:val="center"/>
        </w:trPr>
        <w:tc>
          <w:tcPr>
            <w:tcW w:w="1286" w:type="dxa"/>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承受外压</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可深埋能承受较大外压</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可深埋能承受较大外压</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受外压较差较易变形</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可深埋能承受较大外压</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可深埋能承受较大外压</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受外压较差较易变形</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358" w:hRule="atLeast"/>
          <w:jc w:val="center"/>
        </w:trPr>
        <w:tc>
          <w:tcPr>
            <w:tcW w:w="1286" w:type="dxa"/>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施工难易</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较难</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方便</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方便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方便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方便</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方便</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922" w:hRule="atLeast"/>
          <w:jc w:val="center"/>
        </w:trPr>
        <w:tc>
          <w:tcPr>
            <w:tcW w:w="1286" w:type="dxa"/>
            <w:tcBorders>
              <w:top w:val="single" w:color="auto" w:sz="4" w:space="0"/>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接口形式</w:t>
            </w:r>
          </w:p>
        </w:tc>
        <w:tc>
          <w:tcPr>
            <w:tcW w:w="142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承插式橡胶圈止水</w:t>
            </w:r>
          </w:p>
        </w:tc>
        <w:tc>
          <w:tcPr>
            <w:tcW w:w="1359"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承插式橡胶圈止水</w:t>
            </w:r>
          </w:p>
        </w:tc>
        <w:tc>
          <w:tcPr>
            <w:tcW w:w="1200"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热熔接口</w:t>
            </w:r>
          </w:p>
        </w:tc>
        <w:tc>
          <w:tcPr>
            <w:tcW w:w="118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承插式柔性接口</w:t>
            </w:r>
          </w:p>
        </w:tc>
        <w:tc>
          <w:tcPr>
            <w:tcW w:w="1187"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焊接或法兰连接</w:t>
            </w:r>
          </w:p>
        </w:tc>
        <w:tc>
          <w:tcPr>
            <w:tcW w:w="1375" w:type="dxa"/>
            <w:tcBorders>
              <w:top w:val="single" w:color="auto" w:sz="4" w:space="0"/>
              <w:left w:val="nil"/>
              <w:bottom w:val="single" w:color="auto" w:sz="4" w:space="0"/>
            </w:tcBorders>
            <w:vAlign w:val="center"/>
          </w:tcPr>
          <w:p>
            <w:pPr>
              <w:spacing w:line="240" w:lineRule="auto"/>
              <w:ind w:firstLine="0" w:firstLineChars="0"/>
              <w:jc w:val="center"/>
              <w:rPr>
                <w:sz w:val="22"/>
                <w:szCs w:val="22"/>
              </w:rPr>
            </w:pPr>
            <w:r>
              <w:rPr>
                <w:sz w:val="22"/>
                <w:szCs w:val="22"/>
              </w:rPr>
              <w:t>热熔、法兰连接或承插式柔性接口</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934" w:hRule="atLeast"/>
          <w:jc w:val="center"/>
        </w:trPr>
        <w:tc>
          <w:tcPr>
            <w:tcW w:w="1286" w:type="dxa"/>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粗糙度（n 值）水头损失</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0.013～0.014水头损失较大</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0.01 水头损失较小</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0.009 水头损失较小</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0.01 水头损失较小</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0.01水头损失较小</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0.01水头损失较小</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358" w:hRule="atLeast"/>
          <w:jc w:val="center"/>
        </w:trPr>
        <w:tc>
          <w:tcPr>
            <w:tcW w:w="1286" w:type="dxa"/>
            <w:vMerge w:val="restart"/>
            <w:tcBorders>
              <w:top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重量管材运输</w:t>
            </w: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重量较大</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重量较小</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重量较小</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重量较小</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重量较大</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重量较小</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511" w:hRule="atLeast"/>
          <w:jc w:val="center"/>
        </w:trPr>
        <w:tc>
          <w:tcPr>
            <w:tcW w:w="1286" w:type="dxa"/>
            <w:vMerge w:val="continue"/>
            <w:tcBorders>
              <w:top w:val="nil"/>
              <w:bottom w:val="single" w:color="auto" w:sz="4" w:space="0"/>
              <w:right w:val="single" w:color="auto" w:sz="4" w:space="0"/>
            </w:tcBorders>
            <w:vAlign w:val="center"/>
          </w:tcPr>
          <w:p>
            <w:pPr>
              <w:spacing w:line="240" w:lineRule="auto"/>
              <w:ind w:firstLine="0" w:firstLineChars="0"/>
              <w:jc w:val="center"/>
              <w:rPr>
                <w:sz w:val="22"/>
                <w:szCs w:val="22"/>
              </w:rPr>
            </w:pPr>
          </w:p>
        </w:tc>
        <w:tc>
          <w:tcPr>
            <w:tcW w:w="1424"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运输较麻烦</w:t>
            </w:r>
          </w:p>
        </w:tc>
        <w:tc>
          <w:tcPr>
            <w:tcW w:w="1359"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运输方便</w:t>
            </w:r>
          </w:p>
        </w:tc>
        <w:tc>
          <w:tcPr>
            <w:tcW w:w="1200"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运输方便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运输方便</w:t>
            </w:r>
          </w:p>
        </w:tc>
        <w:tc>
          <w:tcPr>
            <w:tcW w:w="1187" w:type="dxa"/>
            <w:tcBorders>
              <w:top w:val="nil"/>
              <w:left w:val="nil"/>
              <w:bottom w:val="single" w:color="auto" w:sz="4" w:space="0"/>
              <w:right w:val="single" w:color="auto" w:sz="4" w:space="0"/>
            </w:tcBorders>
            <w:vAlign w:val="center"/>
          </w:tcPr>
          <w:p>
            <w:pPr>
              <w:spacing w:line="240" w:lineRule="auto"/>
              <w:ind w:firstLine="0" w:firstLineChars="0"/>
              <w:jc w:val="center"/>
              <w:rPr>
                <w:sz w:val="22"/>
                <w:szCs w:val="22"/>
              </w:rPr>
            </w:pPr>
            <w:r>
              <w:rPr>
                <w:sz w:val="22"/>
                <w:szCs w:val="22"/>
              </w:rPr>
              <w:t>运输较麻烦</w:t>
            </w:r>
          </w:p>
        </w:tc>
        <w:tc>
          <w:tcPr>
            <w:tcW w:w="1375" w:type="dxa"/>
            <w:tcBorders>
              <w:top w:val="nil"/>
              <w:left w:val="nil"/>
              <w:bottom w:val="single" w:color="auto" w:sz="4" w:space="0"/>
            </w:tcBorders>
            <w:vAlign w:val="center"/>
          </w:tcPr>
          <w:p>
            <w:pPr>
              <w:spacing w:line="240" w:lineRule="auto"/>
              <w:ind w:firstLine="0" w:firstLineChars="0"/>
              <w:jc w:val="center"/>
              <w:rPr>
                <w:sz w:val="22"/>
                <w:szCs w:val="22"/>
              </w:rPr>
            </w:pPr>
            <w:r>
              <w:rPr>
                <w:sz w:val="22"/>
                <w:szCs w:val="22"/>
              </w:rPr>
              <w:t>运输方便</w:t>
            </w:r>
          </w:p>
        </w:tc>
      </w:tr>
      <w:tr>
        <w:tblPrEx>
          <w:tblBorders>
            <w:top w:val="single" w:color="auto" w:sz="8" w:space="0"/>
            <w:left w:val="single" w:color="auto" w:sz="8" w:space="0"/>
            <w:bottom w:val="single" w:color="auto" w:sz="8" w:space="0"/>
            <w:right w:val="single" w:color="auto" w:sz="8" w:space="0"/>
            <w:insideH w:val="none" w:color="auto" w:sz="4" w:space="0"/>
            <w:insideV w:val="none" w:color="auto" w:sz="4" w:space="0"/>
          </w:tblBorders>
          <w:tblCellMar>
            <w:top w:w="0" w:type="dxa"/>
            <w:left w:w="108" w:type="dxa"/>
            <w:bottom w:w="0" w:type="dxa"/>
            <w:right w:w="108" w:type="dxa"/>
          </w:tblCellMar>
        </w:tblPrEx>
        <w:trPr>
          <w:cantSplit/>
          <w:trHeight w:val="484" w:hRule="atLeast"/>
          <w:jc w:val="center"/>
        </w:trPr>
        <w:tc>
          <w:tcPr>
            <w:tcW w:w="1286" w:type="dxa"/>
            <w:tcBorders>
              <w:top w:val="nil"/>
              <w:right w:val="single" w:color="auto" w:sz="4" w:space="0"/>
            </w:tcBorders>
            <w:vAlign w:val="center"/>
          </w:tcPr>
          <w:p>
            <w:pPr>
              <w:spacing w:line="240" w:lineRule="auto"/>
              <w:ind w:firstLine="0" w:firstLineChars="0"/>
              <w:jc w:val="center"/>
              <w:rPr>
                <w:sz w:val="22"/>
                <w:szCs w:val="22"/>
              </w:rPr>
            </w:pPr>
            <w:r>
              <w:rPr>
                <w:sz w:val="22"/>
                <w:szCs w:val="22"/>
              </w:rPr>
              <w:t>对基础要求</w:t>
            </w:r>
          </w:p>
        </w:tc>
        <w:tc>
          <w:tcPr>
            <w:tcW w:w="1424" w:type="dxa"/>
            <w:tcBorders>
              <w:top w:val="nil"/>
              <w:left w:val="nil"/>
              <w:right w:val="single" w:color="auto" w:sz="4" w:space="0"/>
            </w:tcBorders>
            <w:vAlign w:val="center"/>
          </w:tcPr>
          <w:p>
            <w:pPr>
              <w:spacing w:line="240" w:lineRule="auto"/>
              <w:ind w:firstLine="0" w:firstLineChars="0"/>
              <w:jc w:val="center"/>
              <w:rPr>
                <w:sz w:val="22"/>
                <w:szCs w:val="22"/>
              </w:rPr>
            </w:pPr>
            <w:r>
              <w:rPr>
                <w:sz w:val="22"/>
                <w:szCs w:val="22"/>
              </w:rPr>
              <w:t>较高</w:t>
            </w:r>
          </w:p>
        </w:tc>
        <w:tc>
          <w:tcPr>
            <w:tcW w:w="1359" w:type="dxa"/>
            <w:tcBorders>
              <w:top w:val="nil"/>
              <w:left w:val="nil"/>
              <w:right w:val="single" w:color="auto" w:sz="4" w:space="0"/>
            </w:tcBorders>
            <w:vAlign w:val="center"/>
          </w:tcPr>
          <w:p>
            <w:pPr>
              <w:spacing w:line="240" w:lineRule="auto"/>
              <w:ind w:firstLine="0" w:firstLineChars="0"/>
              <w:jc w:val="center"/>
              <w:rPr>
                <w:sz w:val="22"/>
                <w:szCs w:val="22"/>
              </w:rPr>
            </w:pPr>
            <w:r>
              <w:rPr>
                <w:sz w:val="22"/>
                <w:szCs w:val="22"/>
              </w:rPr>
              <w:t>较低</w:t>
            </w:r>
          </w:p>
        </w:tc>
        <w:tc>
          <w:tcPr>
            <w:tcW w:w="1200" w:type="dxa"/>
            <w:tcBorders>
              <w:top w:val="nil"/>
              <w:left w:val="nil"/>
              <w:right w:val="single" w:color="auto" w:sz="4" w:space="0"/>
            </w:tcBorders>
            <w:vAlign w:val="center"/>
          </w:tcPr>
          <w:p>
            <w:pPr>
              <w:spacing w:line="240" w:lineRule="auto"/>
              <w:ind w:firstLine="0" w:firstLineChars="0"/>
              <w:jc w:val="center"/>
              <w:rPr>
                <w:sz w:val="22"/>
                <w:szCs w:val="22"/>
              </w:rPr>
            </w:pPr>
            <w:r>
              <w:rPr>
                <w:sz w:val="22"/>
                <w:szCs w:val="22"/>
              </w:rPr>
              <w:t>较低</w:t>
            </w:r>
          </w:p>
        </w:tc>
        <w:tc>
          <w:tcPr>
            <w:tcW w:w="1187" w:type="dxa"/>
            <w:tcBorders>
              <w:top w:val="nil"/>
              <w:left w:val="nil"/>
              <w:right w:val="single" w:color="auto" w:sz="4" w:space="0"/>
            </w:tcBorders>
            <w:vAlign w:val="center"/>
          </w:tcPr>
          <w:p>
            <w:pPr>
              <w:spacing w:line="240" w:lineRule="auto"/>
              <w:ind w:firstLine="0" w:firstLineChars="0"/>
              <w:jc w:val="center"/>
              <w:rPr>
                <w:sz w:val="22"/>
                <w:szCs w:val="22"/>
              </w:rPr>
            </w:pPr>
            <w:r>
              <w:rPr>
                <w:sz w:val="22"/>
                <w:szCs w:val="22"/>
              </w:rPr>
              <w:t>较低</w:t>
            </w:r>
          </w:p>
        </w:tc>
        <w:tc>
          <w:tcPr>
            <w:tcW w:w="1187" w:type="dxa"/>
            <w:tcBorders>
              <w:top w:val="nil"/>
              <w:left w:val="nil"/>
              <w:right w:val="single" w:color="auto" w:sz="4" w:space="0"/>
            </w:tcBorders>
            <w:vAlign w:val="center"/>
          </w:tcPr>
          <w:p>
            <w:pPr>
              <w:spacing w:line="240" w:lineRule="auto"/>
              <w:ind w:firstLine="0" w:firstLineChars="0"/>
              <w:jc w:val="center"/>
              <w:rPr>
                <w:sz w:val="22"/>
                <w:szCs w:val="22"/>
              </w:rPr>
            </w:pPr>
            <w:r>
              <w:rPr>
                <w:sz w:val="22"/>
                <w:szCs w:val="22"/>
              </w:rPr>
              <w:t>较高</w:t>
            </w:r>
          </w:p>
        </w:tc>
        <w:tc>
          <w:tcPr>
            <w:tcW w:w="1375" w:type="dxa"/>
            <w:tcBorders>
              <w:top w:val="nil"/>
              <w:left w:val="nil"/>
            </w:tcBorders>
            <w:vAlign w:val="center"/>
          </w:tcPr>
          <w:p>
            <w:pPr>
              <w:spacing w:line="240" w:lineRule="auto"/>
              <w:ind w:firstLine="0" w:firstLineChars="0"/>
              <w:jc w:val="center"/>
              <w:rPr>
                <w:sz w:val="22"/>
                <w:szCs w:val="22"/>
              </w:rPr>
            </w:pPr>
            <w:r>
              <w:rPr>
                <w:sz w:val="22"/>
                <w:szCs w:val="22"/>
              </w:rPr>
              <w:t>较低</w:t>
            </w:r>
          </w:p>
        </w:tc>
      </w:tr>
    </w:tbl>
    <w:p>
      <w:pPr>
        <w:pStyle w:val="38"/>
        <w:rPr>
          <w:color w:val="auto"/>
        </w:rPr>
      </w:pPr>
    </w:p>
    <w:p>
      <w:pPr>
        <w:ind w:firstLine="560"/>
        <w:rPr>
          <w:rFonts w:ascii="宋体" w:hAnsi="宋体" w:cs="宋体"/>
        </w:rPr>
      </w:pPr>
      <w:r>
        <w:rPr>
          <w:rFonts w:hint="eastAsia" w:ascii="宋体" w:hAnsi="宋体" w:cs="宋体"/>
        </w:rPr>
        <w:t>根据百色市村屯污水管网建设的特点及管材的适用条件，从技术、经济、市场供应及国家、省市有关行业政策等因素考虑，本项目采用高密度聚乙烯双壁波纹管（HDPE）管。</w:t>
      </w:r>
    </w:p>
    <w:p>
      <w:pPr>
        <w:pStyle w:val="3"/>
        <w:spacing w:before="120" w:beforeLines="50"/>
        <w:rPr>
          <w:rFonts w:ascii="黑体" w:hAnsi="黑体" w:eastAsia="黑体" w:cs="黑体"/>
          <w:b w:val="0"/>
          <w:bCs w:val="0"/>
          <w:sz w:val="32"/>
        </w:rPr>
      </w:pPr>
      <w:bookmarkStart w:id="102" w:name="_Toc169616886"/>
      <w:r>
        <w:rPr>
          <w:rFonts w:ascii="黑体" w:hAnsi="黑体" w:eastAsia="黑体" w:cs="黑体"/>
          <w:b w:val="0"/>
          <w:bCs w:val="0"/>
          <w:sz w:val="32"/>
        </w:rPr>
        <w:t>5</w:t>
      </w:r>
      <w:r>
        <w:rPr>
          <w:rFonts w:hint="eastAsia" w:ascii="黑体" w:hAnsi="黑体" w:eastAsia="黑体" w:cs="黑体"/>
          <w:b w:val="0"/>
          <w:bCs w:val="0"/>
          <w:sz w:val="32"/>
        </w:rPr>
        <w:t>.</w:t>
      </w:r>
      <w:r>
        <w:rPr>
          <w:rFonts w:ascii="黑体" w:hAnsi="黑体" w:eastAsia="黑体" w:cs="黑体"/>
          <w:b w:val="0"/>
          <w:bCs w:val="0"/>
          <w:sz w:val="32"/>
        </w:rPr>
        <w:t>4</w:t>
      </w:r>
      <w:r>
        <w:rPr>
          <w:rFonts w:hint="eastAsia" w:ascii="黑体" w:hAnsi="黑体" w:eastAsia="黑体" w:cs="黑体"/>
          <w:b w:val="0"/>
          <w:bCs w:val="0"/>
          <w:sz w:val="32"/>
        </w:rPr>
        <w:t>污水控源截污治理排水</w:t>
      </w:r>
      <w:bookmarkEnd w:id="102"/>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5.</w:t>
      </w:r>
      <w:r>
        <w:rPr>
          <w:rFonts w:ascii="黑体" w:hAnsi="黑体" w:eastAsia="黑体" w:cs="黑体"/>
          <w:b w:val="0"/>
          <w:bCs w:val="0"/>
          <w:sz w:val="30"/>
          <w:szCs w:val="30"/>
        </w:rPr>
        <w:t>4</w:t>
      </w:r>
      <w:r>
        <w:rPr>
          <w:rFonts w:hint="eastAsia" w:ascii="黑体" w:hAnsi="黑体" w:eastAsia="黑体" w:cs="黑体"/>
          <w:b w:val="0"/>
          <w:bCs w:val="0"/>
          <w:sz w:val="30"/>
          <w:szCs w:val="30"/>
        </w:rPr>
        <w:t>.1排水体制分析</w:t>
      </w:r>
    </w:p>
    <w:p>
      <w:pPr>
        <w:ind w:firstLine="560"/>
      </w:pPr>
      <w:r>
        <w:rPr>
          <w:rFonts w:hint="eastAsia"/>
        </w:rPr>
        <w:t>城镇建设中的排水体制，在我国现行的相关规范中，已有明确的规定：城镇区域，宜采用“分流制”排水体系，旧的建成区，应逐步改造“合流制”排水体系为“分流制”系统。</w:t>
      </w:r>
    </w:p>
    <w:p>
      <w:pPr>
        <w:ind w:firstLine="560"/>
      </w:pPr>
      <w:r>
        <w:rPr>
          <w:rFonts w:hint="eastAsia"/>
        </w:rPr>
        <w:t>“分流制”排水系统采用雨污水彻底分流的管道系统，能保证污水全部进入污水处理站，在大气产生的降水时，进入污水处理厂的污水的水量水质不会受到雨水的稀释而产生改变，利于污水处理站的稳定运行，污水处理站出水水质相对稳定，对最终收纳水体的影响相对较小，有利于镇区水环境的改善及污水、雨水的分别处置再生利用。但是，“分流制”也存在着对面源污染截污率较低，大气降水时，包含大量地面污染物的初期雨水将直接进入收纳水体而使收纳水体污染的缺陷。</w:t>
      </w:r>
    </w:p>
    <w:p>
      <w:pPr>
        <w:ind w:firstLine="560"/>
      </w:pPr>
      <w:r>
        <w:rPr>
          <w:rFonts w:hint="eastAsia"/>
        </w:rPr>
        <w:t>“合流制”按雨、污水合流布置管道系统，对面源污染有较高的截流率，能解决初期雨水所造成的对最终受纳水体的污染，但污水处理站进水的水质、水量(早、雨季)变化大，出水稳定性差，在降雨后期，也可能把部分点源溢流进入环境水体，要解决由于雨季大气降水造成污水入厂量增加的问题，势必扩大污水处理厂设计规模，加大一次投资与运行费用。另外，管道设置时由于旱、雨季的水量变化大，为使旱季管道系统内不会因为流量小而造成污水管内流速过小而产生淤积，对管道还应采取必要的清通措施。</w:t>
      </w:r>
    </w:p>
    <w:p>
      <w:pPr>
        <w:ind w:firstLine="560"/>
      </w:pPr>
      <w:bookmarkStart w:id="103" w:name="_Toc10811"/>
      <w:bookmarkStart w:id="104" w:name="_Toc3052"/>
      <w:bookmarkStart w:id="105" w:name="_Toc19609"/>
      <w:bookmarkStart w:id="106" w:name="_Toc16267"/>
      <w:bookmarkStart w:id="107" w:name="_Toc10724"/>
      <w:r>
        <w:rPr>
          <w:rFonts w:hint="eastAsia"/>
        </w:rPr>
        <w:t>本项目采用的生活污水控源截污治理排水体制</w:t>
      </w:r>
      <w:bookmarkEnd w:id="103"/>
      <w:bookmarkEnd w:id="104"/>
      <w:bookmarkEnd w:id="105"/>
      <w:bookmarkEnd w:id="106"/>
      <w:bookmarkEnd w:id="107"/>
      <w:r>
        <w:rPr>
          <w:rFonts w:hint="eastAsia"/>
        </w:rPr>
        <w:t>，基于以上分析，为适应今后的发展，提高农村基础设施的建设水平，在近期就规划采用分流制排水体制是可行的。因此，村屯排水体制采用分流制。污水收集后就近排入人民路市政管网；雨水收集后直接排入就近水体或市政雨水管网。本工程只包含污水管网设计，雨水管网设计等。</w:t>
      </w:r>
    </w:p>
    <w:p>
      <w:pPr>
        <w:pStyle w:val="38"/>
        <w:rPr>
          <w:color w:val="auto"/>
        </w:rPr>
      </w:pPr>
    </w:p>
    <w:p>
      <w:pPr>
        <w:ind w:firstLine="560"/>
      </w:pPr>
    </w:p>
    <w:p>
      <w:pPr>
        <w:pStyle w:val="38"/>
        <w:rPr>
          <w:color w:val="auto"/>
        </w:rPr>
      </w:pPr>
    </w:p>
    <w:p>
      <w:pPr>
        <w:pStyle w:val="4"/>
        <w:spacing w:before="120" w:beforeLines="50"/>
        <w:rPr>
          <w:rFonts w:ascii="黑体" w:hAnsi="黑体" w:eastAsia="黑体" w:cs="黑体"/>
          <w:b w:val="0"/>
          <w:bCs w:val="0"/>
          <w:sz w:val="30"/>
          <w:szCs w:val="30"/>
        </w:rPr>
      </w:pPr>
      <w:r>
        <w:rPr>
          <w:rFonts w:hint="eastAsia" w:ascii="黑体" w:hAnsi="黑体" w:eastAsia="黑体" w:cs="黑体"/>
          <w:b w:val="0"/>
          <w:bCs w:val="0"/>
          <w:sz w:val="30"/>
          <w:szCs w:val="30"/>
        </w:rPr>
        <w:t>5.</w:t>
      </w:r>
      <w:r>
        <w:rPr>
          <w:rFonts w:ascii="黑体" w:hAnsi="黑体" w:eastAsia="黑体" w:cs="黑体"/>
          <w:b w:val="0"/>
          <w:bCs w:val="0"/>
          <w:sz w:val="30"/>
          <w:szCs w:val="30"/>
        </w:rPr>
        <w:t>4</w:t>
      </w:r>
      <w:r>
        <w:rPr>
          <w:rFonts w:hint="eastAsia" w:ascii="黑体" w:hAnsi="黑体" w:eastAsia="黑体" w:cs="黑体"/>
          <w:b w:val="0"/>
          <w:bCs w:val="0"/>
          <w:sz w:val="30"/>
          <w:szCs w:val="30"/>
        </w:rPr>
        <w:t>.2</w:t>
      </w:r>
      <w:r>
        <w:rPr>
          <w:rFonts w:hint="eastAsia" w:ascii="黑体" w:hAnsi="黑体" w:eastAsia="黑体"/>
          <w:bCs w:val="0"/>
        </w:rPr>
        <w:t>.污水有关参数的确定原则</w:t>
      </w:r>
    </w:p>
    <w:p>
      <w:pPr>
        <w:ind w:firstLine="560"/>
      </w:pPr>
      <w:bookmarkStart w:id="108" w:name="_Toc26236_WPSOffice_Level3"/>
      <w:r>
        <w:rPr>
          <w:rFonts w:hint="eastAsia" w:ascii="黑体" w:hAnsi="黑体" w:eastAsia="黑体"/>
          <w:bCs/>
        </w:rPr>
        <w:t>1.</w:t>
      </w:r>
      <w:bookmarkEnd w:id="108"/>
      <w:r>
        <w:rPr>
          <w:rFonts w:hint="eastAsia" w:ascii="黑体" w:hAnsi="黑体" w:eastAsia="黑体"/>
          <w:bCs/>
        </w:rPr>
        <w:t>主要污水来源如下图所示：</w:t>
      </w:r>
    </w:p>
    <w:p>
      <w:pPr>
        <w:pStyle w:val="38"/>
        <w:rPr>
          <w:color w:val="auto"/>
        </w:rPr>
      </w:pPr>
      <w:r>
        <w:rPr>
          <w:color w:val="auto"/>
        </w:rPr>
        <w:drawing>
          <wp:inline distT="0" distB="0" distL="0" distR="0">
            <wp:extent cx="5339715" cy="4343400"/>
            <wp:effectExtent l="0" t="0" r="0" b="0"/>
            <wp:docPr id="10" name="图片 10" descr="D:\weixin\WeChat Files\wxid_vlkwtam53lrs21\FileStorage\Temp\d25107bac4304720d2cc0326d2d3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weixin\WeChat Files\wxid_vlkwtam53lrs21\FileStorage\Temp\d25107bac4304720d2cc0326d2d396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339715" cy="4343539"/>
                    </a:xfrm>
                    <a:prstGeom prst="rect">
                      <a:avLst/>
                    </a:prstGeom>
                    <a:noFill/>
                    <a:ln>
                      <a:noFill/>
                    </a:ln>
                  </pic:spPr>
                </pic:pic>
              </a:graphicData>
            </a:graphic>
          </wp:inline>
        </w:drawing>
      </w:r>
    </w:p>
    <w:p>
      <w:pPr>
        <w:snapToGrid w:val="0"/>
        <w:ind w:firstLine="560"/>
      </w:pPr>
      <w:r>
        <w:rPr>
          <w:rFonts w:hint="eastAsia"/>
        </w:rPr>
        <w:t>图中“位置1”为：田东县高速出口收费站</w:t>
      </w:r>
      <w:r>
        <w:rPr>
          <w:rFonts w:hint="eastAsia" w:cs="宋体" w:asciiTheme="minorEastAsia" w:hAnsiTheme="minorEastAsia" w:eastAsiaTheme="minorEastAsia"/>
          <w:szCs w:val="28"/>
          <w:highlight w:val="green"/>
          <w:lang w:val="en-US" w:eastAsia="zh-CN"/>
        </w:rPr>
        <w:t>金芒大道碧桂园段</w:t>
      </w:r>
      <w:r>
        <w:rPr>
          <w:rFonts w:hint="eastAsia"/>
        </w:rPr>
        <w:t>附近；“位置2”为：甲逢屯；“位置</w:t>
      </w:r>
      <w:r>
        <w:t>3</w:t>
      </w:r>
      <w:r>
        <w:rPr>
          <w:rFonts w:hint="eastAsia"/>
        </w:rPr>
        <w:t>”为：物流园区域生活污水排放污染源；“位置</w:t>
      </w:r>
      <w:r>
        <w:t>4</w:t>
      </w:r>
      <w:r>
        <w:rPr>
          <w:rFonts w:hint="eastAsia"/>
        </w:rPr>
        <w:t>”为：里弄屯、“位置</w:t>
      </w:r>
      <w:r>
        <w:t>5</w:t>
      </w:r>
      <w:r>
        <w:rPr>
          <w:rFonts w:hint="eastAsia"/>
        </w:rPr>
        <w:t>”为：里弄屯水葫芦塘。</w:t>
      </w:r>
      <w:r>
        <w:rPr>
          <w:rFonts w:hint="eastAsia"/>
          <w:szCs w:val="28"/>
        </w:rPr>
        <w:t>主要污染类型为工业废水、养殖、生活污水和底泥等</w:t>
      </w:r>
      <w:r>
        <w:rPr>
          <w:rFonts w:hint="eastAsia"/>
          <w:szCs w:val="28"/>
          <w:lang w:eastAsia="zh-CN"/>
        </w:rPr>
        <w:t>，其中</w:t>
      </w:r>
      <w:r>
        <w:rPr>
          <w:rFonts w:hint="eastAsia"/>
          <w:szCs w:val="28"/>
          <w:highlight w:val="green"/>
          <w:lang w:eastAsia="zh-CN"/>
        </w:rPr>
        <w:t>金芒大道碧桂园段排水口</w:t>
      </w:r>
      <w:r>
        <w:rPr>
          <w:rFonts w:hint="eastAsia"/>
          <w:szCs w:val="28"/>
          <w:lang w:eastAsia="zh-CN"/>
        </w:rPr>
        <w:t>为城镇污水排放口，待德贷项目完工后，该排放口污水排放将得以改善</w:t>
      </w:r>
      <w:r>
        <w:rPr>
          <w:rFonts w:hint="eastAsia"/>
          <w:szCs w:val="28"/>
        </w:rPr>
        <w:t>。</w:t>
      </w:r>
      <w:bookmarkStart w:id="109" w:name="_Toc13641_WPSOffice_Level3"/>
    </w:p>
    <w:p>
      <w:pPr>
        <w:ind w:firstLine="560"/>
        <w:rPr>
          <w:rFonts w:ascii="黑体" w:hAnsi="黑体" w:eastAsia="黑体"/>
          <w:bCs/>
        </w:rPr>
      </w:pPr>
      <w:r>
        <w:rPr>
          <w:rFonts w:ascii="黑体" w:hAnsi="黑体" w:eastAsia="黑体"/>
          <w:bCs/>
        </w:rPr>
        <w:t>2</w:t>
      </w:r>
      <w:bookmarkEnd w:id="109"/>
      <w:r>
        <w:rPr>
          <w:rFonts w:hint="eastAsia" w:ascii="黑体" w:hAnsi="黑体" w:eastAsia="黑体"/>
          <w:bCs/>
        </w:rPr>
        <w:t>设计原则</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污水管网设计应满足地区经济和社会长远发展的需要，同时注意远期发展与分期实施相结合的原则。污水管道能适应片区建设需要，考虑分期实施的可能性。</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设计选材在不断总结科研和工程实践的基础上，既考虑技术发展的趋势，积极推动新技术、新工艺、新材料的应用，同时又兼顾经济投入的合理性。不得使用淘汰产品及与国家产业政策不符的材料和产品。</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污水干管按近期一次性规划设计，干管根据近、远期的发展，分段敷设。</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干管按排水规划，并且根据当地具体情况，确定管径和具体走向，设计流量按各排水分区的建设面积比流量计算，以此确定管径。</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污水管道布置力求符合地形变化趋势，顺坡排水，应尽量采用重力形式，避免提升。线路短捷，减少管道埋深和管道迂回往返，降低工程造价，确保良好的水力条件。</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在设计充满度下条件，重力流污水管道最小设计流速不小于0.6m/s；对于金属管道设计流速不宜大于10.0m/s，非金属管道设计流速不宜大于5.0m/s.</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仔细研究管道敷设坡度与地面坡度的关系。所确定的管道坡度，既能满足最小设计流速，又不使管道的埋深过大。</w:t>
      </w:r>
    </w:p>
    <w:p>
      <w:pPr>
        <w:pStyle w:val="72"/>
        <w:numPr>
          <w:ilvl w:val="0"/>
          <w:numId w:val="10"/>
        </w:numPr>
        <w:tabs>
          <w:tab w:val="left" w:pos="709"/>
          <w:tab w:val="left" w:pos="993"/>
        </w:tabs>
        <w:spacing w:line="560" w:lineRule="exact"/>
        <w:ind w:left="0" w:firstLine="426" w:firstLineChars="0"/>
        <w:rPr>
          <w:rFonts w:eastAsia="宋体"/>
          <w:color w:val="auto"/>
          <w:sz w:val="28"/>
        </w:rPr>
      </w:pPr>
      <w:r>
        <w:rPr>
          <w:rFonts w:hint="eastAsia" w:eastAsia="宋体"/>
          <w:color w:val="auto"/>
          <w:sz w:val="28"/>
        </w:rPr>
        <w:t>确定合理的管道埋深。污水管起端覆土应使所服务区域内污水管能顺利接入，并满足与其它管线竖向交叉的需求。一般干管最小覆土深度控制在0.7m左右。对截污管收集现状渠内污水，其管道起点埋深应根据现状的具体标高而定。当污水管道的埋深超过6~8m左右时，原则上设置污水中途提升泵站，但泵站数量应尽可能减少。</w:t>
      </w:r>
    </w:p>
    <w:p>
      <w:pPr>
        <w:pStyle w:val="64"/>
        <w:numPr>
          <w:ilvl w:val="0"/>
          <w:numId w:val="10"/>
        </w:numPr>
        <w:tabs>
          <w:tab w:val="left" w:pos="709"/>
          <w:tab w:val="left" w:pos="993"/>
        </w:tabs>
        <w:ind w:left="0" w:firstLine="426" w:firstLineChars="0"/>
      </w:pPr>
      <w:r>
        <w:rPr>
          <w:rFonts w:hint="eastAsia"/>
        </w:rPr>
        <w:t>在地面坡度太大的地区，为了减小管内流速，防止管壁冲刷，在适当地方设置跌水井。</w:t>
      </w:r>
    </w:p>
    <w:p>
      <w:pPr>
        <w:pStyle w:val="3"/>
        <w:spacing w:before="120" w:beforeLines="50"/>
        <w:rPr>
          <w:rFonts w:ascii="黑体" w:hAnsi="黑体" w:eastAsia="黑体" w:cs="黑体"/>
          <w:b w:val="0"/>
          <w:bCs w:val="0"/>
          <w:sz w:val="32"/>
        </w:rPr>
      </w:pPr>
      <w:bookmarkStart w:id="110" w:name="_Toc169616887"/>
      <w:r>
        <w:rPr>
          <w:rFonts w:hint="eastAsia" w:ascii="黑体" w:hAnsi="黑体" w:eastAsia="黑体" w:cs="黑体"/>
          <w:b w:val="0"/>
          <w:bCs w:val="0"/>
          <w:sz w:val="32"/>
        </w:rPr>
        <w:t>5.</w:t>
      </w:r>
      <w:r>
        <w:rPr>
          <w:rFonts w:ascii="黑体" w:hAnsi="黑体" w:eastAsia="黑体" w:cs="黑体"/>
          <w:b w:val="0"/>
          <w:bCs w:val="0"/>
          <w:sz w:val="32"/>
        </w:rPr>
        <w:t>5</w:t>
      </w:r>
      <w:r>
        <w:rPr>
          <w:rFonts w:hint="eastAsia" w:ascii="黑体" w:hAnsi="黑体" w:eastAsia="黑体" w:cs="黑体"/>
          <w:b w:val="0"/>
          <w:bCs w:val="0"/>
          <w:sz w:val="32"/>
        </w:rPr>
        <w:t>治理模式确定</w:t>
      </w:r>
      <w:bookmarkEnd w:id="110"/>
      <w:bookmarkStart w:id="111" w:name="_Toc7869"/>
      <w:bookmarkStart w:id="112" w:name="_Toc29258"/>
      <w:bookmarkStart w:id="113" w:name="_Toc23399"/>
      <w:bookmarkStart w:id="114" w:name="_Toc12051"/>
      <w:bookmarkStart w:id="115" w:name="_Toc18788"/>
      <w:bookmarkStart w:id="116" w:name="_Toc384848434"/>
      <w:bookmarkStart w:id="117" w:name="_Toc23156"/>
      <w:bookmarkStart w:id="118" w:name="_Toc17244"/>
      <w:bookmarkStart w:id="119" w:name="_Toc5611"/>
      <w:bookmarkStart w:id="120" w:name="_Toc23935"/>
      <w:bookmarkStart w:id="121" w:name="_Toc386573738"/>
      <w:bookmarkStart w:id="122" w:name="_Toc495307209"/>
      <w:bookmarkStart w:id="123" w:name="_Toc15769"/>
      <w:bookmarkStart w:id="124" w:name="_Toc15716"/>
    </w:p>
    <w:p>
      <w:pPr>
        <w:ind w:firstLine="560"/>
        <w:rPr>
          <w:szCs w:val="23"/>
        </w:rPr>
      </w:pPr>
      <w:r>
        <w:rPr>
          <w:rFonts w:hint="eastAsia"/>
          <w:szCs w:val="23"/>
        </w:rPr>
        <w:t>里弄屯现状排水体制仍然是直泄式合流制排水系统。区域污水旱季时主要为生活污水，雨季时则为雨、污混合水。排水管网系统大部分为石砌暗沟或自然沟渠。</w:t>
      </w:r>
    </w:p>
    <w:p>
      <w:pPr>
        <w:ind w:firstLine="560"/>
        <w:rPr>
          <w:szCs w:val="23"/>
        </w:rPr>
      </w:pPr>
      <w:r>
        <w:rPr>
          <w:rFonts w:hint="eastAsia"/>
          <w:szCs w:val="23"/>
        </w:rPr>
        <w:t>为了实现控制农业面源污染，完善水利设施综合治理工程、居民安全饮用水工程和新农村建设工程，项目居民点排水采用雨污分流系统，实行污水、雨水分流排放。建设污水排水系统，新建道路以及原无排水管网的地段，按一次分流制排水管网。</w:t>
      </w:r>
      <w:r>
        <w:rPr>
          <w:rFonts w:hint="eastAsia"/>
          <w:bCs/>
          <w:lang w:val="zh-CN"/>
        </w:rPr>
        <w:t>污染治理项目主要包括以下三个方面的内容：</w:t>
      </w:r>
    </w:p>
    <w:p>
      <w:pPr>
        <w:ind w:firstLine="560"/>
        <w:rPr>
          <w:bCs/>
          <w:lang w:val="zh-CN"/>
        </w:rPr>
      </w:pPr>
      <w:r>
        <w:rPr>
          <w:rFonts w:hint="eastAsia"/>
          <w:bCs/>
          <w:lang w:val="zh-CN"/>
        </w:rPr>
        <w:t>（1）雨污分流工程，主要对该区域做到雨污分流、截污纳管。</w:t>
      </w:r>
    </w:p>
    <w:p>
      <w:pPr>
        <w:ind w:firstLine="560"/>
        <w:rPr>
          <w:bCs/>
          <w:lang w:val="zh-CN"/>
        </w:rPr>
      </w:pPr>
      <w:r>
        <w:rPr>
          <w:rFonts w:hint="eastAsia"/>
          <w:bCs/>
          <w:lang w:val="zh-CN"/>
        </w:rPr>
        <w:t>（</w:t>
      </w:r>
      <w:r>
        <w:rPr>
          <w:bCs/>
          <w:lang w:val="zh-CN"/>
        </w:rPr>
        <w:t>2</w:t>
      </w:r>
      <w:r>
        <w:rPr>
          <w:rFonts w:hint="eastAsia"/>
          <w:bCs/>
          <w:lang w:val="zh-CN"/>
        </w:rPr>
        <w:t>）底泥处置工程，主要对疏浚的黑臭底泥进行资源化处置，防止产生二次污染。</w:t>
      </w:r>
    </w:p>
    <w:p>
      <w:pPr>
        <w:ind w:firstLine="560"/>
        <w:rPr>
          <w:bCs/>
          <w:lang w:val="zh-CN"/>
        </w:rPr>
      </w:pPr>
      <w:r>
        <w:rPr>
          <w:rFonts w:hint="eastAsia"/>
          <w:bCs/>
          <w:lang w:val="zh-CN"/>
        </w:rPr>
        <w:t>（3）疏浚疏浚工程，主要包括污染源沿途的疏浚疏浚。</w:t>
      </w: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5</w:t>
      </w:r>
      <w:r>
        <w:rPr>
          <w:rFonts w:hint="eastAsia" w:ascii="黑体" w:hAnsi="黑体" w:eastAsia="黑体" w:cs="黑体"/>
          <w:color w:val="auto"/>
          <w:kern w:val="2"/>
          <w:sz w:val="30"/>
          <w:szCs w:val="30"/>
        </w:rPr>
        <w:t>.1</w:t>
      </w:r>
      <w:bookmarkStart w:id="125" w:name="_Toc2406"/>
      <w:bookmarkStart w:id="126" w:name="_Toc29055"/>
      <w:bookmarkStart w:id="127" w:name="_Toc1451"/>
      <w:bookmarkStart w:id="128" w:name="_Toc16236"/>
      <w:r>
        <w:rPr>
          <w:rFonts w:hint="eastAsia" w:ascii="黑体" w:hAnsi="黑体" w:eastAsia="黑体" w:cs="黑体"/>
          <w:color w:val="auto"/>
          <w:kern w:val="2"/>
          <w:sz w:val="30"/>
          <w:szCs w:val="30"/>
          <w:lang w:eastAsia="zh-CN"/>
        </w:rPr>
        <w:t>疏浚</w:t>
      </w:r>
      <w:r>
        <w:rPr>
          <w:rFonts w:hint="eastAsia" w:ascii="黑体" w:hAnsi="黑体" w:eastAsia="黑体" w:cs="黑体"/>
          <w:strike/>
          <w:dstrike w:val="0"/>
          <w:color w:val="auto"/>
          <w:kern w:val="2"/>
          <w:sz w:val="30"/>
          <w:szCs w:val="30"/>
          <w:highlight w:val="green"/>
        </w:rPr>
        <w:t>疏浚</w:t>
      </w:r>
      <w:r>
        <w:rPr>
          <w:rFonts w:hint="eastAsia" w:ascii="黑体" w:hAnsi="黑体" w:eastAsia="黑体" w:cs="黑体"/>
          <w:color w:val="auto"/>
          <w:kern w:val="2"/>
          <w:sz w:val="30"/>
          <w:szCs w:val="30"/>
        </w:rPr>
        <w:t>工程</w:t>
      </w:r>
      <w:bookmarkEnd w:id="125"/>
      <w:bookmarkEnd w:id="126"/>
      <w:r>
        <w:rPr>
          <w:rFonts w:hint="eastAsia" w:ascii="黑体" w:hAnsi="黑体" w:eastAsia="黑体" w:cs="黑体"/>
          <w:color w:val="auto"/>
          <w:kern w:val="2"/>
          <w:sz w:val="30"/>
          <w:szCs w:val="30"/>
        </w:rPr>
        <w:t>方案</w:t>
      </w:r>
      <w:bookmarkEnd w:id="127"/>
      <w:bookmarkEnd w:id="128"/>
    </w:p>
    <w:p>
      <w:pPr>
        <w:ind w:firstLine="560"/>
        <w:rPr>
          <w:bCs/>
          <w:lang w:val="zh-CN"/>
        </w:rPr>
      </w:pPr>
      <w:r>
        <w:rPr>
          <w:rFonts w:hint="eastAsia"/>
          <w:bCs/>
          <w:lang w:val="zh-CN"/>
        </w:rPr>
        <w:t>由于淤泥中含有大量的有机质，夏秋高温季节，有机质在细菌的作用下，氧化分解，不断消耗水体中大量溶氧，往往使沟渠和水塘下层水体本来不多的溶氧消耗殆尽，造成缺氧状态。淤泥中大量的含氮有机物，不论在亚硝化细菌的作用下进行好氧分解，还是在硝化细菌的作用下进行厌氧分解，两者的最终产物都是氨，氨的毒性很强，即使浓度很低，也会抑制鱼类和其他水生生物的生长。淤泥中存在着大量危害性寄生虫和致病微生物，导致沟渠和水塘水质变坏、酸性增加、环境恶化。</w:t>
      </w:r>
    </w:p>
    <w:p>
      <w:pPr>
        <w:ind w:firstLine="560"/>
        <w:rPr>
          <w:bCs/>
          <w:lang w:val="zh-CN"/>
        </w:rPr>
      </w:pPr>
      <w:r>
        <w:rPr>
          <w:rFonts w:hint="eastAsia"/>
          <w:bCs/>
          <w:lang w:val="zh-CN"/>
        </w:rPr>
        <w:t>水塘为多年老塘淤泥较深，为达到彻底治理的效果，应按全塘处理。先进行排水，水排干后进行晾晒。然后进行机械与人结合疏浚，疏浚完成后进行塘底消毒处理，最后补水。</w:t>
      </w:r>
    </w:p>
    <w:p>
      <w:pPr>
        <w:ind w:firstLine="560"/>
        <w:rPr>
          <w:bCs/>
          <w:lang w:val="zh-CN"/>
        </w:rPr>
      </w:pPr>
      <w:r>
        <w:rPr>
          <w:rFonts w:hint="eastAsia"/>
          <w:bCs/>
          <w:lang w:val="zh-CN"/>
        </w:rPr>
        <w:t>根据现场勘查，</w:t>
      </w:r>
      <w:r>
        <w:rPr>
          <w:rFonts w:hint="eastAsia"/>
          <w:szCs w:val="28"/>
        </w:rPr>
        <w:t>黑臭</w:t>
      </w:r>
      <w:r>
        <w:rPr>
          <w:szCs w:val="28"/>
        </w:rPr>
        <w:t>水</w:t>
      </w:r>
      <w:r>
        <w:rPr>
          <w:rFonts w:hint="eastAsia"/>
          <w:szCs w:val="28"/>
        </w:rPr>
        <w:t>塘的</w:t>
      </w:r>
      <w:r>
        <w:rPr>
          <w:szCs w:val="28"/>
        </w:rPr>
        <w:t>水深</w:t>
      </w:r>
      <w:r>
        <w:rPr>
          <w:rFonts w:hint="eastAsia"/>
          <w:szCs w:val="28"/>
        </w:rPr>
        <w:t>1.5~3</w:t>
      </w:r>
      <w:r>
        <w:rPr>
          <w:szCs w:val="28"/>
        </w:rPr>
        <w:t>m，</w:t>
      </w:r>
      <w:r>
        <w:rPr>
          <w:rFonts w:hint="eastAsia"/>
          <w:szCs w:val="28"/>
        </w:rPr>
        <w:t>水塘岸边的</w:t>
      </w:r>
      <w:r>
        <w:rPr>
          <w:szCs w:val="28"/>
        </w:rPr>
        <w:t>底泥厚度约0.</w:t>
      </w:r>
      <w:r>
        <w:rPr>
          <w:rFonts w:hint="eastAsia"/>
          <w:szCs w:val="28"/>
        </w:rPr>
        <w:t>4~0.5</w:t>
      </w:r>
      <w:r>
        <w:rPr>
          <w:szCs w:val="28"/>
        </w:rPr>
        <w:t>m，水体颜色</w:t>
      </w:r>
      <w:r>
        <w:rPr>
          <w:rFonts w:hint="eastAsia"/>
          <w:szCs w:val="28"/>
        </w:rPr>
        <w:t>不明显，现场观测为无色至淡黄</w:t>
      </w:r>
      <w:r>
        <w:rPr>
          <w:szCs w:val="28"/>
        </w:rPr>
        <w:t>色，底泥颜色黄</w:t>
      </w:r>
      <w:r>
        <w:rPr>
          <w:rFonts w:hint="eastAsia"/>
          <w:szCs w:val="28"/>
        </w:rPr>
        <w:t>绿</w:t>
      </w:r>
      <w:r>
        <w:rPr>
          <w:szCs w:val="28"/>
        </w:rPr>
        <w:t>色无异味。</w:t>
      </w:r>
      <w:r>
        <w:rPr>
          <w:rFonts w:hint="eastAsia"/>
          <w:szCs w:val="28"/>
        </w:rPr>
        <w:t>同时对水塘北面的两处黑臭沟渠进行勘测，水深0.3~0.5m，底泥厚度0.3~0.5m，底泥的颜色发黑且有重度异味</w:t>
      </w:r>
      <w:r>
        <w:rPr>
          <w:rFonts w:hint="eastAsia"/>
          <w:bCs/>
          <w:lang w:val="zh-CN"/>
        </w:rPr>
        <w:t>。</w:t>
      </w:r>
    </w:p>
    <w:p>
      <w:pPr>
        <w:ind w:firstLine="560"/>
        <w:rPr>
          <w:bCs/>
          <w:lang w:val="zh-CN"/>
        </w:rPr>
      </w:pPr>
      <w:r>
        <w:rPr>
          <w:rFonts w:hint="eastAsia"/>
          <w:bCs/>
          <w:lang w:val="zh-CN"/>
        </w:rPr>
        <w:t>清除内涝塘内的非黑色淤泥部分可用于修整填补跨塌的塘壁和加固加高塘埂，其余的淤泥运至附近的空地或农田用作农肥。需要注意的是，塘壁必须夯打结实，堵实所有漏洞，也为池塘蓄水创造良好的生态环境条件。同时，池塘疏浚后，最好能让池底接受充分的风吹日晒，这样既可杀灭病原菌和害虫，又可以使底质淤泥变得疏松，促使有机物质的分解。</w:t>
      </w:r>
    </w:p>
    <w:p>
      <w:pPr>
        <w:pStyle w:val="38"/>
        <w:spacing w:line="560" w:lineRule="exact"/>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5</w:t>
      </w:r>
      <w:r>
        <w:rPr>
          <w:rFonts w:hint="eastAsia" w:ascii="黑体" w:hAnsi="黑体" w:eastAsia="黑体" w:cs="黑体"/>
          <w:color w:val="auto"/>
          <w:kern w:val="2"/>
          <w:sz w:val="30"/>
          <w:szCs w:val="30"/>
        </w:rPr>
        <w:t>.2</w:t>
      </w:r>
      <w:bookmarkStart w:id="129" w:name="_Toc27250"/>
      <w:bookmarkStart w:id="130" w:name="_Toc8003"/>
      <w:bookmarkStart w:id="131" w:name="_Toc21588"/>
      <w:bookmarkStart w:id="132" w:name="_Toc6562"/>
      <w:r>
        <w:rPr>
          <w:rFonts w:hint="eastAsia" w:ascii="黑体" w:hAnsi="黑体" w:eastAsia="黑体" w:cs="黑体"/>
          <w:color w:val="auto"/>
          <w:kern w:val="2"/>
          <w:sz w:val="30"/>
          <w:szCs w:val="30"/>
        </w:rPr>
        <w:t>污染底泥处置工程</w:t>
      </w:r>
      <w:bookmarkEnd w:id="129"/>
      <w:bookmarkEnd w:id="130"/>
      <w:r>
        <w:rPr>
          <w:rFonts w:hint="eastAsia" w:ascii="黑体" w:hAnsi="黑体" w:eastAsia="黑体" w:cs="黑体"/>
          <w:color w:val="auto"/>
          <w:kern w:val="2"/>
          <w:sz w:val="30"/>
          <w:szCs w:val="30"/>
        </w:rPr>
        <w:t>方案选择</w:t>
      </w:r>
      <w:bookmarkEnd w:id="131"/>
      <w:bookmarkEnd w:id="132"/>
    </w:p>
    <w:p>
      <w:pPr>
        <w:pStyle w:val="38"/>
        <w:spacing w:line="560" w:lineRule="exact"/>
        <w:ind w:firstLine="565" w:firstLineChars="202"/>
        <w:rPr>
          <w:rFonts w:ascii="黑体" w:hAnsi="黑体" w:eastAsia="黑体" w:cs="黑体"/>
          <w:color w:val="auto"/>
          <w:kern w:val="2"/>
          <w:sz w:val="28"/>
          <w:szCs w:val="28"/>
        </w:rPr>
      </w:pPr>
      <w:r>
        <w:rPr>
          <w:rFonts w:hint="eastAsia" w:ascii="黑体" w:hAnsi="黑体" w:eastAsia="黑体" w:cs="黑体"/>
          <w:color w:val="auto"/>
          <w:kern w:val="2"/>
          <w:sz w:val="28"/>
          <w:szCs w:val="28"/>
        </w:rPr>
        <w:t>1</w:t>
      </w:r>
      <w:r>
        <w:rPr>
          <w:rFonts w:ascii="黑体" w:hAnsi="黑体" w:eastAsia="黑体" w:cs="黑体"/>
          <w:color w:val="auto"/>
          <w:kern w:val="2"/>
          <w:sz w:val="28"/>
          <w:szCs w:val="28"/>
        </w:rPr>
        <w:t>.</w:t>
      </w:r>
      <w:r>
        <w:rPr>
          <w:rFonts w:hint="eastAsia" w:ascii="黑体" w:hAnsi="黑体" w:eastAsia="黑体" w:cs="黑体"/>
          <w:color w:val="auto"/>
          <w:kern w:val="2"/>
          <w:sz w:val="28"/>
          <w:szCs w:val="28"/>
        </w:rPr>
        <w:t>底泥处理处置原则</w:t>
      </w:r>
    </w:p>
    <w:p>
      <w:pPr>
        <w:ind w:firstLine="560"/>
      </w:pPr>
      <w:r>
        <w:rPr>
          <w:rFonts w:hint="eastAsia"/>
        </w:rPr>
        <w:t>污染底泥处理处置是在考虑当地社会、经济发展情况的条件下，针对底泥的物理化学性质(如含水率、颗粒分布、有机质、重金属含量等)，选择适当的处理处置方法。淤泥处理处置的基本原则如下：</w:t>
      </w:r>
    </w:p>
    <w:p>
      <w:pPr>
        <w:ind w:firstLine="560"/>
      </w:pPr>
      <w:r>
        <w:rPr>
          <w:rFonts w:hint="eastAsia"/>
        </w:rPr>
        <w:t>（1）资源化利用原则</w:t>
      </w:r>
    </w:p>
    <w:p>
      <w:pPr>
        <w:ind w:firstLine="560"/>
      </w:pPr>
      <w:r>
        <w:rPr>
          <w:rFonts w:hint="eastAsia"/>
        </w:rPr>
        <w:t>根据底泥的物理和化学性质、底泥的</w:t>
      </w:r>
      <w:r>
        <w:rPr>
          <w:rFonts w:hint="eastAsia"/>
          <w:lang w:eastAsia="zh-CN"/>
        </w:rPr>
        <w:t>疏浚</w:t>
      </w:r>
      <w:r>
        <w:rPr>
          <w:rFonts w:hint="eastAsia"/>
        </w:rPr>
        <w:t>方式以及周围场地的土资源利用状况，优先考虑能够将底泥转化成为可资源化利用的土材料的方法。</w:t>
      </w:r>
    </w:p>
    <w:p>
      <w:pPr>
        <w:ind w:firstLine="560"/>
      </w:pPr>
      <w:r>
        <w:rPr>
          <w:rFonts w:hint="eastAsia"/>
        </w:rPr>
        <w:t>（2）无害化处理原则</w:t>
      </w:r>
    </w:p>
    <w:p>
      <w:pPr>
        <w:ind w:firstLine="560"/>
      </w:pPr>
      <w:r>
        <w:rPr>
          <w:rFonts w:hint="eastAsia"/>
        </w:rPr>
        <w:t>无论选取资源化利用还是堆场就地处置，都要保证在</w:t>
      </w:r>
      <w:r>
        <w:rPr>
          <w:rFonts w:hint="eastAsia"/>
          <w:lang w:eastAsia="zh-CN"/>
        </w:rPr>
        <w:t>疏浚</w:t>
      </w:r>
      <w:r>
        <w:rPr>
          <w:rFonts w:hint="eastAsia"/>
        </w:rPr>
        <w:t>、运输、堆放、利用等各环节中，底泥中污染物不会释放进入河道水体，不产生二次的溶出、淋滤造成地下水、地表水的污染。</w:t>
      </w:r>
    </w:p>
    <w:p>
      <w:pPr>
        <w:ind w:firstLine="560"/>
      </w:pPr>
      <w:r>
        <w:rPr>
          <w:rFonts w:hint="eastAsia"/>
        </w:rPr>
        <w:t>（3）就地处理原则</w:t>
      </w:r>
    </w:p>
    <w:p>
      <w:pPr>
        <w:ind w:firstLine="560"/>
      </w:pPr>
      <w:r>
        <w:rPr>
          <w:rFonts w:hint="eastAsia"/>
        </w:rPr>
        <w:t>考虑到底泥的运输成本，应该优先考虑就地处理、就地处置和就地利用，因地制宜达到经济、安全、无后续处理负担的目的。</w:t>
      </w:r>
    </w:p>
    <w:p>
      <w:pPr>
        <w:ind w:firstLine="560"/>
      </w:pPr>
      <w:r>
        <w:rPr>
          <w:rFonts w:hint="eastAsia"/>
        </w:rPr>
        <w:t>（4）经济性原则</w:t>
      </w:r>
    </w:p>
    <w:p>
      <w:pPr>
        <w:ind w:firstLine="560"/>
      </w:pPr>
      <w:r>
        <w:rPr>
          <w:rFonts w:hint="eastAsia"/>
        </w:rPr>
        <w:t>根据底泥的最终用途，考虑处理处置的要求的情况下，尽可能选择最经济的淤泥处理工艺。</w:t>
      </w:r>
    </w:p>
    <w:p>
      <w:pPr>
        <w:pStyle w:val="38"/>
        <w:ind w:firstLine="565" w:firstLineChars="202"/>
        <w:rPr>
          <w:rFonts w:ascii="黑体" w:hAnsi="黑体" w:eastAsia="黑体" w:cs="黑体"/>
          <w:color w:val="auto"/>
          <w:kern w:val="2"/>
          <w:sz w:val="28"/>
          <w:szCs w:val="28"/>
        </w:rPr>
      </w:pPr>
      <w:r>
        <w:rPr>
          <w:rFonts w:hint="eastAsia" w:ascii="黑体" w:hAnsi="黑体" w:eastAsia="黑体" w:cs="黑体"/>
          <w:color w:val="auto"/>
          <w:kern w:val="2"/>
          <w:sz w:val="28"/>
          <w:szCs w:val="28"/>
        </w:rPr>
        <w:t>2</w:t>
      </w:r>
      <w:r>
        <w:rPr>
          <w:rFonts w:ascii="黑体" w:hAnsi="黑体" w:eastAsia="黑体" w:cs="黑体"/>
          <w:color w:val="auto"/>
          <w:kern w:val="2"/>
          <w:sz w:val="28"/>
          <w:szCs w:val="28"/>
        </w:rPr>
        <w:t>.</w:t>
      </w:r>
      <w:r>
        <w:rPr>
          <w:rFonts w:hint="eastAsia" w:ascii="黑体" w:hAnsi="黑体" w:eastAsia="黑体" w:cs="黑体"/>
          <w:color w:val="auto"/>
          <w:kern w:val="2"/>
          <w:sz w:val="28"/>
          <w:szCs w:val="28"/>
        </w:rPr>
        <w:t>底泥处理处置工艺</w:t>
      </w:r>
    </w:p>
    <w:p>
      <w:pPr>
        <w:ind w:firstLine="560"/>
      </w:pPr>
      <w:r>
        <w:rPr>
          <w:rFonts w:hint="eastAsia"/>
        </w:rPr>
        <w:t>水塘底泥的处置处置方法主要有自然脱水法、传统机械脱水法、真空预压法、化学固化法、土工管袋法、机械脱水固结一体化法。各种处理处置方法适用于不同的底泥性质和现场施工条件。</w:t>
      </w:r>
    </w:p>
    <w:p>
      <w:pPr>
        <w:ind w:firstLine="560"/>
      </w:pPr>
      <w:r>
        <w:rPr>
          <w:rFonts w:hint="eastAsia"/>
        </w:rPr>
        <w:t>（1）自然脱水法</w:t>
      </w:r>
    </w:p>
    <w:p>
      <w:pPr>
        <w:ind w:firstLine="560"/>
      </w:pPr>
      <w:r>
        <w:rPr>
          <w:rFonts w:hint="eastAsia"/>
        </w:rPr>
        <w:t>由于疏浚出的淤泥含水率较高，在后续的处理处置环节中，需要首先考虑降低淤泥的含水率。堆场晾晒是最简单、成本最低的自然脱水方法，但该方法一般要设置较大面积的堆场，占用大量土地，其中的污染物可能渗入地表土层，会在雨水的冲刷下进入地表水系统或影响地下水，引起二次污染的问题。同时，淤泥的干化过程需要较长的时间，而且容易受到天气条件的影响，一般实施较为困难。</w:t>
      </w:r>
    </w:p>
    <w:p>
      <w:pPr>
        <w:ind w:firstLine="560"/>
      </w:pPr>
      <w:r>
        <w:rPr>
          <w:rFonts w:hint="eastAsia"/>
        </w:rPr>
        <w:t>（2）传统机械脱水法</w:t>
      </w:r>
    </w:p>
    <w:p>
      <w:pPr>
        <w:ind w:firstLine="560"/>
      </w:pPr>
      <w:r>
        <w:rPr>
          <w:rFonts w:hint="eastAsia"/>
        </w:rPr>
        <w:t>在国外最为常见的底泥脱水法是机械脱水，即采用离心脱水机或压滤机进行脱水的方法。机械脱水法对高含水率的淤泥处理效果比较有效。其缺点是机械脱水具有脱水地点固定式的缺点、且一次性投资较高；另一方面，经过脱水处理后的淤泥有时仍需进行二次处理才能满足工程的要求。机械脱水设备主要是将泥浆里的颗粒表面毛细水和重力水分离开来，用于</w:t>
      </w:r>
      <w:r>
        <w:rPr>
          <w:rFonts w:hint="eastAsia"/>
          <w:lang w:eastAsia="zh-CN"/>
        </w:rPr>
        <w:t>疏浚</w:t>
      </w:r>
      <w:r>
        <w:rPr>
          <w:rFonts w:hint="eastAsia"/>
        </w:rPr>
        <w:t>。</w:t>
      </w:r>
    </w:p>
    <w:p>
      <w:pPr>
        <w:ind w:firstLine="560"/>
      </w:pPr>
      <w:r>
        <w:rPr>
          <w:rFonts w:hint="eastAsia"/>
        </w:rPr>
        <w:t>传统机械脱水是一种简单方便的淤泥脱水技术，被广泛地应用在市政工程、工业废水处理等领域。但是机械脱水能耗高、运行管理相对复杂，且淤泥处理量相对于管袋技术和堆场自然排水技术来说比较小，适用于淤泥处理量小的工程。</w:t>
      </w:r>
    </w:p>
    <w:p>
      <w:pPr>
        <w:ind w:firstLine="560"/>
      </w:pPr>
      <w:r>
        <w:rPr>
          <w:rFonts w:hint="eastAsia"/>
        </w:rPr>
        <w:t>（3）真空预压法</w:t>
      </w:r>
    </w:p>
    <w:p>
      <w:pPr>
        <w:ind w:firstLine="560"/>
      </w:pPr>
      <w:r>
        <w:rPr>
          <w:rFonts w:hint="eastAsia"/>
        </w:rPr>
        <w:t>真空预压法是在软粘土中设置竖向塑料排水带或砂井，上铺砂层，再覆盖薄膜封闭，抽气使膜内排水带、砂层等处于部分真空状态，排除土中的水分，增加地基的有效应力，该法是在负超静水压下排水固结，亦称为负压固结。当抽真空时，先后在地表砂垫层及竖向排水通道内逐步形成负压，使土体内部与排水通道、垫层之间形成压差。在此压差作用下，土体中的孔隙水不断由排水通道排出，从而使土体固结。</w:t>
      </w:r>
    </w:p>
    <w:p>
      <w:pPr>
        <w:ind w:firstLine="560"/>
      </w:pPr>
      <w:r>
        <w:rPr>
          <w:rFonts w:hint="eastAsia"/>
        </w:rPr>
        <w:t>采用真空排水固结类方法处理淤泥的关键问题是保证排水系统的有效性，这样才能有效地降低淤泥中的水分，加速固结。国内很多工程都采用真空排水固结类方法，但由于淤泥的黏粒含量一般较高，进行常规真空排水时，排水通道很快会被淤堵，导致淤泥排水效果不好。真空排水法适用于有机质含量低、含砂量较大、持水性差的淤泥脱水。</w:t>
      </w:r>
    </w:p>
    <w:p>
      <w:pPr>
        <w:ind w:firstLine="560"/>
      </w:pPr>
      <w:r>
        <w:rPr>
          <w:rFonts w:hint="eastAsia"/>
        </w:rPr>
        <w:t>（4）化学固化法</w:t>
      </w:r>
    </w:p>
    <w:p>
      <w:pPr>
        <w:ind w:firstLine="560"/>
      </w:pPr>
      <w:r>
        <w:rPr>
          <w:rFonts w:hint="eastAsia"/>
        </w:rPr>
        <w:t>化学固化处理是近年来日益受到重视和使用较多的一种方法。它是指用物理—化学方法将淤泥颗粒胶结、掺合并包裹在密实的惰性基材中，形成整体性较好的固化体的一种过程。其中固化所用的惰性材料叫固化剂，淤泥经过固化处理后所形成的固化产物为固化体。</w:t>
      </w:r>
    </w:p>
    <w:p>
      <w:pPr>
        <w:ind w:firstLine="560"/>
      </w:pPr>
      <w:r>
        <w:rPr>
          <w:rFonts w:hint="eastAsia"/>
        </w:rPr>
        <w:t>通常固化剂可以同时实现淤泥的稳定化，即将有毒有害污染物转变为低溶解性、低迁移性及低毒性的物质。通过一系列复杂的物理化学反应（如水化反应），将有毒有害的物质固定在固化形成的网链（晶格）中，使其转化成类似土壤或胶结强度很大的固体，可就地填埋或用作建筑材料等。固化处理技术既可用作特殊工业淤泥，如含重金属淤泥，含油淤泥，电镀淤泥、印染淤泥等危险废物的固化处理，也可用于城市污水处理厂产生的普通污泥和河道</w:t>
      </w:r>
      <w:r>
        <w:rPr>
          <w:rFonts w:hint="eastAsia"/>
          <w:lang w:eastAsia="zh-CN"/>
        </w:rPr>
        <w:t>疏浚</w:t>
      </w:r>
      <w:r>
        <w:rPr>
          <w:rFonts w:hint="eastAsia"/>
        </w:rPr>
        <w:t>底泥的固化处理。</w:t>
      </w:r>
    </w:p>
    <w:p>
      <w:pPr>
        <w:ind w:firstLine="560"/>
      </w:pPr>
      <w:r>
        <w:rPr>
          <w:rFonts w:hint="eastAsia"/>
        </w:rPr>
        <w:t>目前有关淤泥的固化处理主要集中在固化材料的选择和固化处理后淤泥的强度、变形等力学特性的研究，尤其关注淤泥固化处理后的早期强度,即采用一种强胶结材料，使固化处理后的淤泥可以一次胶结成型，并具有较高的强度，可作为建筑材料使用，达到资源再利用的目的。淤泥化学固化技术成本较高，若用于处理污染较轻的淤泥，处置的经济效益一般。</w:t>
      </w:r>
    </w:p>
    <w:p>
      <w:pPr>
        <w:ind w:firstLine="560"/>
      </w:pPr>
      <w:r>
        <w:rPr>
          <w:rFonts w:hint="eastAsia"/>
        </w:rPr>
        <w:t>（5）土工管袋法</w:t>
      </w:r>
    </w:p>
    <w:p>
      <w:pPr>
        <w:ind w:firstLine="560"/>
      </w:pPr>
      <w:r>
        <w:rPr>
          <w:rFonts w:hint="eastAsia"/>
        </w:rPr>
        <w:t>土工管袋是一种由聚丙烯纱线编织而成的具有过滤结构的管状土工袋，其直径可根据需要变化，约1m~ 10m，长度最大可达到200m，强度高、过滤性能和抗紫外性能好。</w:t>
      </w:r>
    </w:p>
    <w:p>
      <w:pPr>
        <w:ind w:firstLine="560"/>
      </w:pPr>
      <w:r>
        <w:rPr>
          <w:rFonts w:hint="eastAsia"/>
        </w:rPr>
        <w:t>土工管袋脱水步骤分为充填、脱水、固结3个阶段。充填是把淤泥充填到土工管袋中，为加速脱水，必要时投加絮凝剂促进固体颗粒固结：脱水是指清洁的水流从土工管袋中排出，其脱水原理主要是土工管袋材质所具有的过滤结构和袋内液体压力两个动力因素，同时还可以添加脱水药剂促进脱水速率。经脱水后超过99%的固体颗粒被存留在土工管袋中；渗出水可以进行收集并再次在系统中循环利用；固结是将存留在管袋中的固体颗粒填满后，把土工管袋及其填充物运输到垃圾填埋场或者将固结物移走，并在适当的情况下进行再利用。</w:t>
      </w:r>
    </w:p>
    <w:p>
      <w:pPr>
        <w:ind w:firstLine="560"/>
      </w:pPr>
      <w:r>
        <w:rPr>
          <w:rFonts w:hint="eastAsia"/>
        </w:rPr>
        <w:t>土工管袋作为一种高效的淤泥脱水技术具有良好的应用前景。该技术脱水效率高、操作简单，特别是便于运输组装，经济效益、环境效益很大。但是该方法脱水所需的时间较长，而且施工现场占地面积较大，在一定程度制约了其应用。</w:t>
      </w:r>
    </w:p>
    <w:p>
      <w:pPr>
        <w:pStyle w:val="38"/>
        <w:rPr>
          <w:color w:val="auto"/>
        </w:rPr>
      </w:pPr>
      <w:r>
        <w:rPr>
          <w:rFonts w:ascii="宋体" w:hAnsi="宋体" w:cs="宋体"/>
          <w:color w:val="auto"/>
        </w:rPr>
        <w:drawing>
          <wp:inline distT="0" distB="0" distL="114300" distR="114300">
            <wp:extent cx="2701290" cy="1808480"/>
            <wp:effectExtent l="0" t="0" r="3810" b="1270"/>
            <wp:docPr id="68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5" descr="IMG_256"/>
                    <pic:cNvPicPr>
                      <a:picLocks noChangeAspect="1"/>
                    </pic:cNvPicPr>
                  </pic:nvPicPr>
                  <pic:blipFill>
                    <a:blip r:embed="rId47"/>
                    <a:srcRect r="2663"/>
                    <a:stretch>
                      <a:fillRect/>
                    </a:stretch>
                  </pic:blipFill>
                  <pic:spPr>
                    <a:xfrm>
                      <a:off x="0" y="0"/>
                      <a:ext cx="2701290" cy="1808480"/>
                    </a:xfrm>
                    <a:prstGeom prst="rect">
                      <a:avLst/>
                    </a:prstGeom>
                    <a:noFill/>
                    <a:ln w="9525">
                      <a:noFill/>
                    </a:ln>
                  </pic:spPr>
                </pic:pic>
              </a:graphicData>
            </a:graphic>
          </wp:inline>
        </w:drawing>
      </w:r>
      <w:r>
        <w:rPr>
          <w:rFonts w:ascii="宋体" w:hAnsi="宋体" w:cs="宋体"/>
          <w:color w:val="auto"/>
        </w:rPr>
        <w:drawing>
          <wp:inline distT="0" distB="0" distL="114300" distR="114300">
            <wp:extent cx="2473325" cy="1778635"/>
            <wp:effectExtent l="0" t="0" r="3175" b="12065"/>
            <wp:docPr id="68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 descr="IMG_256"/>
                    <pic:cNvPicPr>
                      <a:picLocks noChangeAspect="1"/>
                    </pic:cNvPicPr>
                  </pic:nvPicPr>
                  <pic:blipFill>
                    <a:blip r:embed="rId48"/>
                    <a:srcRect t="13752" r="343" b="14552"/>
                    <a:stretch>
                      <a:fillRect/>
                    </a:stretch>
                  </pic:blipFill>
                  <pic:spPr>
                    <a:xfrm>
                      <a:off x="0" y="0"/>
                      <a:ext cx="2473325" cy="1778635"/>
                    </a:xfrm>
                    <a:prstGeom prst="rect">
                      <a:avLst/>
                    </a:prstGeom>
                    <a:noFill/>
                    <a:ln w="9525">
                      <a:noFill/>
                    </a:ln>
                  </pic:spPr>
                </pic:pic>
              </a:graphicData>
            </a:graphic>
          </wp:inline>
        </w:drawing>
      </w:r>
    </w:p>
    <w:p>
      <w:pPr>
        <w:ind w:firstLine="562"/>
        <w:jc w:val="center"/>
        <w:rPr>
          <w:b/>
        </w:rPr>
      </w:pPr>
      <w:r>
        <w:rPr>
          <w:rFonts w:hint="eastAsia"/>
          <w:b/>
        </w:rPr>
        <w:t>土工</w:t>
      </w:r>
      <w:r>
        <w:rPr>
          <w:b/>
        </w:rPr>
        <w:t>管袋法示意</w:t>
      </w:r>
      <w:r>
        <w:rPr>
          <w:rFonts w:hint="eastAsia"/>
          <w:b/>
        </w:rPr>
        <w:t>图</w:t>
      </w:r>
    </w:p>
    <w:p>
      <w:pPr>
        <w:ind w:firstLine="560"/>
      </w:pPr>
      <w:r>
        <w:rPr>
          <w:rFonts w:hint="eastAsia"/>
        </w:rPr>
        <w:t>（6）机械脱水固结一体化法</w:t>
      </w:r>
    </w:p>
    <w:p>
      <w:pPr>
        <w:ind w:firstLine="560"/>
      </w:pPr>
      <w:r>
        <w:rPr>
          <w:rFonts w:hint="eastAsia"/>
        </w:rPr>
        <w:t>机械脱水固结一体化法是一套完整的</w:t>
      </w:r>
      <w:r>
        <w:rPr>
          <w:rFonts w:hint="eastAsia"/>
          <w:lang w:eastAsia="zh-CN"/>
        </w:rPr>
        <w:t>疏浚</w:t>
      </w:r>
      <w:r>
        <w:rPr>
          <w:rFonts w:hint="eastAsia"/>
        </w:rPr>
        <w:t>脱水工艺，通过移动式脱水站与淤泥接驳管直接相连，在一套脱水站中完成淤泥输送与干泥输出。移动式脱水站由砂水分离设备、垃圾分拣设备、淤泥脱水设备、加药设备、泥水处理设备及干淤泥输送设备等组成，均采用可移动平台结构。绞吸船把吸入的淤泥经管道泵送至岸上移动式脱水站的淤泥脱水设备，分离出来的砂石、垃圾以及经脱水后干泥由皮带输送机输送至运泥车，由运泥车将脱水后干泥运往指定地点进行后续处理。淤泥脱水过程中分离出来的水经处理达到排放标准回用于稀释药剂和冲洗设备，其余排入河道。</w:t>
      </w:r>
    </w:p>
    <w:p>
      <w:pPr>
        <w:ind w:firstLine="560"/>
      </w:pPr>
      <w:r>
        <w:rPr>
          <w:rFonts w:hint="eastAsia"/>
        </w:rPr>
        <w:t>机械脱水固结一体化工作站，可实现不同的处置要求，连续生产，节省大量的场地需求，功耗低，加药量少，运输成本低，是一套完整优异的河道</w:t>
      </w:r>
      <w:r>
        <w:rPr>
          <w:rFonts w:hint="eastAsia"/>
          <w:lang w:eastAsia="zh-CN"/>
        </w:rPr>
        <w:t>疏浚</w:t>
      </w:r>
      <w:r>
        <w:rPr>
          <w:rFonts w:hint="eastAsia"/>
        </w:rPr>
        <w:t>及淤泥处理处置的技术。一体化法的成套设备占地面积小，连续作业效率高，无需长时间搅拌和晾晒，固化稳定性良好，臭气挥发小。施工设备维护简易，处理工艺成熟且易于控制。固化脱水后的泥饼，稳定性、强度以及防渗性能均非常好。</w:t>
      </w:r>
    </w:p>
    <w:p>
      <w:pPr>
        <w:pStyle w:val="38"/>
        <w:ind w:firstLine="565" w:firstLineChars="202"/>
        <w:rPr>
          <w:rFonts w:ascii="黑体" w:hAnsi="黑体" w:eastAsia="黑体" w:cs="黑体"/>
          <w:color w:val="auto"/>
          <w:kern w:val="2"/>
          <w:sz w:val="28"/>
          <w:szCs w:val="28"/>
        </w:rPr>
      </w:pPr>
      <w:r>
        <w:rPr>
          <w:rFonts w:ascii="黑体" w:hAnsi="黑体" w:eastAsia="黑体" w:cs="黑体"/>
          <w:color w:val="auto"/>
          <w:kern w:val="2"/>
          <w:sz w:val="28"/>
          <w:szCs w:val="28"/>
        </w:rPr>
        <w:t>3.</w:t>
      </w:r>
      <w:r>
        <w:rPr>
          <w:rFonts w:hint="eastAsia" w:ascii="黑体" w:hAnsi="黑体" w:eastAsia="黑体" w:cs="黑体"/>
          <w:color w:val="auto"/>
          <w:kern w:val="2"/>
          <w:sz w:val="28"/>
          <w:szCs w:val="28"/>
        </w:rPr>
        <w:t>底泥处理处置工艺选择</w:t>
      </w:r>
    </w:p>
    <w:p>
      <w:pPr>
        <w:ind w:firstLine="560"/>
        <w:rPr>
          <w:b/>
          <w:bCs/>
        </w:rPr>
      </w:pPr>
      <w:r>
        <w:rPr>
          <w:rFonts w:hint="eastAsia"/>
        </w:rPr>
        <w:t>前述几种淤泥处理处置方法的比较具体见下表。从各种处理处置方法主要从脱水效果、运行费用、设备投资以及现场的实际情况等方面综合比较，本项目淤泥的处理处置工艺采用运行管理简单、成本低的自然脱水工艺。淤泥清理上来后运输至周边荒废洼地，自然脱水晒干。底泥污染物主要来源为居民生活污水，主要包含有机物和氮磷营养盐，采用相应无害化处理过后可还林、还田利用。</w:t>
      </w:r>
    </w:p>
    <w:p>
      <w:pPr>
        <w:ind w:firstLine="562"/>
        <w:jc w:val="center"/>
        <w:rPr>
          <w:b/>
          <w:bCs/>
        </w:rPr>
      </w:pPr>
      <w:r>
        <w:rPr>
          <w:rFonts w:hint="eastAsia"/>
          <w:b/>
          <w:bCs/>
        </w:rPr>
        <w:t>表5-9淤泥处置工艺对比</w:t>
      </w:r>
    </w:p>
    <w:tbl>
      <w:tblPr>
        <w:tblStyle w:val="30"/>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544"/>
        <w:gridCol w:w="1495"/>
        <w:gridCol w:w="1327"/>
        <w:gridCol w:w="1380"/>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脱水工艺</w:t>
            </w:r>
          </w:p>
        </w:tc>
        <w:tc>
          <w:tcPr>
            <w:tcW w:w="1544" w:type="dxa"/>
            <w:vAlign w:val="center"/>
          </w:tcPr>
          <w:p>
            <w:pPr>
              <w:pStyle w:val="10"/>
              <w:spacing w:after="0"/>
              <w:jc w:val="center"/>
              <w:rPr>
                <w:rFonts w:eastAsiaTheme="minorEastAsia"/>
                <w:sz w:val="22"/>
                <w:szCs w:val="22"/>
              </w:rPr>
            </w:pPr>
            <w:r>
              <w:rPr>
                <w:rFonts w:eastAsiaTheme="minorEastAsia"/>
                <w:sz w:val="22"/>
                <w:szCs w:val="22"/>
              </w:rPr>
              <w:t>自然脱水工艺</w:t>
            </w:r>
          </w:p>
        </w:tc>
        <w:tc>
          <w:tcPr>
            <w:tcW w:w="1495" w:type="dxa"/>
            <w:vAlign w:val="center"/>
          </w:tcPr>
          <w:p>
            <w:pPr>
              <w:pStyle w:val="10"/>
              <w:spacing w:after="0"/>
              <w:jc w:val="center"/>
              <w:rPr>
                <w:rFonts w:eastAsiaTheme="minorEastAsia"/>
                <w:sz w:val="22"/>
                <w:szCs w:val="22"/>
              </w:rPr>
            </w:pPr>
            <w:r>
              <w:rPr>
                <w:rFonts w:eastAsiaTheme="minorEastAsia"/>
                <w:sz w:val="22"/>
                <w:szCs w:val="22"/>
              </w:rPr>
              <w:t>传统机械脱水工艺</w:t>
            </w:r>
          </w:p>
        </w:tc>
        <w:tc>
          <w:tcPr>
            <w:tcW w:w="1327" w:type="dxa"/>
            <w:vAlign w:val="center"/>
          </w:tcPr>
          <w:p>
            <w:pPr>
              <w:pStyle w:val="10"/>
              <w:spacing w:after="0"/>
              <w:jc w:val="center"/>
              <w:rPr>
                <w:rFonts w:eastAsiaTheme="minorEastAsia"/>
                <w:sz w:val="22"/>
                <w:szCs w:val="22"/>
              </w:rPr>
            </w:pPr>
            <w:r>
              <w:rPr>
                <w:rFonts w:eastAsiaTheme="minorEastAsia"/>
                <w:sz w:val="22"/>
                <w:szCs w:val="22"/>
              </w:rPr>
              <w:t>真空预压工艺</w:t>
            </w:r>
          </w:p>
        </w:tc>
        <w:tc>
          <w:tcPr>
            <w:tcW w:w="1380" w:type="dxa"/>
            <w:vAlign w:val="center"/>
          </w:tcPr>
          <w:p>
            <w:pPr>
              <w:pStyle w:val="10"/>
              <w:spacing w:after="0"/>
              <w:jc w:val="center"/>
              <w:rPr>
                <w:rFonts w:eastAsiaTheme="minorEastAsia"/>
                <w:sz w:val="22"/>
                <w:szCs w:val="22"/>
              </w:rPr>
            </w:pPr>
            <w:r>
              <w:rPr>
                <w:rFonts w:eastAsiaTheme="minorEastAsia"/>
                <w:sz w:val="22"/>
                <w:szCs w:val="22"/>
              </w:rPr>
              <w:t>土工管袋工艺</w:t>
            </w:r>
          </w:p>
        </w:tc>
        <w:tc>
          <w:tcPr>
            <w:tcW w:w="1852" w:type="dxa"/>
            <w:vAlign w:val="center"/>
          </w:tcPr>
          <w:p>
            <w:pPr>
              <w:pStyle w:val="10"/>
              <w:spacing w:after="0"/>
              <w:jc w:val="center"/>
              <w:rPr>
                <w:rFonts w:eastAsiaTheme="minorEastAsia"/>
                <w:sz w:val="22"/>
                <w:szCs w:val="22"/>
              </w:rPr>
            </w:pPr>
            <w:r>
              <w:rPr>
                <w:rFonts w:eastAsiaTheme="minorEastAsia"/>
                <w:sz w:val="22"/>
                <w:szCs w:val="22"/>
              </w:rPr>
              <w:t>机械脱水固结一体化工艺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脱水效果</w:t>
            </w:r>
          </w:p>
        </w:tc>
        <w:tc>
          <w:tcPr>
            <w:tcW w:w="1544" w:type="dxa"/>
            <w:vAlign w:val="center"/>
          </w:tcPr>
          <w:p>
            <w:pPr>
              <w:pStyle w:val="10"/>
              <w:spacing w:after="0"/>
              <w:jc w:val="center"/>
              <w:rPr>
                <w:rFonts w:eastAsiaTheme="minorEastAsia"/>
                <w:sz w:val="22"/>
                <w:szCs w:val="22"/>
              </w:rPr>
            </w:pPr>
            <w:r>
              <w:rPr>
                <w:rFonts w:eastAsiaTheme="minorEastAsia"/>
                <w:sz w:val="22"/>
                <w:szCs w:val="22"/>
              </w:rPr>
              <w:t>较差，时间长</w:t>
            </w:r>
          </w:p>
        </w:tc>
        <w:tc>
          <w:tcPr>
            <w:tcW w:w="1495" w:type="dxa"/>
            <w:vAlign w:val="center"/>
          </w:tcPr>
          <w:p>
            <w:pPr>
              <w:pStyle w:val="10"/>
              <w:spacing w:after="0"/>
              <w:jc w:val="center"/>
              <w:rPr>
                <w:rFonts w:eastAsiaTheme="minorEastAsia"/>
                <w:sz w:val="22"/>
                <w:szCs w:val="22"/>
              </w:rPr>
            </w:pPr>
            <w:r>
              <w:rPr>
                <w:rFonts w:eastAsiaTheme="minorEastAsia"/>
                <w:sz w:val="22"/>
                <w:szCs w:val="22"/>
              </w:rPr>
              <w:t>一般，时间短</w:t>
            </w:r>
          </w:p>
        </w:tc>
        <w:tc>
          <w:tcPr>
            <w:tcW w:w="1327" w:type="dxa"/>
            <w:vAlign w:val="center"/>
          </w:tcPr>
          <w:p>
            <w:pPr>
              <w:pStyle w:val="10"/>
              <w:spacing w:after="0"/>
              <w:jc w:val="center"/>
              <w:rPr>
                <w:rFonts w:eastAsiaTheme="minorEastAsia"/>
                <w:sz w:val="22"/>
                <w:szCs w:val="22"/>
              </w:rPr>
            </w:pPr>
            <w:r>
              <w:rPr>
                <w:rFonts w:eastAsiaTheme="minorEastAsia"/>
                <w:sz w:val="22"/>
                <w:szCs w:val="22"/>
              </w:rPr>
              <w:t>较差</w:t>
            </w:r>
          </w:p>
        </w:tc>
        <w:tc>
          <w:tcPr>
            <w:tcW w:w="1380" w:type="dxa"/>
            <w:vAlign w:val="center"/>
          </w:tcPr>
          <w:p>
            <w:pPr>
              <w:pStyle w:val="10"/>
              <w:spacing w:after="0"/>
              <w:jc w:val="center"/>
              <w:rPr>
                <w:rFonts w:eastAsiaTheme="minorEastAsia"/>
                <w:sz w:val="22"/>
                <w:szCs w:val="22"/>
              </w:rPr>
            </w:pPr>
            <w:r>
              <w:rPr>
                <w:rFonts w:eastAsiaTheme="minorEastAsia"/>
                <w:sz w:val="22"/>
                <w:szCs w:val="22"/>
              </w:rPr>
              <w:t>较好</w:t>
            </w:r>
          </w:p>
        </w:tc>
        <w:tc>
          <w:tcPr>
            <w:tcW w:w="1852" w:type="dxa"/>
            <w:vAlign w:val="center"/>
          </w:tcPr>
          <w:p>
            <w:pPr>
              <w:pStyle w:val="10"/>
              <w:spacing w:after="0"/>
              <w:jc w:val="center"/>
              <w:rPr>
                <w:rFonts w:eastAsiaTheme="minorEastAsia"/>
                <w:sz w:val="22"/>
                <w:szCs w:val="22"/>
              </w:rPr>
            </w:pPr>
            <w:r>
              <w:rPr>
                <w:rFonts w:eastAsiaTheme="minorEastAsia"/>
                <w:sz w:val="22"/>
                <w:szCs w:val="22"/>
              </w:rPr>
              <w:t>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运行费用</w:t>
            </w:r>
          </w:p>
        </w:tc>
        <w:tc>
          <w:tcPr>
            <w:tcW w:w="1544" w:type="dxa"/>
            <w:vAlign w:val="center"/>
          </w:tcPr>
          <w:p>
            <w:pPr>
              <w:pStyle w:val="10"/>
              <w:spacing w:after="0"/>
              <w:jc w:val="center"/>
              <w:rPr>
                <w:rFonts w:eastAsiaTheme="minorEastAsia"/>
                <w:sz w:val="22"/>
                <w:szCs w:val="22"/>
              </w:rPr>
            </w:pPr>
            <w:r>
              <w:rPr>
                <w:rFonts w:eastAsiaTheme="minorEastAsia"/>
                <w:sz w:val="22"/>
                <w:szCs w:val="22"/>
              </w:rPr>
              <w:t>低</w:t>
            </w:r>
          </w:p>
        </w:tc>
        <w:tc>
          <w:tcPr>
            <w:tcW w:w="1495" w:type="dxa"/>
            <w:vAlign w:val="center"/>
          </w:tcPr>
          <w:p>
            <w:pPr>
              <w:pStyle w:val="10"/>
              <w:spacing w:after="0"/>
              <w:jc w:val="center"/>
              <w:rPr>
                <w:rFonts w:eastAsiaTheme="minorEastAsia"/>
                <w:sz w:val="22"/>
                <w:szCs w:val="22"/>
              </w:rPr>
            </w:pPr>
            <w:r>
              <w:rPr>
                <w:rFonts w:eastAsiaTheme="minorEastAsia"/>
                <w:sz w:val="22"/>
                <w:szCs w:val="22"/>
              </w:rPr>
              <w:t>较高</w:t>
            </w:r>
          </w:p>
        </w:tc>
        <w:tc>
          <w:tcPr>
            <w:tcW w:w="1327" w:type="dxa"/>
            <w:vAlign w:val="center"/>
          </w:tcPr>
          <w:p>
            <w:pPr>
              <w:pStyle w:val="10"/>
              <w:spacing w:after="0"/>
              <w:jc w:val="center"/>
              <w:rPr>
                <w:rFonts w:eastAsiaTheme="minorEastAsia"/>
                <w:sz w:val="22"/>
                <w:szCs w:val="22"/>
              </w:rPr>
            </w:pPr>
            <w:r>
              <w:rPr>
                <w:rFonts w:eastAsiaTheme="minorEastAsia"/>
                <w:sz w:val="22"/>
                <w:szCs w:val="22"/>
              </w:rPr>
              <w:t>较低</w:t>
            </w:r>
          </w:p>
        </w:tc>
        <w:tc>
          <w:tcPr>
            <w:tcW w:w="1380" w:type="dxa"/>
            <w:vAlign w:val="center"/>
          </w:tcPr>
          <w:p>
            <w:pPr>
              <w:pStyle w:val="10"/>
              <w:spacing w:after="0"/>
              <w:jc w:val="center"/>
              <w:rPr>
                <w:rFonts w:eastAsiaTheme="minorEastAsia"/>
                <w:sz w:val="22"/>
                <w:szCs w:val="22"/>
              </w:rPr>
            </w:pPr>
            <w:r>
              <w:rPr>
                <w:rFonts w:eastAsiaTheme="minorEastAsia"/>
                <w:sz w:val="22"/>
                <w:szCs w:val="22"/>
              </w:rPr>
              <w:t>较低</w:t>
            </w:r>
          </w:p>
        </w:tc>
        <w:tc>
          <w:tcPr>
            <w:tcW w:w="1852" w:type="dxa"/>
            <w:vAlign w:val="center"/>
          </w:tcPr>
          <w:p>
            <w:pPr>
              <w:pStyle w:val="10"/>
              <w:spacing w:after="0"/>
              <w:jc w:val="center"/>
              <w:rPr>
                <w:rFonts w:eastAsiaTheme="minorEastAsia"/>
                <w:sz w:val="22"/>
                <w:szCs w:val="22"/>
              </w:rPr>
            </w:pPr>
            <w:r>
              <w:rPr>
                <w:rFonts w:eastAsiaTheme="minorEastAsia"/>
                <w:sz w:val="22"/>
                <w:szCs w:val="22"/>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设备投资</w:t>
            </w:r>
          </w:p>
        </w:tc>
        <w:tc>
          <w:tcPr>
            <w:tcW w:w="1544" w:type="dxa"/>
            <w:vAlign w:val="center"/>
          </w:tcPr>
          <w:p>
            <w:pPr>
              <w:pStyle w:val="10"/>
              <w:spacing w:after="0"/>
              <w:jc w:val="center"/>
              <w:rPr>
                <w:rFonts w:eastAsiaTheme="minorEastAsia"/>
                <w:sz w:val="22"/>
                <w:szCs w:val="22"/>
              </w:rPr>
            </w:pPr>
            <w:r>
              <w:rPr>
                <w:rFonts w:eastAsiaTheme="minorEastAsia"/>
                <w:sz w:val="22"/>
                <w:szCs w:val="22"/>
              </w:rPr>
              <w:t>低</w:t>
            </w:r>
          </w:p>
        </w:tc>
        <w:tc>
          <w:tcPr>
            <w:tcW w:w="1495" w:type="dxa"/>
            <w:vAlign w:val="center"/>
          </w:tcPr>
          <w:p>
            <w:pPr>
              <w:pStyle w:val="10"/>
              <w:spacing w:after="0"/>
              <w:jc w:val="center"/>
              <w:rPr>
                <w:rFonts w:eastAsiaTheme="minorEastAsia"/>
                <w:sz w:val="22"/>
                <w:szCs w:val="22"/>
              </w:rPr>
            </w:pPr>
            <w:r>
              <w:rPr>
                <w:rFonts w:eastAsiaTheme="minorEastAsia"/>
                <w:sz w:val="22"/>
                <w:szCs w:val="22"/>
              </w:rPr>
              <w:t>高</w:t>
            </w:r>
          </w:p>
        </w:tc>
        <w:tc>
          <w:tcPr>
            <w:tcW w:w="1327" w:type="dxa"/>
            <w:vAlign w:val="center"/>
          </w:tcPr>
          <w:p>
            <w:pPr>
              <w:pStyle w:val="10"/>
              <w:spacing w:after="0"/>
              <w:jc w:val="center"/>
              <w:rPr>
                <w:rFonts w:eastAsiaTheme="minorEastAsia"/>
                <w:sz w:val="22"/>
                <w:szCs w:val="22"/>
              </w:rPr>
            </w:pPr>
            <w:r>
              <w:rPr>
                <w:rFonts w:eastAsiaTheme="minorEastAsia"/>
                <w:sz w:val="22"/>
                <w:szCs w:val="22"/>
              </w:rPr>
              <w:t>较高</w:t>
            </w:r>
          </w:p>
        </w:tc>
        <w:tc>
          <w:tcPr>
            <w:tcW w:w="1380" w:type="dxa"/>
            <w:vAlign w:val="center"/>
          </w:tcPr>
          <w:p>
            <w:pPr>
              <w:pStyle w:val="10"/>
              <w:spacing w:after="0"/>
              <w:jc w:val="center"/>
              <w:rPr>
                <w:rFonts w:eastAsiaTheme="minorEastAsia"/>
                <w:sz w:val="22"/>
                <w:szCs w:val="22"/>
              </w:rPr>
            </w:pPr>
            <w:r>
              <w:rPr>
                <w:rFonts w:eastAsiaTheme="minorEastAsia"/>
                <w:sz w:val="22"/>
                <w:szCs w:val="22"/>
              </w:rPr>
              <w:t>较高</w:t>
            </w:r>
          </w:p>
        </w:tc>
        <w:tc>
          <w:tcPr>
            <w:tcW w:w="1852" w:type="dxa"/>
            <w:vAlign w:val="center"/>
          </w:tcPr>
          <w:p>
            <w:pPr>
              <w:pStyle w:val="10"/>
              <w:spacing w:after="0"/>
              <w:jc w:val="center"/>
              <w:rPr>
                <w:rFonts w:eastAsiaTheme="minorEastAsia"/>
                <w:sz w:val="22"/>
                <w:szCs w:val="22"/>
              </w:rPr>
            </w:pPr>
            <w:r>
              <w:rPr>
                <w:rFonts w:eastAsiaTheme="minorEastAsia"/>
                <w:sz w:val="22"/>
                <w:szCs w:val="22"/>
              </w:rPr>
              <w:t>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优点</w:t>
            </w:r>
          </w:p>
        </w:tc>
        <w:tc>
          <w:tcPr>
            <w:tcW w:w="1544" w:type="dxa"/>
            <w:vAlign w:val="center"/>
          </w:tcPr>
          <w:p>
            <w:pPr>
              <w:pStyle w:val="10"/>
              <w:spacing w:after="0"/>
              <w:jc w:val="center"/>
              <w:rPr>
                <w:rFonts w:eastAsiaTheme="minorEastAsia"/>
                <w:sz w:val="22"/>
                <w:szCs w:val="22"/>
              </w:rPr>
            </w:pPr>
            <w:r>
              <w:rPr>
                <w:rFonts w:eastAsiaTheme="minorEastAsia"/>
                <w:sz w:val="22"/>
                <w:szCs w:val="22"/>
              </w:rPr>
              <w:t>运行管理简</w:t>
            </w:r>
          </w:p>
          <w:p>
            <w:pPr>
              <w:pStyle w:val="10"/>
              <w:spacing w:after="0"/>
              <w:jc w:val="center"/>
              <w:rPr>
                <w:rFonts w:eastAsiaTheme="minorEastAsia"/>
                <w:sz w:val="22"/>
                <w:szCs w:val="22"/>
              </w:rPr>
            </w:pPr>
            <w:r>
              <w:rPr>
                <w:rFonts w:eastAsiaTheme="minorEastAsia"/>
                <w:sz w:val="22"/>
                <w:szCs w:val="22"/>
              </w:rPr>
              <w:t>单；成本低</w:t>
            </w:r>
          </w:p>
        </w:tc>
        <w:tc>
          <w:tcPr>
            <w:tcW w:w="1495" w:type="dxa"/>
            <w:vAlign w:val="center"/>
          </w:tcPr>
          <w:p>
            <w:pPr>
              <w:pStyle w:val="10"/>
              <w:spacing w:after="0"/>
              <w:jc w:val="center"/>
              <w:rPr>
                <w:rFonts w:eastAsiaTheme="minorEastAsia"/>
                <w:sz w:val="22"/>
                <w:szCs w:val="22"/>
              </w:rPr>
            </w:pPr>
            <w:r>
              <w:rPr>
                <w:rFonts w:eastAsiaTheme="minorEastAsia"/>
                <w:sz w:val="22"/>
                <w:szCs w:val="22"/>
              </w:rPr>
              <w:t>占地面积小；脱水时间短</w:t>
            </w:r>
          </w:p>
        </w:tc>
        <w:tc>
          <w:tcPr>
            <w:tcW w:w="1327" w:type="dxa"/>
            <w:vAlign w:val="center"/>
          </w:tcPr>
          <w:p>
            <w:pPr>
              <w:pStyle w:val="10"/>
              <w:spacing w:after="0"/>
              <w:jc w:val="center"/>
              <w:rPr>
                <w:rFonts w:eastAsiaTheme="minorEastAsia"/>
                <w:sz w:val="22"/>
                <w:szCs w:val="22"/>
              </w:rPr>
            </w:pPr>
            <w:r>
              <w:rPr>
                <w:rFonts w:eastAsiaTheme="minorEastAsia"/>
                <w:sz w:val="22"/>
                <w:szCs w:val="22"/>
              </w:rPr>
              <w:t>运行管理简单；成本低</w:t>
            </w:r>
          </w:p>
        </w:tc>
        <w:tc>
          <w:tcPr>
            <w:tcW w:w="1380" w:type="dxa"/>
            <w:vAlign w:val="center"/>
          </w:tcPr>
          <w:p>
            <w:pPr>
              <w:pStyle w:val="10"/>
              <w:spacing w:after="0"/>
              <w:jc w:val="center"/>
              <w:rPr>
                <w:rFonts w:eastAsiaTheme="minorEastAsia"/>
                <w:sz w:val="22"/>
                <w:szCs w:val="22"/>
              </w:rPr>
            </w:pPr>
            <w:r>
              <w:rPr>
                <w:rFonts w:eastAsiaTheme="minorEastAsia"/>
                <w:sz w:val="22"/>
                <w:szCs w:val="22"/>
              </w:rPr>
              <w:t>工作场地卫</w:t>
            </w:r>
          </w:p>
          <w:p>
            <w:pPr>
              <w:pStyle w:val="10"/>
              <w:spacing w:after="0"/>
              <w:jc w:val="center"/>
              <w:rPr>
                <w:rFonts w:eastAsiaTheme="minorEastAsia"/>
                <w:sz w:val="22"/>
                <w:szCs w:val="22"/>
              </w:rPr>
            </w:pPr>
            <w:r>
              <w:rPr>
                <w:rFonts w:eastAsiaTheme="minorEastAsia"/>
                <w:sz w:val="22"/>
                <w:szCs w:val="22"/>
              </w:rPr>
              <w:t>生</w:t>
            </w:r>
            <w:r>
              <w:rPr>
                <w:rFonts w:hint="eastAsia" w:eastAsiaTheme="minorEastAsia"/>
                <w:sz w:val="22"/>
                <w:szCs w:val="22"/>
              </w:rPr>
              <w:t>；</w:t>
            </w:r>
            <w:r>
              <w:rPr>
                <w:rFonts w:eastAsiaTheme="minorEastAsia"/>
                <w:sz w:val="22"/>
                <w:szCs w:val="22"/>
              </w:rPr>
              <w:t>运行管</w:t>
            </w:r>
          </w:p>
          <w:p>
            <w:pPr>
              <w:pStyle w:val="10"/>
              <w:spacing w:after="0"/>
              <w:jc w:val="center"/>
              <w:rPr>
                <w:rFonts w:eastAsiaTheme="minorEastAsia"/>
                <w:sz w:val="22"/>
                <w:szCs w:val="22"/>
              </w:rPr>
            </w:pPr>
            <w:r>
              <w:rPr>
                <w:rFonts w:eastAsiaTheme="minorEastAsia"/>
                <w:sz w:val="22"/>
                <w:szCs w:val="22"/>
              </w:rPr>
              <w:t>理简单</w:t>
            </w:r>
          </w:p>
        </w:tc>
        <w:tc>
          <w:tcPr>
            <w:tcW w:w="1852" w:type="dxa"/>
            <w:vAlign w:val="center"/>
          </w:tcPr>
          <w:p>
            <w:pPr>
              <w:pStyle w:val="10"/>
              <w:spacing w:after="0"/>
              <w:jc w:val="center"/>
              <w:rPr>
                <w:rFonts w:eastAsiaTheme="minorEastAsia"/>
                <w:sz w:val="22"/>
                <w:szCs w:val="22"/>
              </w:rPr>
            </w:pPr>
            <w:r>
              <w:rPr>
                <w:rFonts w:eastAsiaTheme="minorEastAsia"/>
                <w:sz w:val="22"/>
                <w:szCs w:val="22"/>
              </w:rPr>
              <w:t>连续运行，效率高；脱水效果好；设备移动较灵活；场地布置紧凑、占地小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0"/>
              <w:spacing w:after="0"/>
              <w:jc w:val="center"/>
              <w:rPr>
                <w:rFonts w:eastAsiaTheme="minorEastAsia"/>
                <w:sz w:val="22"/>
                <w:szCs w:val="22"/>
              </w:rPr>
            </w:pPr>
            <w:r>
              <w:rPr>
                <w:rFonts w:eastAsiaTheme="minorEastAsia"/>
                <w:sz w:val="22"/>
                <w:szCs w:val="22"/>
              </w:rPr>
              <w:t>缺点</w:t>
            </w:r>
          </w:p>
        </w:tc>
        <w:tc>
          <w:tcPr>
            <w:tcW w:w="1544" w:type="dxa"/>
            <w:vAlign w:val="center"/>
          </w:tcPr>
          <w:p>
            <w:pPr>
              <w:pStyle w:val="10"/>
              <w:spacing w:after="0"/>
              <w:jc w:val="center"/>
              <w:rPr>
                <w:rFonts w:eastAsiaTheme="minorEastAsia"/>
                <w:sz w:val="22"/>
                <w:szCs w:val="22"/>
              </w:rPr>
            </w:pPr>
            <w:r>
              <w:rPr>
                <w:rFonts w:eastAsiaTheme="minorEastAsia"/>
                <w:sz w:val="22"/>
                <w:szCs w:val="22"/>
              </w:rPr>
              <w:t>占地面积大</w:t>
            </w:r>
          </w:p>
          <w:p>
            <w:pPr>
              <w:pStyle w:val="10"/>
              <w:spacing w:after="0"/>
              <w:jc w:val="center"/>
              <w:rPr>
                <w:rFonts w:eastAsiaTheme="minorEastAsia"/>
                <w:sz w:val="22"/>
                <w:szCs w:val="22"/>
              </w:rPr>
            </w:pPr>
            <w:r>
              <w:rPr>
                <w:rFonts w:eastAsiaTheme="minorEastAsia"/>
                <w:sz w:val="22"/>
                <w:szCs w:val="22"/>
              </w:rPr>
              <w:t>脱水时间长</w:t>
            </w:r>
          </w:p>
          <w:p>
            <w:pPr>
              <w:pStyle w:val="10"/>
              <w:spacing w:after="0"/>
              <w:jc w:val="center"/>
              <w:rPr>
                <w:rFonts w:eastAsiaTheme="minorEastAsia"/>
                <w:sz w:val="22"/>
                <w:szCs w:val="22"/>
              </w:rPr>
            </w:pPr>
            <w:r>
              <w:rPr>
                <w:rFonts w:eastAsiaTheme="minorEastAsia"/>
                <w:sz w:val="22"/>
                <w:szCs w:val="22"/>
              </w:rPr>
              <w:t>受天气影响大</w:t>
            </w:r>
          </w:p>
        </w:tc>
        <w:tc>
          <w:tcPr>
            <w:tcW w:w="1495" w:type="dxa"/>
            <w:vAlign w:val="center"/>
          </w:tcPr>
          <w:p>
            <w:pPr>
              <w:pStyle w:val="10"/>
              <w:spacing w:after="0"/>
              <w:jc w:val="center"/>
              <w:rPr>
                <w:rFonts w:eastAsiaTheme="minorEastAsia"/>
                <w:sz w:val="22"/>
                <w:szCs w:val="22"/>
              </w:rPr>
            </w:pPr>
            <w:r>
              <w:rPr>
                <w:rFonts w:eastAsiaTheme="minorEastAsia"/>
                <w:sz w:val="22"/>
                <w:szCs w:val="22"/>
              </w:rPr>
              <w:t>运行管理较复杂；设备固定，不灵活</w:t>
            </w:r>
          </w:p>
        </w:tc>
        <w:tc>
          <w:tcPr>
            <w:tcW w:w="1327" w:type="dxa"/>
            <w:vAlign w:val="center"/>
          </w:tcPr>
          <w:p>
            <w:pPr>
              <w:pStyle w:val="10"/>
              <w:spacing w:after="0"/>
              <w:jc w:val="center"/>
              <w:rPr>
                <w:rFonts w:eastAsiaTheme="minorEastAsia"/>
                <w:sz w:val="22"/>
                <w:szCs w:val="22"/>
              </w:rPr>
            </w:pPr>
            <w:r>
              <w:rPr>
                <w:rFonts w:eastAsiaTheme="minorEastAsia"/>
                <w:sz w:val="22"/>
                <w:szCs w:val="22"/>
              </w:rPr>
              <w:t>排水效果差</w:t>
            </w:r>
            <w:r>
              <w:rPr>
                <w:rFonts w:hint="eastAsia" w:eastAsiaTheme="minorEastAsia"/>
                <w:sz w:val="22"/>
                <w:szCs w:val="22"/>
              </w:rPr>
              <w:t>；</w:t>
            </w:r>
            <w:r>
              <w:rPr>
                <w:rFonts w:eastAsiaTheme="minorEastAsia"/>
                <w:sz w:val="22"/>
                <w:szCs w:val="22"/>
              </w:rPr>
              <w:t>脱水时间长</w:t>
            </w:r>
          </w:p>
        </w:tc>
        <w:tc>
          <w:tcPr>
            <w:tcW w:w="1380" w:type="dxa"/>
            <w:vAlign w:val="center"/>
          </w:tcPr>
          <w:p>
            <w:pPr>
              <w:pStyle w:val="10"/>
              <w:spacing w:after="0"/>
              <w:jc w:val="center"/>
              <w:rPr>
                <w:rFonts w:eastAsiaTheme="minorEastAsia"/>
                <w:sz w:val="22"/>
                <w:szCs w:val="22"/>
              </w:rPr>
            </w:pPr>
            <w:r>
              <w:rPr>
                <w:rFonts w:eastAsiaTheme="minorEastAsia"/>
                <w:sz w:val="22"/>
                <w:szCs w:val="22"/>
              </w:rPr>
              <w:t>脱水时间长</w:t>
            </w:r>
          </w:p>
          <w:p>
            <w:pPr>
              <w:pStyle w:val="10"/>
              <w:spacing w:after="0"/>
              <w:jc w:val="center"/>
              <w:rPr>
                <w:rFonts w:eastAsiaTheme="minorEastAsia"/>
                <w:sz w:val="22"/>
                <w:szCs w:val="22"/>
              </w:rPr>
            </w:pPr>
            <w:r>
              <w:rPr>
                <w:rFonts w:eastAsiaTheme="minorEastAsia"/>
                <w:sz w:val="22"/>
                <w:szCs w:val="22"/>
              </w:rPr>
              <w:t>占地面积较大</w:t>
            </w:r>
          </w:p>
        </w:tc>
        <w:tc>
          <w:tcPr>
            <w:tcW w:w="1852" w:type="dxa"/>
            <w:vAlign w:val="center"/>
          </w:tcPr>
          <w:p>
            <w:pPr>
              <w:pStyle w:val="10"/>
              <w:spacing w:after="0"/>
              <w:jc w:val="center"/>
              <w:rPr>
                <w:rFonts w:eastAsiaTheme="minorEastAsia"/>
                <w:sz w:val="22"/>
                <w:szCs w:val="22"/>
              </w:rPr>
            </w:pPr>
            <w:r>
              <w:rPr>
                <w:rFonts w:eastAsiaTheme="minorEastAsia"/>
                <w:sz w:val="22"/>
                <w:szCs w:val="22"/>
              </w:rPr>
              <w:t>运行管理较复杂；设备投资较高</w:t>
            </w:r>
          </w:p>
        </w:tc>
      </w:tr>
    </w:tbl>
    <w:p>
      <w:pPr>
        <w:ind w:firstLine="560"/>
      </w:pPr>
      <w:r>
        <w:rPr>
          <w:rFonts w:hint="eastAsia"/>
        </w:rPr>
        <w:t>在</w:t>
      </w:r>
      <w:r>
        <w:rPr>
          <w:rFonts w:hint="eastAsia"/>
          <w:lang w:eastAsia="zh-CN"/>
        </w:rPr>
        <w:t>疏浚</w:t>
      </w:r>
      <w:r>
        <w:rPr>
          <w:rFonts w:hint="eastAsia"/>
        </w:rPr>
        <w:t>疏浚工程中，不仅要妥善处理底泥，对原有的黑臭水体的污染不可忽略，不能随意排放。修建沉淀池做好引流、收集工作，经过预处理后排入污水处理设施进一步处理达标后排放。</w:t>
      </w:r>
    </w:p>
    <w:p>
      <w:pPr>
        <w:pStyle w:val="3"/>
        <w:spacing w:before="120" w:beforeLines="50" w:line="560" w:lineRule="exact"/>
        <w:rPr>
          <w:rFonts w:ascii="黑体" w:hAnsi="黑体" w:eastAsia="黑体" w:cs="黑体"/>
          <w:b w:val="0"/>
          <w:bCs w:val="0"/>
          <w:sz w:val="32"/>
        </w:rPr>
      </w:pPr>
      <w:bookmarkStart w:id="133" w:name="_Toc169616888"/>
      <w:r>
        <w:rPr>
          <w:rFonts w:hint="eastAsia" w:ascii="黑体" w:hAnsi="黑体" w:eastAsia="黑体" w:cs="黑体"/>
          <w:b w:val="0"/>
          <w:bCs w:val="0"/>
          <w:sz w:val="32"/>
        </w:rPr>
        <w:t>5.</w:t>
      </w:r>
      <w:r>
        <w:rPr>
          <w:rFonts w:ascii="黑体" w:hAnsi="黑体" w:eastAsia="黑体" w:cs="黑体"/>
          <w:b w:val="0"/>
          <w:bCs w:val="0"/>
          <w:sz w:val="32"/>
        </w:rPr>
        <w:t>6</w:t>
      </w:r>
      <w:r>
        <w:rPr>
          <w:rFonts w:hint="eastAsia" w:ascii="黑体" w:hAnsi="黑体" w:eastAsia="黑体" w:cs="黑体"/>
          <w:b w:val="0"/>
          <w:bCs w:val="0"/>
          <w:sz w:val="32"/>
        </w:rPr>
        <w:t>节能方案</w:t>
      </w:r>
      <w:bookmarkEnd w:id="133"/>
    </w:p>
    <w:p>
      <w:pPr>
        <w:pStyle w:val="38"/>
        <w:spacing w:line="560" w:lineRule="exact"/>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6</w:t>
      </w:r>
      <w:r>
        <w:rPr>
          <w:rFonts w:hint="eastAsia" w:ascii="黑体" w:hAnsi="黑体" w:eastAsia="黑体" w:cs="黑体"/>
          <w:color w:val="auto"/>
          <w:kern w:val="2"/>
          <w:sz w:val="30"/>
          <w:szCs w:val="30"/>
        </w:rPr>
        <w:t>.1节能降耗概述</w:t>
      </w:r>
    </w:p>
    <w:p>
      <w:pPr>
        <w:ind w:firstLine="560"/>
      </w:pPr>
      <w:r>
        <w:rPr>
          <w:rFonts w:hint="eastAsia"/>
        </w:rPr>
        <w:t>能源是制约我国经济社会可持续、健康发展的重要因素。解决能源问题的根本出路是坚持开发与节约并举、节约放在首位的方针，大力推进节能降耗，提高能源利用效率。固定资产投资项目在社会建设和经济发展过程中占据重要地位，对能源资源消耗也占较高比例。固定资产投资项目节能评估和审查工作作为一项节能管理制度，对深入贯彻落实节约资源基本国策，严把能耗增长源头关，全面推进资源节约型、环境友好型社会建设具有重要的现实意义。</w:t>
      </w:r>
    </w:p>
    <w:p>
      <w:pPr>
        <w:ind w:firstLine="560"/>
      </w:pPr>
      <w:r>
        <w:rPr>
          <w:rFonts w:hint="eastAsia"/>
        </w:rPr>
        <w:t>建设项目节能方案是为了更好地贯彻“提高能源利用效率，坚持开发与节约并举、节约优先”的方针。从而体现“以人为本、树立全面、协调、可持续的发展观，促进经济、社会和人的全面发展”的科学发展观。其作用是为政府以进行审批、核准、备案等行政管理时提供科学依据；是对项目建设单位提高节能管理水平，减少浪费，控制成本提出节能措施进行的科学评定。其主要目的和意义体现在以下几方面：</w:t>
      </w:r>
    </w:p>
    <w:p>
      <w:pPr>
        <w:ind w:firstLine="560"/>
      </w:pPr>
      <w:r>
        <w:rPr>
          <w:rFonts w:hint="eastAsia"/>
        </w:rPr>
        <w:t>（1）应对能源危机的节流政策提供评判依据；</w:t>
      </w:r>
    </w:p>
    <w:p>
      <w:pPr>
        <w:ind w:firstLine="560"/>
      </w:pPr>
      <w:r>
        <w:rPr>
          <w:rFonts w:hint="eastAsia"/>
        </w:rPr>
        <w:t>（2）缓解我国能源环境压力；</w:t>
      </w:r>
    </w:p>
    <w:p>
      <w:pPr>
        <w:ind w:firstLine="560"/>
      </w:pPr>
      <w:r>
        <w:rPr>
          <w:rFonts w:hint="eastAsia"/>
        </w:rPr>
        <w:t>（3）实现项目从源头控制能耗增长、增强用能合理性；</w:t>
      </w:r>
    </w:p>
    <w:p>
      <w:pPr>
        <w:ind w:firstLine="560"/>
      </w:pPr>
      <w:r>
        <w:rPr>
          <w:rFonts w:hint="eastAsia"/>
        </w:rPr>
        <w:t>（4）确保节能降耗目标实现、落实节能法规政策的制度的实施；</w:t>
      </w:r>
    </w:p>
    <w:p>
      <w:pPr>
        <w:ind w:firstLine="560"/>
      </w:pPr>
      <w:r>
        <w:rPr>
          <w:rFonts w:hint="eastAsia"/>
        </w:rPr>
        <w:t>（5）贯彻国务院投资体制改革精神、改进政府宏观调控方式；</w:t>
      </w:r>
    </w:p>
    <w:p>
      <w:pPr>
        <w:ind w:firstLine="560"/>
      </w:pPr>
      <w:r>
        <w:rPr>
          <w:rFonts w:hint="eastAsia"/>
        </w:rPr>
        <w:t>（6）提高固定资产投资效益、促进经济增长方式的转变。</w:t>
      </w:r>
    </w:p>
    <w:p>
      <w:pPr>
        <w:pStyle w:val="38"/>
        <w:spacing w:line="560" w:lineRule="exact"/>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6</w:t>
      </w:r>
      <w:r>
        <w:rPr>
          <w:rFonts w:hint="eastAsia" w:ascii="黑体" w:hAnsi="黑体" w:eastAsia="黑体" w:cs="黑体"/>
          <w:color w:val="auto"/>
          <w:kern w:val="2"/>
          <w:sz w:val="30"/>
          <w:szCs w:val="30"/>
        </w:rPr>
        <w:t>.2设计依据</w:t>
      </w:r>
    </w:p>
    <w:p>
      <w:pPr>
        <w:ind w:firstLine="560"/>
      </w:pPr>
      <w:r>
        <w:rPr>
          <w:rFonts w:hint="eastAsia"/>
        </w:rPr>
        <w:t>（1）《建筑节能工程施工质量验收》（GB50411-2014）</w:t>
      </w:r>
    </w:p>
    <w:p>
      <w:pPr>
        <w:ind w:firstLine="560"/>
      </w:pPr>
      <w:r>
        <w:rPr>
          <w:rFonts w:hint="eastAsia"/>
        </w:rPr>
        <w:t>（2）《公共建筑节能设计规范》（GB50189-2014）</w:t>
      </w:r>
    </w:p>
    <w:p>
      <w:pPr>
        <w:ind w:firstLine="560"/>
      </w:pPr>
      <w:r>
        <w:rPr>
          <w:rFonts w:hint="eastAsia"/>
        </w:rPr>
        <w:t>（3）《中华人民共和国计量法》(2013年版）</w:t>
      </w:r>
    </w:p>
    <w:p>
      <w:pPr>
        <w:ind w:firstLine="560"/>
      </w:pPr>
      <w:r>
        <w:rPr>
          <w:rFonts w:hint="eastAsia"/>
        </w:rPr>
        <w:t>（4）《国务院关于加强节能工作的决定》（国发[2006]28号）</w:t>
      </w:r>
    </w:p>
    <w:p>
      <w:pPr>
        <w:ind w:firstLine="560"/>
      </w:pPr>
      <w:r>
        <w:rPr>
          <w:rFonts w:hint="eastAsia"/>
        </w:rPr>
        <w:t>（5）《国务院关于印发节能减排综合性工作方案的通知》（国发[2007]15号）</w:t>
      </w:r>
    </w:p>
    <w:p>
      <w:pPr>
        <w:ind w:firstLine="560"/>
      </w:pPr>
      <w:r>
        <w:rPr>
          <w:rFonts w:hint="eastAsia"/>
        </w:rPr>
        <w:t>（6）《国家发展和改革委员会关于加强固定资产投资项目节能评估和审查工作的通知》(发改投资[2006]2787号)</w:t>
      </w:r>
    </w:p>
    <w:p>
      <w:pPr>
        <w:ind w:firstLine="560"/>
      </w:pPr>
      <w:r>
        <w:rPr>
          <w:rFonts w:hint="eastAsia"/>
        </w:rPr>
        <w:t>（7）《中国人民共和国节能法》（主席令第七十七号）</w:t>
      </w:r>
    </w:p>
    <w:p>
      <w:pPr>
        <w:ind w:firstLine="560"/>
      </w:pPr>
      <w:r>
        <w:rPr>
          <w:rFonts w:hint="eastAsia"/>
        </w:rPr>
        <w:t>（8）《中华人民共和国环境保护法》（2014年）</w:t>
      </w:r>
    </w:p>
    <w:p>
      <w:pPr>
        <w:ind w:firstLine="560"/>
      </w:pPr>
      <w:r>
        <w:rPr>
          <w:rFonts w:hint="eastAsia"/>
        </w:rPr>
        <w:t>（9）《电力市场运营基本原则》（电监会10号令）</w:t>
      </w:r>
    </w:p>
    <w:p>
      <w:pPr>
        <w:ind w:firstLine="560"/>
      </w:pPr>
      <w:r>
        <w:rPr>
          <w:rFonts w:hint="eastAsia"/>
        </w:rPr>
        <w:t>（10）《中国节能技术政策大纲》（2011）</w:t>
      </w:r>
    </w:p>
    <w:p>
      <w:pPr>
        <w:ind w:firstLine="560"/>
      </w:pPr>
      <w:r>
        <w:rPr>
          <w:rFonts w:hint="eastAsia"/>
        </w:rPr>
        <w:t>（11）《综合能耗计算通则》（GB/T2589-2008）</w:t>
      </w:r>
    </w:p>
    <w:p>
      <w:pPr>
        <w:ind w:firstLine="560"/>
      </w:pPr>
      <w:r>
        <w:rPr>
          <w:rFonts w:hint="eastAsia"/>
        </w:rPr>
        <w:t>（12）《节电措施经济效益计算与评价》（GB/T13471-2008）</w:t>
      </w:r>
    </w:p>
    <w:p>
      <w:pPr>
        <w:ind w:firstLine="560"/>
      </w:pPr>
      <w:r>
        <w:rPr>
          <w:rFonts w:hint="eastAsia"/>
        </w:rPr>
        <w:t>（13）国家计委、国家经委、建设部计交能（1997）25号文《关于固定资产投资工程项目实施方案“节能篇（章）”编制及评估的规定》通知</w:t>
      </w:r>
    </w:p>
    <w:p>
      <w:pPr>
        <w:ind w:firstLine="560"/>
      </w:pPr>
      <w:r>
        <w:rPr>
          <w:rFonts w:hint="eastAsia"/>
        </w:rPr>
        <w:t>（14）《公共建筑节能设计标准》（GB50189～2012）</w:t>
      </w:r>
    </w:p>
    <w:p>
      <w:pPr>
        <w:pStyle w:val="38"/>
        <w:rPr>
          <w:rFonts w:ascii="黑体" w:hAnsi="黑体" w:eastAsia="黑体" w:cs="黑体"/>
          <w:color w:val="auto"/>
          <w:kern w:val="2"/>
          <w:sz w:val="30"/>
          <w:szCs w:val="30"/>
        </w:rPr>
      </w:pP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6</w:t>
      </w:r>
      <w:r>
        <w:rPr>
          <w:rFonts w:hint="eastAsia" w:ascii="黑体" w:hAnsi="黑体" w:eastAsia="黑体" w:cs="黑体"/>
          <w:color w:val="auto"/>
          <w:kern w:val="2"/>
          <w:sz w:val="30"/>
          <w:szCs w:val="30"/>
        </w:rPr>
        <w:t>.3节能措施</w:t>
      </w:r>
    </w:p>
    <w:p>
      <w:pPr>
        <w:ind w:firstLine="560"/>
      </w:pPr>
      <w:r>
        <w:rPr>
          <w:rFonts w:hint="eastAsia"/>
        </w:rPr>
        <w:t>1</w:t>
      </w:r>
      <w:r>
        <w:t>.</w:t>
      </w:r>
      <w:r>
        <w:rPr>
          <w:rFonts w:hint="eastAsia"/>
        </w:rPr>
        <w:t>规划选址中应综合考虑各个方面的因素，对土地占用问题应予以足够的重视：</w:t>
      </w:r>
    </w:p>
    <w:p>
      <w:pPr>
        <w:ind w:firstLine="560"/>
      </w:pPr>
      <w:r>
        <w:rPr>
          <w:rFonts w:hint="eastAsia"/>
        </w:rPr>
        <w:t>（1）应充分考虑附近社会、经济的发展，方便功能区使用；结合相关区域的地质、水文、气候、生态等自然条件；考虑与周边既有交通、市政网络的协调与配合。</w:t>
      </w:r>
    </w:p>
    <w:p>
      <w:pPr>
        <w:ind w:firstLine="560"/>
      </w:pPr>
      <w:r>
        <w:rPr>
          <w:rFonts w:hint="eastAsia"/>
        </w:rPr>
        <w:t>（2）节约占地措施中应以农村少占用可耕地，城镇减少拆迁量为原则。</w:t>
      </w:r>
    </w:p>
    <w:p>
      <w:pPr>
        <w:ind w:firstLine="560"/>
      </w:pPr>
      <w:r>
        <w:rPr>
          <w:rFonts w:hint="eastAsia"/>
        </w:rPr>
        <w:t>（3）在设计中应综合考虑附属设施，如市政设施点、防排水设施、绿化区域等，对此类设施应予以综合的规划以减少土地的占用和消耗。</w:t>
      </w:r>
    </w:p>
    <w:p>
      <w:pPr>
        <w:ind w:firstLine="560"/>
      </w:pPr>
      <w:r>
        <w:rPr>
          <w:rFonts w:hint="eastAsia"/>
        </w:rPr>
        <w:t>2</w:t>
      </w:r>
      <w:r>
        <w:t>.</w:t>
      </w:r>
      <w:r>
        <w:rPr>
          <w:rFonts w:hint="eastAsia"/>
        </w:rPr>
        <w:t>为保证施工的正常进行，一般需要有基本的施工作业场地、临时道路、取料与堆放弃料的场地等设施，此类设施中的相当部分可作为临时设施来予以分析和考虑。</w:t>
      </w:r>
    </w:p>
    <w:p>
      <w:pPr>
        <w:ind w:firstLine="560"/>
      </w:pPr>
      <w:r>
        <w:rPr>
          <w:rFonts w:hint="eastAsia"/>
        </w:rPr>
        <w:t>（1）取土场问题：在地基施工中需要大量的挖土、填土工程。在保证施工要求的前提下）合理设置取土场的位置、规模大小、尽量不占或少占用农田耕地；</w:t>
      </w:r>
    </w:p>
    <w:p>
      <w:pPr>
        <w:ind w:firstLine="560"/>
      </w:pPr>
      <w:r>
        <w:rPr>
          <w:rFonts w:hint="eastAsia"/>
        </w:rPr>
        <w:t>（2）开挖弃方处理：在施工中随地基的完工，一般会产生大量的弃方土，对此类土体多采用设置弃土场的方法来予以处理，从而占用了大量土地资源。弃土场的设置：位置应既有利于施工展开同时又能够节约使用土地资源为宜；大小应同时考虑施工中的临时要求和最终弃方量占地的需求；弃土的合理使用：在弃土中的相当部分经过处理后可应用于其他工程的使用，对此予以研究的意义重大，因为同时解决了弃方占地和取土场消耗土地两个方面的问题。</w:t>
      </w:r>
    </w:p>
    <w:p>
      <w:pPr>
        <w:ind w:firstLine="560"/>
      </w:pPr>
      <w:r>
        <w:rPr>
          <w:rFonts w:hint="eastAsia"/>
        </w:rPr>
        <w:t>3</w:t>
      </w:r>
      <w:r>
        <w:t>.</w:t>
      </w:r>
      <w:r>
        <w:rPr>
          <w:rFonts w:hint="eastAsia"/>
        </w:rPr>
        <w:t>施工临时占地中为保证施工正常进行需要有基本的居住、办公、作业、便道等临时设施。</w:t>
      </w:r>
    </w:p>
    <w:p>
      <w:pPr>
        <w:ind w:firstLine="560"/>
      </w:pPr>
      <w:r>
        <w:rPr>
          <w:rFonts w:hint="eastAsia"/>
        </w:rPr>
        <w:t>（1）临时设施在保证满足施工要求的前提下，尽量不占、少占用农田、耕地；</w:t>
      </w:r>
    </w:p>
    <w:p>
      <w:pPr>
        <w:ind w:firstLine="560"/>
      </w:pPr>
      <w:r>
        <w:rPr>
          <w:rFonts w:hint="eastAsia"/>
        </w:rPr>
        <w:t>（2）工程完工后做好施工临时设施占用土地的恢复工作。</w:t>
      </w: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5.</w:t>
      </w:r>
      <w:r>
        <w:rPr>
          <w:rFonts w:ascii="黑体" w:hAnsi="黑体" w:eastAsia="黑体" w:cs="黑体"/>
          <w:color w:val="auto"/>
          <w:kern w:val="2"/>
          <w:sz w:val="30"/>
          <w:szCs w:val="30"/>
        </w:rPr>
        <w:t>6</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4</w:t>
      </w:r>
      <w:r>
        <w:rPr>
          <w:rFonts w:hint="eastAsia" w:ascii="黑体" w:hAnsi="黑体" w:eastAsia="黑体" w:cs="黑体"/>
          <w:color w:val="auto"/>
          <w:kern w:val="2"/>
          <w:sz w:val="30"/>
          <w:szCs w:val="30"/>
        </w:rPr>
        <w:t>节能效果分析</w:t>
      </w:r>
    </w:p>
    <w:p>
      <w:pPr>
        <w:ind w:firstLine="560"/>
      </w:pPr>
      <w:r>
        <w:rPr>
          <w:rFonts w:hint="eastAsia"/>
        </w:rPr>
        <w:t>项目通过采用上述合理节能设计，在保证相同的室内热环境的前提下，与未采取节能措施前相比，可达到良好的节能效果。</w:t>
      </w:r>
    </w:p>
    <w:p>
      <w:pPr>
        <w:pStyle w:val="3"/>
        <w:spacing w:before="120" w:beforeLines="50" w:line="560" w:lineRule="exact"/>
        <w:rPr>
          <w:rFonts w:ascii="黑体" w:hAnsi="黑体" w:eastAsia="黑体" w:cs="黑体"/>
          <w:b w:val="0"/>
          <w:bCs w:val="0"/>
          <w:sz w:val="32"/>
        </w:rPr>
      </w:pPr>
      <w:bookmarkStart w:id="134" w:name="_Toc169616889"/>
      <w:r>
        <w:rPr>
          <w:rFonts w:hint="eastAsia" w:ascii="黑体" w:hAnsi="黑体" w:eastAsia="黑体" w:cs="黑体"/>
          <w:b w:val="0"/>
          <w:bCs w:val="0"/>
          <w:sz w:val="32"/>
        </w:rPr>
        <w:t>5.</w:t>
      </w:r>
      <w:r>
        <w:rPr>
          <w:rFonts w:ascii="黑体" w:hAnsi="黑体" w:eastAsia="黑体" w:cs="黑体"/>
          <w:b w:val="0"/>
          <w:bCs w:val="0"/>
          <w:sz w:val="32"/>
        </w:rPr>
        <w:t>7</w:t>
      </w:r>
      <w:r>
        <w:rPr>
          <w:rFonts w:hint="eastAsia" w:ascii="黑体" w:hAnsi="黑体" w:eastAsia="黑体" w:cs="黑体"/>
          <w:b w:val="0"/>
          <w:bCs w:val="0"/>
          <w:sz w:val="32"/>
        </w:rPr>
        <w:t>建设</w:t>
      </w:r>
      <w:r>
        <w:rPr>
          <w:rFonts w:ascii="黑体" w:hAnsi="黑体" w:eastAsia="黑体" w:cs="黑体"/>
          <w:b w:val="0"/>
          <w:bCs w:val="0"/>
          <w:sz w:val="32"/>
        </w:rPr>
        <w:t>管理方案</w:t>
      </w:r>
      <w:bookmarkEnd w:id="134"/>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.1 建设管理机构</w:t>
      </w:r>
    </w:p>
    <w:p>
      <w:pPr>
        <w:ind w:firstLine="560"/>
      </w:pPr>
      <w:r>
        <w:rPr>
          <w:rFonts w:hint="eastAsia"/>
        </w:rPr>
        <w:t>为保证建设项目的顺利实施，建议建设单位成立项目建设管理工作领导小组，加强工程的质量、进度、资金、安全等方面管理，确保工程的顺利实施。</w:t>
      </w:r>
    </w:p>
    <w:p>
      <w:pPr>
        <w:ind w:firstLine="560"/>
      </w:pPr>
      <w:r>
        <w:t>本项目由</w:t>
      </w:r>
      <w:r>
        <w:rPr>
          <w:rFonts w:hint="eastAsia" w:ascii="宋体" w:hAnsi="宋体" w:cs="仿宋_GB2312"/>
          <w:kern w:val="0"/>
          <w:szCs w:val="28"/>
          <w:lang w:bidi="ar"/>
        </w:rPr>
        <w:t>百色市田东生态环境局</w:t>
      </w:r>
      <w:r>
        <w:t>组建项目小组，负责项目的投融资建设和全过程管理。本工程将实行监理制度，由承办单位委托监理单位进行工程管理中的合同管理、质量和安全管理、进度管理。</w:t>
      </w:r>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.2 建设管理原则及依据</w:t>
      </w:r>
    </w:p>
    <w:p>
      <w:pPr>
        <w:ind w:firstLine="560"/>
        <w:rPr>
          <w:rFonts w:ascii="仿宋_GB2312" w:hAnsi="华文楷体" w:eastAsia="仿宋_GB2312"/>
          <w:bCs/>
          <w:sz w:val="32"/>
          <w:szCs w:val="32"/>
        </w:rPr>
      </w:pPr>
      <w:r>
        <w:rPr>
          <w:rFonts w:hint="eastAsia"/>
        </w:rPr>
        <w:t>坚持依法管理原则，严格遵照国家建设管理的法令、法规，建议建立与项目法人制、建设管理制和合同管理制等相适应的建设管理体制，制定并完善各种规章制度和管理办法，使建设管理达到科学化、规范化、制度化；遵循加强重点、兼顾一般、注重效益的原则，对工程建设的投资计划、建设进度、质量管理、信息管理实行全过程的监督管理，努力实现确保工程质量、降低工程成本、缩短工程建设周期、提高投资效益的建设管理目标。</w:t>
      </w:r>
    </w:p>
    <w:p>
      <w:pPr>
        <w:pStyle w:val="38"/>
        <w:spacing w:line="560" w:lineRule="exact"/>
        <w:rPr>
          <w:rFonts w:ascii="黑体" w:hAnsi="黑体" w:eastAsia="黑体" w:cs="黑体"/>
          <w:color w:val="auto"/>
          <w:kern w:val="2"/>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.3 规范化制度建设</w:t>
      </w:r>
    </w:p>
    <w:p>
      <w:pPr>
        <w:ind w:firstLine="560"/>
        <w:rPr>
          <w:rFonts w:ascii="仿宋_GB2312" w:hAnsi="华文楷体" w:eastAsia="仿宋_GB2312"/>
          <w:bCs/>
          <w:sz w:val="32"/>
          <w:szCs w:val="32"/>
        </w:rPr>
      </w:pPr>
      <w:r>
        <w:rPr>
          <w:rFonts w:hint="eastAsia"/>
        </w:rPr>
        <w:t>为保障项目建设的正常运行，深入贯彻落实国家及部委有关项目法人制、工程监理、合同管理、质量管理、财务管理、行政管理等建设管理法律法规，进一步完善与项目建设管理相配套的规定和办法，切实做到依法管理，同时加强监督检查的工作力度，逐步建立规范化的管理运行模式，建立施工管理制度、环保安全制度等可行的管理制度进行约束。</w:t>
      </w:r>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.4 工程施工及质量管理</w:t>
      </w:r>
    </w:p>
    <w:p>
      <w:pPr>
        <w:ind w:firstLine="560"/>
      </w:pPr>
      <w:r>
        <w:t>1.</w:t>
      </w:r>
      <w:r>
        <w:rPr>
          <w:rFonts w:hint="eastAsia"/>
        </w:rPr>
        <w:t>项目的设计、施工、监理以及材料供应等单位按照有关规定和合同负责所承担工作的质量，并实行质量终生责任制。</w:t>
      </w:r>
    </w:p>
    <w:p>
      <w:pPr>
        <w:ind w:firstLine="560"/>
      </w:pPr>
      <w:r>
        <w:t>2.</w:t>
      </w:r>
      <w:r>
        <w:rPr>
          <w:rFonts w:hint="eastAsia"/>
        </w:rPr>
        <w:t>监理单位、参与建设的单位和个人有责任和义务向法人单位报告工程质量问题。质量管理由专人负责，定期报告工程质量，责任人和监理人要亲自负责。</w:t>
      </w:r>
    </w:p>
    <w:p>
      <w:pPr>
        <w:ind w:firstLine="560"/>
        <w:rPr>
          <w:rFonts w:ascii="仿宋_GB2312" w:hAnsi="华文楷体" w:eastAsia="仿宋_GB2312"/>
          <w:bCs/>
          <w:sz w:val="32"/>
          <w:szCs w:val="32"/>
        </w:rPr>
      </w:pPr>
      <w:r>
        <w:t>3.</w:t>
      </w:r>
      <w:r>
        <w:rPr>
          <w:rFonts w:hint="eastAsia"/>
        </w:rPr>
        <w:t>工程建设实行质量一票否决制，对质量不合格的工程，必须返工，直至验收合格</w:t>
      </w:r>
      <w:r>
        <w:rPr>
          <w:rFonts w:hint="eastAsia" w:ascii="仿宋_GB2312" w:hAnsi="华文楷体" w:eastAsia="仿宋_GB2312"/>
          <w:bCs/>
          <w:sz w:val="32"/>
          <w:szCs w:val="32"/>
        </w:rPr>
        <w:t>。</w:t>
      </w:r>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.5 资金管理</w:t>
      </w:r>
    </w:p>
    <w:p>
      <w:pPr>
        <w:ind w:firstLine="560"/>
      </w:pPr>
      <w:r>
        <w:t>1.</w:t>
      </w:r>
      <w:r>
        <w:rPr>
          <w:rFonts w:hint="eastAsia"/>
        </w:rPr>
        <w:t>工程建设资金严格按照有关财务管理制度和合同条款规定进行管理。</w:t>
      </w:r>
    </w:p>
    <w:p>
      <w:pPr>
        <w:ind w:firstLine="560"/>
      </w:pPr>
      <w:r>
        <w:t>2.</w:t>
      </w:r>
      <w:r>
        <w:rPr>
          <w:rFonts w:hint="eastAsia"/>
        </w:rPr>
        <w:t>严格按照批准的建设规模、建设内容和批准的概算实施，不得随意调整概算、资金的使用范围。</w:t>
      </w:r>
    </w:p>
    <w:p>
      <w:pPr>
        <w:ind w:firstLine="560"/>
      </w:pPr>
      <w:r>
        <w:t>3.</w:t>
      </w:r>
      <w:r>
        <w:rPr>
          <w:rFonts w:hint="eastAsia"/>
        </w:rPr>
        <w:t>项目资金严格按程序审核后支付。建立项目费用报销制度、工程款申请、审核、批准制度和工程款验收结算制度。</w:t>
      </w:r>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.6 监督检查</w:t>
      </w:r>
    </w:p>
    <w:p>
      <w:pPr>
        <w:ind w:firstLine="560"/>
        <w:rPr>
          <w:rFonts w:ascii="仿宋_GB2312" w:hAnsi="华文楷体" w:eastAsia="仿宋_GB2312"/>
          <w:bCs/>
          <w:sz w:val="32"/>
          <w:szCs w:val="32"/>
        </w:rPr>
      </w:pPr>
      <w:r>
        <w:rPr>
          <w:rFonts w:hint="eastAsia"/>
        </w:rPr>
        <w:t>定期深入现场，对项目的进展、质量和资金使用情况进行监督检查。可组织技术专家进行技术指导，做到及时发现和解决问题。</w:t>
      </w:r>
    </w:p>
    <w:p>
      <w:pPr>
        <w:pStyle w:val="38"/>
        <w:spacing w:line="560" w:lineRule="exact"/>
        <w:rPr>
          <w:rFonts w:ascii="仿宋_GB2312" w:eastAsia="仿宋_GB2312"/>
          <w:b/>
          <w:color w:val="auto"/>
          <w:sz w:val="30"/>
          <w:szCs w:val="30"/>
        </w:rPr>
      </w:pPr>
      <w:r>
        <w:rPr>
          <w:rFonts w:ascii="黑体" w:hAnsi="黑体" w:eastAsia="黑体" w:cs="黑体"/>
          <w:color w:val="auto"/>
          <w:kern w:val="2"/>
          <w:sz w:val="30"/>
          <w:szCs w:val="30"/>
        </w:rPr>
        <w:t>5</w:t>
      </w:r>
      <w:r>
        <w:rPr>
          <w:rFonts w:hint="eastAsia" w:ascii="黑体" w:hAnsi="黑体" w:eastAsia="黑体" w:cs="黑体"/>
          <w:color w:val="auto"/>
          <w:kern w:val="2"/>
          <w:sz w:val="30"/>
          <w:szCs w:val="30"/>
        </w:rPr>
        <w:t>.</w:t>
      </w:r>
      <w:r>
        <w:rPr>
          <w:rFonts w:ascii="黑体" w:hAnsi="黑体" w:eastAsia="黑体" w:cs="黑体"/>
          <w:color w:val="auto"/>
          <w:kern w:val="2"/>
          <w:sz w:val="30"/>
          <w:szCs w:val="30"/>
        </w:rPr>
        <w:t>7</w:t>
      </w:r>
      <w:r>
        <w:rPr>
          <w:rFonts w:hint="eastAsia" w:ascii="黑体" w:hAnsi="黑体" w:eastAsia="黑体" w:cs="黑体"/>
          <w:color w:val="auto"/>
          <w:kern w:val="2"/>
          <w:sz w:val="30"/>
          <w:szCs w:val="30"/>
        </w:rPr>
        <w:t>.7 项目监理</w:t>
      </w:r>
    </w:p>
    <w:p>
      <w:pPr>
        <w:ind w:firstLine="560"/>
      </w:pPr>
      <w:r>
        <w:rPr>
          <w:rFonts w:hint="eastAsia"/>
        </w:rPr>
        <w:t>建议委托具备相应资质的工程施工监理单位进行监理。由监理单位依据建设工程设计要求，制定工程建设监理制度，委派具有相应工程监理资格的技术人员负责项目工程建设施工监督管理。</w:t>
      </w:r>
    </w:p>
    <w:p>
      <w:pPr>
        <w:ind w:firstLine="560"/>
      </w:pPr>
      <w:r>
        <w:rPr>
          <w:rFonts w:hint="eastAsia"/>
        </w:rPr>
        <w:t>工程监理工作完成后，应向项目办提交工程建设工作总结报告和档案资料。</w:t>
      </w:r>
    </w:p>
    <w:p>
      <w:pPr>
        <w:pStyle w:val="3"/>
        <w:spacing w:line="560" w:lineRule="exact"/>
        <w:rPr>
          <w:rFonts w:ascii="仿宋_GB2312" w:eastAsia="仿宋_GB2312"/>
          <w:sz w:val="32"/>
        </w:rPr>
      </w:pPr>
      <w:bookmarkStart w:id="135" w:name="_Toc169616890"/>
      <w:r>
        <w:t>5</w:t>
      </w:r>
      <w:r>
        <w:rPr>
          <w:rFonts w:hint="eastAsia"/>
        </w:rPr>
        <w:t>.</w:t>
      </w:r>
      <w:r>
        <w:t>7</w:t>
      </w:r>
      <w:r>
        <w:rPr>
          <w:rFonts w:hint="eastAsia"/>
        </w:rPr>
        <w:t>.8 建设工程竣工验收管</w:t>
      </w:r>
      <w:r>
        <w:rPr>
          <w:rFonts w:hint="eastAsia"/>
          <w:sz w:val="32"/>
        </w:rPr>
        <w:t>理</w:t>
      </w:r>
      <w:bookmarkEnd w:id="135"/>
    </w:p>
    <w:p>
      <w:pPr>
        <w:ind w:firstLine="560"/>
      </w:pPr>
      <w:r>
        <w:rPr>
          <w:rFonts w:hint="eastAsia"/>
        </w:rPr>
        <w:t>建议按照有关规定作好项目竣工验收各项准备工作。</w:t>
      </w:r>
    </w:p>
    <w:p>
      <w:pPr>
        <w:ind w:firstLine="560"/>
      </w:pPr>
      <w:r>
        <w:rPr>
          <w:rFonts w:hint="eastAsia"/>
        </w:rPr>
        <w:t>1.按要求编制项目竣工验收总结报告，在项目建设过程中要做好工程资料档案管理。</w:t>
      </w:r>
    </w:p>
    <w:p>
      <w:pPr>
        <w:ind w:firstLine="560"/>
      </w:pPr>
      <w:r>
        <w:rPr>
          <w:rFonts w:hint="eastAsia"/>
        </w:rPr>
        <w:t>2.项目完成建设任务，按规定时间完成总结报告，向建设管理部门申请验收。</w:t>
      </w:r>
    </w:p>
    <w:p>
      <w:pPr>
        <w:pStyle w:val="3"/>
        <w:spacing w:before="120" w:beforeLines="50" w:line="560" w:lineRule="exact"/>
        <w:rPr>
          <w:rFonts w:ascii="黑体" w:hAnsi="黑体" w:eastAsia="黑体" w:cs="黑体"/>
          <w:b w:val="0"/>
          <w:bCs w:val="0"/>
          <w:sz w:val="32"/>
        </w:rPr>
      </w:pPr>
      <w:bookmarkStart w:id="136" w:name="_Toc169616891"/>
      <w:r>
        <w:rPr>
          <w:rFonts w:ascii="黑体" w:hAnsi="黑体" w:eastAsia="黑体" w:cs="黑体"/>
          <w:b w:val="0"/>
          <w:bCs w:val="0"/>
          <w:sz w:val="32"/>
        </w:rPr>
        <w:t>5.8</w:t>
      </w:r>
      <w:r>
        <w:rPr>
          <w:rFonts w:hint="eastAsia" w:ascii="黑体" w:hAnsi="黑体" w:eastAsia="黑体" w:cs="黑体"/>
          <w:b w:val="0"/>
          <w:bCs w:val="0"/>
          <w:sz w:val="32"/>
        </w:rPr>
        <w:t>项目实施进度计划</w:t>
      </w:r>
      <w:bookmarkEnd w:id="136"/>
    </w:p>
    <w:p>
      <w:pPr>
        <w:pStyle w:val="4"/>
        <w:spacing w:line="560" w:lineRule="exact"/>
      </w:pPr>
      <w:bookmarkStart w:id="137" w:name="_Toc167357179"/>
      <w:bookmarkStart w:id="138" w:name="_Toc167465061"/>
      <w:bookmarkStart w:id="139" w:name="_Toc167642110"/>
      <w:bookmarkStart w:id="140" w:name="_Toc167703209"/>
      <w:bookmarkStart w:id="141" w:name="_Toc169512457"/>
      <w:r>
        <w:rPr>
          <w:rFonts w:hint="eastAsia"/>
        </w:rPr>
        <w:t>5.</w:t>
      </w:r>
      <w:r>
        <w:t>8</w:t>
      </w:r>
      <w:r>
        <w:rPr>
          <w:rFonts w:hint="eastAsia"/>
        </w:rPr>
        <w:t>.1项目实施进度程序</w:t>
      </w:r>
      <w:bookmarkEnd w:id="137"/>
      <w:bookmarkEnd w:id="138"/>
      <w:bookmarkEnd w:id="139"/>
      <w:bookmarkEnd w:id="140"/>
      <w:bookmarkEnd w:id="141"/>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在项目资金到位及时，各种手续齐备的前提下，该项目实施进度分项目前期准备、项目建设、竣工验收等三个阶段进行安排，三个阶段的工作内容和进度安排情况如下：</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（1）项目前期准备工作</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项目前期准备工作主要包括：编制项目建议书、可行性研究报告及审批、工程设计以及办理其他相关手续，整个项目前期准备工作拟耗时</w:t>
      </w:r>
      <w:r>
        <w:rPr>
          <w:rFonts w:asciiTheme="minorEastAsia" w:hAnsiTheme="minorEastAsia" w:eastAsiaTheme="minorEastAsia"/>
          <w:szCs w:val="28"/>
        </w:rPr>
        <w:t>3</w:t>
      </w:r>
      <w:r>
        <w:rPr>
          <w:rFonts w:hint="eastAsia" w:asciiTheme="minorEastAsia" w:hAnsiTheme="minorEastAsia" w:eastAsiaTheme="minorEastAsia"/>
          <w:szCs w:val="28"/>
        </w:rPr>
        <w:t>个月。</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（2）项目建设实施阶段</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项目建设实施分施工准备和和建设实施两个阶段，计划耗时</w:t>
      </w:r>
      <w:r>
        <w:rPr>
          <w:rFonts w:asciiTheme="minorEastAsia" w:hAnsiTheme="minorEastAsia" w:eastAsiaTheme="minorEastAsia"/>
          <w:szCs w:val="28"/>
        </w:rPr>
        <w:t>15</w:t>
      </w:r>
      <w:r>
        <w:rPr>
          <w:rFonts w:hint="eastAsia" w:asciiTheme="minorEastAsia" w:hAnsiTheme="minorEastAsia" w:eastAsiaTheme="minorEastAsia"/>
          <w:szCs w:val="28"/>
        </w:rPr>
        <w:t>个月。</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（3）竣工验收阶段</w:t>
      </w:r>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竣工验收主要包括验收准备和验收两个阶段，拟耗时1个月。</w:t>
      </w:r>
    </w:p>
    <w:p>
      <w:pPr>
        <w:pStyle w:val="4"/>
        <w:spacing w:line="560" w:lineRule="exact"/>
      </w:pPr>
      <w:bookmarkStart w:id="142" w:name="_Toc167357180"/>
      <w:bookmarkStart w:id="143" w:name="_Toc167465062"/>
      <w:bookmarkStart w:id="144" w:name="_Toc167642111"/>
      <w:bookmarkStart w:id="145" w:name="_Toc167703210"/>
      <w:bookmarkStart w:id="146" w:name="_Toc169512458"/>
      <w:r>
        <w:t>5.8</w:t>
      </w:r>
      <w:r>
        <w:rPr>
          <w:rFonts w:hint="eastAsia"/>
        </w:rPr>
        <w:t>.2项目实施进度安排</w:t>
      </w:r>
      <w:bookmarkEnd w:id="142"/>
      <w:bookmarkEnd w:id="143"/>
      <w:bookmarkEnd w:id="144"/>
      <w:bookmarkEnd w:id="145"/>
      <w:bookmarkEnd w:id="146"/>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根据本项目的建设规模、投资规模和时间要求等具体情况，本项目建设拟用</w:t>
      </w:r>
      <w:r>
        <w:rPr>
          <w:rFonts w:asciiTheme="minorEastAsia" w:hAnsiTheme="minorEastAsia" w:eastAsiaTheme="minorEastAsia"/>
          <w:szCs w:val="28"/>
        </w:rPr>
        <w:t>12</w:t>
      </w:r>
      <w:r>
        <w:rPr>
          <w:rFonts w:hint="eastAsia" w:asciiTheme="minorEastAsia" w:hAnsiTheme="minorEastAsia" w:eastAsiaTheme="minorEastAsia"/>
          <w:szCs w:val="28"/>
        </w:rPr>
        <w:t>个月（含前期时间）完成。具体项目进度计划如下：</w:t>
      </w:r>
    </w:p>
    <w:p>
      <w:pPr>
        <w:snapToGrid w:val="0"/>
        <w:spacing w:line="600" w:lineRule="exact"/>
        <w:ind w:firstLine="560"/>
        <w:rPr>
          <w:rFonts w:asciiTheme="minorEastAsia" w:hAnsiTheme="minorEastAsia" w:eastAsiaTheme="minorEastAsia"/>
          <w:szCs w:val="28"/>
          <w:highlight w:val="none"/>
        </w:rPr>
      </w:pPr>
      <w:r>
        <w:rPr>
          <w:rFonts w:hint="eastAsia" w:asciiTheme="minorEastAsia" w:hAnsiTheme="minorEastAsia" w:eastAsiaTheme="minorEastAsia"/>
          <w:szCs w:val="28"/>
          <w:highlight w:val="none"/>
        </w:rPr>
        <w:t>202</w:t>
      </w:r>
      <w:r>
        <w:rPr>
          <w:rFonts w:hint="eastAsia" w:asciiTheme="minorEastAsia" w:hAnsiTheme="minorEastAsia" w:eastAsiaTheme="minorEastAsia"/>
          <w:szCs w:val="28"/>
          <w:highlight w:val="none"/>
          <w:lang w:val="en-US" w:eastAsia="zh-CN"/>
        </w:rPr>
        <w:t>5</w:t>
      </w:r>
      <w:r>
        <w:rPr>
          <w:rFonts w:hint="eastAsia" w:asciiTheme="minorEastAsia" w:hAnsiTheme="minorEastAsia" w:eastAsiaTheme="minorEastAsia"/>
          <w:szCs w:val="28"/>
          <w:highlight w:val="none"/>
        </w:rPr>
        <w:t>年</w:t>
      </w:r>
      <w:r>
        <w:rPr>
          <w:rFonts w:hint="eastAsia" w:asciiTheme="minorEastAsia" w:hAnsiTheme="minorEastAsia" w:eastAsiaTheme="minorEastAsia"/>
          <w:szCs w:val="28"/>
          <w:highlight w:val="none"/>
          <w:lang w:val="en-US" w:eastAsia="zh-CN"/>
        </w:rPr>
        <w:t>5</w:t>
      </w:r>
      <w:r>
        <w:rPr>
          <w:rFonts w:hint="eastAsia" w:asciiTheme="minorEastAsia" w:hAnsiTheme="minorEastAsia" w:eastAsiaTheme="minorEastAsia"/>
          <w:szCs w:val="28"/>
          <w:highlight w:val="none"/>
        </w:rPr>
        <w:t xml:space="preserve">月 </w:t>
      </w:r>
      <w:r>
        <w:rPr>
          <w:rFonts w:asciiTheme="minorEastAsia" w:hAnsiTheme="minorEastAsia" w:eastAsiaTheme="minorEastAsia"/>
          <w:szCs w:val="28"/>
          <w:highlight w:val="none"/>
        </w:rPr>
        <w:t xml:space="preserve">            </w:t>
      </w:r>
      <w:r>
        <w:rPr>
          <w:rFonts w:hint="eastAsia" w:asciiTheme="minorEastAsia" w:hAnsiTheme="minorEastAsia" w:eastAsiaTheme="minorEastAsia"/>
          <w:szCs w:val="28"/>
          <w:highlight w:val="none"/>
        </w:rPr>
        <w:t xml:space="preserve"> </w:t>
      </w:r>
      <w:r>
        <w:rPr>
          <w:rFonts w:asciiTheme="minorEastAsia" w:hAnsiTheme="minorEastAsia" w:eastAsiaTheme="minorEastAsia"/>
          <w:szCs w:val="28"/>
          <w:highlight w:val="none"/>
        </w:rPr>
        <w:t xml:space="preserve">  </w:t>
      </w:r>
      <w:r>
        <w:rPr>
          <w:rFonts w:hint="eastAsia" w:asciiTheme="minorEastAsia" w:hAnsiTheme="minorEastAsia" w:eastAsiaTheme="minorEastAsia"/>
          <w:szCs w:val="28"/>
          <w:highlight w:val="none"/>
        </w:rPr>
        <w:t>项目建议书、可研编制及审批；</w:t>
      </w:r>
    </w:p>
    <w:p>
      <w:pPr>
        <w:snapToGrid w:val="0"/>
        <w:spacing w:line="600" w:lineRule="exact"/>
        <w:ind w:firstLine="560"/>
        <w:rPr>
          <w:rFonts w:asciiTheme="minorEastAsia" w:hAnsiTheme="minorEastAsia" w:eastAsiaTheme="minorEastAsia"/>
          <w:szCs w:val="28"/>
          <w:highlight w:val="none"/>
        </w:rPr>
      </w:pPr>
      <w:r>
        <w:rPr>
          <w:rFonts w:hint="eastAsia" w:asciiTheme="minorEastAsia" w:hAnsiTheme="minorEastAsia" w:eastAsiaTheme="minorEastAsia"/>
          <w:szCs w:val="28"/>
          <w:highlight w:val="yellow"/>
        </w:rPr>
        <w:t>202</w:t>
      </w:r>
      <w:r>
        <w:rPr>
          <w:rFonts w:hint="eastAsia" w:asciiTheme="minorEastAsia" w:hAnsiTheme="minorEastAsia" w:eastAsiaTheme="minorEastAsia"/>
          <w:szCs w:val="28"/>
          <w:highlight w:val="yellow"/>
          <w:lang w:val="en-US" w:eastAsia="zh-CN"/>
        </w:rPr>
        <w:t>7</w:t>
      </w:r>
      <w:r>
        <w:rPr>
          <w:rFonts w:hint="eastAsia" w:asciiTheme="minorEastAsia" w:hAnsiTheme="minorEastAsia" w:eastAsiaTheme="minorEastAsia"/>
          <w:szCs w:val="28"/>
          <w:highlight w:val="yellow"/>
        </w:rPr>
        <w:t>年</w:t>
      </w:r>
      <w:r>
        <w:rPr>
          <w:rFonts w:hint="eastAsia" w:asciiTheme="minorEastAsia" w:hAnsiTheme="minorEastAsia" w:eastAsiaTheme="minorEastAsia"/>
          <w:szCs w:val="28"/>
          <w:highlight w:val="yellow"/>
          <w:lang w:val="en-US" w:eastAsia="zh-CN"/>
        </w:rPr>
        <w:t>6</w:t>
      </w:r>
      <w:r>
        <w:rPr>
          <w:rFonts w:hint="eastAsia" w:asciiTheme="minorEastAsia" w:hAnsiTheme="minorEastAsia" w:eastAsiaTheme="minorEastAsia"/>
          <w:szCs w:val="28"/>
          <w:highlight w:val="yellow"/>
        </w:rPr>
        <w:t xml:space="preserve">月 </w:t>
      </w:r>
      <w:r>
        <w:rPr>
          <w:rFonts w:hint="eastAsia" w:asciiTheme="minorEastAsia" w:hAnsiTheme="minorEastAsia" w:eastAsiaTheme="minorEastAsia"/>
          <w:szCs w:val="28"/>
          <w:highlight w:val="none"/>
        </w:rPr>
        <w:t xml:space="preserve">              项目勘察、初步设计、施工图设计；</w:t>
      </w:r>
    </w:p>
    <w:p>
      <w:pPr>
        <w:snapToGrid w:val="0"/>
        <w:spacing w:line="600" w:lineRule="exact"/>
        <w:ind w:firstLine="560"/>
        <w:rPr>
          <w:rFonts w:asciiTheme="minorEastAsia" w:hAnsiTheme="minorEastAsia" w:eastAsiaTheme="minorEastAsia"/>
          <w:szCs w:val="28"/>
          <w:highlight w:val="none"/>
        </w:rPr>
      </w:pPr>
      <w:r>
        <w:rPr>
          <w:rFonts w:hint="eastAsia" w:asciiTheme="minorEastAsia" w:hAnsiTheme="minorEastAsia" w:eastAsiaTheme="minorEastAsia"/>
          <w:szCs w:val="28"/>
          <w:highlight w:val="yellow"/>
        </w:rPr>
        <w:t>202</w:t>
      </w:r>
      <w:r>
        <w:rPr>
          <w:rFonts w:asciiTheme="minorEastAsia" w:hAnsiTheme="minorEastAsia" w:eastAsiaTheme="minorEastAsia"/>
          <w:szCs w:val="28"/>
          <w:highlight w:val="yellow"/>
        </w:rPr>
        <w:t>4</w:t>
      </w:r>
      <w:r>
        <w:rPr>
          <w:rFonts w:hint="eastAsia" w:asciiTheme="minorEastAsia" w:hAnsiTheme="minorEastAsia" w:eastAsiaTheme="minorEastAsia"/>
          <w:szCs w:val="28"/>
          <w:highlight w:val="yellow"/>
        </w:rPr>
        <w:t>年</w:t>
      </w:r>
      <w:r>
        <w:rPr>
          <w:rFonts w:hint="eastAsia" w:asciiTheme="minorEastAsia" w:hAnsiTheme="minorEastAsia" w:eastAsiaTheme="minorEastAsia"/>
          <w:szCs w:val="28"/>
          <w:highlight w:val="yellow"/>
          <w:lang w:val="en-US" w:eastAsia="zh-CN"/>
        </w:rPr>
        <w:t>7</w:t>
      </w:r>
      <w:r>
        <w:rPr>
          <w:rFonts w:hint="eastAsia" w:asciiTheme="minorEastAsia" w:hAnsiTheme="minorEastAsia" w:eastAsiaTheme="minorEastAsia"/>
          <w:szCs w:val="28"/>
          <w:highlight w:val="yellow"/>
        </w:rPr>
        <w:t xml:space="preserve">月 </w:t>
      </w:r>
      <w:r>
        <w:rPr>
          <w:rFonts w:asciiTheme="minorEastAsia" w:hAnsiTheme="minorEastAsia" w:eastAsiaTheme="minorEastAsia"/>
          <w:szCs w:val="28"/>
          <w:highlight w:val="yellow"/>
        </w:rPr>
        <w:t xml:space="preserve"> </w:t>
      </w:r>
      <w:r>
        <w:rPr>
          <w:rFonts w:asciiTheme="minorEastAsia" w:hAnsiTheme="minorEastAsia" w:eastAsiaTheme="minorEastAsia"/>
          <w:szCs w:val="28"/>
          <w:highlight w:val="none"/>
        </w:rPr>
        <w:t xml:space="preserve">             </w:t>
      </w:r>
      <w:r>
        <w:rPr>
          <w:rFonts w:hint="eastAsia" w:asciiTheme="minorEastAsia" w:hAnsiTheme="minorEastAsia" w:eastAsiaTheme="minorEastAsia"/>
          <w:szCs w:val="28"/>
          <w:highlight w:val="none"/>
        </w:rPr>
        <w:t>项目招投标</w:t>
      </w:r>
      <w:r>
        <w:rPr>
          <w:rFonts w:asciiTheme="minorEastAsia" w:hAnsiTheme="minorEastAsia" w:eastAsiaTheme="minorEastAsia"/>
          <w:szCs w:val="28"/>
          <w:highlight w:val="none"/>
        </w:rPr>
        <w:t>、办理相关建设手续</w:t>
      </w:r>
      <w:r>
        <w:rPr>
          <w:rFonts w:hint="eastAsia" w:asciiTheme="minorEastAsia" w:hAnsiTheme="minorEastAsia" w:eastAsiaTheme="minorEastAsia"/>
          <w:szCs w:val="28"/>
          <w:highlight w:val="none"/>
        </w:rPr>
        <w:t>；</w:t>
      </w:r>
    </w:p>
    <w:p>
      <w:pPr>
        <w:snapToGrid w:val="0"/>
        <w:spacing w:line="600" w:lineRule="exact"/>
        <w:ind w:firstLine="560"/>
        <w:rPr>
          <w:rFonts w:asciiTheme="minorEastAsia" w:hAnsiTheme="minorEastAsia" w:eastAsiaTheme="minorEastAsia"/>
          <w:szCs w:val="28"/>
          <w:highlight w:val="none"/>
        </w:rPr>
      </w:pPr>
      <w:r>
        <w:rPr>
          <w:rFonts w:hint="eastAsia" w:asciiTheme="minorEastAsia" w:hAnsiTheme="minorEastAsia" w:eastAsiaTheme="minorEastAsia"/>
          <w:szCs w:val="28"/>
          <w:highlight w:val="none"/>
        </w:rPr>
        <w:t>202</w:t>
      </w:r>
      <w:r>
        <w:rPr>
          <w:rFonts w:hint="eastAsia" w:asciiTheme="minorEastAsia" w:hAnsiTheme="minorEastAsia" w:eastAsiaTheme="minorEastAsia"/>
          <w:szCs w:val="28"/>
          <w:highlight w:val="none"/>
          <w:lang w:val="en-US" w:eastAsia="zh-CN"/>
        </w:rPr>
        <w:t>5</w:t>
      </w:r>
      <w:r>
        <w:rPr>
          <w:rFonts w:hint="eastAsia" w:asciiTheme="minorEastAsia" w:hAnsiTheme="minorEastAsia" w:eastAsiaTheme="minorEastAsia"/>
          <w:szCs w:val="28"/>
          <w:highlight w:val="none"/>
        </w:rPr>
        <w:t>年</w:t>
      </w:r>
      <w:r>
        <w:rPr>
          <w:rFonts w:hint="eastAsia" w:asciiTheme="minorEastAsia" w:hAnsiTheme="minorEastAsia" w:eastAsiaTheme="minorEastAsia"/>
          <w:szCs w:val="28"/>
          <w:highlight w:val="none"/>
          <w:lang w:val="en-US" w:eastAsia="zh-CN"/>
        </w:rPr>
        <w:t>8</w:t>
      </w:r>
      <w:r>
        <w:rPr>
          <w:rFonts w:hint="eastAsia" w:asciiTheme="minorEastAsia" w:hAnsiTheme="minorEastAsia" w:eastAsiaTheme="minorEastAsia"/>
          <w:szCs w:val="28"/>
          <w:highlight w:val="none"/>
        </w:rPr>
        <w:t>月～202</w:t>
      </w:r>
      <w:r>
        <w:rPr>
          <w:rFonts w:asciiTheme="minorEastAsia" w:hAnsiTheme="minorEastAsia" w:eastAsiaTheme="minorEastAsia"/>
          <w:szCs w:val="28"/>
          <w:highlight w:val="none"/>
        </w:rPr>
        <w:t>5</w:t>
      </w:r>
      <w:r>
        <w:rPr>
          <w:rFonts w:hint="eastAsia" w:asciiTheme="minorEastAsia" w:hAnsiTheme="minorEastAsia" w:eastAsiaTheme="minorEastAsia"/>
          <w:szCs w:val="28"/>
          <w:highlight w:val="none"/>
        </w:rPr>
        <w:t>年</w:t>
      </w:r>
      <w:r>
        <w:rPr>
          <w:rFonts w:asciiTheme="minorEastAsia" w:hAnsiTheme="minorEastAsia" w:eastAsiaTheme="minorEastAsia"/>
          <w:szCs w:val="28"/>
          <w:highlight w:val="none"/>
        </w:rPr>
        <w:t>11</w:t>
      </w:r>
      <w:r>
        <w:rPr>
          <w:rFonts w:hint="eastAsia" w:asciiTheme="minorEastAsia" w:hAnsiTheme="minorEastAsia" w:eastAsiaTheme="minorEastAsia"/>
          <w:szCs w:val="28"/>
          <w:highlight w:val="none"/>
        </w:rPr>
        <w:t>月   施工建设；</w:t>
      </w:r>
    </w:p>
    <w:p>
      <w:pPr>
        <w:snapToGrid w:val="0"/>
        <w:spacing w:line="600" w:lineRule="exact"/>
        <w:ind w:firstLine="560"/>
        <w:rPr>
          <w:rFonts w:asciiTheme="minorEastAsia" w:hAnsiTheme="minorEastAsia" w:eastAsiaTheme="minorEastAsia"/>
          <w:szCs w:val="28"/>
          <w:highlight w:val="none"/>
        </w:rPr>
        <w:sectPr>
          <w:headerReference r:id="rId11" w:type="default"/>
          <w:footerReference r:id="rId12" w:type="default"/>
          <w:pgSz w:w="11906" w:h="16838"/>
          <w:pgMar w:top="1440" w:right="1700" w:bottom="1440" w:left="1797" w:header="851" w:footer="992" w:gutter="0"/>
          <w:pgNumType w:start="1"/>
          <w:cols w:space="425" w:num="1"/>
          <w:docGrid w:linePitch="312" w:charSpace="0"/>
        </w:sectPr>
      </w:pPr>
      <w:r>
        <w:rPr>
          <w:rFonts w:hint="eastAsia" w:asciiTheme="minorEastAsia" w:hAnsiTheme="minorEastAsia" w:eastAsiaTheme="minorEastAsia"/>
          <w:szCs w:val="28"/>
          <w:highlight w:val="none"/>
        </w:rPr>
        <w:t>202</w:t>
      </w:r>
      <w:r>
        <w:rPr>
          <w:rFonts w:asciiTheme="minorEastAsia" w:hAnsiTheme="minorEastAsia" w:eastAsiaTheme="minorEastAsia"/>
          <w:szCs w:val="28"/>
          <w:highlight w:val="none"/>
        </w:rPr>
        <w:t>5</w:t>
      </w:r>
      <w:r>
        <w:rPr>
          <w:rFonts w:hint="eastAsia" w:asciiTheme="minorEastAsia" w:hAnsiTheme="minorEastAsia" w:eastAsiaTheme="minorEastAsia"/>
          <w:szCs w:val="28"/>
          <w:highlight w:val="none"/>
        </w:rPr>
        <w:t>年</w:t>
      </w:r>
      <w:r>
        <w:rPr>
          <w:rFonts w:asciiTheme="minorEastAsia" w:hAnsiTheme="minorEastAsia" w:eastAsiaTheme="minorEastAsia"/>
          <w:szCs w:val="28"/>
          <w:highlight w:val="none"/>
        </w:rPr>
        <w:t>12</w:t>
      </w:r>
      <w:r>
        <w:rPr>
          <w:rFonts w:hint="eastAsia" w:asciiTheme="minorEastAsia" w:hAnsiTheme="minorEastAsia" w:eastAsiaTheme="minorEastAsia"/>
          <w:szCs w:val="28"/>
          <w:highlight w:val="none"/>
        </w:rPr>
        <w:t xml:space="preserve">月  </w:t>
      </w:r>
      <w:r>
        <w:rPr>
          <w:rFonts w:asciiTheme="minorEastAsia" w:hAnsiTheme="minorEastAsia" w:eastAsiaTheme="minorEastAsia"/>
          <w:szCs w:val="28"/>
          <w:highlight w:val="none"/>
        </w:rPr>
        <w:t xml:space="preserve"> </w:t>
      </w:r>
      <w:r>
        <w:rPr>
          <w:rFonts w:hint="eastAsia" w:asciiTheme="minorEastAsia" w:hAnsiTheme="minorEastAsia" w:eastAsiaTheme="minorEastAsia"/>
          <w:szCs w:val="28"/>
          <w:highlight w:val="none"/>
        </w:rPr>
        <w:t xml:space="preserve">  </w:t>
      </w:r>
      <w:r>
        <w:rPr>
          <w:rFonts w:asciiTheme="minorEastAsia" w:hAnsiTheme="minorEastAsia" w:eastAsiaTheme="minorEastAsia"/>
          <w:szCs w:val="28"/>
          <w:highlight w:val="none"/>
        </w:rPr>
        <w:t xml:space="preserve">           </w:t>
      </w:r>
      <w:r>
        <w:rPr>
          <w:rFonts w:hint="eastAsia" w:asciiTheme="minorEastAsia" w:hAnsiTheme="minorEastAsia" w:eastAsiaTheme="minorEastAsia"/>
          <w:szCs w:val="28"/>
          <w:highlight w:val="none"/>
        </w:rPr>
        <w:t>竣工验收、交付使用。</w:t>
      </w:r>
    </w:p>
    <w:p>
      <w:pPr>
        <w:snapToGrid w:val="0"/>
        <w:spacing w:line="600" w:lineRule="exact"/>
        <w:ind w:firstLine="0" w:firstLineChars="0"/>
      </w:pPr>
      <w:r>
        <w:rPr>
          <w:rFonts w:hint="eastAsia"/>
        </w:rPr>
        <mc:AlternateContent>
          <mc:Choice Requires="wps">
            <w:drawing>
              <wp:anchor distT="0" distB="0" distL="114300" distR="114300" simplePos="0" relativeHeight="251659264" behindDoc="0" locked="0" layoutInCell="1" allowOverlap="1">
                <wp:simplePos x="0" y="0"/>
                <wp:positionH relativeFrom="column">
                  <wp:posOffset>530860</wp:posOffset>
                </wp:positionH>
                <wp:positionV relativeFrom="paragraph">
                  <wp:posOffset>294005</wp:posOffset>
                </wp:positionV>
                <wp:extent cx="167640" cy="340995"/>
                <wp:effectExtent l="0" t="0" r="3810" b="1905"/>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167640" cy="340995"/>
                        </a:xfrm>
                        <a:prstGeom prst="rect">
                          <a:avLst/>
                        </a:prstGeom>
                        <a:noFill/>
                        <a:ln>
                          <a:noFill/>
                        </a:ln>
                      </wps:spPr>
                      <wps:txbx>
                        <w:txbxContent>
                          <w:p>
                            <w:pPr>
                              <w:ind w:firstLine="0" w:firstLineChars="0"/>
                              <w:rPr>
                                <w:bCs/>
                                <w:sz w:val="22"/>
                              </w:rPr>
                            </w:pPr>
                            <w:r>
                              <w:rPr>
                                <w:rFonts w:hint="eastAsia"/>
                                <w:bCs/>
                                <w:sz w:val="22"/>
                              </w:rPr>
                              <w:t>进</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1.8pt;margin-top:23.15pt;height:26.85pt;width:13.2pt;z-index:251659264;mso-width-relative:page;mso-height-relative:page;" filled="f" stroked="f" coordsize="21600,21600" o:gfxdata="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SIOK1gAAAAkBAAAPAAAAAAAAAAEAIAAA&#10;ACIAAABkcnMvZG93bnJldi54bWxQSwECFAAUAAAACACHTuJAJLoKhg4CAAAGBAAADgAAAAAAAAAB&#10;ACAAAAAlAQAAZHJzL2Uyb0RvYy54bWxQSwUGAAAAAAYABgBZAQAApQUAAAAA&#10;">
                <v:fill on="f" focussize="0,0"/>
                <v:stroke on="f"/>
                <v:imagedata o:title=""/>
                <o:lock v:ext="edit" aspectratio="f"/>
                <v:textbox inset="0mm,0mm,0mm,0mm">
                  <w:txbxContent>
                    <w:p>
                      <w:pPr>
                        <w:ind w:firstLine="0" w:firstLineChars="0"/>
                        <w:rPr>
                          <w:bCs/>
                          <w:sz w:val="22"/>
                        </w:rPr>
                      </w:pPr>
                      <w:r>
                        <w:rPr>
                          <w:rFonts w:hint="eastAsia"/>
                          <w:bCs/>
                          <w:sz w:val="22"/>
                        </w:rPr>
                        <w:t>进</w:t>
                      </w:r>
                    </w:p>
                  </w:txbxContent>
                </v:textbox>
              </v:shape>
            </w:pict>
          </mc:Fallback>
        </mc:AlternateContent>
      </w:r>
      <w:r>
        <w:rPr>
          <w:rFonts w:hint="eastAsia" w:asciiTheme="minorEastAsia" w:hAnsiTheme="minorEastAsia" w:eastAsiaTheme="minorEastAsia"/>
          <w:b/>
          <w:szCs w:val="28"/>
        </w:rPr>
        <w:t>表</w:t>
      </w:r>
      <w:r>
        <w:rPr>
          <w:rFonts w:asciiTheme="minorEastAsia" w:hAnsiTheme="minorEastAsia" w:eastAsiaTheme="minorEastAsia"/>
          <w:b/>
          <w:szCs w:val="28"/>
        </w:rPr>
        <w:t>5</w:t>
      </w:r>
      <w:r>
        <w:rPr>
          <w:rFonts w:hint="eastAsia" w:asciiTheme="minorEastAsia" w:hAnsiTheme="minorEastAsia" w:eastAsiaTheme="minorEastAsia"/>
          <w:b/>
          <w:szCs w:val="28"/>
        </w:rPr>
        <w:t>-</w:t>
      </w:r>
      <w:r>
        <w:rPr>
          <w:rFonts w:asciiTheme="minorEastAsia" w:hAnsiTheme="minorEastAsia" w:eastAsiaTheme="minorEastAsia"/>
          <w:b/>
          <w:szCs w:val="28"/>
        </w:rPr>
        <w:t>10</w:t>
      </w:r>
      <w:r>
        <w:rPr>
          <w:rFonts w:hint="eastAsia" w:asciiTheme="minorEastAsia" w:hAnsiTheme="minorEastAsia" w:eastAsiaTheme="minorEastAsia"/>
          <w:b/>
          <w:szCs w:val="28"/>
        </w:rPr>
        <w:t xml:space="preserve">                      </w:t>
      </w:r>
      <w:r>
        <w:rPr>
          <w:rFonts w:asciiTheme="minorEastAsia" w:hAnsiTheme="minorEastAsia" w:eastAsiaTheme="minorEastAsia"/>
          <w:b/>
          <w:szCs w:val="28"/>
        </w:rPr>
        <w:t xml:space="preserve"> </w:t>
      </w:r>
      <w:r>
        <w:rPr>
          <w:rFonts w:hint="eastAsia" w:asciiTheme="minorEastAsia" w:hAnsiTheme="minorEastAsia" w:eastAsiaTheme="minorEastAsia"/>
          <w:b/>
          <w:szCs w:val="28"/>
        </w:rPr>
        <w:t xml:space="preserve">  </w:t>
      </w:r>
      <w:r>
        <w:rPr>
          <w:rFonts w:asciiTheme="minorEastAsia" w:hAnsiTheme="minorEastAsia" w:eastAsiaTheme="minorEastAsia"/>
          <w:b/>
          <w:szCs w:val="28"/>
        </w:rPr>
        <w:t xml:space="preserve">  </w:t>
      </w:r>
      <w:r>
        <w:rPr>
          <w:rFonts w:hint="eastAsia" w:asciiTheme="minorEastAsia" w:hAnsiTheme="minorEastAsia" w:eastAsiaTheme="minorEastAsia"/>
          <w:b/>
          <w:szCs w:val="28"/>
        </w:rPr>
        <w:t xml:space="preserve">    项目实施进度计划表</w:t>
      </w:r>
    </w:p>
    <w:tbl>
      <w:tblPr>
        <w:tblStyle w:val="30"/>
        <w:tblW w:w="14359" w:type="dxa"/>
        <w:tblInd w:w="108" w:type="dxa"/>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Layout w:type="autofit"/>
        <w:tblCellMar>
          <w:top w:w="0" w:type="dxa"/>
          <w:left w:w="108" w:type="dxa"/>
          <w:bottom w:w="0" w:type="dxa"/>
          <w:right w:w="108" w:type="dxa"/>
        </w:tblCellMar>
      </w:tblPr>
      <w:tblGrid>
        <w:gridCol w:w="1983"/>
        <w:gridCol w:w="1028"/>
        <w:gridCol w:w="1028"/>
        <w:gridCol w:w="1030"/>
        <w:gridCol w:w="1030"/>
        <w:gridCol w:w="1030"/>
        <w:gridCol w:w="1030"/>
        <w:gridCol w:w="1028"/>
        <w:gridCol w:w="1031"/>
        <w:gridCol w:w="1028"/>
        <w:gridCol w:w="1036"/>
        <w:gridCol w:w="1030"/>
        <w:gridCol w:w="1047"/>
      </w:tblGrid>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1983" w:type="dxa"/>
            <w:vMerge w:val="restart"/>
            <w:tcBorders>
              <w:top w:val="single" w:color="auto" w:sz="24" w:space="0"/>
            </w:tcBorders>
            <w:vAlign w:val="center"/>
          </w:tcPr>
          <w:p>
            <w:pPr>
              <w:tabs>
                <w:tab w:val="left" w:pos="1251"/>
              </w:tabs>
              <w:ind w:firstLine="0" w:firstLineChars="0"/>
              <w:jc w:val="cente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115570</wp:posOffset>
                      </wp:positionH>
                      <wp:positionV relativeFrom="paragraph">
                        <wp:posOffset>95250</wp:posOffset>
                      </wp:positionV>
                      <wp:extent cx="496570" cy="356870"/>
                      <wp:effectExtent l="635"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496570" cy="356870"/>
                              </a:xfrm>
                              <a:prstGeom prst="rect">
                                <a:avLst/>
                              </a:prstGeom>
                              <a:noFill/>
                              <a:ln>
                                <a:noFill/>
                              </a:ln>
                            </wps:spPr>
                            <wps:txbx>
                              <w:txbxContent>
                                <w:p>
                                  <w:pPr>
                                    <w:snapToGrid w:val="0"/>
                                    <w:ind w:firstLine="0" w:firstLineChars="0"/>
                                    <w:rPr>
                                      <w:rFonts w:ascii="宋体" w:hAnsi="宋体" w:cs="宋体"/>
                                      <w:color w:val="000000"/>
                                      <w:sz w:val="24"/>
                                    </w:rPr>
                                  </w:pPr>
                                  <w:r>
                                    <w:rPr>
                                      <w:rFonts w:hint="eastAsia" w:ascii="宋体" w:hAnsi="宋体" w:cs="宋体"/>
                                      <w:color w:val="000000"/>
                                      <w:sz w:val="24"/>
                                    </w:rPr>
                                    <w:t xml:space="preserve">时间 </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1pt;margin-top:7.5pt;height:28.1pt;width:39.1pt;z-index:251669504;mso-width-relative:page;mso-height-relative:page;" filled="f" stroked="f" coordsize="21600,21600" o:gfxdata="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RCTWAAAABwEAAA8AAAAAAAAAAQAgAAAA&#10;IgAAAGRycy9kb3ducmV2LnhtbFBLAQIUABQAAAAIAIdO4kBvrePuDQIAAAYEAAAOAAAAAAAAAAEA&#10;IAAAACUBAABkcnMvZTJvRG9jLnhtbFBLBQYAAAAABgAGAFkBAACkBQAAAAA=&#10;">
                      <v:fill on="f" focussize="0,0"/>
                      <v:stroke on="f"/>
                      <v:imagedata o:title=""/>
                      <o:lock v:ext="edit" aspectratio="f"/>
                      <v:textbox inset="0mm,0mm,0mm,0mm">
                        <w:txbxContent>
                          <w:p>
                            <w:pPr>
                              <w:snapToGrid w:val="0"/>
                              <w:ind w:firstLine="0" w:firstLineChars="0"/>
                              <w:rPr>
                                <w:rFonts w:ascii="宋体" w:hAnsi="宋体" w:cs="宋体"/>
                                <w:color w:val="000000"/>
                                <w:sz w:val="24"/>
                              </w:rPr>
                            </w:pPr>
                            <w:r>
                              <w:rPr>
                                <w:rFonts w:hint="eastAsia" w:ascii="宋体" w:hAnsi="宋体" w:cs="宋体"/>
                                <w:color w:val="000000"/>
                                <w:sz w:val="24"/>
                              </w:rPr>
                              <w:t xml:space="preserve">时间 </w:t>
                            </w:r>
                          </w:p>
                        </w:txbxContent>
                      </v:textbox>
                    </v:shape>
                  </w:pict>
                </mc:Fallback>
              </mc:AlternateContent>
            </w:r>
            <w:r>
              <w:rPr>
                <w:rFonts w:hint="eastAsia"/>
              </w:rPr>
              <mc:AlternateContent>
                <mc:Choice Requires="wps">
                  <w:drawing>
                    <wp:anchor distT="0" distB="0" distL="114300" distR="114300" simplePos="0" relativeHeight="251670528" behindDoc="0" locked="0" layoutInCell="1" allowOverlap="1">
                      <wp:simplePos x="0" y="0"/>
                      <wp:positionH relativeFrom="column">
                        <wp:posOffset>-29845</wp:posOffset>
                      </wp:positionH>
                      <wp:positionV relativeFrom="paragraph">
                        <wp:posOffset>516890</wp:posOffset>
                      </wp:positionV>
                      <wp:extent cx="496570" cy="356870"/>
                      <wp:effectExtent l="635"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496570" cy="356870"/>
                              </a:xfrm>
                              <a:prstGeom prst="rect">
                                <a:avLst/>
                              </a:prstGeom>
                              <a:noFill/>
                              <a:ln>
                                <a:noFill/>
                              </a:ln>
                            </wps:spPr>
                            <wps:txbx>
                              <w:txbxContent>
                                <w:p>
                                  <w:pPr>
                                    <w:snapToGrid w:val="0"/>
                                    <w:ind w:firstLine="0" w:firstLineChars="0"/>
                                    <w:rPr>
                                      <w:rFonts w:ascii="宋体" w:hAnsi="宋体" w:cs="宋体"/>
                                      <w:color w:val="000000"/>
                                      <w:sz w:val="24"/>
                                    </w:rPr>
                                  </w:pPr>
                                  <w:r>
                                    <w:rPr>
                                      <w:rFonts w:hint="eastAsia" w:ascii="宋体" w:hAnsi="宋体" w:cs="宋体"/>
                                      <w:color w:val="000000"/>
                                      <w:sz w:val="24"/>
                                    </w:rPr>
                                    <w:t>内容</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35pt;margin-top:40.7pt;height:28.1pt;width:39.1pt;z-index:251670528;mso-width-relative:page;mso-height-relative:page;" filled="f" stroked="f" coordsize="21600,21600" o:gfxdata="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9tc2G2AAAAAgBAAAPAAAAAAAAAAEAIAAA&#10;ACIAAABkcnMvZG93bnJldi54bWxQSwECFAAUAAAACACHTuJALlgHSwwCAAAEBAAADgAAAAAAAAAB&#10;ACAAAAAnAQAAZHJzL2Uyb0RvYy54bWxQSwUGAAAAAAYABgBZAQAApQUAAAAA&#10;">
                      <v:fill on="f" focussize="0,0"/>
                      <v:stroke on="f"/>
                      <v:imagedata o:title=""/>
                      <o:lock v:ext="edit" aspectratio="f"/>
                      <v:textbox inset="0mm,0mm,0mm,0mm">
                        <w:txbxContent>
                          <w:p>
                            <w:pPr>
                              <w:snapToGrid w:val="0"/>
                              <w:ind w:firstLine="0" w:firstLineChars="0"/>
                              <w:rPr>
                                <w:rFonts w:ascii="宋体" w:hAnsi="宋体" w:cs="宋体"/>
                                <w:color w:val="000000"/>
                                <w:sz w:val="24"/>
                              </w:rPr>
                            </w:pPr>
                            <w:r>
                              <w:rPr>
                                <w:rFonts w:hint="eastAsia" w:ascii="宋体" w:hAnsi="宋体" w:cs="宋体"/>
                                <w:color w:val="000000"/>
                                <w:sz w:val="24"/>
                              </w:rPr>
                              <w:t>内容</w:t>
                            </w:r>
                          </w:p>
                        </w:txbxContent>
                      </v:textbox>
                    </v:shape>
                  </w:pict>
                </mc:Fallback>
              </mc:AlternateContent>
            </w:r>
            <w:r>
              <w:rPr>
                <w:rFonts w:hint="eastAsia"/>
                <w:bCs/>
              </w:rPr>
              <mc:AlternateContent>
                <mc:Choice Requires="wps">
                  <w:drawing>
                    <wp:anchor distT="0" distB="0" distL="114300" distR="114300" simplePos="0" relativeHeight="251667456" behindDoc="0" locked="0" layoutInCell="1" allowOverlap="1">
                      <wp:simplePos x="0" y="0"/>
                      <wp:positionH relativeFrom="column">
                        <wp:posOffset>375920</wp:posOffset>
                      </wp:positionH>
                      <wp:positionV relativeFrom="paragraph">
                        <wp:posOffset>-33020</wp:posOffset>
                      </wp:positionV>
                      <wp:extent cx="368300" cy="909320"/>
                      <wp:effectExtent l="0" t="0" r="31750" b="24130"/>
                      <wp:wrapNone/>
                      <wp:docPr id="38" name="直接连接符 38"/>
                      <wp:cNvGraphicFramePr/>
                      <a:graphic xmlns:a="http://schemas.openxmlformats.org/drawingml/2006/main">
                        <a:graphicData uri="http://schemas.microsoft.com/office/word/2010/wordprocessingShape">
                          <wps:wsp>
                            <wps:cNvCnPr>
                              <a:cxnSpLocks noChangeShapeType="1"/>
                            </wps:cNvCnPr>
                            <wps:spPr bwMode="auto">
                              <a:xfrm>
                                <a:off x="0" y="0"/>
                                <a:ext cx="368300" cy="909320"/>
                              </a:xfrm>
                              <a:prstGeom prst="line">
                                <a:avLst/>
                              </a:prstGeom>
                              <a:noFill/>
                              <a:ln w="3175">
                                <a:solidFill>
                                  <a:srgbClr val="000000"/>
                                </a:solidFill>
                                <a:round/>
                              </a:ln>
                              <a:effectLst/>
                            </wps:spPr>
                            <wps:bodyPr/>
                          </wps:wsp>
                        </a:graphicData>
                      </a:graphic>
                    </wp:anchor>
                  </w:drawing>
                </mc:Choice>
                <mc:Fallback>
                  <w:pict>
                    <v:line id="_x0000_s1026" o:spid="_x0000_s1026" o:spt="20" style="position:absolute;left:0pt;margin-left:29.6pt;margin-top:-2.6pt;height:71.6pt;width:29pt;z-index:251667456;mso-width-relative:page;mso-height-relative:page;" filled="f" stroked="t" coordsize="21600,21600" o:gfxdata="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qntCzZAAAACQEAAA8AAAAAAAAAAQAgAAAAIgAAAGRycy9kb3ducmV2LnhtbFBLAQIUABQA&#10;AAAIAIdO4kDrEMVs7wEAAL4DAAAOAAAAAAAAAAEAIAAAACgBAABkcnMvZTJvRG9jLnhtbFBLBQYA&#10;AAAABgAGAFkBAACJBQAAAAA=&#10;">
                      <v:fill on="f" focussize="0,0"/>
                      <v:stroke weight="0.25pt" color="#000000" joinstyle="round"/>
                      <v:imagedata o:title=""/>
                      <o:lock v:ext="edit" aspectratio="f"/>
                    </v:line>
                  </w:pict>
                </mc:Fallback>
              </mc:AlternateContent>
            </w:r>
            <w:r>
              <w:rPr>
                <w:rFonts w:hint="eastAsia"/>
                <w:bCs/>
              </w:rPr>
              <mc:AlternateContent>
                <mc:Choice Requires="wps">
                  <w:drawing>
                    <wp:anchor distT="0" distB="0" distL="114300" distR="114300" simplePos="0" relativeHeight="251668480" behindDoc="0" locked="0" layoutInCell="1" allowOverlap="1">
                      <wp:simplePos x="0" y="0"/>
                      <wp:positionH relativeFrom="column">
                        <wp:posOffset>-87630</wp:posOffset>
                      </wp:positionH>
                      <wp:positionV relativeFrom="paragraph">
                        <wp:posOffset>353695</wp:posOffset>
                      </wp:positionV>
                      <wp:extent cx="831850" cy="483235"/>
                      <wp:effectExtent l="0" t="0" r="25400" b="31115"/>
                      <wp:wrapNone/>
                      <wp:docPr id="36" name="直接连接符 36"/>
                      <wp:cNvGraphicFramePr/>
                      <a:graphic xmlns:a="http://schemas.openxmlformats.org/drawingml/2006/main">
                        <a:graphicData uri="http://schemas.microsoft.com/office/word/2010/wordprocessingShape">
                          <wps:wsp>
                            <wps:cNvCnPr>
                              <a:cxnSpLocks noChangeShapeType="1"/>
                            </wps:cNvCnPr>
                            <wps:spPr bwMode="auto">
                              <a:xfrm>
                                <a:off x="0" y="0"/>
                                <a:ext cx="831850" cy="483235"/>
                              </a:xfrm>
                              <a:prstGeom prst="line">
                                <a:avLst/>
                              </a:prstGeom>
                              <a:noFill/>
                              <a:ln w="3175">
                                <a:solidFill>
                                  <a:srgbClr val="000000"/>
                                </a:solidFill>
                                <a:round/>
                              </a:ln>
                              <a:effectLst/>
                            </wps:spPr>
                            <wps:bodyPr/>
                          </wps:wsp>
                        </a:graphicData>
                      </a:graphic>
                    </wp:anchor>
                  </w:drawing>
                </mc:Choice>
                <mc:Fallback>
                  <w:pict>
                    <v:line id="_x0000_s1026" o:spid="_x0000_s1026" o:spt="20" style="position:absolute;left:0pt;margin-left:-6.9pt;margin-top:27.85pt;height:38.05pt;width:65.5pt;z-index:251668480;mso-width-relative:page;mso-height-relative:page;" filled="f" stroked="t" coordsize="21600,21600" o:gfxdata="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KE9Nb2wAAAAoBAAAPAAAAAAAAAAEAIAAAACIAAABkcnMvZG93bnJldi54bWxQSwECFAAU&#10;AAAACACHTuJAi7YsFu4BAAC+AwAADgAAAAAAAAABACAAAAAqAQAAZHJzL2Uyb0RvYy54bWxQSwUG&#10;AAAAAAYABgBZAQAAigUAAAAA&#10;">
                      <v:fill on="f" focussize="0,0"/>
                      <v:stroke weight="0.25pt" color="#000000" joinstyle="round"/>
                      <v:imagedata o:title=""/>
                      <o:lock v:ext="edit" aspectratio="f"/>
                    </v:line>
                  </w:pict>
                </mc:Fallback>
              </mc:AlternateContent>
            </w:r>
            <w:r>
              <w:rPr>
                <w:rFonts w:hint="eastAsia"/>
              </w:rPr>
              <w:t xml:space="preserve"> </w:t>
            </w:r>
            <w:r>
              <w:t xml:space="preserve">       </w:t>
            </w:r>
          </w:p>
        </w:tc>
        <w:tc>
          <w:tcPr>
            <w:tcW w:w="12376" w:type="dxa"/>
            <w:gridSpan w:val="12"/>
            <w:tcBorders>
              <w:top w:val="single" w:color="auto" w:sz="24" w:space="0"/>
              <w:right w:val="single" w:color="auto" w:sz="24" w:space="0"/>
            </w:tcBorders>
            <w:vAlign w:val="center"/>
          </w:tcPr>
          <w:p>
            <w:pPr>
              <w:tabs>
                <w:tab w:val="left" w:pos="1251"/>
              </w:tabs>
              <w:ind w:firstLine="0" w:firstLineChars="0"/>
              <w:jc w:val="center"/>
            </w:pPr>
            <w:r>
              <w:rPr>
                <w:rFonts w:hint="eastAsia"/>
              </w:rPr>
              <w:t>2</w:t>
            </w:r>
            <w:r>
              <w:t>025</w:t>
            </w:r>
            <w:r>
              <w:rPr>
                <w:rFonts w:hint="eastAsia"/>
              </w:rPr>
              <w:t>年</w:t>
            </w: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983" w:type="dxa"/>
            <w:vMerge w:val="continue"/>
            <w:vAlign w:val="center"/>
          </w:tcPr>
          <w:p>
            <w:pPr>
              <w:tabs>
                <w:tab w:val="left" w:pos="1251"/>
              </w:tabs>
              <w:ind w:firstLine="0" w:firstLineChars="0"/>
              <w:jc w:val="center"/>
            </w:pPr>
          </w:p>
        </w:tc>
        <w:tc>
          <w:tcPr>
            <w:tcW w:w="1028" w:type="dxa"/>
            <w:tcBorders>
              <w:left w:val="single" w:color="auto" w:sz="4" w:space="0"/>
            </w:tcBorders>
            <w:vAlign w:val="center"/>
          </w:tcPr>
          <w:p>
            <w:pPr>
              <w:tabs>
                <w:tab w:val="left" w:pos="1251"/>
              </w:tabs>
              <w:ind w:firstLine="0" w:firstLineChars="0"/>
              <w:jc w:val="center"/>
            </w:pPr>
            <w:r>
              <w:rPr>
                <w:rFonts w:hint="eastAsia"/>
              </w:rPr>
              <w:t>1</w:t>
            </w:r>
          </w:p>
        </w:tc>
        <w:tc>
          <w:tcPr>
            <w:tcW w:w="1028" w:type="dxa"/>
            <w:vAlign w:val="center"/>
          </w:tcPr>
          <w:p>
            <w:pPr>
              <w:tabs>
                <w:tab w:val="left" w:pos="1251"/>
              </w:tabs>
              <w:ind w:firstLine="0" w:firstLineChars="0"/>
              <w:jc w:val="center"/>
            </w:pPr>
            <w:r>
              <w:rPr>
                <w:rFonts w:hint="eastAsia"/>
              </w:rPr>
              <w:t>2</w:t>
            </w:r>
          </w:p>
        </w:tc>
        <w:tc>
          <w:tcPr>
            <w:tcW w:w="1030" w:type="dxa"/>
            <w:tcBorders>
              <w:right w:val="single" w:color="auto" w:sz="4" w:space="0"/>
            </w:tcBorders>
            <w:vAlign w:val="center"/>
          </w:tcPr>
          <w:p>
            <w:pPr>
              <w:tabs>
                <w:tab w:val="left" w:pos="1251"/>
              </w:tabs>
              <w:ind w:firstLine="0" w:firstLineChars="0"/>
              <w:jc w:val="center"/>
            </w:pPr>
            <w:r>
              <w:rPr>
                <w:rFonts w:hint="eastAsia"/>
              </w:rPr>
              <w:t>3</w:t>
            </w:r>
          </w:p>
        </w:tc>
        <w:tc>
          <w:tcPr>
            <w:tcW w:w="1030" w:type="dxa"/>
            <w:tcBorders>
              <w:left w:val="single" w:color="auto" w:sz="4" w:space="0"/>
            </w:tcBorders>
            <w:vAlign w:val="center"/>
          </w:tcPr>
          <w:p>
            <w:pPr>
              <w:tabs>
                <w:tab w:val="left" w:pos="1251"/>
              </w:tabs>
              <w:ind w:firstLine="0" w:firstLineChars="0"/>
              <w:jc w:val="center"/>
            </w:pPr>
            <w:r>
              <w:rPr>
                <w:rFonts w:hint="eastAsia"/>
              </w:rPr>
              <w:t>4</w:t>
            </w:r>
          </w:p>
        </w:tc>
        <w:tc>
          <w:tcPr>
            <w:tcW w:w="1030" w:type="dxa"/>
            <w:vAlign w:val="center"/>
          </w:tcPr>
          <w:p>
            <w:pPr>
              <w:tabs>
                <w:tab w:val="left" w:pos="1251"/>
              </w:tabs>
              <w:ind w:firstLine="0" w:firstLineChars="0"/>
              <w:jc w:val="center"/>
            </w:pPr>
            <w:r>
              <w:rPr>
                <w:rFonts w:hint="eastAsia"/>
              </w:rPr>
              <w:t>5</w:t>
            </w:r>
          </w:p>
        </w:tc>
        <w:tc>
          <w:tcPr>
            <w:tcW w:w="1030" w:type="dxa"/>
            <w:vAlign w:val="center"/>
          </w:tcPr>
          <w:p>
            <w:pPr>
              <w:tabs>
                <w:tab w:val="left" w:pos="1251"/>
              </w:tabs>
              <w:ind w:firstLine="0" w:firstLineChars="0"/>
              <w:jc w:val="center"/>
            </w:pPr>
            <w:r>
              <w:rPr>
                <w:rFonts w:hint="eastAsia"/>
              </w:rPr>
              <w:t>6</w:t>
            </w:r>
          </w:p>
        </w:tc>
        <w:tc>
          <w:tcPr>
            <w:tcW w:w="1028" w:type="dxa"/>
            <w:vAlign w:val="center"/>
          </w:tcPr>
          <w:p>
            <w:pPr>
              <w:tabs>
                <w:tab w:val="left" w:pos="1251"/>
              </w:tabs>
              <w:ind w:firstLine="0" w:firstLineChars="0"/>
              <w:jc w:val="center"/>
            </w:pPr>
            <w:r>
              <w:rPr>
                <w:rFonts w:hint="eastAsia"/>
              </w:rPr>
              <w:t>7</w:t>
            </w:r>
          </w:p>
        </w:tc>
        <w:tc>
          <w:tcPr>
            <w:tcW w:w="1031" w:type="dxa"/>
            <w:vAlign w:val="center"/>
          </w:tcPr>
          <w:p>
            <w:pPr>
              <w:tabs>
                <w:tab w:val="left" w:pos="1251"/>
              </w:tabs>
              <w:ind w:firstLine="0" w:firstLineChars="0"/>
              <w:jc w:val="center"/>
            </w:pPr>
            <w:r>
              <w:rPr>
                <w:rFonts w:hint="eastAsia"/>
              </w:rPr>
              <w:t>8</w:t>
            </w:r>
          </w:p>
        </w:tc>
        <w:tc>
          <w:tcPr>
            <w:tcW w:w="1028" w:type="dxa"/>
            <w:vAlign w:val="center"/>
          </w:tcPr>
          <w:p>
            <w:pPr>
              <w:tabs>
                <w:tab w:val="left" w:pos="1251"/>
              </w:tabs>
              <w:ind w:firstLine="0" w:firstLineChars="0"/>
              <w:jc w:val="center"/>
            </w:pPr>
            <w:r>
              <w:rPr>
                <w:rFonts w:hint="eastAsia"/>
              </w:rPr>
              <w:t>9</w:t>
            </w:r>
          </w:p>
        </w:tc>
        <w:tc>
          <w:tcPr>
            <w:tcW w:w="1036" w:type="dxa"/>
            <w:vAlign w:val="center"/>
          </w:tcPr>
          <w:p>
            <w:pPr>
              <w:tabs>
                <w:tab w:val="left" w:pos="1251"/>
              </w:tabs>
              <w:ind w:firstLine="0" w:firstLineChars="0"/>
              <w:jc w:val="center"/>
            </w:pPr>
            <w:r>
              <w:rPr>
                <w:rFonts w:hint="eastAsia"/>
              </w:rPr>
              <w:t>1</w:t>
            </w:r>
            <w:r>
              <w:t>0</w:t>
            </w:r>
          </w:p>
        </w:tc>
        <w:tc>
          <w:tcPr>
            <w:tcW w:w="1030" w:type="dxa"/>
            <w:vAlign w:val="center"/>
          </w:tcPr>
          <w:p>
            <w:pPr>
              <w:tabs>
                <w:tab w:val="left" w:pos="1251"/>
              </w:tabs>
              <w:ind w:firstLine="0" w:firstLineChars="0"/>
              <w:jc w:val="center"/>
            </w:pPr>
            <w:r>
              <w:rPr>
                <w:rFonts w:hint="eastAsia"/>
              </w:rPr>
              <w:t>1</w:t>
            </w:r>
            <w:r>
              <w:t>1</w:t>
            </w:r>
          </w:p>
        </w:tc>
        <w:tc>
          <w:tcPr>
            <w:tcW w:w="1047" w:type="dxa"/>
            <w:vAlign w:val="center"/>
          </w:tcPr>
          <w:p>
            <w:pPr>
              <w:tabs>
                <w:tab w:val="left" w:pos="1251"/>
              </w:tabs>
              <w:ind w:firstLine="0" w:firstLineChars="0"/>
              <w:jc w:val="center"/>
            </w:pPr>
            <w:r>
              <w:t>12</w:t>
            </w: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983" w:type="dxa"/>
            <w:vMerge w:val="restart"/>
            <w:vAlign w:val="center"/>
          </w:tcPr>
          <w:p>
            <w:pPr>
              <w:spacing w:after="120" w:afterLines="50" w:line="240" w:lineRule="auto"/>
              <w:ind w:firstLine="0" w:firstLineChars="0"/>
              <w:jc w:val="center"/>
              <w:rPr>
                <w:rFonts w:ascii="宋体" w:hAnsi="宋体" w:cs="宋体"/>
                <w:sz w:val="22"/>
              </w:rPr>
            </w:pPr>
            <w:r>
              <w:rPr>
                <w:rFonts w:hint="eastAsia" w:ascii="宋体" w:hAnsi="宋体" w:cs="宋体"/>
                <w:sz w:val="22"/>
              </w:rPr>
              <w:t>编制项目建议书、可行性研究报告及审批</w:t>
            </w:r>
          </w:p>
        </w:tc>
        <w:tc>
          <w:tcPr>
            <w:tcW w:w="1028"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shd w:val="clear" w:color="auto" w:fill="C0504D" w:themeFill="accent2"/>
            <w:vAlign w:val="center"/>
          </w:tcPr>
          <w:p>
            <w:pPr>
              <w:tabs>
                <w:tab w:val="left" w:pos="1251"/>
              </w:tabs>
              <w:ind w:firstLine="0" w:firstLineChars="0"/>
              <w:jc w:val="both"/>
              <w:rPr>
                <w:rFonts w:ascii="Times New Roman" w:hAnsi="Times New Roman" w:eastAsia="宋体" w:cs="Times New Roman"/>
                <w:kern w:val="2"/>
                <w:sz w:val="28"/>
                <w:szCs w:val="24"/>
                <w:lang w:val="en-US" w:eastAsia="zh-CN" w:bidi="ar-SA"/>
              </w:rPr>
            </w:pPr>
          </w:p>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1"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6"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47" w:type="dxa"/>
            <w:vMerge w:val="restart"/>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1983" w:type="dxa"/>
            <w:vMerge w:val="continue"/>
            <w:vAlign w:val="center"/>
          </w:tcPr>
          <w:p>
            <w:pPr>
              <w:spacing w:after="120" w:afterLines="50" w:line="240" w:lineRule="auto"/>
              <w:ind w:firstLine="0" w:firstLineChars="0"/>
              <w:jc w:val="center"/>
              <w:rPr>
                <w:rFonts w:ascii="宋体" w:hAnsi="宋体" w:cs="宋体"/>
                <w:sz w:val="22"/>
              </w:rPr>
            </w:pPr>
          </w:p>
        </w:tc>
        <w:tc>
          <w:tcPr>
            <w:tcW w:w="1028"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shd w:val="clear" w:color="auto" w:fill="C0504D" w:themeFill="accent2"/>
            <w:vAlign w:val="center"/>
          </w:tcPr>
          <w:p>
            <w:pPr>
              <w:tabs>
                <w:tab w:val="left" w:pos="1251"/>
              </w:tabs>
              <w:ind w:firstLine="0" w:firstLineChars="0"/>
              <w:jc w:val="center"/>
              <w:rPr>
                <w:rFonts w:ascii="Times New Roman" w:hAnsi="Times New Roman" w:eastAsia="宋体" w:cs="Times New Roman"/>
                <w:kern w:val="2"/>
                <w:sz w:val="28"/>
                <w:szCs w:val="24"/>
                <w:lang w:val="en-US" w:eastAsia="zh-CN" w:bidi="ar-SA"/>
              </w:rPr>
            </w:pPr>
          </w:p>
        </w:tc>
        <w:tc>
          <w:tcPr>
            <w:tcW w:w="1030"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1"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6"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47" w:type="dxa"/>
            <w:vMerge w:val="continue"/>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983" w:type="dxa"/>
            <w:vMerge w:val="restart"/>
            <w:vAlign w:val="center"/>
          </w:tcPr>
          <w:p>
            <w:pPr>
              <w:tabs>
                <w:tab w:val="left" w:pos="1251"/>
              </w:tabs>
              <w:spacing w:line="240" w:lineRule="auto"/>
              <w:ind w:firstLine="0" w:firstLineChars="0"/>
              <w:jc w:val="center"/>
              <w:rPr>
                <w:sz w:val="22"/>
              </w:rPr>
            </w:pPr>
            <w:r>
              <w:rPr>
                <w:rFonts w:hint="eastAsia" w:ascii="宋体" w:hAnsi="宋体" w:cs="宋体"/>
                <w:sz w:val="22"/>
              </w:rPr>
              <w:t>勘察、初步设计施工图设计</w:t>
            </w:r>
          </w:p>
        </w:tc>
        <w:tc>
          <w:tcPr>
            <w:tcW w:w="1028"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shd w:val="clear" w:color="auto" w:fill="C0504D" w:themeFill="accent2"/>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1"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6"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47" w:type="dxa"/>
            <w:vMerge w:val="restart"/>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983" w:type="dxa"/>
            <w:vMerge w:val="continue"/>
            <w:vAlign w:val="center"/>
          </w:tcPr>
          <w:p>
            <w:pPr>
              <w:tabs>
                <w:tab w:val="left" w:pos="1251"/>
              </w:tabs>
              <w:spacing w:line="240" w:lineRule="auto"/>
              <w:ind w:firstLine="0" w:firstLineChars="0"/>
              <w:jc w:val="center"/>
              <w:rPr>
                <w:rFonts w:ascii="宋体" w:hAnsi="宋体" w:cs="宋体"/>
                <w:sz w:val="22"/>
              </w:rPr>
            </w:pPr>
          </w:p>
        </w:tc>
        <w:tc>
          <w:tcPr>
            <w:tcW w:w="1028"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shd w:val="clear" w:color="auto" w:fill="C0504D" w:themeFill="accent2"/>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1"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6"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47" w:type="dxa"/>
            <w:vMerge w:val="continue"/>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983" w:type="dxa"/>
            <w:vMerge w:val="restart"/>
            <w:vAlign w:val="center"/>
          </w:tcPr>
          <w:p>
            <w:pPr>
              <w:tabs>
                <w:tab w:val="left" w:pos="1251"/>
              </w:tabs>
              <w:spacing w:line="240" w:lineRule="auto"/>
              <w:ind w:firstLine="0" w:firstLineChars="0"/>
              <w:jc w:val="center"/>
              <w:rPr>
                <w:sz w:val="22"/>
              </w:rPr>
            </w:pPr>
            <w:r>
              <w:rPr>
                <w:rFonts w:hint="eastAsia" w:ascii="宋体" w:hAnsi="宋体" w:cs="宋体"/>
                <w:sz w:val="22"/>
              </w:rPr>
              <w:t>项目招投标及办理相关建设手续</w:t>
            </w:r>
          </w:p>
        </w:tc>
        <w:tc>
          <w:tcPr>
            <w:tcW w:w="1028"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28" w:type="dxa"/>
            <w:vMerge w:val="restart"/>
            <w:shd w:val="clear" w:color="auto" w:fill="C0504D" w:themeFill="accent2"/>
            <w:vAlign w:val="center"/>
          </w:tcPr>
          <w:p>
            <w:pPr>
              <w:tabs>
                <w:tab w:val="left" w:pos="1251"/>
              </w:tabs>
              <w:ind w:firstLine="0" w:firstLineChars="0"/>
              <w:jc w:val="center"/>
            </w:pPr>
          </w:p>
        </w:tc>
        <w:tc>
          <w:tcPr>
            <w:tcW w:w="1031"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6"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47" w:type="dxa"/>
            <w:vMerge w:val="restart"/>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983" w:type="dxa"/>
            <w:vMerge w:val="continue"/>
            <w:vAlign w:val="center"/>
          </w:tcPr>
          <w:p>
            <w:pPr>
              <w:tabs>
                <w:tab w:val="left" w:pos="1251"/>
              </w:tabs>
              <w:spacing w:line="240" w:lineRule="auto"/>
              <w:ind w:firstLine="0" w:firstLineChars="0"/>
              <w:jc w:val="center"/>
              <w:rPr>
                <w:rFonts w:ascii="宋体" w:hAnsi="宋体" w:cs="宋体"/>
                <w:sz w:val="22"/>
              </w:rPr>
            </w:pPr>
          </w:p>
        </w:tc>
        <w:tc>
          <w:tcPr>
            <w:tcW w:w="1028"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28" w:type="dxa"/>
            <w:vMerge w:val="continue"/>
            <w:shd w:val="clear" w:color="auto" w:fill="C0504D" w:themeFill="accent2"/>
            <w:vAlign w:val="center"/>
          </w:tcPr>
          <w:p>
            <w:pPr>
              <w:tabs>
                <w:tab w:val="left" w:pos="1251"/>
              </w:tabs>
              <w:ind w:firstLine="0" w:firstLineChars="0"/>
              <w:jc w:val="center"/>
            </w:pPr>
          </w:p>
        </w:tc>
        <w:tc>
          <w:tcPr>
            <w:tcW w:w="1031" w:type="dxa"/>
            <w:vMerge w:val="continue"/>
            <w:vAlign w:val="center"/>
          </w:tcPr>
          <w:p>
            <w:pPr>
              <w:tabs>
                <w:tab w:val="left" w:pos="1251"/>
              </w:tabs>
              <w:ind w:firstLine="0" w:firstLineChars="0"/>
              <w:jc w:val="center"/>
            </w:pPr>
          </w:p>
        </w:tc>
        <w:tc>
          <w:tcPr>
            <w:tcW w:w="1028" w:type="dxa"/>
            <w:vMerge w:val="continue"/>
            <w:vAlign w:val="center"/>
          </w:tcPr>
          <w:p>
            <w:pPr>
              <w:tabs>
                <w:tab w:val="left" w:pos="1251"/>
              </w:tabs>
              <w:ind w:firstLine="0" w:firstLineChars="0"/>
              <w:jc w:val="center"/>
            </w:pPr>
          </w:p>
        </w:tc>
        <w:tc>
          <w:tcPr>
            <w:tcW w:w="1036" w:type="dxa"/>
            <w:vMerge w:val="continue"/>
            <w:vAlign w:val="center"/>
          </w:tcPr>
          <w:p>
            <w:pPr>
              <w:tabs>
                <w:tab w:val="left" w:pos="1251"/>
              </w:tabs>
              <w:ind w:firstLine="0" w:firstLineChars="0"/>
              <w:jc w:val="center"/>
            </w:pPr>
          </w:p>
        </w:tc>
        <w:tc>
          <w:tcPr>
            <w:tcW w:w="1030" w:type="dxa"/>
            <w:vMerge w:val="continue"/>
            <w:vAlign w:val="center"/>
          </w:tcPr>
          <w:p>
            <w:pPr>
              <w:tabs>
                <w:tab w:val="left" w:pos="1251"/>
              </w:tabs>
              <w:ind w:firstLine="0" w:firstLineChars="0"/>
              <w:jc w:val="center"/>
            </w:pPr>
          </w:p>
        </w:tc>
        <w:tc>
          <w:tcPr>
            <w:tcW w:w="1047" w:type="dxa"/>
            <w:vMerge w:val="continue"/>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135" w:hRule="atLeast"/>
        </w:trPr>
        <w:tc>
          <w:tcPr>
            <w:tcW w:w="1983" w:type="dxa"/>
            <w:vMerge w:val="restart"/>
            <w:vAlign w:val="center"/>
          </w:tcPr>
          <w:p>
            <w:pPr>
              <w:tabs>
                <w:tab w:val="left" w:pos="1251"/>
              </w:tabs>
              <w:spacing w:line="240" w:lineRule="auto"/>
              <w:ind w:firstLine="0" w:firstLineChars="0"/>
              <w:jc w:val="center"/>
              <w:rPr>
                <w:sz w:val="22"/>
              </w:rPr>
            </w:pPr>
            <w:r>
              <w:rPr>
                <w:rFonts w:hint="eastAsia" w:ascii="宋体" w:hAnsi="宋体" w:cs="宋体"/>
                <w:sz w:val="22"/>
              </w:rPr>
              <w:t>土建建设期</w:t>
            </w:r>
          </w:p>
        </w:tc>
        <w:tc>
          <w:tcPr>
            <w:tcW w:w="1028"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30" w:type="dxa"/>
            <w:vMerge w:val="restart"/>
            <w:vAlign w:val="center"/>
          </w:tcPr>
          <w:p>
            <w:pPr>
              <w:tabs>
                <w:tab w:val="left" w:pos="1251"/>
              </w:tabs>
              <w:ind w:firstLine="0" w:firstLineChars="0"/>
              <w:jc w:val="center"/>
            </w:pPr>
          </w:p>
        </w:tc>
        <w:tc>
          <w:tcPr>
            <w:tcW w:w="1028" w:type="dxa"/>
            <w:vMerge w:val="restart"/>
            <w:vAlign w:val="center"/>
          </w:tcPr>
          <w:p>
            <w:pPr>
              <w:tabs>
                <w:tab w:val="left" w:pos="1251"/>
              </w:tabs>
              <w:ind w:firstLine="0" w:firstLineChars="0"/>
              <w:jc w:val="center"/>
            </w:pPr>
          </w:p>
        </w:tc>
        <w:tc>
          <w:tcPr>
            <w:tcW w:w="1031" w:type="dxa"/>
            <w:vMerge w:val="restart"/>
            <w:shd w:val="clear" w:color="auto" w:fill="C0504D" w:themeFill="accent2"/>
            <w:vAlign w:val="center"/>
          </w:tcPr>
          <w:p>
            <w:pPr>
              <w:tabs>
                <w:tab w:val="left" w:pos="1251"/>
              </w:tabs>
              <w:ind w:firstLine="0" w:firstLineChars="0"/>
              <w:jc w:val="center"/>
            </w:pPr>
          </w:p>
        </w:tc>
        <w:tc>
          <w:tcPr>
            <w:tcW w:w="1028" w:type="dxa"/>
            <w:vMerge w:val="restart"/>
            <w:shd w:val="clear" w:color="auto" w:fill="C0504D" w:themeFill="accent2"/>
            <w:vAlign w:val="center"/>
          </w:tcPr>
          <w:p>
            <w:pPr>
              <w:tabs>
                <w:tab w:val="left" w:pos="1251"/>
              </w:tabs>
              <w:ind w:firstLine="0" w:firstLineChars="0"/>
              <w:jc w:val="center"/>
            </w:pPr>
          </w:p>
        </w:tc>
        <w:tc>
          <w:tcPr>
            <w:tcW w:w="1036" w:type="dxa"/>
            <w:vMerge w:val="restart"/>
            <w:shd w:val="clear" w:color="auto" w:fill="C0504D" w:themeFill="accent2"/>
            <w:vAlign w:val="center"/>
          </w:tcPr>
          <w:p>
            <w:pPr>
              <w:tabs>
                <w:tab w:val="left" w:pos="1251"/>
              </w:tabs>
              <w:ind w:firstLine="0" w:firstLineChars="0"/>
              <w:jc w:val="center"/>
            </w:pPr>
          </w:p>
        </w:tc>
        <w:tc>
          <w:tcPr>
            <w:tcW w:w="1030" w:type="dxa"/>
            <w:vMerge w:val="restart"/>
            <w:shd w:val="clear" w:color="auto" w:fill="C0504D" w:themeFill="accent2"/>
            <w:vAlign w:val="center"/>
          </w:tcPr>
          <w:p>
            <w:pPr>
              <w:tabs>
                <w:tab w:val="left" w:pos="1251"/>
              </w:tabs>
              <w:ind w:firstLine="0" w:firstLineChars="0"/>
              <w:jc w:val="center"/>
            </w:pPr>
          </w:p>
        </w:tc>
        <w:tc>
          <w:tcPr>
            <w:tcW w:w="1047" w:type="dxa"/>
            <w:vAlign w:val="center"/>
          </w:tcPr>
          <w:p>
            <w:pPr>
              <w:tabs>
                <w:tab w:val="left" w:pos="1251"/>
              </w:tabs>
              <w:ind w:firstLine="0" w:firstLineChars="0"/>
              <w:jc w:val="center"/>
            </w:pPr>
          </w:p>
        </w:tc>
      </w:tr>
      <w:tr>
        <w:tblPrEx>
          <w:tblBorders>
            <w:top w:val="single" w:color="auto" w:sz="24" w:space="0"/>
            <w:left w:val="single" w:color="auto" w:sz="24" w:space="0"/>
            <w:bottom w:val="single" w:color="auto" w:sz="24" w:space="0"/>
            <w:right w:val="single" w:color="auto" w:sz="24" w:space="0"/>
            <w:insideH w:val="single" w:color="auto" w:sz="6" w:space="0"/>
            <w:insideV w:val="single" w:color="auto" w:sz="6" w:space="0"/>
          </w:tblBorders>
          <w:tblCellMar>
            <w:top w:w="0" w:type="dxa"/>
            <w:left w:w="108" w:type="dxa"/>
            <w:bottom w:w="0" w:type="dxa"/>
            <w:right w:w="108" w:type="dxa"/>
          </w:tblCellMar>
        </w:tblPrEx>
        <w:trPr>
          <w:trHeight w:val="1195" w:hRule="atLeast"/>
        </w:trPr>
        <w:tc>
          <w:tcPr>
            <w:tcW w:w="1983" w:type="dxa"/>
            <w:vAlign w:val="center"/>
          </w:tcPr>
          <w:p>
            <w:pPr>
              <w:tabs>
                <w:tab w:val="left" w:pos="1251"/>
              </w:tabs>
              <w:spacing w:line="240" w:lineRule="auto"/>
              <w:ind w:firstLine="0" w:firstLineChars="0"/>
              <w:jc w:val="center"/>
              <w:rPr>
                <w:sz w:val="22"/>
              </w:rPr>
            </w:pPr>
            <w:r>
              <w:rPr>
                <w:rFonts w:hint="eastAsia" w:ascii="宋体" w:hAnsi="宋体" w:cs="宋体"/>
                <w:sz w:val="22"/>
              </w:rPr>
              <w:t>竣工验收、交付使用</w:t>
            </w:r>
          </w:p>
        </w:tc>
        <w:tc>
          <w:tcPr>
            <w:tcW w:w="1028" w:type="dxa"/>
            <w:vAlign w:val="center"/>
          </w:tcPr>
          <w:p>
            <w:pPr>
              <w:tabs>
                <w:tab w:val="left" w:pos="1251"/>
              </w:tabs>
              <w:ind w:firstLine="0" w:firstLineChars="0"/>
              <w:jc w:val="center"/>
            </w:pPr>
          </w:p>
        </w:tc>
        <w:tc>
          <w:tcPr>
            <w:tcW w:w="1028" w:type="dxa"/>
            <w:vAlign w:val="center"/>
          </w:tcPr>
          <w:p>
            <w:pPr>
              <w:tabs>
                <w:tab w:val="left" w:pos="1251"/>
              </w:tabs>
              <w:ind w:firstLine="0" w:firstLineChars="0"/>
              <w:jc w:val="center"/>
            </w:pPr>
          </w:p>
        </w:tc>
        <w:tc>
          <w:tcPr>
            <w:tcW w:w="1030" w:type="dxa"/>
            <w:vAlign w:val="center"/>
          </w:tcPr>
          <w:p>
            <w:pPr>
              <w:tabs>
                <w:tab w:val="left" w:pos="1251"/>
              </w:tabs>
              <w:ind w:firstLine="0" w:firstLineChars="0"/>
              <w:jc w:val="center"/>
            </w:pPr>
          </w:p>
        </w:tc>
        <w:tc>
          <w:tcPr>
            <w:tcW w:w="1030" w:type="dxa"/>
            <w:vAlign w:val="center"/>
          </w:tcPr>
          <w:p>
            <w:pPr>
              <w:tabs>
                <w:tab w:val="left" w:pos="1251"/>
              </w:tabs>
              <w:ind w:firstLine="0" w:firstLineChars="0"/>
              <w:jc w:val="center"/>
            </w:pPr>
          </w:p>
        </w:tc>
        <w:tc>
          <w:tcPr>
            <w:tcW w:w="1030" w:type="dxa"/>
            <w:vAlign w:val="center"/>
          </w:tcPr>
          <w:p>
            <w:pPr>
              <w:tabs>
                <w:tab w:val="left" w:pos="1251"/>
              </w:tabs>
              <w:ind w:firstLine="0" w:firstLineChars="0"/>
              <w:jc w:val="center"/>
            </w:pPr>
          </w:p>
        </w:tc>
        <w:tc>
          <w:tcPr>
            <w:tcW w:w="1030" w:type="dxa"/>
            <w:vAlign w:val="center"/>
          </w:tcPr>
          <w:p>
            <w:pPr>
              <w:tabs>
                <w:tab w:val="left" w:pos="1251"/>
              </w:tabs>
              <w:ind w:firstLine="0" w:firstLineChars="0"/>
              <w:jc w:val="center"/>
            </w:pPr>
          </w:p>
        </w:tc>
        <w:tc>
          <w:tcPr>
            <w:tcW w:w="1028" w:type="dxa"/>
            <w:vAlign w:val="center"/>
          </w:tcPr>
          <w:p>
            <w:pPr>
              <w:tabs>
                <w:tab w:val="left" w:pos="1251"/>
              </w:tabs>
              <w:ind w:firstLine="0" w:firstLineChars="0"/>
              <w:jc w:val="center"/>
            </w:pPr>
          </w:p>
        </w:tc>
        <w:tc>
          <w:tcPr>
            <w:tcW w:w="1031" w:type="dxa"/>
            <w:vAlign w:val="center"/>
          </w:tcPr>
          <w:p>
            <w:pPr>
              <w:tabs>
                <w:tab w:val="left" w:pos="1251"/>
              </w:tabs>
              <w:ind w:firstLine="0" w:firstLineChars="0"/>
              <w:jc w:val="center"/>
            </w:pPr>
          </w:p>
        </w:tc>
        <w:tc>
          <w:tcPr>
            <w:tcW w:w="1028" w:type="dxa"/>
            <w:vAlign w:val="center"/>
          </w:tcPr>
          <w:p>
            <w:pPr>
              <w:tabs>
                <w:tab w:val="left" w:pos="1251"/>
              </w:tabs>
              <w:ind w:firstLine="0" w:firstLineChars="0"/>
              <w:jc w:val="center"/>
            </w:pPr>
          </w:p>
        </w:tc>
        <w:tc>
          <w:tcPr>
            <w:tcW w:w="1036" w:type="dxa"/>
            <w:vAlign w:val="center"/>
          </w:tcPr>
          <w:p>
            <w:pPr>
              <w:tabs>
                <w:tab w:val="left" w:pos="1251"/>
              </w:tabs>
              <w:ind w:firstLine="0" w:firstLineChars="0"/>
              <w:jc w:val="center"/>
            </w:pPr>
          </w:p>
        </w:tc>
        <w:tc>
          <w:tcPr>
            <w:tcW w:w="1030" w:type="dxa"/>
            <w:vAlign w:val="center"/>
          </w:tcPr>
          <w:p>
            <w:pPr>
              <w:tabs>
                <w:tab w:val="left" w:pos="1251"/>
              </w:tabs>
              <w:ind w:firstLine="0" w:firstLineChars="0"/>
              <w:jc w:val="center"/>
            </w:pPr>
          </w:p>
        </w:tc>
        <w:tc>
          <w:tcPr>
            <w:tcW w:w="1047" w:type="dxa"/>
            <w:tcBorders>
              <w:bottom w:val="single" w:color="auto" w:sz="24" w:space="0"/>
            </w:tcBorders>
            <w:shd w:val="clear" w:color="auto" w:fill="C0504D" w:themeFill="accent2"/>
            <w:vAlign w:val="center"/>
          </w:tcPr>
          <w:p>
            <w:pPr>
              <w:tabs>
                <w:tab w:val="left" w:pos="1251"/>
              </w:tabs>
              <w:ind w:firstLine="0" w:firstLineChars="0"/>
              <w:jc w:val="center"/>
            </w:pPr>
          </w:p>
        </w:tc>
      </w:tr>
    </w:tbl>
    <w:p>
      <w:pPr>
        <w:ind w:firstLine="560"/>
        <w:sectPr>
          <w:pgSz w:w="16838" w:h="11906" w:orient="landscape"/>
          <w:pgMar w:top="1418" w:right="1440" w:bottom="993" w:left="1440" w:header="851" w:footer="992" w:gutter="0"/>
          <w:cols w:space="425" w:num="1"/>
          <w:docGrid w:linePitch="312" w:charSpace="0"/>
        </w:sectPr>
      </w:pPr>
    </w:p>
    <w:p>
      <w:pPr>
        <w:pStyle w:val="3"/>
        <w:spacing w:before="120" w:beforeLines="50"/>
        <w:rPr>
          <w:rFonts w:ascii="黑体" w:hAnsi="黑体" w:eastAsia="黑体" w:cs="黑体"/>
          <w:b w:val="0"/>
          <w:bCs w:val="0"/>
          <w:sz w:val="32"/>
        </w:rPr>
      </w:pPr>
      <w:bookmarkStart w:id="147" w:name="_Toc169616892"/>
      <w:r>
        <w:rPr>
          <w:rFonts w:hint="eastAsia" w:ascii="黑体" w:hAnsi="黑体" w:eastAsia="黑体" w:cs="黑体"/>
          <w:b w:val="0"/>
          <w:bCs w:val="0"/>
          <w:sz w:val="32"/>
        </w:rPr>
        <w:t>5.</w:t>
      </w:r>
      <w:r>
        <w:rPr>
          <w:rFonts w:ascii="黑体" w:hAnsi="黑体" w:eastAsia="黑体" w:cs="黑体"/>
          <w:b w:val="0"/>
          <w:bCs w:val="0"/>
          <w:sz w:val="32"/>
        </w:rPr>
        <w:t>9</w:t>
      </w:r>
      <w:r>
        <w:rPr>
          <w:rFonts w:hint="eastAsia" w:ascii="黑体" w:hAnsi="黑体" w:eastAsia="黑体" w:cs="黑体"/>
          <w:b w:val="0"/>
          <w:bCs w:val="0"/>
          <w:sz w:val="32"/>
        </w:rPr>
        <w:t>项目招投标</w:t>
      </w:r>
      <w:bookmarkEnd w:id="147"/>
    </w:p>
    <w:p>
      <w:pPr>
        <w:pStyle w:val="4"/>
        <w:spacing w:line="560" w:lineRule="exact"/>
      </w:pPr>
      <w:bookmarkStart w:id="148" w:name="_Toc167703212"/>
      <w:bookmarkStart w:id="149" w:name="_Toc167642113"/>
      <w:bookmarkStart w:id="150" w:name="_Toc167465064"/>
      <w:bookmarkStart w:id="151" w:name="_Toc166061682"/>
      <w:r>
        <w:rPr>
          <w:rFonts w:hint="eastAsia"/>
        </w:rPr>
        <w:t>5.</w:t>
      </w:r>
      <w:r>
        <w:t>9</w:t>
      </w:r>
      <w:r>
        <w:rPr>
          <w:rFonts w:hint="eastAsia"/>
        </w:rPr>
        <w:t>.1编制</w:t>
      </w:r>
      <w:r>
        <w:t>依据</w:t>
      </w:r>
      <w:bookmarkEnd w:id="148"/>
      <w:bookmarkEnd w:id="149"/>
      <w:bookmarkEnd w:id="150"/>
      <w:bookmarkEnd w:id="151"/>
    </w:p>
    <w:p>
      <w:pPr>
        <w:snapToGrid w:val="0"/>
        <w:spacing w:line="600" w:lineRule="exact"/>
        <w:ind w:firstLine="560"/>
        <w:rPr>
          <w:rFonts w:asciiTheme="minorEastAsia" w:hAnsiTheme="minorEastAsia" w:eastAsiaTheme="minorEastAsia"/>
          <w:szCs w:val="28"/>
        </w:rPr>
      </w:pPr>
      <w:r>
        <w:rPr>
          <w:rFonts w:asciiTheme="minorEastAsia" w:hAnsiTheme="minorEastAsia" w:eastAsiaTheme="minorEastAsia"/>
          <w:szCs w:val="28"/>
        </w:rPr>
        <w:t>1.</w:t>
      </w:r>
      <w:r>
        <w:rPr>
          <w:rFonts w:hint="eastAsia" w:asciiTheme="minorEastAsia" w:hAnsiTheme="minorEastAsia" w:eastAsiaTheme="minorEastAsia"/>
          <w:szCs w:val="28"/>
        </w:rPr>
        <w:t>《中华人民共和国招标投标法》（2017 年修订）；</w:t>
      </w:r>
    </w:p>
    <w:p>
      <w:pPr>
        <w:snapToGrid w:val="0"/>
        <w:spacing w:line="600" w:lineRule="exact"/>
        <w:ind w:firstLine="560"/>
        <w:rPr>
          <w:rFonts w:asciiTheme="minorEastAsia" w:hAnsiTheme="minorEastAsia" w:eastAsiaTheme="minorEastAsia"/>
          <w:szCs w:val="28"/>
        </w:rPr>
      </w:pPr>
      <w:r>
        <w:rPr>
          <w:rFonts w:asciiTheme="minorEastAsia" w:hAnsiTheme="minorEastAsia" w:eastAsiaTheme="minorEastAsia"/>
          <w:szCs w:val="28"/>
        </w:rPr>
        <w:t>2.</w:t>
      </w:r>
      <w:r>
        <w:rPr>
          <w:rFonts w:hint="eastAsia" w:asciiTheme="minorEastAsia" w:hAnsiTheme="minorEastAsia" w:eastAsiaTheme="minorEastAsia"/>
          <w:szCs w:val="28"/>
        </w:rPr>
        <w:t>国务院关于《必须招标的工程项目规定》的批复(国函〔2018〕56 号)；</w:t>
      </w:r>
    </w:p>
    <w:p>
      <w:pPr>
        <w:snapToGrid w:val="0"/>
        <w:spacing w:line="600" w:lineRule="exact"/>
        <w:ind w:firstLine="560"/>
        <w:rPr>
          <w:rFonts w:asciiTheme="minorEastAsia" w:hAnsiTheme="minorEastAsia" w:eastAsiaTheme="minorEastAsia"/>
          <w:szCs w:val="28"/>
        </w:rPr>
      </w:pPr>
      <w:r>
        <w:rPr>
          <w:rFonts w:asciiTheme="minorEastAsia" w:hAnsiTheme="minorEastAsia" w:eastAsiaTheme="minorEastAsia"/>
          <w:szCs w:val="28"/>
        </w:rPr>
        <w:t>3.</w:t>
      </w:r>
      <w:r>
        <w:rPr>
          <w:rFonts w:hint="eastAsia" w:asciiTheme="minorEastAsia" w:hAnsiTheme="minorEastAsia" w:eastAsiaTheme="minorEastAsia"/>
          <w:szCs w:val="28"/>
        </w:rPr>
        <w:t>《必须招标的工程项目规定》（国家发展改革委 2018年第 16 号令）；</w:t>
      </w:r>
    </w:p>
    <w:p>
      <w:pPr>
        <w:snapToGrid w:val="0"/>
        <w:spacing w:line="600" w:lineRule="exact"/>
        <w:ind w:firstLine="560"/>
        <w:rPr>
          <w:rFonts w:asciiTheme="minorEastAsia" w:hAnsiTheme="minorEastAsia" w:eastAsiaTheme="minorEastAsia"/>
          <w:szCs w:val="28"/>
        </w:rPr>
      </w:pPr>
      <w:r>
        <w:rPr>
          <w:rFonts w:asciiTheme="minorEastAsia" w:hAnsiTheme="minorEastAsia" w:eastAsiaTheme="minorEastAsia"/>
          <w:szCs w:val="28"/>
        </w:rPr>
        <w:t>4.</w:t>
      </w:r>
      <w:r>
        <w:rPr>
          <w:rFonts w:hint="eastAsia" w:asciiTheme="minorEastAsia" w:hAnsiTheme="minorEastAsia" w:eastAsiaTheme="minorEastAsia"/>
          <w:szCs w:val="28"/>
        </w:rPr>
        <w:t>《自治区住房城乡建设厅关于调整必须招标的房屋建筑和市政基础设施工程范围的通知》（桂建发〔2018〕15 号）；</w:t>
      </w:r>
    </w:p>
    <w:p>
      <w:pPr>
        <w:snapToGrid w:val="0"/>
        <w:spacing w:line="600" w:lineRule="exact"/>
        <w:ind w:firstLine="560"/>
        <w:rPr>
          <w:rFonts w:asciiTheme="minorEastAsia" w:hAnsiTheme="minorEastAsia" w:eastAsiaTheme="minorEastAsia"/>
          <w:szCs w:val="28"/>
        </w:rPr>
      </w:pPr>
      <w:r>
        <w:rPr>
          <w:rFonts w:asciiTheme="minorEastAsia" w:hAnsiTheme="minorEastAsia" w:eastAsiaTheme="minorEastAsia"/>
          <w:szCs w:val="28"/>
        </w:rPr>
        <w:t>5.</w:t>
      </w:r>
      <w:r>
        <w:rPr>
          <w:rFonts w:hint="eastAsia" w:asciiTheme="minorEastAsia" w:hAnsiTheme="minorEastAsia" w:eastAsiaTheme="minorEastAsia"/>
          <w:szCs w:val="28"/>
        </w:rPr>
        <w:t>《广西壮族自治区财政厅关于调整2018-2019 年政府采购项目公开招标数额标准的通知》（桂财采〔2018〕14 号）；</w:t>
      </w:r>
    </w:p>
    <w:p>
      <w:pPr>
        <w:snapToGrid w:val="0"/>
        <w:spacing w:line="600" w:lineRule="exact"/>
        <w:ind w:firstLine="560"/>
        <w:rPr>
          <w:rFonts w:ascii="仿宋_GB2312" w:eastAsia="仿宋_GB2312"/>
          <w:sz w:val="32"/>
          <w:szCs w:val="32"/>
        </w:rPr>
      </w:pPr>
      <w:r>
        <w:rPr>
          <w:rFonts w:asciiTheme="minorEastAsia" w:hAnsiTheme="minorEastAsia" w:eastAsiaTheme="minorEastAsia"/>
          <w:szCs w:val="28"/>
        </w:rPr>
        <w:t>6.</w:t>
      </w:r>
      <w:r>
        <w:rPr>
          <w:rFonts w:hint="eastAsia" w:asciiTheme="minorEastAsia" w:hAnsiTheme="minorEastAsia" w:eastAsiaTheme="minorEastAsia"/>
          <w:szCs w:val="28"/>
        </w:rPr>
        <w:t>《中华人民共和国招标投标实施条例》（2019年修订版）；</w:t>
      </w:r>
    </w:p>
    <w:p>
      <w:pPr>
        <w:pStyle w:val="4"/>
        <w:spacing w:line="560" w:lineRule="exact"/>
      </w:pPr>
      <w:bookmarkStart w:id="152" w:name="_Toc167703213"/>
      <w:bookmarkStart w:id="153" w:name="_Toc167642114"/>
      <w:bookmarkStart w:id="154" w:name="_Toc167357183"/>
      <w:bookmarkStart w:id="155" w:name="_Toc167465065"/>
      <w:r>
        <w:t>5.9</w:t>
      </w:r>
      <w:r>
        <w:rPr>
          <w:rFonts w:hint="eastAsia"/>
        </w:rPr>
        <w:t>.2 招标政策</w:t>
      </w:r>
      <w:bookmarkEnd w:id="152"/>
      <w:bookmarkEnd w:id="153"/>
      <w:bookmarkEnd w:id="154"/>
      <w:bookmarkEnd w:id="155"/>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根据《必须招标的工程项目规定》（国家发展改革委令2018 年第 16 号）有关规定：</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第二条 全部或者部分使用国有资金投资或者国家融资的项目包括：</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（一）使用预算资金 200 万元人民币以上，并且该资金占投资额 10% 以上的项目；</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（二）使用国有企业事业单位资金，并且该资金占控股或者主导地位的项目。</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第三条 使用国际组织或者外国政府贷款、援助资金的项目包括：</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（一）使用世界银行、亚洲开发银行等国际组织贷款、援助资金的项目；</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（二）使用外国政府及其机构贷款、援助资金的项目。</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第四条 不属于本规定第二条、第三条规定情形的大型基础设施、公用事业等关系社会公共利益、公众安全的项目，必须招标的具体范围由国务院发展改革部门会同国务院有关部门按照确有必要、严格限定的原则制订，报国务院批准。</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第五条 本规定第二条至第四条规定范围内的项目，其勘察、设计、施工、监理以及与工程建设有关的重要设备、材料等的采购达到下列标准之一的，必须招标：</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（一）施工单项合同估算价在 400 万元人民币以上；</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（二）重要设备、材料等货物的采购，单项合同估算价在 200 万元人民币以上；</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（三）勘察、设计、监理等服务的采购，单项合同估算价在 100 万元人民币以上。</w:t>
      </w:r>
    </w:p>
    <w:p>
      <w:pPr>
        <w:snapToGrid w:val="0"/>
        <w:spacing w:line="600" w:lineRule="exact"/>
        <w:ind w:firstLine="560"/>
      </w:pPr>
      <w:r>
        <w:rPr>
          <w:rFonts w:hint="eastAsia" w:asciiTheme="minorEastAsia" w:hAnsiTheme="minorEastAsia" w:eastAsiaTheme="minorEastAsia"/>
          <w:szCs w:val="28"/>
        </w:rPr>
        <w:t>同一项目中可以合并进行的勘察、设计、施工、监理以及与工程建设有关的重要设备、材料等的采购，合同估算价合计达到前款规定标准的，必须招标。</w:t>
      </w:r>
    </w:p>
    <w:p>
      <w:pPr>
        <w:pStyle w:val="4"/>
        <w:spacing w:line="560" w:lineRule="exact"/>
      </w:pPr>
      <w:bookmarkStart w:id="156" w:name="_Toc167357184"/>
      <w:bookmarkStart w:id="157" w:name="_Toc167465066"/>
      <w:bookmarkStart w:id="158" w:name="_Toc167642115"/>
      <w:bookmarkStart w:id="159" w:name="_Toc167703214"/>
      <w:r>
        <w:t>5.9</w:t>
      </w:r>
      <w:r>
        <w:rPr>
          <w:rFonts w:hint="eastAsia"/>
        </w:rPr>
        <w:t>.3 招标方案</w:t>
      </w:r>
      <w:bookmarkEnd w:id="156"/>
      <w:bookmarkEnd w:id="157"/>
      <w:bookmarkEnd w:id="158"/>
      <w:bookmarkEnd w:id="159"/>
    </w:p>
    <w:p>
      <w:pPr>
        <w:snapToGrid w:val="0"/>
        <w:spacing w:line="600" w:lineRule="exact"/>
        <w:ind w:firstLine="0" w:firstLineChars="0"/>
        <w:rPr>
          <w:rFonts w:ascii="仿宋_GB2312" w:eastAsia="仿宋_GB2312"/>
          <w:sz w:val="32"/>
          <w:szCs w:val="32"/>
        </w:rPr>
      </w:pPr>
      <w:r>
        <w:rPr>
          <w:rFonts w:hint="eastAsia" w:asciiTheme="minorEastAsia" w:hAnsiTheme="minorEastAsia" w:eastAsiaTheme="minorEastAsia"/>
          <w:szCs w:val="28"/>
        </w:rPr>
        <w:t>招标基本表</w:t>
      </w:r>
      <w:r>
        <w:rPr>
          <w:rFonts w:asciiTheme="minorEastAsia" w:hAnsiTheme="minorEastAsia" w:eastAsiaTheme="minorEastAsia"/>
          <w:szCs w:val="28"/>
        </w:rPr>
        <w:t>5</w:t>
      </w:r>
      <w:r>
        <w:rPr>
          <w:rFonts w:hint="eastAsia" w:asciiTheme="minorEastAsia" w:hAnsiTheme="minorEastAsia" w:eastAsiaTheme="minorEastAsia"/>
          <w:szCs w:val="28"/>
        </w:rPr>
        <w:t>-</w:t>
      </w:r>
      <w:r>
        <w:rPr>
          <w:rFonts w:asciiTheme="minorEastAsia" w:hAnsiTheme="minorEastAsia" w:eastAsiaTheme="minorEastAsia"/>
          <w:szCs w:val="28"/>
        </w:rPr>
        <w:t>11</w:t>
      </w:r>
      <w:r>
        <w:rPr>
          <w:rFonts w:hint="eastAsia" w:asciiTheme="minorEastAsia" w:hAnsiTheme="minorEastAsia" w:eastAsiaTheme="minorEastAsia"/>
          <w:szCs w:val="28"/>
        </w:rPr>
        <w:t>。</w:t>
      </w:r>
    </w:p>
    <w:p>
      <w:pPr>
        <w:ind w:firstLine="640"/>
        <w:rPr>
          <w:rFonts w:ascii="仿宋_GB2312" w:eastAsia="仿宋_GB2312"/>
          <w:sz w:val="32"/>
          <w:szCs w:val="32"/>
        </w:rPr>
        <w:sectPr>
          <w:pgSz w:w="11906" w:h="16838"/>
          <w:pgMar w:top="1440" w:right="1797" w:bottom="1440" w:left="1797" w:header="907" w:footer="907" w:gutter="0"/>
          <w:cols w:space="720" w:num="1"/>
          <w:docGrid w:linePitch="312" w:charSpace="0"/>
        </w:sectPr>
      </w:pPr>
    </w:p>
    <w:p>
      <w:pPr>
        <w:ind w:firstLine="0" w:firstLineChars="0"/>
        <w:rPr>
          <w:b/>
          <w:bCs/>
        </w:rPr>
      </w:pPr>
      <w:r>
        <w:rPr>
          <w:rFonts w:hint="eastAsia"/>
          <w:b/>
          <w:bCs/>
        </w:rPr>
        <w:t>表</w:t>
      </w:r>
      <w:r>
        <w:rPr>
          <w:b/>
          <w:bCs/>
        </w:rPr>
        <w:t>5-11</w:t>
      </w:r>
      <w:r>
        <w:rPr>
          <w:rFonts w:hint="eastAsia"/>
          <w:b/>
          <w:bCs/>
        </w:rPr>
        <w:t xml:space="preserve">      </w:t>
      </w:r>
      <w:r>
        <w:rPr>
          <w:b/>
          <w:bCs/>
        </w:rPr>
        <w:t xml:space="preserve">   </w:t>
      </w:r>
      <w:r>
        <w:rPr>
          <w:rFonts w:hint="eastAsia"/>
          <w:b/>
          <w:bCs/>
        </w:rPr>
        <w:t xml:space="preserve">         招标基本情况表</w:t>
      </w:r>
    </w:p>
    <w:tbl>
      <w:tblPr>
        <w:tblStyle w:val="29"/>
        <w:tblW w:w="9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Layout w:type="fixed"/>
        <w:tblCellMar>
          <w:top w:w="0" w:type="dxa"/>
          <w:left w:w="108" w:type="dxa"/>
          <w:bottom w:w="0" w:type="dxa"/>
          <w:right w:w="108" w:type="dxa"/>
        </w:tblCellMar>
      </w:tblPr>
      <w:tblGrid>
        <w:gridCol w:w="1296"/>
        <w:gridCol w:w="879"/>
        <w:gridCol w:w="873"/>
        <w:gridCol w:w="908"/>
        <w:gridCol w:w="906"/>
        <w:gridCol w:w="860"/>
        <w:gridCol w:w="845"/>
        <w:gridCol w:w="1201"/>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83" w:hRule="atLeast"/>
          <w:jc w:val="center"/>
        </w:trPr>
        <w:tc>
          <w:tcPr>
            <w:tcW w:w="1296" w:type="dxa"/>
            <w:vMerge w:val="restart"/>
            <w:vAlign w:val="center"/>
          </w:tcPr>
          <w:p>
            <w:pPr>
              <w:spacing w:line="240" w:lineRule="auto"/>
              <w:ind w:firstLine="0" w:firstLineChars="0"/>
              <w:jc w:val="center"/>
              <w:rPr>
                <w:sz w:val="24"/>
              </w:rPr>
            </w:pPr>
            <w:bookmarkStart w:id="160" w:name="OLE_LINK79"/>
            <w:r>
              <w:rPr>
                <w:rFonts w:hint="eastAsia"/>
                <w:sz w:val="24"/>
              </w:rPr>
              <w:t>内容</w:t>
            </w:r>
            <w:bookmarkEnd w:id="160"/>
          </w:p>
        </w:tc>
        <w:tc>
          <w:tcPr>
            <w:tcW w:w="1752" w:type="dxa"/>
            <w:gridSpan w:val="2"/>
            <w:vAlign w:val="center"/>
          </w:tcPr>
          <w:p>
            <w:pPr>
              <w:spacing w:line="240" w:lineRule="auto"/>
              <w:ind w:firstLine="0" w:firstLineChars="0"/>
              <w:jc w:val="center"/>
              <w:rPr>
                <w:sz w:val="24"/>
              </w:rPr>
            </w:pPr>
            <w:r>
              <w:rPr>
                <w:rFonts w:hint="eastAsia"/>
                <w:sz w:val="24"/>
              </w:rPr>
              <w:t>招标范围</w:t>
            </w:r>
          </w:p>
        </w:tc>
        <w:tc>
          <w:tcPr>
            <w:tcW w:w="1814" w:type="dxa"/>
            <w:gridSpan w:val="2"/>
            <w:vAlign w:val="center"/>
          </w:tcPr>
          <w:p>
            <w:pPr>
              <w:spacing w:line="240" w:lineRule="auto"/>
              <w:ind w:firstLine="0" w:firstLineChars="0"/>
              <w:jc w:val="center"/>
              <w:rPr>
                <w:sz w:val="24"/>
              </w:rPr>
            </w:pPr>
            <w:r>
              <w:rPr>
                <w:rFonts w:hint="eastAsia"/>
                <w:sz w:val="24"/>
              </w:rPr>
              <w:t>招标组织形式</w:t>
            </w:r>
          </w:p>
        </w:tc>
        <w:tc>
          <w:tcPr>
            <w:tcW w:w="1705" w:type="dxa"/>
            <w:gridSpan w:val="2"/>
            <w:vAlign w:val="center"/>
          </w:tcPr>
          <w:p>
            <w:pPr>
              <w:spacing w:line="240" w:lineRule="auto"/>
              <w:ind w:firstLine="0" w:firstLineChars="0"/>
              <w:jc w:val="center"/>
              <w:rPr>
                <w:sz w:val="24"/>
              </w:rPr>
            </w:pPr>
            <w:r>
              <w:rPr>
                <w:rFonts w:hint="eastAsia"/>
                <w:sz w:val="24"/>
              </w:rPr>
              <w:t>招标方式</w:t>
            </w:r>
          </w:p>
        </w:tc>
        <w:tc>
          <w:tcPr>
            <w:tcW w:w="1201" w:type="dxa"/>
            <w:vMerge w:val="restart"/>
            <w:vAlign w:val="center"/>
          </w:tcPr>
          <w:p>
            <w:pPr>
              <w:spacing w:line="240" w:lineRule="auto"/>
              <w:ind w:firstLine="0" w:firstLineChars="0"/>
              <w:jc w:val="center"/>
              <w:rPr>
                <w:sz w:val="24"/>
              </w:rPr>
            </w:pPr>
            <w:r>
              <w:rPr>
                <w:rFonts w:hint="eastAsia"/>
                <w:sz w:val="24"/>
              </w:rPr>
              <w:t>不采用招标方式</w:t>
            </w:r>
          </w:p>
        </w:tc>
        <w:tc>
          <w:tcPr>
            <w:tcW w:w="1585" w:type="dxa"/>
            <w:vMerge w:val="restart"/>
            <w:vAlign w:val="center"/>
          </w:tcPr>
          <w:p>
            <w:pPr>
              <w:spacing w:line="240" w:lineRule="auto"/>
              <w:ind w:firstLine="0" w:firstLineChars="0"/>
              <w:jc w:val="center"/>
              <w:rPr>
                <w:sz w:val="24"/>
              </w:rPr>
            </w:pPr>
            <w:r>
              <w:rPr>
                <w:rFonts w:hint="eastAsia"/>
                <w:sz w:val="24"/>
              </w:rPr>
              <w:t>金额</w:t>
            </w:r>
          </w:p>
          <w:p>
            <w:pPr>
              <w:spacing w:line="240" w:lineRule="auto"/>
              <w:ind w:firstLine="0" w:firstLineChars="0"/>
              <w:jc w:val="center"/>
              <w:rPr>
                <w:sz w:val="24"/>
              </w:rPr>
            </w:pPr>
            <w:r>
              <w:rPr>
                <w:rFonts w:hint="eastAsia"/>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937" w:hRule="atLeast"/>
          <w:jc w:val="center"/>
        </w:trPr>
        <w:tc>
          <w:tcPr>
            <w:tcW w:w="1296" w:type="dxa"/>
            <w:vMerge w:val="continue"/>
            <w:vAlign w:val="center"/>
          </w:tcPr>
          <w:p>
            <w:pPr>
              <w:spacing w:line="240" w:lineRule="auto"/>
              <w:ind w:firstLine="0" w:firstLineChars="0"/>
              <w:jc w:val="center"/>
              <w:rPr>
                <w:sz w:val="24"/>
              </w:rPr>
            </w:pPr>
          </w:p>
        </w:tc>
        <w:tc>
          <w:tcPr>
            <w:tcW w:w="879" w:type="dxa"/>
            <w:vAlign w:val="center"/>
          </w:tcPr>
          <w:p>
            <w:pPr>
              <w:spacing w:line="240" w:lineRule="auto"/>
              <w:ind w:firstLine="0" w:firstLineChars="0"/>
              <w:jc w:val="center"/>
              <w:rPr>
                <w:sz w:val="24"/>
              </w:rPr>
            </w:pPr>
            <w:r>
              <w:rPr>
                <w:rFonts w:hint="eastAsia"/>
                <w:sz w:val="24"/>
              </w:rPr>
              <w:t>全部招标</w:t>
            </w:r>
          </w:p>
        </w:tc>
        <w:tc>
          <w:tcPr>
            <w:tcW w:w="873" w:type="dxa"/>
            <w:vAlign w:val="center"/>
          </w:tcPr>
          <w:p>
            <w:pPr>
              <w:spacing w:line="240" w:lineRule="auto"/>
              <w:ind w:firstLine="0" w:firstLineChars="0"/>
              <w:jc w:val="center"/>
              <w:rPr>
                <w:sz w:val="24"/>
              </w:rPr>
            </w:pPr>
            <w:r>
              <w:rPr>
                <w:rFonts w:hint="eastAsia"/>
                <w:sz w:val="24"/>
              </w:rPr>
              <w:t>部分招标</w:t>
            </w:r>
          </w:p>
        </w:tc>
        <w:tc>
          <w:tcPr>
            <w:tcW w:w="908" w:type="dxa"/>
            <w:vAlign w:val="center"/>
          </w:tcPr>
          <w:p>
            <w:pPr>
              <w:spacing w:line="240" w:lineRule="auto"/>
              <w:ind w:firstLine="0" w:firstLineChars="0"/>
              <w:jc w:val="center"/>
              <w:rPr>
                <w:sz w:val="24"/>
              </w:rPr>
            </w:pPr>
            <w:r>
              <w:rPr>
                <w:rFonts w:hint="eastAsia"/>
                <w:sz w:val="24"/>
              </w:rPr>
              <w:t>自行招标</w:t>
            </w:r>
          </w:p>
        </w:tc>
        <w:tc>
          <w:tcPr>
            <w:tcW w:w="904" w:type="dxa"/>
            <w:vAlign w:val="center"/>
          </w:tcPr>
          <w:p>
            <w:pPr>
              <w:spacing w:line="240" w:lineRule="auto"/>
              <w:ind w:firstLine="0" w:firstLineChars="0"/>
              <w:jc w:val="center"/>
              <w:rPr>
                <w:sz w:val="24"/>
              </w:rPr>
            </w:pPr>
            <w:r>
              <w:rPr>
                <w:rFonts w:hint="eastAsia"/>
                <w:sz w:val="24"/>
              </w:rPr>
              <w:t>委托招标</w:t>
            </w:r>
          </w:p>
        </w:tc>
        <w:tc>
          <w:tcPr>
            <w:tcW w:w="860" w:type="dxa"/>
            <w:vAlign w:val="center"/>
          </w:tcPr>
          <w:p>
            <w:pPr>
              <w:spacing w:line="240" w:lineRule="auto"/>
              <w:ind w:firstLine="0" w:firstLineChars="0"/>
              <w:jc w:val="center"/>
              <w:rPr>
                <w:sz w:val="24"/>
              </w:rPr>
            </w:pPr>
            <w:r>
              <w:rPr>
                <w:rFonts w:hint="eastAsia"/>
                <w:sz w:val="24"/>
              </w:rPr>
              <w:t>公开招标</w:t>
            </w:r>
          </w:p>
        </w:tc>
        <w:tc>
          <w:tcPr>
            <w:tcW w:w="845" w:type="dxa"/>
            <w:vAlign w:val="center"/>
          </w:tcPr>
          <w:p>
            <w:pPr>
              <w:spacing w:line="240" w:lineRule="auto"/>
              <w:ind w:firstLine="0" w:firstLineChars="0"/>
              <w:jc w:val="center"/>
              <w:rPr>
                <w:sz w:val="24"/>
              </w:rPr>
            </w:pPr>
            <w:r>
              <w:rPr>
                <w:rFonts w:hint="eastAsia"/>
                <w:sz w:val="24"/>
              </w:rPr>
              <w:t>邀请招标</w:t>
            </w:r>
          </w:p>
        </w:tc>
        <w:tc>
          <w:tcPr>
            <w:tcW w:w="1201" w:type="dxa"/>
            <w:vMerge w:val="continue"/>
            <w:vAlign w:val="center"/>
          </w:tcPr>
          <w:p>
            <w:pPr>
              <w:spacing w:line="240" w:lineRule="auto"/>
              <w:ind w:firstLine="0" w:firstLineChars="0"/>
              <w:jc w:val="center"/>
              <w:rPr>
                <w:sz w:val="24"/>
              </w:rPr>
            </w:pPr>
          </w:p>
        </w:tc>
        <w:tc>
          <w:tcPr>
            <w:tcW w:w="1585" w:type="dxa"/>
            <w:vMerge w:val="continue"/>
            <w:vAlign w:val="center"/>
          </w:tcPr>
          <w:p>
            <w:pPr>
              <w:spacing w:line="240" w:lineRule="auto"/>
              <w:ind w:firstLine="0" w:firstLineChars="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34" w:hRule="atLeast"/>
          <w:jc w:val="center"/>
        </w:trPr>
        <w:tc>
          <w:tcPr>
            <w:tcW w:w="1296" w:type="dxa"/>
            <w:vAlign w:val="center"/>
          </w:tcPr>
          <w:p>
            <w:pPr>
              <w:spacing w:line="240" w:lineRule="auto"/>
              <w:ind w:firstLine="0" w:firstLineChars="0"/>
              <w:jc w:val="center"/>
              <w:rPr>
                <w:sz w:val="24"/>
              </w:rPr>
            </w:pPr>
            <w:r>
              <w:rPr>
                <w:rFonts w:hint="eastAsia"/>
                <w:sz w:val="24"/>
              </w:rPr>
              <w:t>勘察</w:t>
            </w:r>
          </w:p>
        </w:tc>
        <w:tc>
          <w:tcPr>
            <w:tcW w:w="879" w:type="dxa"/>
            <w:vAlign w:val="center"/>
          </w:tcPr>
          <w:p>
            <w:pPr>
              <w:spacing w:line="240" w:lineRule="auto"/>
              <w:ind w:firstLine="0" w:firstLineChars="0"/>
              <w:jc w:val="center"/>
              <w:rPr>
                <w:sz w:val="24"/>
              </w:rPr>
            </w:pPr>
          </w:p>
        </w:tc>
        <w:tc>
          <w:tcPr>
            <w:tcW w:w="873" w:type="dxa"/>
            <w:vAlign w:val="center"/>
          </w:tcPr>
          <w:p>
            <w:pPr>
              <w:spacing w:line="240" w:lineRule="auto"/>
              <w:ind w:firstLine="0" w:firstLineChars="0"/>
              <w:jc w:val="center"/>
              <w:rPr>
                <w:sz w:val="24"/>
              </w:rPr>
            </w:pPr>
          </w:p>
        </w:tc>
        <w:tc>
          <w:tcPr>
            <w:tcW w:w="908" w:type="dxa"/>
            <w:vAlign w:val="center"/>
          </w:tcPr>
          <w:p>
            <w:pPr>
              <w:spacing w:line="240" w:lineRule="auto"/>
              <w:ind w:firstLine="0" w:firstLineChars="0"/>
              <w:jc w:val="center"/>
              <w:rPr>
                <w:sz w:val="24"/>
              </w:rPr>
            </w:pPr>
          </w:p>
        </w:tc>
        <w:tc>
          <w:tcPr>
            <w:tcW w:w="904" w:type="dxa"/>
            <w:vAlign w:val="center"/>
          </w:tcPr>
          <w:p>
            <w:pPr>
              <w:spacing w:line="240" w:lineRule="auto"/>
              <w:ind w:firstLine="0" w:firstLineChars="0"/>
              <w:jc w:val="center"/>
              <w:rPr>
                <w:sz w:val="24"/>
              </w:rPr>
            </w:pPr>
          </w:p>
        </w:tc>
        <w:tc>
          <w:tcPr>
            <w:tcW w:w="860" w:type="dxa"/>
            <w:vAlign w:val="center"/>
          </w:tcPr>
          <w:p>
            <w:pPr>
              <w:spacing w:line="240" w:lineRule="auto"/>
              <w:ind w:firstLine="0" w:firstLineChars="0"/>
              <w:jc w:val="center"/>
              <w:rPr>
                <w:sz w:val="24"/>
              </w:rPr>
            </w:pPr>
          </w:p>
        </w:tc>
        <w:tc>
          <w:tcPr>
            <w:tcW w:w="845" w:type="dxa"/>
            <w:vAlign w:val="center"/>
          </w:tcPr>
          <w:p>
            <w:pPr>
              <w:spacing w:line="240" w:lineRule="auto"/>
              <w:ind w:firstLine="0" w:firstLineChars="0"/>
              <w:jc w:val="center"/>
              <w:rPr>
                <w:sz w:val="24"/>
              </w:rPr>
            </w:pPr>
          </w:p>
        </w:tc>
        <w:tc>
          <w:tcPr>
            <w:tcW w:w="1201" w:type="dxa"/>
            <w:vAlign w:val="center"/>
          </w:tcPr>
          <w:p>
            <w:pPr>
              <w:spacing w:line="240" w:lineRule="auto"/>
              <w:ind w:firstLine="0" w:firstLineChars="0"/>
              <w:jc w:val="center"/>
              <w:rPr>
                <w:sz w:val="24"/>
              </w:rPr>
            </w:pPr>
          </w:p>
        </w:tc>
        <w:tc>
          <w:tcPr>
            <w:tcW w:w="1585" w:type="dxa"/>
            <w:vAlign w:val="center"/>
          </w:tcPr>
          <w:p>
            <w:pPr>
              <w:spacing w:line="240" w:lineRule="auto"/>
              <w:ind w:firstLine="0" w:firstLineChars="0"/>
              <w:jc w:val="center"/>
              <w:rPr>
                <w:rFonts w:ascii="宋体" w:hAnsi="宋体"/>
                <w:sz w:val="24"/>
              </w:rPr>
            </w:pPr>
            <w:r>
              <w:rPr>
                <w:rFonts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28" w:hRule="atLeast"/>
          <w:jc w:val="center"/>
        </w:trPr>
        <w:tc>
          <w:tcPr>
            <w:tcW w:w="1296" w:type="dxa"/>
            <w:vAlign w:val="center"/>
          </w:tcPr>
          <w:p>
            <w:pPr>
              <w:spacing w:line="240" w:lineRule="auto"/>
              <w:ind w:firstLine="0" w:firstLineChars="0"/>
              <w:jc w:val="center"/>
              <w:rPr>
                <w:sz w:val="24"/>
              </w:rPr>
            </w:pPr>
            <w:r>
              <w:rPr>
                <w:rFonts w:hint="eastAsia"/>
                <w:sz w:val="24"/>
              </w:rPr>
              <w:t>设计</w:t>
            </w:r>
          </w:p>
        </w:tc>
        <w:tc>
          <w:tcPr>
            <w:tcW w:w="879" w:type="dxa"/>
            <w:vAlign w:val="center"/>
          </w:tcPr>
          <w:p>
            <w:pPr>
              <w:spacing w:line="240" w:lineRule="auto"/>
              <w:ind w:firstLine="0" w:firstLineChars="0"/>
              <w:jc w:val="center"/>
              <w:rPr>
                <w:sz w:val="24"/>
              </w:rPr>
            </w:pPr>
            <w:r>
              <w:rPr>
                <w:rFonts w:hint="eastAsia"/>
                <w:sz w:val="24"/>
              </w:rPr>
              <w:t>√</w:t>
            </w:r>
          </w:p>
        </w:tc>
        <w:tc>
          <w:tcPr>
            <w:tcW w:w="873" w:type="dxa"/>
            <w:vAlign w:val="center"/>
          </w:tcPr>
          <w:p>
            <w:pPr>
              <w:spacing w:line="240" w:lineRule="auto"/>
              <w:ind w:firstLine="0" w:firstLineChars="0"/>
              <w:jc w:val="center"/>
              <w:rPr>
                <w:sz w:val="24"/>
              </w:rPr>
            </w:pPr>
          </w:p>
        </w:tc>
        <w:tc>
          <w:tcPr>
            <w:tcW w:w="908" w:type="dxa"/>
            <w:vAlign w:val="center"/>
          </w:tcPr>
          <w:p>
            <w:pPr>
              <w:spacing w:line="240" w:lineRule="auto"/>
              <w:ind w:firstLine="0" w:firstLineChars="0"/>
              <w:jc w:val="center"/>
              <w:rPr>
                <w:sz w:val="24"/>
              </w:rPr>
            </w:pPr>
          </w:p>
        </w:tc>
        <w:tc>
          <w:tcPr>
            <w:tcW w:w="904" w:type="dxa"/>
            <w:vAlign w:val="center"/>
          </w:tcPr>
          <w:p>
            <w:pPr>
              <w:spacing w:line="240" w:lineRule="auto"/>
              <w:ind w:firstLine="0" w:firstLineChars="0"/>
              <w:jc w:val="center"/>
              <w:rPr>
                <w:sz w:val="24"/>
              </w:rPr>
            </w:pPr>
            <w:r>
              <w:rPr>
                <w:rFonts w:hint="eastAsia"/>
                <w:sz w:val="24"/>
              </w:rPr>
              <w:t>√</w:t>
            </w:r>
          </w:p>
        </w:tc>
        <w:tc>
          <w:tcPr>
            <w:tcW w:w="860" w:type="dxa"/>
            <w:vAlign w:val="center"/>
          </w:tcPr>
          <w:p>
            <w:pPr>
              <w:spacing w:line="240" w:lineRule="auto"/>
              <w:ind w:firstLine="0" w:firstLineChars="0"/>
              <w:jc w:val="center"/>
              <w:rPr>
                <w:sz w:val="24"/>
              </w:rPr>
            </w:pPr>
            <w:r>
              <w:rPr>
                <w:rFonts w:hint="eastAsia"/>
                <w:sz w:val="24"/>
              </w:rPr>
              <w:t>√</w:t>
            </w:r>
          </w:p>
        </w:tc>
        <w:tc>
          <w:tcPr>
            <w:tcW w:w="845" w:type="dxa"/>
            <w:vAlign w:val="center"/>
          </w:tcPr>
          <w:p>
            <w:pPr>
              <w:spacing w:line="240" w:lineRule="auto"/>
              <w:ind w:firstLine="0" w:firstLineChars="0"/>
              <w:jc w:val="center"/>
              <w:rPr>
                <w:sz w:val="24"/>
              </w:rPr>
            </w:pPr>
          </w:p>
        </w:tc>
        <w:tc>
          <w:tcPr>
            <w:tcW w:w="1201" w:type="dxa"/>
            <w:vAlign w:val="center"/>
          </w:tcPr>
          <w:p>
            <w:pPr>
              <w:spacing w:line="240" w:lineRule="auto"/>
              <w:ind w:firstLine="0" w:firstLineChars="0"/>
              <w:jc w:val="center"/>
              <w:rPr>
                <w:sz w:val="24"/>
              </w:rPr>
            </w:pPr>
          </w:p>
        </w:tc>
        <w:tc>
          <w:tcPr>
            <w:tcW w:w="1585" w:type="dxa"/>
            <w:vAlign w:val="center"/>
          </w:tcPr>
          <w:p>
            <w:pPr>
              <w:spacing w:line="240" w:lineRule="auto"/>
              <w:ind w:firstLine="0" w:firstLineChars="0"/>
              <w:jc w:val="center"/>
              <w:rPr>
                <w:rFonts w:ascii="宋体" w:hAnsi="宋体"/>
                <w:sz w:val="24"/>
              </w:rPr>
            </w:pPr>
            <w:r>
              <w:rPr>
                <w:rFonts w:ascii="宋体" w:hAnsi="宋体"/>
                <w:sz w:val="24"/>
              </w:rPr>
              <w:t>130.92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28" w:hRule="atLeast"/>
          <w:jc w:val="center"/>
        </w:trPr>
        <w:tc>
          <w:tcPr>
            <w:tcW w:w="1296" w:type="dxa"/>
            <w:vAlign w:val="center"/>
          </w:tcPr>
          <w:p>
            <w:pPr>
              <w:spacing w:line="240" w:lineRule="auto"/>
              <w:ind w:firstLine="0" w:firstLineChars="0"/>
              <w:jc w:val="center"/>
              <w:rPr>
                <w:sz w:val="24"/>
              </w:rPr>
            </w:pPr>
            <w:r>
              <w:rPr>
                <w:rFonts w:hint="eastAsia"/>
                <w:sz w:val="24"/>
              </w:rPr>
              <w:t>建安工程</w:t>
            </w:r>
          </w:p>
        </w:tc>
        <w:tc>
          <w:tcPr>
            <w:tcW w:w="879" w:type="dxa"/>
            <w:vAlign w:val="center"/>
          </w:tcPr>
          <w:p>
            <w:pPr>
              <w:spacing w:line="240" w:lineRule="auto"/>
              <w:ind w:firstLine="0" w:firstLineChars="0"/>
              <w:jc w:val="center"/>
              <w:rPr>
                <w:sz w:val="24"/>
              </w:rPr>
            </w:pPr>
            <w:r>
              <w:rPr>
                <w:rFonts w:hint="eastAsia"/>
                <w:sz w:val="24"/>
              </w:rPr>
              <w:t>√</w:t>
            </w:r>
          </w:p>
        </w:tc>
        <w:tc>
          <w:tcPr>
            <w:tcW w:w="873" w:type="dxa"/>
            <w:vAlign w:val="center"/>
          </w:tcPr>
          <w:p>
            <w:pPr>
              <w:spacing w:line="240" w:lineRule="auto"/>
              <w:ind w:firstLine="0" w:firstLineChars="0"/>
              <w:jc w:val="center"/>
              <w:rPr>
                <w:sz w:val="24"/>
              </w:rPr>
            </w:pPr>
          </w:p>
        </w:tc>
        <w:tc>
          <w:tcPr>
            <w:tcW w:w="908" w:type="dxa"/>
            <w:vAlign w:val="center"/>
          </w:tcPr>
          <w:p>
            <w:pPr>
              <w:spacing w:line="240" w:lineRule="auto"/>
              <w:ind w:firstLine="0" w:firstLineChars="0"/>
              <w:jc w:val="center"/>
              <w:rPr>
                <w:sz w:val="24"/>
              </w:rPr>
            </w:pPr>
          </w:p>
        </w:tc>
        <w:tc>
          <w:tcPr>
            <w:tcW w:w="904" w:type="dxa"/>
            <w:vAlign w:val="center"/>
          </w:tcPr>
          <w:p>
            <w:pPr>
              <w:spacing w:line="240" w:lineRule="auto"/>
              <w:ind w:firstLine="0" w:firstLineChars="0"/>
              <w:jc w:val="center"/>
              <w:rPr>
                <w:sz w:val="24"/>
              </w:rPr>
            </w:pPr>
            <w:r>
              <w:rPr>
                <w:rFonts w:hint="eastAsia"/>
                <w:sz w:val="24"/>
              </w:rPr>
              <w:t>√</w:t>
            </w:r>
          </w:p>
        </w:tc>
        <w:tc>
          <w:tcPr>
            <w:tcW w:w="860" w:type="dxa"/>
            <w:vAlign w:val="center"/>
          </w:tcPr>
          <w:p>
            <w:pPr>
              <w:spacing w:line="240" w:lineRule="auto"/>
              <w:ind w:firstLine="0" w:firstLineChars="0"/>
              <w:jc w:val="center"/>
              <w:rPr>
                <w:sz w:val="24"/>
              </w:rPr>
            </w:pPr>
            <w:r>
              <w:rPr>
                <w:rFonts w:hint="eastAsia"/>
                <w:sz w:val="24"/>
              </w:rPr>
              <w:t>√</w:t>
            </w:r>
          </w:p>
        </w:tc>
        <w:tc>
          <w:tcPr>
            <w:tcW w:w="845" w:type="dxa"/>
            <w:vAlign w:val="center"/>
          </w:tcPr>
          <w:p>
            <w:pPr>
              <w:spacing w:line="240" w:lineRule="auto"/>
              <w:ind w:firstLine="0" w:firstLineChars="0"/>
              <w:jc w:val="center"/>
              <w:rPr>
                <w:sz w:val="24"/>
              </w:rPr>
            </w:pPr>
          </w:p>
        </w:tc>
        <w:tc>
          <w:tcPr>
            <w:tcW w:w="1201" w:type="dxa"/>
            <w:vAlign w:val="center"/>
          </w:tcPr>
          <w:p>
            <w:pPr>
              <w:spacing w:line="240" w:lineRule="auto"/>
              <w:ind w:firstLine="0" w:firstLineChars="0"/>
              <w:jc w:val="center"/>
              <w:rPr>
                <w:sz w:val="24"/>
              </w:rPr>
            </w:pPr>
          </w:p>
        </w:tc>
        <w:tc>
          <w:tcPr>
            <w:tcW w:w="1585" w:type="dxa"/>
            <w:vAlign w:val="center"/>
          </w:tcPr>
          <w:p>
            <w:pPr>
              <w:spacing w:line="240" w:lineRule="auto"/>
              <w:ind w:firstLine="0" w:firstLineChars="0"/>
              <w:jc w:val="center"/>
              <w:rPr>
                <w:rFonts w:ascii="宋体" w:hAnsi="宋体"/>
                <w:sz w:val="24"/>
              </w:rPr>
            </w:pPr>
            <w:r>
              <w:rPr>
                <w:rFonts w:ascii="宋体" w:hAnsi="宋体"/>
                <w:sz w:val="24"/>
              </w:rPr>
              <w:t>2489.79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28" w:hRule="atLeast"/>
          <w:jc w:val="center"/>
        </w:trPr>
        <w:tc>
          <w:tcPr>
            <w:tcW w:w="1296" w:type="dxa"/>
            <w:vAlign w:val="center"/>
          </w:tcPr>
          <w:p>
            <w:pPr>
              <w:spacing w:line="240" w:lineRule="auto"/>
              <w:ind w:firstLine="0" w:firstLineChars="0"/>
              <w:jc w:val="center"/>
              <w:rPr>
                <w:sz w:val="24"/>
              </w:rPr>
            </w:pPr>
            <w:r>
              <w:rPr>
                <w:rFonts w:hint="eastAsia"/>
                <w:sz w:val="24"/>
              </w:rPr>
              <w:t>监理</w:t>
            </w:r>
          </w:p>
        </w:tc>
        <w:tc>
          <w:tcPr>
            <w:tcW w:w="879" w:type="dxa"/>
            <w:vAlign w:val="center"/>
          </w:tcPr>
          <w:p>
            <w:pPr>
              <w:spacing w:line="240" w:lineRule="auto"/>
              <w:ind w:firstLine="0" w:firstLineChars="0"/>
              <w:jc w:val="center"/>
              <w:rPr>
                <w:sz w:val="24"/>
              </w:rPr>
            </w:pPr>
          </w:p>
        </w:tc>
        <w:tc>
          <w:tcPr>
            <w:tcW w:w="873" w:type="dxa"/>
            <w:vAlign w:val="center"/>
          </w:tcPr>
          <w:p>
            <w:pPr>
              <w:spacing w:line="240" w:lineRule="auto"/>
              <w:ind w:firstLine="0" w:firstLineChars="0"/>
              <w:jc w:val="center"/>
              <w:rPr>
                <w:sz w:val="24"/>
              </w:rPr>
            </w:pPr>
          </w:p>
        </w:tc>
        <w:tc>
          <w:tcPr>
            <w:tcW w:w="908" w:type="dxa"/>
            <w:vAlign w:val="center"/>
          </w:tcPr>
          <w:p>
            <w:pPr>
              <w:spacing w:line="240" w:lineRule="auto"/>
              <w:ind w:firstLine="0" w:firstLineChars="0"/>
              <w:jc w:val="center"/>
              <w:rPr>
                <w:sz w:val="24"/>
              </w:rPr>
            </w:pPr>
          </w:p>
        </w:tc>
        <w:tc>
          <w:tcPr>
            <w:tcW w:w="904" w:type="dxa"/>
            <w:vAlign w:val="center"/>
          </w:tcPr>
          <w:p>
            <w:pPr>
              <w:spacing w:line="240" w:lineRule="auto"/>
              <w:ind w:firstLine="0" w:firstLineChars="0"/>
              <w:jc w:val="center"/>
              <w:rPr>
                <w:sz w:val="24"/>
              </w:rPr>
            </w:pPr>
          </w:p>
        </w:tc>
        <w:tc>
          <w:tcPr>
            <w:tcW w:w="860" w:type="dxa"/>
            <w:vAlign w:val="center"/>
          </w:tcPr>
          <w:p>
            <w:pPr>
              <w:spacing w:line="240" w:lineRule="auto"/>
              <w:ind w:firstLine="0" w:firstLineChars="0"/>
              <w:jc w:val="center"/>
              <w:rPr>
                <w:sz w:val="24"/>
              </w:rPr>
            </w:pPr>
          </w:p>
        </w:tc>
        <w:tc>
          <w:tcPr>
            <w:tcW w:w="845" w:type="dxa"/>
            <w:vAlign w:val="center"/>
          </w:tcPr>
          <w:p>
            <w:pPr>
              <w:spacing w:line="240" w:lineRule="auto"/>
              <w:ind w:firstLine="0" w:firstLineChars="0"/>
              <w:jc w:val="center"/>
              <w:rPr>
                <w:sz w:val="24"/>
              </w:rPr>
            </w:pPr>
          </w:p>
        </w:tc>
        <w:tc>
          <w:tcPr>
            <w:tcW w:w="1201" w:type="dxa"/>
            <w:vAlign w:val="center"/>
          </w:tcPr>
          <w:p>
            <w:pPr>
              <w:spacing w:line="240" w:lineRule="auto"/>
              <w:ind w:firstLine="0" w:firstLineChars="0"/>
              <w:jc w:val="center"/>
              <w:rPr>
                <w:sz w:val="24"/>
              </w:rPr>
            </w:pPr>
            <w:r>
              <w:rPr>
                <w:rFonts w:hint="eastAsia"/>
                <w:sz w:val="24"/>
              </w:rPr>
              <w:t>√</w:t>
            </w:r>
          </w:p>
        </w:tc>
        <w:tc>
          <w:tcPr>
            <w:tcW w:w="1585" w:type="dxa"/>
            <w:vAlign w:val="center"/>
          </w:tcPr>
          <w:p>
            <w:pPr>
              <w:spacing w:line="240" w:lineRule="auto"/>
              <w:ind w:firstLine="0" w:firstLineChars="0"/>
              <w:jc w:val="center"/>
              <w:rPr>
                <w:rFonts w:ascii="宋体" w:hAnsi="宋体"/>
                <w:sz w:val="24"/>
              </w:rPr>
            </w:pPr>
            <w:r>
              <w:rPr>
                <w:rFonts w:ascii="宋体" w:hAnsi="宋体"/>
                <w:sz w:val="24"/>
              </w:rPr>
              <w:t>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728" w:hRule="atLeast"/>
          <w:jc w:val="center"/>
        </w:trPr>
        <w:tc>
          <w:tcPr>
            <w:tcW w:w="1296" w:type="dxa"/>
            <w:vAlign w:val="center"/>
          </w:tcPr>
          <w:p>
            <w:pPr>
              <w:spacing w:line="240" w:lineRule="auto"/>
              <w:ind w:firstLine="0" w:firstLineChars="0"/>
              <w:jc w:val="center"/>
              <w:rPr>
                <w:sz w:val="24"/>
              </w:rPr>
            </w:pPr>
            <w:r>
              <w:rPr>
                <w:rFonts w:hint="eastAsia"/>
                <w:sz w:val="24"/>
              </w:rPr>
              <w:t>设备</w:t>
            </w:r>
          </w:p>
        </w:tc>
        <w:tc>
          <w:tcPr>
            <w:tcW w:w="879" w:type="dxa"/>
            <w:vAlign w:val="center"/>
          </w:tcPr>
          <w:p>
            <w:pPr>
              <w:spacing w:line="240" w:lineRule="auto"/>
              <w:ind w:firstLine="0" w:firstLineChars="0"/>
              <w:jc w:val="center"/>
              <w:rPr>
                <w:sz w:val="24"/>
              </w:rPr>
            </w:pPr>
          </w:p>
        </w:tc>
        <w:tc>
          <w:tcPr>
            <w:tcW w:w="873" w:type="dxa"/>
            <w:vAlign w:val="center"/>
          </w:tcPr>
          <w:p>
            <w:pPr>
              <w:spacing w:line="240" w:lineRule="auto"/>
              <w:ind w:firstLine="0" w:firstLineChars="0"/>
              <w:jc w:val="center"/>
              <w:rPr>
                <w:sz w:val="24"/>
              </w:rPr>
            </w:pPr>
          </w:p>
        </w:tc>
        <w:tc>
          <w:tcPr>
            <w:tcW w:w="908" w:type="dxa"/>
            <w:vAlign w:val="center"/>
          </w:tcPr>
          <w:p>
            <w:pPr>
              <w:spacing w:line="240" w:lineRule="auto"/>
              <w:ind w:firstLine="0" w:firstLineChars="0"/>
              <w:jc w:val="center"/>
              <w:rPr>
                <w:sz w:val="24"/>
              </w:rPr>
            </w:pPr>
          </w:p>
        </w:tc>
        <w:tc>
          <w:tcPr>
            <w:tcW w:w="904" w:type="dxa"/>
            <w:vAlign w:val="center"/>
          </w:tcPr>
          <w:p>
            <w:pPr>
              <w:spacing w:line="240" w:lineRule="auto"/>
              <w:ind w:firstLine="0" w:firstLineChars="0"/>
              <w:jc w:val="center"/>
              <w:rPr>
                <w:sz w:val="24"/>
              </w:rPr>
            </w:pPr>
          </w:p>
        </w:tc>
        <w:tc>
          <w:tcPr>
            <w:tcW w:w="860" w:type="dxa"/>
            <w:vAlign w:val="center"/>
          </w:tcPr>
          <w:p>
            <w:pPr>
              <w:spacing w:line="240" w:lineRule="auto"/>
              <w:ind w:firstLine="0" w:firstLineChars="0"/>
              <w:jc w:val="center"/>
              <w:rPr>
                <w:sz w:val="24"/>
              </w:rPr>
            </w:pPr>
          </w:p>
        </w:tc>
        <w:tc>
          <w:tcPr>
            <w:tcW w:w="845" w:type="dxa"/>
            <w:vAlign w:val="center"/>
          </w:tcPr>
          <w:p>
            <w:pPr>
              <w:spacing w:line="240" w:lineRule="auto"/>
              <w:ind w:firstLine="0" w:firstLineChars="0"/>
              <w:jc w:val="center"/>
              <w:rPr>
                <w:sz w:val="24"/>
              </w:rPr>
            </w:pPr>
          </w:p>
        </w:tc>
        <w:tc>
          <w:tcPr>
            <w:tcW w:w="1201" w:type="dxa"/>
            <w:vAlign w:val="center"/>
          </w:tcPr>
          <w:p>
            <w:pPr>
              <w:spacing w:line="240" w:lineRule="auto"/>
              <w:ind w:firstLine="0" w:firstLineChars="0"/>
              <w:jc w:val="center"/>
              <w:rPr>
                <w:sz w:val="24"/>
              </w:rPr>
            </w:pPr>
          </w:p>
        </w:tc>
        <w:tc>
          <w:tcPr>
            <w:tcW w:w="1585" w:type="dxa"/>
            <w:vAlign w:val="center"/>
          </w:tcPr>
          <w:p>
            <w:pPr>
              <w:spacing w:line="240" w:lineRule="auto"/>
              <w:ind w:firstLine="0" w:firstLineChars="0"/>
              <w:jc w:val="center"/>
              <w:rPr>
                <w:rFonts w:ascii="宋体" w:hAnsi="宋体"/>
                <w:sz w:val="24"/>
              </w:rPr>
            </w:pPr>
            <w:r>
              <w:rPr>
                <w:rFonts w:ascii="宋体" w:hAnsi="宋体"/>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2" w:space="0"/>
          </w:tblBorders>
          <w:tblCellMar>
            <w:top w:w="0" w:type="dxa"/>
            <w:left w:w="108" w:type="dxa"/>
            <w:bottom w:w="0" w:type="dxa"/>
            <w:right w:w="108" w:type="dxa"/>
          </w:tblCellMar>
        </w:tblPrEx>
        <w:trPr>
          <w:trHeight w:val="3355" w:hRule="atLeast"/>
          <w:jc w:val="center"/>
        </w:trPr>
        <w:tc>
          <w:tcPr>
            <w:tcW w:w="9358" w:type="dxa"/>
            <w:gridSpan w:val="9"/>
            <w:vAlign w:val="center"/>
          </w:tcPr>
          <w:p>
            <w:pPr>
              <w:ind w:firstLine="0" w:firstLineChars="0"/>
              <w:rPr>
                <w:sz w:val="24"/>
              </w:rPr>
            </w:pPr>
            <w:bookmarkStart w:id="161" w:name="OLE_LINK85"/>
            <w:r>
              <w:rPr>
                <w:rFonts w:hint="eastAsia"/>
                <w:sz w:val="24"/>
              </w:rPr>
              <w:t>情况说明:</w:t>
            </w:r>
          </w:p>
          <w:p>
            <w:pPr>
              <w:ind w:firstLine="480"/>
              <w:rPr>
                <w:sz w:val="24"/>
              </w:rPr>
            </w:pPr>
            <w:r>
              <w:rPr>
                <w:rFonts w:hint="eastAsia"/>
                <w:sz w:val="24"/>
              </w:rPr>
              <w:t>根据《广西壮族自治区实施（中华人民共和国招标投标）办法》的规定，本项目属于系社会公共利益的基础设施项目，施工单项合同估算价在400万元人民币以上的；重要设备、材料等货物的采购，单项合同估算价在200万元人民币以上的；勘察，设计、监理、设备采购等服务，单项合同估算价在100万人民币以上的，必须依法进行招标。</w:t>
            </w:r>
            <w:bookmarkEnd w:id="161"/>
          </w:p>
        </w:tc>
      </w:tr>
    </w:tbl>
    <w:p>
      <w:pPr>
        <w:ind w:firstLine="198" w:firstLineChars="71"/>
        <w:sectPr>
          <w:pgSz w:w="11906" w:h="16838"/>
          <w:pgMar w:top="1440" w:right="1276" w:bottom="1440" w:left="1418" w:header="851" w:footer="992" w:gutter="0"/>
          <w:cols w:space="425" w:num="1"/>
          <w:docGrid w:linePitch="381" w:charSpace="0"/>
        </w:sectPr>
      </w:pPr>
    </w:p>
    <w:p>
      <w:pPr>
        <w:pStyle w:val="2"/>
        <w:ind w:firstLine="880"/>
        <w:jc w:val="center"/>
        <w:rPr>
          <w:rFonts w:ascii="黑体" w:hAnsi="黑体" w:eastAsia="黑体" w:cs="黑体"/>
          <w:b w:val="0"/>
          <w:bCs w:val="0"/>
        </w:rPr>
      </w:pPr>
      <w:bookmarkStart w:id="162" w:name="_Toc169616893"/>
      <w:r>
        <w:rPr>
          <w:rFonts w:hint="eastAsia" w:ascii="黑体" w:hAnsi="黑体" w:eastAsia="黑体" w:cs="黑体"/>
          <w:b w:val="0"/>
          <w:bCs w:val="0"/>
        </w:rPr>
        <w:t>第6章 项目</w:t>
      </w:r>
      <w:r>
        <w:rPr>
          <w:rFonts w:ascii="黑体" w:hAnsi="黑体" w:eastAsia="黑体" w:cs="黑体"/>
          <w:b w:val="0"/>
          <w:bCs w:val="0"/>
        </w:rPr>
        <w:t>运营方案</w:t>
      </w:r>
      <w:bookmarkEnd w:id="162"/>
    </w:p>
    <w:p>
      <w:pPr>
        <w:pStyle w:val="3"/>
        <w:spacing w:before="120" w:beforeLines="50"/>
        <w:rPr>
          <w:rFonts w:ascii="黑体" w:hAnsi="黑体" w:eastAsia="黑体" w:cs="黑体"/>
          <w:b w:val="0"/>
          <w:bCs w:val="0"/>
          <w:sz w:val="32"/>
        </w:rPr>
      </w:pPr>
      <w:bookmarkStart w:id="163" w:name="_Toc169616894"/>
      <w:r>
        <w:rPr>
          <w:rFonts w:hint="eastAsia" w:ascii="黑体" w:hAnsi="黑体" w:eastAsia="黑体" w:cs="黑体"/>
          <w:b w:val="0"/>
          <w:bCs w:val="0"/>
          <w:sz w:val="32"/>
        </w:rPr>
        <w:t>6.1运营模式选择</w:t>
      </w:r>
      <w:bookmarkEnd w:id="163"/>
    </w:p>
    <w:p>
      <w:pPr>
        <w:ind w:firstLine="560"/>
      </w:pPr>
      <w:r>
        <w:rPr>
          <w:rFonts w:hint="eastAsia"/>
        </w:rPr>
        <w:t>本项目属于政府投资的非盈利项目，项目建成后由</w:t>
      </w:r>
      <w:r>
        <w:rPr>
          <w:rFonts w:hint="eastAsia" w:ascii="宋体" w:hAnsi="宋体" w:cs="仿宋_GB2312"/>
          <w:kern w:val="0"/>
          <w:szCs w:val="28"/>
          <w:lang w:bidi="ar"/>
        </w:rPr>
        <w:t>百色市田东生态环境局</w:t>
      </w:r>
      <w:r>
        <w:rPr>
          <w:rFonts w:hint="eastAsia"/>
        </w:rPr>
        <w:t>负责管理。</w:t>
      </w:r>
    </w:p>
    <w:p>
      <w:pPr>
        <w:pStyle w:val="3"/>
        <w:spacing w:before="120" w:beforeLines="50"/>
        <w:rPr>
          <w:rFonts w:ascii="黑体" w:hAnsi="黑体" w:eastAsia="黑体" w:cs="黑体"/>
          <w:b w:val="0"/>
          <w:bCs w:val="0"/>
          <w:sz w:val="32"/>
        </w:rPr>
      </w:pPr>
      <w:bookmarkStart w:id="164" w:name="_Toc169616895"/>
      <w:r>
        <w:rPr>
          <w:rFonts w:hint="eastAsia" w:ascii="黑体" w:hAnsi="黑体" w:eastAsia="黑体" w:cs="黑体"/>
          <w:b w:val="0"/>
          <w:bCs w:val="0"/>
          <w:sz w:val="32"/>
        </w:rPr>
        <w:t>6.2运营组织方案</w:t>
      </w:r>
      <w:bookmarkEnd w:id="164"/>
    </w:p>
    <w:p>
      <w:pPr>
        <w:pStyle w:val="3"/>
        <w:spacing w:before="120" w:beforeLines="50"/>
        <w:rPr>
          <w:rFonts w:ascii="黑体" w:hAnsi="黑体" w:eastAsia="黑体" w:cs="黑体"/>
          <w:b w:val="0"/>
          <w:bCs w:val="0"/>
          <w:sz w:val="30"/>
          <w:szCs w:val="30"/>
        </w:rPr>
      </w:pPr>
      <w:bookmarkStart w:id="165" w:name="_Toc167465072"/>
      <w:bookmarkStart w:id="166" w:name="_Toc167642121"/>
      <w:bookmarkStart w:id="167" w:name="_Toc167703220"/>
      <w:bookmarkStart w:id="168" w:name="_Toc169560554"/>
      <w:bookmarkStart w:id="169" w:name="_Toc169616896"/>
      <w:r>
        <w:rPr>
          <w:rFonts w:hint="eastAsia" w:ascii="黑体" w:hAnsi="黑体" w:eastAsia="黑体" w:cs="黑体"/>
          <w:b w:val="0"/>
          <w:bCs w:val="0"/>
          <w:sz w:val="30"/>
          <w:szCs w:val="30"/>
        </w:rPr>
        <w:t>6.2.1组织机构设置</w:t>
      </w:r>
      <w:bookmarkEnd w:id="165"/>
      <w:bookmarkEnd w:id="166"/>
      <w:bookmarkEnd w:id="167"/>
      <w:bookmarkEnd w:id="168"/>
      <w:bookmarkEnd w:id="169"/>
    </w:p>
    <w:p>
      <w:pPr>
        <w:ind w:firstLine="560"/>
      </w:pPr>
    </w:p>
    <w:p>
      <w:pPr>
        <w:pStyle w:val="38"/>
        <w:rPr>
          <w:color w:val="auto"/>
        </w:rPr>
      </w:pPr>
    </w:p>
    <w:p>
      <w:pPr>
        <w:ind w:firstLine="560"/>
      </w:pPr>
    </w:p>
    <w:p>
      <w:pPr>
        <w:pStyle w:val="38"/>
        <w:rPr>
          <w:color w:val="auto"/>
        </w:rPr>
      </w:pPr>
    </w:p>
    <w:p>
      <w:pPr>
        <w:ind w:firstLine="560"/>
      </w:pPr>
    </w:p>
    <w:p>
      <w:pPr>
        <w:pStyle w:val="38"/>
        <w:rPr>
          <w:color w:val="auto"/>
        </w:rPr>
      </w:pPr>
    </w:p>
    <w:p>
      <w:pPr>
        <w:ind w:firstLine="560"/>
      </w:pPr>
    </w:p>
    <w:p>
      <w:pPr>
        <w:pStyle w:val="38"/>
        <w:rPr>
          <w:color w:val="auto"/>
        </w:rPr>
      </w:pPr>
    </w:p>
    <w:p>
      <w:pPr>
        <w:ind w:firstLine="560"/>
      </w:pPr>
    </w:p>
    <w:p>
      <w:pPr>
        <w:pStyle w:val="38"/>
        <w:rPr>
          <w:color w:val="auto"/>
        </w:rPr>
      </w:pPr>
    </w:p>
    <w:p>
      <w:pPr>
        <w:ind w:firstLine="560"/>
      </w:pPr>
      <w:r>
        <w:drawing>
          <wp:anchor distT="0" distB="0" distL="114300" distR="114300" simplePos="0" relativeHeight="251661312" behindDoc="0" locked="0" layoutInCell="1" allowOverlap="1">
            <wp:simplePos x="0" y="0"/>
            <wp:positionH relativeFrom="column">
              <wp:posOffset>352425</wp:posOffset>
            </wp:positionH>
            <wp:positionV relativeFrom="paragraph">
              <wp:posOffset>-2522220</wp:posOffset>
            </wp:positionV>
            <wp:extent cx="3952240" cy="280416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952240" cy="2804160"/>
                    </a:xfrm>
                    <a:prstGeom prst="rect">
                      <a:avLst/>
                    </a:prstGeom>
                    <a:noFill/>
                    <a:ln>
                      <a:noFill/>
                    </a:ln>
                  </pic:spPr>
                </pic:pic>
              </a:graphicData>
            </a:graphic>
          </wp:anchor>
        </w:drawing>
      </w:r>
    </w:p>
    <w:p>
      <w:pPr>
        <w:pStyle w:val="3"/>
        <w:spacing w:before="120" w:beforeLines="50"/>
        <w:rPr>
          <w:rFonts w:ascii="黑体" w:hAnsi="黑体" w:eastAsia="黑体" w:cs="黑体"/>
          <w:b w:val="0"/>
          <w:bCs w:val="0"/>
          <w:sz w:val="30"/>
          <w:szCs w:val="30"/>
        </w:rPr>
      </w:pPr>
      <w:bookmarkStart w:id="170" w:name="_Toc167642122"/>
      <w:bookmarkStart w:id="171" w:name="_Toc169560555"/>
      <w:bookmarkStart w:id="172" w:name="_Toc169616897"/>
      <w:bookmarkStart w:id="173" w:name="_Toc166061691"/>
      <w:bookmarkStart w:id="174" w:name="_Toc167465073"/>
      <w:bookmarkStart w:id="175" w:name="_Toc167357191"/>
      <w:bookmarkStart w:id="176" w:name="_Toc167703221"/>
      <w:r>
        <w:rPr>
          <w:rFonts w:ascii="黑体" w:hAnsi="黑体" w:eastAsia="黑体" w:cs="黑体"/>
          <w:b w:val="0"/>
          <w:bCs w:val="0"/>
          <w:sz w:val="30"/>
          <w:szCs w:val="30"/>
        </w:rPr>
        <w:t>6.2.2</w:t>
      </w:r>
      <w:r>
        <w:rPr>
          <w:rFonts w:hint="eastAsia" w:ascii="黑体" w:hAnsi="黑体" w:eastAsia="黑体" w:cs="黑体"/>
          <w:b w:val="0"/>
          <w:bCs w:val="0"/>
          <w:sz w:val="30"/>
          <w:szCs w:val="30"/>
        </w:rPr>
        <w:t>员工培训需求及计划</w:t>
      </w:r>
      <w:bookmarkEnd w:id="170"/>
      <w:bookmarkEnd w:id="171"/>
      <w:bookmarkEnd w:id="172"/>
      <w:bookmarkEnd w:id="173"/>
      <w:bookmarkEnd w:id="174"/>
      <w:bookmarkEnd w:id="175"/>
      <w:bookmarkEnd w:id="176"/>
    </w:p>
    <w:p>
      <w:pPr>
        <w:ind w:firstLine="560"/>
      </w:pPr>
      <w:r>
        <w:rPr>
          <w:rFonts w:hint="eastAsia"/>
        </w:rPr>
        <w:t>（1）组织对运行管护管理人员进行技术培训，使其了解处理工艺，熟悉站内的设施设备的运行要求和技术性指标，运行管理人员需熟悉本岗位工作技能；</w:t>
      </w:r>
    </w:p>
    <w:p>
      <w:pPr>
        <w:ind w:firstLine="560"/>
      </w:pPr>
      <w:r>
        <w:rPr>
          <w:rFonts w:hint="eastAsia"/>
        </w:rPr>
        <w:t>（2）加强公司专业技术人员的培训，提高技术理论水平和专业技能，增强科技研发、技术创新、技术改造能力。</w:t>
      </w:r>
    </w:p>
    <w:p>
      <w:pPr>
        <w:ind w:firstLine="560"/>
      </w:pPr>
      <w:r>
        <w:rPr>
          <w:rFonts w:hint="eastAsia"/>
        </w:rPr>
        <w:t>（3）加强公司操作人员的技术等级培训，不断提升操作人员的业务水平和操作技能，增强严格履行岗位职责的能力。</w:t>
      </w:r>
    </w:p>
    <w:p>
      <w:pPr>
        <w:ind w:firstLine="560"/>
      </w:pPr>
      <w:r>
        <w:rPr>
          <w:rFonts w:hint="eastAsia"/>
        </w:rPr>
        <w:t>（4）加强公司员工的学历培训，提升各层次人员的科学文化水平，增强员工队伍的整体文化素质。</w:t>
      </w:r>
    </w:p>
    <w:p>
      <w:pPr>
        <w:ind w:firstLine="560"/>
      </w:pPr>
      <w:r>
        <w:rPr>
          <w:rFonts w:hint="eastAsia"/>
        </w:rPr>
        <w:t>（5）加强各级管理人员和行业人员执业资格的培训，加快持证上岗工作步伐，进一步规范管理。</w:t>
      </w:r>
    </w:p>
    <w:p>
      <w:pPr>
        <w:ind w:firstLine="560"/>
      </w:pPr>
      <w:r>
        <w:rPr>
          <w:rFonts w:hint="eastAsia"/>
        </w:rPr>
        <w:t>（6）坚持培训人员、培训内容、培训时间三落实原则。中层干部和专业技术人员业务培训累计时间不少于20天；一般职工操作技能培训累计时间不少于30天</w:t>
      </w:r>
      <w:r>
        <w:t>。</w:t>
      </w:r>
    </w:p>
    <w:p>
      <w:pPr>
        <w:pStyle w:val="3"/>
        <w:spacing w:before="120" w:beforeLines="50"/>
        <w:rPr>
          <w:rFonts w:ascii="黑体" w:hAnsi="黑体" w:eastAsia="黑体" w:cs="黑体"/>
          <w:b w:val="0"/>
          <w:bCs w:val="0"/>
          <w:sz w:val="30"/>
          <w:szCs w:val="30"/>
        </w:rPr>
      </w:pPr>
      <w:bookmarkStart w:id="177" w:name="_Toc167357192"/>
      <w:bookmarkStart w:id="178" w:name="_Toc166061692"/>
      <w:bookmarkStart w:id="179" w:name="_Toc167465074"/>
      <w:bookmarkStart w:id="180" w:name="_Toc167642123"/>
      <w:bookmarkStart w:id="181" w:name="_Toc167703222"/>
      <w:bookmarkStart w:id="182" w:name="_Toc169560556"/>
      <w:bookmarkStart w:id="183" w:name="_Toc169616898"/>
      <w:r>
        <w:rPr>
          <w:rFonts w:hint="eastAsia" w:ascii="黑体" w:hAnsi="黑体" w:eastAsia="黑体" w:cs="黑体"/>
          <w:b w:val="0"/>
          <w:bCs w:val="0"/>
          <w:sz w:val="30"/>
          <w:szCs w:val="30"/>
        </w:rPr>
        <w:t>6.2.</w:t>
      </w:r>
      <w:r>
        <w:rPr>
          <w:rFonts w:ascii="黑体" w:hAnsi="黑体" w:eastAsia="黑体" w:cs="黑体"/>
          <w:b w:val="0"/>
          <w:bCs w:val="0"/>
          <w:sz w:val="30"/>
          <w:szCs w:val="30"/>
        </w:rPr>
        <w:t>3</w:t>
      </w:r>
      <w:r>
        <w:rPr>
          <w:rFonts w:hint="eastAsia" w:ascii="黑体" w:hAnsi="黑体" w:eastAsia="黑体" w:cs="黑体"/>
          <w:b w:val="0"/>
          <w:bCs w:val="0"/>
          <w:sz w:val="30"/>
          <w:szCs w:val="30"/>
        </w:rPr>
        <w:t>合规管理、治理体系优化和信息披露措施</w:t>
      </w:r>
      <w:bookmarkEnd w:id="177"/>
      <w:bookmarkEnd w:id="178"/>
      <w:bookmarkEnd w:id="179"/>
      <w:bookmarkEnd w:id="180"/>
      <w:bookmarkEnd w:id="181"/>
      <w:bookmarkEnd w:id="182"/>
      <w:bookmarkEnd w:id="183"/>
    </w:p>
    <w:p>
      <w:pPr>
        <w:ind w:firstLine="560"/>
      </w:pPr>
      <w:r>
        <w:rPr>
          <w:rFonts w:hint="eastAsia"/>
        </w:rPr>
        <w:t>（1）根据当地对污水处理设施的客观需求、水资源禀赋、水环境承载力、发展需求和经济技术水平等因素开展污水资源化利用工作，实施差别化措施。</w:t>
      </w:r>
    </w:p>
    <w:p>
      <w:pPr>
        <w:ind w:firstLine="560"/>
      </w:pPr>
      <w:r>
        <w:rPr>
          <w:rFonts w:hint="eastAsia"/>
        </w:rPr>
        <w:t>（2）增强科技支撑，注重新型技术的开发，加大与地方高校、科研机构、科技企业之间的合作，加强关键共性技术装备研发，推广普及先进适用技术工艺。</w:t>
      </w:r>
    </w:p>
    <w:p>
      <w:pPr>
        <w:ind w:firstLine="560"/>
      </w:pPr>
      <w:r>
        <w:rPr>
          <w:rFonts w:hint="eastAsia"/>
        </w:rPr>
        <w:t>（3）以稳定达标排放为主，实施差别化提标建设和精准治污。</w:t>
      </w:r>
    </w:p>
    <w:p>
      <w:pPr>
        <w:ind w:firstLine="560"/>
      </w:pPr>
      <w:r>
        <w:rPr>
          <w:rFonts w:hint="eastAsia"/>
        </w:rPr>
        <w:t>（4）建设项目信息系统，将信息化技术引入污水处理设备中，借助信息化技术应用，及时发现存在的问题，并采取针对性的解决措施。</w:t>
      </w:r>
    </w:p>
    <w:p>
      <w:pPr>
        <w:ind w:firstLine="560"/>
      </w:pPr>
      <w:r>
        <w:rPr>
          <w:rFonts w:hint="eastAsia"/>
        </w:rPr>
        <w:t>（5）做好项目实施计划公开，对于设备建设、运营有严重影响居住环境的要提前做好工作。对环境影响较小的做好污水设施建设、运营的宣传工作，排除群众对污水设施建设、运营可能存在的偏见。因工程施工、设备维修等原因，处理设施需要临时停运的，运营单位应当提前通知排水户。</w:t>
      </w:r>
    </w:p>
    <w:p>
      <w:pPr>
        <w:pStyle w:val="3"/>
        <w:spacing w:before="120" w:beforeLines="50"/>
        <w:rPr>
          <w:rFonts w:ascii="黑体" w:hAnsi="黑体" w:eastAsia="黑体" w:cs="黑体"/>
          <w:b w:val="0"/>
          <w:bCs w:val="0"/>
          <w:sz w:val="32"/>
        </w:rPr>
      </w:pPr>
      <w:bookmarkStart w:id="184" w:name="_Toc169616899"/>
      <w:r>
        <w:rPr>
          <w:rFonts w:hint="eastAsia" w:ascii="黑体" w:hAnsi="黑体" w:eastAsia="黑体" w:cs="黑体"/>
          <w:b w:val="0"/>
          <w:bCs w:val="0"/>
          <w:sz w:val="32"/>
        </w:rPr>
        <w:t>6.</w:t>
      </w:r>
      <w:r>
        <w:rPr>
          <w:rFonts w:ascii="黑体" w:hAnsi="黑体" w:eastAsia="黑体" w:cs="黑体"/>
          <w:b w:val="0"/>
          <w:bCs w:val="0"/>
          <w:sz w:val="32"/>
        </w:rPr>
        <w:t>3</w:t>
      </w:r>
      <w:r>
        <w:rPr>
          <w:rFonts w:hint="eastAsia" w:ascii="黑体" w:hAnsi="黑体" w:eastAsia="黑体" w:cs="黑体"/>
          <w:b w:val="0"/>
          <w:bCs w:val="0"/>
          <w:sz w:val="32"/>
        </w:rPr>
        <w:t>安全保障方案</w:t>
      </w:r>
      <w:bookmarkEnd w:id="184"/>
    </w:p>
    <w:p>
      <w:pPr>
        <w:pStyle w:val="3"/>
        <w:spacing w:before="120" w:beforeLines="50"/>
        <w:rPr>
          <w:rFonts w:ascii="黑体" w:hAnsi="黑体" w:eastAsia="黑体" w:cs="黑体"/>
          <w:b w:val="0"/>
          <w:bCs w:val="0"/>
          <w:sz w:val="30"/>
          <w:szCs w:val="30"/>
        </w:rPr>
      </w:pPr>
      <w:bookmarkStart w:id="185" w:name="_Toc167465076"/>
      <w:bookmarkStart w:id="186" w:name="_Toc167642125"/>
      <w:bookmarkStart w:id="187" w:name="_Toc169616900"/>
      <w:bookmarkStart w:id="188" w:name="_Toc166061694"/>
      <w:bookmarkStart w:id="189" w:name="_Toc167703224"/>
      <w:bookmarkStart w:id="190" w:name="_Toc169560558"/>
      <w:r>
        <w:rPr>
          <w:rFonts w:hint="eastAsia" w:ascii="黑体" w:hAnsi="黑体" w:eastAsia="黑体" w:cs="黑体"/>
          <w:b w:val="0"/>
          <w:bCs w:val="0"/>
          <w:sz w:val="30"/>
          <w:szCs w:val="30"/>
        </w:rPr>
        <w:t>6.3.1安全生产管理</w:t>
      </w:r>
      <w:bookmarkEnd w:id="185"/>
      <w:bookmarkEnd w:id="186"/>
      <w:bookmarkEnd w:id="187"/>
      <w:bookmarkEnd w:id="188"/>
      <w:bookmarkEnd w:id="189"/>
      <w:bookmarkEnd w:id="190"/>
    </w:p>
    <w:p>
      <w:pPr>
        <w:ind w:firstLine="560"/>
      </w:pPr>
      <w:r>
        <w:rPr>
          <w:rFonts w:hint="eastAsia"/>
        </w:rPr>
        <w:t>（1）</w:t>
      </w:r>
      <w:r>
        <w:t>项目安全控制坚持“安全第一，预防为主，综合治理”的方针，项目单位应根据《安全生产管理制度》建立健全安全管理体系和安全生产责任制，并将安全责任目标分解到岗；落实到人，项目负责人是项目安全生产的总负责人。</w:t>
      </w:r>
    </w:p>
    <w:p>
      <w:pPr>
        <w:ind w:firstLine="560"/>
      </w:pPr>
      <w:r>
        <w:rPr>
          <w:rFonts w:hint="eastAsia"/>
        </w:rPr>
        <w:t>（2）</w:t>
      </w:r>
      <w:r>
        <w:t>根据项目安全目标编制安全保证计划。安全保证计划应包括工程概况、控制程序、控制目标、组织结构、职责权限、规章制度、资源配置、安全措施、检查评价和奖惩制度。</w:t>
      </w:r>
    </w:p>
    <w:p>
      <w:pPr>
        <w:ind w:firstLine="560"/>
      </w:pPr>
      <w:r>
        <w:rPr>
          <w:rFonts w:hint="eastAsia"/>
        </w:rPr>
        <w:t>（3）</w:t>
      </w:r>
      <w:r>
        <w:t>由指定专人负责每天坚持逐道工序进行检查，发现隐患立即组织进行整改，防止风险的发生。</w:t>
      </w:r>
    </w:p>
    <w:p>
      <w:pPr>
        <w:ind w:firstLine="560"/>
      </w:pPr>
      <w:r>
        <w:rPr>
          <w:rFonts w:hint="eastAsia"/>
        </w:rPr>
        <w:t>（4）</w:t>
      </w:r>
      <w:r>
        <w:t>当发生或预计发生重大不可抗拒灾害性事件时，立即做好保护措施，把损失降低到最低限度，制定出切实可行的防范措施，上报上级主管部门审批后方可继续施工</w:t>
      </w:r>
      <w:r>
        <w:rPr>
          <w:rFonts w:hint="eastAsia"/>
        </w:rPr>
        <w:t>。</w:t>
      </w:r>
    </w:p>
    <w:p>
      <w:pPr>
        <w:pStyle w:val="3"/>
        <w:spacing w:before="120" w:beforeLines="50"/>
        <w:rPr>
          <w:rFonts w:ascii="黑体" w:hAnsi="黑体" w:eastAsia="黑体" w:cs="黑体"/>
          <w:b w:val="0"/>
          <w:bCs w:val="0"/>
          <w:sz w:val="30"/>
          <w:szCs w:val="30"/>
        </w:rPr>
      </w:pPr>
      <w:bookmarkStart w:id="191" w:name="_Toc166061695"/>
      <w:bookmarkStart w:id="192" w:name="_Toc167465077"/>
      <w:bookmarkStart w:id="193" w:name="_Toc167642126"/>
      <w:bookmarkStart w:id="194" w:name="_Toc167703225"/>
      <w:bookmarkStart w:id="195" w:name="_Toc169560559"/>
      <w:bookmarkStart w:id="196" w:name="_Toc169616901"/>
      <w:r>
        <w:rPr>
          <w:rFonts w:hint="eastAsia" w:ascii="黑体" w:hAnsi="黑体" w:eastAsia="黑体" w:cs="黑体"/>
          <w:b w:val="0"/>
          <w:bCs w:val="0"/>
          <w:sz w:val="30"/>
          <w:szCs w:val="30"/>
        </w:rPr>
        <w:t>6.3.2应急管理预案</w:t>
      </w:r>
      <w:bookmarkEnd w:id="191"/>
      <w:bookmarkEnd w:id="192"/>
      <w:bookmarkEnd w:id="193"/>
      <w:bookmarkEnd w:id="194"/>
      <w:bookmarkEnd w:id="195"/>
      <w:bookmarkEnd w:id="196"/>
    </w:p>
    <w:p>
      <w:pPr>
        <w:ind w:firstLine="560"/>
      </w:pPr>
      <w:r>
        <w:rPr>
          <w:rFonts w:hint="eastAsia"/>
        </w:rPr>
        <w:t>为贯彻“安全第一，预防为主”的安全生产方针，预防重大环保事故发生。对污水处理系统可能发生的异常情况，积极防范；在突发性污染事故发生后，迅速、高效、有序地开展污染事故的应急处理工作，最大限度的避免和控制污染的扩大，并确定潜在的事故、事件或紧急情况，确保经过处理后的中水中的污染物浓度符合国家污水综合排放标准的有关规定，并能在事故发生后迅速有效控制处理。本着“预防第一，自救为主，统一指挥，分工负责”的原则，制定项目突发事件应急管理预案。</w:t>
      </w:r>
    </w:p>
    <w:p>
      <w:pPr>
        <w:pStyle w:val="38"/>
        <w:rPr>
          <w:color w:val="auto"/>
        </w:rPr>
      </w:pPr>
    </w:p>
    <w:p>
      <w:pPr>
        <w:ind w:firstLine="0" w:firstLineChars="0"/>
      </w:pPr>
    </w:p>
    <w:p>
      <w:pPr>
        <w:pStyle w:val="38"/>
        <w:rPr>
          <w:color w:val="auto"/>
        </w:rPr>
      </w:pPr>
      <w:r>
        <w:rPr>
          <w:rFonts w:ascii="宋体" w:hAnsi="宋体" w:cs="宋体"/>
          <w:color w:val="auto"/>
        </w:rPr>
        <w:drawing>
          <wp:inline distT="0" distB="0" distL="0" distR="0">
            <wp:extent cx="5313680" cy="643191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320415" cy="6440503"/>
                    </a:xfrm>
                    <a:prstGeom prst="rect">
                      <a:avLst/>
                    </a:prstGeom>
                    <a:noFill/>
                    <a:ln>
                      <a:noFill/>
                    </a:ln>
                  </pic:spPr>
                </pic:pic>
              </a:graphicData>
            </a:graphic>
          </wp:inline>
        </w:drawing>
      </w:r>
    </w:p>
    <w:p>
      <w:pPr>
        <w:pStyle w:val="3"/>
        <w:spacing w:before="120" w:beforeLines="50"/>
        <w:rPr>
          <w:rFonts w:ascii="黑体" w:hAnsi="黑体" w:eastAsia="黑体" w:cs="黑体"/>
          <w:b w:val="0"/>
          <w:bCs w:val="0"/>
          <w:sz w:val="32"/>
        </w:rPr>
      </w:pPr>
      <w:bookmarkStart w:id="197" w:name="_Toc169616902"/>
      <w:r>
        <w:rPr>
          <w:rFonts w:hint="eastAsia" w:ascii="黑体" w:hAnsi="黑体" w:eastAsia="黑体" w:cs="黑体"/>
          <w:b w:val="0"/>
          <w:bCs w:val="0"/>
          <w:sz w:val="32"/>
        </w:rPr>
        <w:t>6.</w:t>
      </w:r>
      <w:r>
        <w:rPr>
          <w:rFonts w:ascii="黑体" w:hAnsi="黑体" w:eastAsia="黑体" w:cs="黑体"/>
          <w:b w:val="0"/>
          <w:bCs w:val="0"/>
          <w:sz w:val="32"/>
        </w:rPr>
        <w:t>4</w:t>
      </w:r>
      <w:r>
        <w:rPr>
          <w:rFonts w:hint="eastAsia" w:ascii="黑体" w:hAnsi="黑体" w:eastAsia="黑体" w:cs="黑体"/>
          <w:b w:val="0"/>
          <w:bCs w:val="0"/>
          <w:sz w:val="32"/>
        </w:rPr>
        <w:t>绩效</w:t>
      </w:r>
      <w:r>
        <w:rPr>
          <w:rFonts w:ascii="黑体" w:hAnsi="黑体" w:eastAsia="黑体" w:cs="黑体"/>
          <w:b w:val="0"/>
          <w:bCs w:val="0"/>
          <w:sz w:val="32"/>
        </w:rPr>
        <w:t>管理方案</w:t>
      </w:r>
      <w:bookmarkEnd w:id="197"/>
    </w:p>
    <w:p>
      <w:pPr>
        <w:ind w:firstLine="560"/>
      </w:pPr>
      <w:r>
        <w:rPr>
          <w:rFonts w:hint="eastAsia"/>
        </w:rPr>
        <w:t>（</w:t>
      </w:r>
      <w:r>
        <w:t>1</w:t>
      </w:r>
      <w:r>
        <w:rPr>
          <w:rFonts w:hint="eastAsia"/>
        </w:rPr>
        <w:t>）</w:t>
      </w:r>
      <w:r>
        <w:t>依据生产流程、设备结构、原料质量、工序控制的变化、及时提出临时性工艺技术变更。</w:t>
      </w:r>
    </w:p>
    <w:p>
      <w:pPr>
        <w:ind w:firstLine="560"/>
      </w:pPr>
      <w:r>
        <w:rPr>
          <w:rFonts w:hint="eastAsia"/>
        </w:rPr>
        <w:t>（</w:t>
      </w:r>
      <w:r>
        <w:t>2</w:t>
      </w:r>
      <w:r>
        <w:rPr>
          <w:rFonts w:hint="eastAsia"/>
        </w:rPr>
        <w:t>）</w:t>
      </w:r>
      <w:r>
        <w:t>熟练掌握岗位操作标准，熟识主要设备的结构、原理及其作用。</w:t>
      </w:r>
    </w:p>
    <w:p>
      <w:pPr>
        <w:ind w:firstLine="560"/>
      </w:pPr>
      <w:r>
        <w:rPr>
          <w:rFonts w:hint="eastAsia"/>
        </w:rPr>
        <w:t>（</w:t>
      </w:r>
      <w:r>
        <w:t>3</w:t>
      </w:r>
      <w:r>
        <w:rPr>
          <w:rFonts w:hint="eastAsia"/>
        </w:rPr>
        <w:t>）</w:t>
      </w:r>
      <w:r>
        <w:t>负责进行实际调查、发现和掌握生产中的薄弱环节，解决在产量、质量、消耗等方面存在的问题，保证各项计划的完成。</w:t>
      </w:r>
    </w:p>
    <w:p>
      <w:pPr>
        <w:ind w:firstLine="560"/>
      </w:pPr>
      <w:r>
        <w:rPr>
          <w:rFonts w:hint="eastAsia"/>
        </w:rPr>
        <w:t>（</w:t>
      </w:r>
      <w:r>
        <w:t>4</w:t>
      </w:r>
      <w:r>
        <w:rPr>
          <w:rFonts w:hint="eastAsia"/>
        </w:rPr>
        <w:t>）</w:t>
      </w:r>
      <w:r>
        <w:t>了解掌握国内外同行业生产状况和技术水平，不断采用新工艺、新技术、增加产量、提高质量、降低消耗。</w:t>
      </w:r>
    </w:p>
    <w:p>
      <w:pPr>
        <w:ind w:firstLine="560"/>
      </w:pPr>
      <w:r>
        <w:rPr>
          <w:rFonts w:hint="eastAsia"/>
        </w:rPr>
        <w:t>（</w:t>
      </w:r>
      <w:r>
        <w:t>5</w:t>
      </w:r>
      <w:r>
        <w:rPr>
          <w:rFonts w:hint="eastAsia"/>
        </w:rPr>
        <w:t>）</w:t>
      </w:r>
      <w:r>
        <w:t>定期组织对生产系统有关消耗的查定或测定工作，对薄弱环节及时提出改进措施，并负责技术文件资料的收集整理和归档。</w:t>
      </w:r>
    </w:p>
    <w:p>
      <w:pPr>
        <w:ind w:firstLine="560"/>
      </w:pPr>
      <w:r>
        <w:rPr>
          <w:rFonts w:hint="eastAsia"/>
        </w:rPr>
        <w:t>（</w:t>
      </w:r>
      <w:r>
        <w:t>6</w:t>
      </w:r>
      <w:r>
        <w:rPr>
          <w:rFonts w:hint="eastAsia"/>
        </w:rPr>
        <w:t>）</w:t>
      </w:r>
      <w:r>
        <w:t>负责工艺方面基础工作，建立健全有关的技术基础资料和台帐</w:t>
      </w:r>
      <w:r>
        <w:rPr>
          <w:rFonts w:hint="eastAsia"/>
        </w:rPr>
        <w:t>。</w:t>
      </w:r>
    </w:p>
    <w:p>
      <w:pPr>
        <w:pStyle w:val="2"/>
        <w:ind w:firstLine="880"/>
        <w:jc w:val="center"/>
        <w:rPr>
          <w:rFonts w:ascii="黑体" w:hAnsi="黑体" w:eastAsia="黑体" w:cs="黑体"/>
          <w:b w:val="0"/>
          <w:bCs w:val="0"/>
        </w:rPr>
      </w:pPr>
      <w:bookmarkStart w:id="198" w:name="_Toc169616903"/>
      <w:r>
        <w:rPr>
          <w:rFonts w:hint="eastAsia" w:ascii="黑体" w:hAnsi="黑体" w:eastAsia="黑体" w:cs="黑体"/>
          <w:b w:val="0"/>
          <w:bCs w:val="0"/>
        </w:rPr>
        <w:t>第7章  投资融资</w:t>
      </w:r>
      <w:r>
        <w:rPr>
          <w:rFonts w:ascii="黑体" w:hAnsi="黑体" w:eastAsia="黑体" w:cs="黑体"/>
          <w:b w:val="0"/>
          <w:bCs w:val="0"/>
        </w:rPr>
        <w:t>与</w:t>
      </w:r>
      <w:r>
        <w:rPr>
          <w:rFonts w:hint="eastAsia" w:ascii="黑体" w:hAnsi="黑体" w:eastAsia="黑体" w:cs="黑体"/>
          <w:b w:val="0"/>
          <w:bCs w:val="0"/>
        </w:rPr>
        <w:t>财务方案</w:t>
      </w:r>
      <w:bookmarkEnd w:id="198"/>
    </w:p>
    <w:p>
      <w:pPr>
        <w:pStyle w:val="3"/>
        <w:spacing w:before="120" w:beforeLines="50"/>
        <w:rPr>
          <w:rFonts w:ascii="黑体" w:hAnsi="黑体" w:eastAsia="黑体" w:cs="黑体"/>
          <w:b w:val="0"/>
          <w:bCs w:val="0"/>
          <w:sz w:val="32"/>
        </w:rPr>
      </w:pPr>
      <w:bookmarkStart w:id="199" w:name="_Toc169616904"/>
      <w:r>
        <w:rPr>
          <w:rFonts w:hint="eastAsia" w:ascii="黑体" w:hAnsi="黑体" w:eastAsia="黑体" w:cs="黑体"/>
          <w:b w:val="0"/>
          <w:bCs w:val="0"/>
          <w:sz w:val="32"/>
        </w:rPr>
        <w:t>7.1投资</w:t>
      </w:r>
      <w:r>
        <w:rPr>
          <w:rFonts w:ascii="黑体" w:hAnsi="黑体" w:eastAsia="黑体" w:cs="黑体"/>
          <w:b w:val="0"/>
          <w:bCs w:val="0"/>
          <w:sz w:val="32"/>
        </w:rPr>
        <w:t>估算</w:t>
      </w:r>
      <w:bookmarkEnd w:id="199"/>
    </w:p>
    <w:p>
      <w:pPr>
        <w:pStyle w:val="3"/>
        <w:spacing w:before="120" w:beforeLines="50"/>
      </w:pPr>
      <w:bookmarkStart w:id="200" w:name="_Toc167465081"/>
      <w:bookmarkStart w:id="201" w:name="_Toc167642130"/>
      <w:bookmarkStart w:id="202" w:name="_Toc169616905"/>
      <w:bookmarkStart w:id="203" w:name="_Toc167357199"/>
      <w:bookmarkStart w:id="204" w:name="_Toc169560563"/>
      <w:r>
        <w:rPr>
          <w:rFonts w:hint="eastAsia" w:ascii="黑体" w:hAnsi="黑体" w:eastAsia="黑体" w:cs="黑体"/>
          <w:b w:val="0"/>
          <w:bCs w:val="0"/>
          <w:sz w:val="30"/>
          <w:szCs w:val="30"/>
        </w:rPr>
        <w:t>7.1.1投资估算</w:t>
      </w:r>
      <w:r>
        <w:rPr>
          <w:rFonts w:ascii="黑体" w:hAnsi="黑体" w:eastAsia="黑体" w:cs="黑体"/>
          <w:b w:val="0"/>
          <w:bCs w:val="0"/>
          <w:sz w:val="30"/>
          <w:szCs w:val="30"/>
        </w:rPr>
        <w:t>依据</w:t>
      </w:r>
      <w:bookmarkEnd w:id="200"/>
      <w:bookmarkEnd w:id="201"/>
      <w:bookmarkEnd w:id="202"/>
      <w:bookmarkEnd w:id="203"/>
      <w:bookmarkEnd w:id="204"/>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1.《建设项目投资估算编审规程》（CECA/GC1-2015）；</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2.《</w:t>
      </w:r>
      <w:r>
        <w:rPr>
          <w:rFonts w:asciiTheme="minorEastAsia" w:hAnsiTheme="minorEastAsia" w:eastAsiaTheme="minorEastAsia"/>
          <w:szCs w:val="28"/>
        </w:rPr>
        <w:t>广西壮族自治区市政工程消耗量定额</w:t>
      </w:r>
      <w:r>
        <w:rPr>
          <w:rFonts w:hint="eastAsia" w:asciiTheme="minorEastAsia" w:hAnsiTheme="minorEastAsia" w:eastAsiaTheme="minorEastAsia"/>
          <w:szCs w:val="28"/>
        </w:rPr>
        <w:t>(</w:t>
      </w:r>
      <w:r>
        <w:rPr>
          <w:rFonts w:asciiTheme="minorEastAsia" w:hAnsiTheme="minorEastAsia" w:eastAsiaTheme="minorEastAsia"/>
          <w:szCs w:val="28"/>
        </w:rPr>
        <w:t>2022</w:t>
      </w:r>
      <w:r>
        <w:rPr>
          <w:rFonts w:hint="eastAsia" w:asciiTheme="minorEastAsia" w:hAnsiTheme="minorEastAsia" w:eastAsiaTheme="minorEastAsia"/>
          <w:szCs w:val="28"/>
        </w:rPr>
        <w:t xml:space="preserve"> </w:t>
      </w:r>
      <w:r>
        <w:rPr>
          <w:rFonts w:asciiTheme="minorEastAsia" w:hAnsiTheme="minorEastAsia" w:eastAsiaTheme="minorEastAsia"/>
          <w:szCs w:val="28"/>
        </w:rPr>
        <w:t>年版</w:t>
      </w:r>
      <w:r>
        <w:rPr>
          <w:rFonts w:hint="eastAsia" w:asciiTheme="minorEastAsia" w:hAnsiTheme="minorEastAsia" w:eastAsiaTheme="minorEastAsia"/>
          <w:szCs w:val="28"/>
        </w:rPr>
        <w:t>)》；</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3.《广西壮族自治区安装工程消耗量定额》（2015年）；</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4.《关于进一步放开建设项目专业服务价格的通知》（发改价格[2015]299号文）；</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5.《广西壮族自治区转发国家发展改革委关于降低部分建设项目收费标准规范收费行为等有关问题的通知》（桂价费[2011]55号）；</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6.《</w:t>
      </w:r>
      <w:r>
        <w:rPr>
          <w:rFonts w:asciiTheme="minorEastAsia" w:hAnsiTheme="minorEastAsia" w:eastAsiaTheme="minorEastAsia"/>
          <w:szCs w:val="28"/>
        </w:rPr>
        <w:t>广西壮族自治区物价局转发国家发展改革委关于进一步放开建设项目专业服务价格的通知</w:t>
      </w:r>
      <w:r>
        <w:rPr>
          <w:rFonts w:hint="eastAsia" w:asciiTheme="minorEastAsia" w:hAnsiTheme="minorEastAsia" w:eastAsiaTheme="minorEastAsia"/>
          <w:szCs w:val="28"/>
        </w:rPr>
        <w:t>》（</w:t>
      </w:r>
      <w:r>
        <w:rPr>
          <w:rFonts w:asciiTheme="minorEastAsia" w:hAnsiTheme="minorEastAsia" w:eastAsiaTheme="minorEastAsia"/>
          <w:szCs w:val="28"/>
        </w:rPr>
        <w:t>桂建标</w:t>
      </w:r>
      <w:r>
        <w:rPr>
          <w:rFonts w:hint="eastAsia" w:asciiTheme="minorEastAsia" w:hAnsiTheme="minorEastAsia" w:eastAsiaTheme="minorEastAsia"/>
          <w:szCs w:val="28"/>
        </w:rPr>
        <w:t>〔201</w:t>
      </w:r>
      <w:r>
        <w:rPr>
          <w:rFonts w:asciiTheme="minorEastAsia" w:hAnsiTheme="minorEastAsia" w:eastAsiaTheme="minorEastAsia"/>
          <w:szCs w:val="28"/>
        </w:rPr>
        <w:t>8</w:t>
      </w:r>
      <w:r>
        <w:rPr>
          <w:rFonts w:hint="eastAsia" w:asciiTheme="minorEastAsia" w:hAnsiTheme="minorEastAsia" w:eastAsiaTheme="minorEastAsia"/>
          <w:szCs w:val="28"/>
        </w:rPr>
        <w:t>〕3</w:t>
      </w:r>
      <w:r>
        <w:rPr>
          <w:rFonts w:asciiTheme="minorEastAsia" w:hAnsiTheme="minorEastAsia" w:eastAsiaTheme="minorEastAsia"/>
          <w:szCs w:val="28"/>
        </w:rPr>
        <w:t>7</w:t>
      </w:r>
      <w:r>
        <w:rPr>
          <w:rFonts w:hint="eastAsia" w:asciiTheme="minorEastAsia" w:hAnsiTheme="minorEastAsia" w:eastAsiaTheme="minorEastAsia"/>
          <w:szCs w:val="28"/>
        </w:rPr>
        <w:t>号）；</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7.自治区住房城乡建设厅关于颁布2016年《广西壮族自治区建设工程费用定额》的通知（桂建标[2016]16号文）；</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8.《自治区住房城乡建设厅关于建筑业实施营业税改征增值税后广西壮族自治区建设工程计价依据调整的通知》（桂建标[2016]17号文）；</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9.《广西壮族自治区工程建设其他费用定额》（桂建标[2018］37号）；</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10.《自治区住房城乡建设厅关于调整建设工程定额人工费及有关费率的通知》（桂建标[20</w:t>
      </w:r>
      <w:r>
        <w:rPr>
          <w:rFonts w:asciiTheme="minorEastAsia" w:hAnsiTheme="minorEastAsia" w:eastAsiaTheme="minorEastAsia"/>
          <w:szCs w:val="28"/>
        </w:rPr>
        <w:t>23</w:t>
      </w:r>
      <w:r>
        <w:rPr>
          <w:rFonts w:hint="eastAsia" w:asciiTheme="minorEastAsia" w:hAnsiTheme="minorEastAsia" w:eastAsiaTheme="minorEastAsia"/>
          <w:szCs w:val="28"/>
        </w:rPr>
        <w:t>］</w:t>
      </w:r>
      <w:r>
        <w:rPr>
          <w:rFonts w:asciiTheme="minorEastAsia" w:hAnsiTheme="minorEastAsia" w:eastAsiaTheme="minorEastAsia"/>
          <w:szCs w:val="28"/>
        </w:rPr>
        <w:t>7</w:t>
      </w:r>
      <w:r>
        <w:rPr>
          <w:rFonts w:hint="eastAsia" w:asciiTheme="minorEastAsia" w:hAnsiTheme="minorEastAsia" w:eastAsiaTheme="minorEastAsia"/>
          <w:szCs w:val="28"/>
        </w:rPr>
        <w:t>号文）；</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11.</w:t>
      </w:r>
      <w:r>
        <w:rPr>
          <w:rFonts w:asciiTheme="minorEastAsia" w:hAnsiTheme="minorEastAsia" w:eastAsiaTheme="minorEastAsia"/>
          <w:szCs w:val="28"/>
        </w:rPr>
        <w:t>材料价格按《百色建设工程造价信息》20</w:t>
      </w:r>
      <w:r>
        <w:rPr>
          <w:rFonts w:hint="eastAsia" w:asciiTheme="minorEastAsia" w:hAnsiTheme="minorEastAsia" w:eastAsiaTheme="minorEastAsia"/>
          <w:szCs w:val="28"/>
        </w:rPr>
        <w:t>2</w:t>
      </w:r>
      <w:r>
        <w:rPr>
          <w:rFonts w:asciiTheme="minorEastAsia" w:hAnsiTheme="minorEastAsia" w:eastAsiaTheme="minorEastAsia"/>
          <w:szCs w:val="28"/>
        </w:rPr>
        <w:t>4年3</w:t>
      </w:r>
      <w:r>
        <w:rPr>
          <w:rFonts w:hint="eastAsia" w:asciiTheme="minorEastAsia" w:hAnsiTheme="minorEastAsia" w:eastAsiaTheme="minorEastAsia"/>
          <w:szCs w:val="28"/>
        </w:rPr>
        <w:t>月信息价</w:t>
      </w:r>
      <w:r>
        <w:rPr>
          <w:rFonts w:asciiTheme="minorEastAsia" w:hAnsiTheme="minorEastAsia" w:eastAsiaTheme="minorEastAsia"/>
          <w:szCs w:val="28"/>
        </w:rPr>
        <w:t>计取，信息没有公布的材料价格市场询价计算</w:t>
      </w:r>
      <w:r>
        <w:rPr>
          <w:rFonts w:hint="eastAsia" w:asciiTheme="minorEastAsia" w:hAnsiTheme="minorEastAsia" w:eastAsiaTheme="minorEastAsia"/>
          <w:szCs w:val="28"/>
        </w:rPr>
        <w:t>；</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12.</w:t>
      </w:r>
      <w:r>
        <w:rPr>
          <w:rFonts w:asciiTheme="minorEastAsia" w:hAnsiTheme="minorEastAsia" w:eastAsiaTheme="minorEastAsia"/>
          <w:szCs w:val="28"/>
        </w:rPr>
        <w:t>现行国家和主管部门发布的有关法律、法规、规章、规程等；</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13.《广西自治区住房城乡建设厅关于调整建设工程计价增值税税率的通知》桂建标[2019]12号</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14.</w:t>
      </w:r>
      <w:r>
        <w:rPr>
          <w:rFonts w:asciiTheme="minorEastAsia" w:hAnsiTheme="minorEastAsia" w:eastAsiaTheme="minorEastAsia"/>
          <w:szCs w:val="28"/>
        </w:rPr>
        <w:t>近期类似工程造价资料及相关文件</w:t>
      </w:r>
      <w:r>
        <w:rPr>
          <w:rFonts w:hint="eastAsia" w:asciiTheme="minorEastAsia" w:hAnsiTheme="minorEastAsia" w:eastAsiaTheme="minorEastAsia"/>
          <w:szCs w:val="28"/>
        </w:rPr>
        <w:t>。</w:t>
      </w:r>
    </w:p>
    <w:p>
      <w:pPr>
        <w:pStyle w:val="3"/>
        <w:spacing w:before="120" w:beforeLines="50"/>
      </w:pPr>
      <w:bookmarkStart w:id="205" w:name="_Toc169560564"/>
      <w:bookmarkStart w:id="206" w:name="_Toc167357200"/>
      <w:bookmarkStart w:id="207" w:name="_Toc167465082"/>
      <w:bookmarkStart w:id="208" w:name="_Toc169616906"/>
      <w:bookmarkStart w:id="209" w:name="_Toc167642131"/>
      <w:r>
        <w:rPr>
          <w:rFonts w:hint="eastAsia" w:ascii="黑体" w:hAnsi="黑体" w:eastAsia="黑体" w:cs="黑体"/>
          <w:b w:val="0"/>
          <w:bCs w:val="0"/>
          <w:sz w:val="30"/>
          <w:szCs w:val="30"/>
        </w:rPr>
        <w:t>7.1.2估算范围</w:t>
      </w:r>
      <w:bookmarkEnd w:id="205"/>
      <w:bookmarkEnd w:id="206"/>
      <w:bookmarkEnd w:id="207"/>
      <w:bookmarkEnd w:id="208"/>
      <w:bookmarkEnd w:id="209"/>
    </w:p>
    <w:p>
      <w:pPr>
        <w:snapToGrid w:val="0"/>
        <w:ind w:firstLine="560"/>
        <w:rPr>
          <w:rFonts w:asciiTheme="minorEastAsia" w:hAnsiTheme="minorEastAsia" w:eastAsiaTheme="minorEastAsia"/>
          <w:szCs w:val="28"/>
        </w:rPr>
      </w:pPr>
      <w:r>
        <w:rPr>
          <w:rFonts w:hint="eastAsia" w:asciiTheme="minorEastAsia" w:hAnsiTheme="minorEastAsia" w:eastAsiaTheme="minorEastAsia"/>
          <w:szCs w:val="28"/>
        </w:rPr>
        <w:t>根据项目的建设内容、建设方案及其具体情况，项目的投资估算考虑</w:t>
      </w:r>
      <w:r>
        <w:rPr>
          <w:rFonts w:hint="eastAsia"/>
        </w:rPr>
        <w:t>主要涉及：1</w:t>
      </w:r>
      <w:r>
        <w:t xml:space="preserve">. </w:t>
      </w:r>
      <w:r>
        <w:rPr>
          <w:rFonts w:hint="eastAsia"/>
        </w:rPr>
        <w:t>里弄屯黑臭水处理；</w:t>
      </w:r>
      <w:r>
        <w:t xml:space="preserve">2. </w:t>
      </w:r>
      <w:r>
        <w:rPr>
          <w:rFonts w:hint="eastAsia"/>
        </w:rPr>
        <w:t>里弄屯黑臭水体水葫芦塘处理；3</w:t>
      </w:r>
      <w:r>
        <w:t xml:space="preserve">. </w:t>
      </w:r>
      <w:r>
        <w:rPr>
          <w:rFonts w:hint="eastAsia"/>
        </w:rPr>
        <w:t>甲逢屯外黑臭水流域处理；</w:t>
      </w:r>
      <w:r>
        <w:t xml:space="preserve"> 4. </w:t>
      </w:r>
      <w:r>
        <w:rPr>
          <w:rFonts w:hint="eastAsia"/>
          <w:lang w:eastAsia="zh-CN"/>
        </w:rPr>
        <w:t>东海屯</w:t>
      </w:r>
      <w:r>
        <w:rPr>
          <w:rFonts w:hint="eastAsia"/>
        </w:rPr>
        <w:t>区域生活污水排放污染源；</w:t>
      </w:r>
      <w:r>
        <w:rPr>
          <w:rFonts w:hint="eastAsia" w:asciiTheme="minorEastAsia" w:hAnsiTheme="minorEastAsia" w:eastAsiaTheme="minorEastAsia"/>
          <w:szCs w:val="28"/>
        </w:rPr>
        <w:t>因此，项目投资估算范围主要包括：管网工程、施工便道工程、恢复田边水沟工程、破除及恢复路面工程、清理河沟、水沟、垃圾、水葫芦清理，水塘</w:t>
      </w:r>
      <w:r>
        <w:rPr>
          <w:rFonts w:hint="eastAsia" w:asciiTheme="minorEastAsia" w:hAnsiTheme="minorEastAsia" w:eastAsiaTheme="minorEastAsia"/>
          <w:szCs w:val="28"/>
          <w:lang w:eastAsia="zh-CN"/>
        </w:rPr>
        <w:t>疏浚</w:t>
      </w:r>
      <w:r>
        <w:rPr>
          <w:rFonts w:hint="eastAsia" w:asciiTheme="minorEastAsia" w:hAnsiTheme="minorEastAsia" w:eastAsiaTheme="minorEastAsia"/>
          <w:szCs w:val="28"/>
        </w:rPr>
        <w:t>及抽水，工程建设其它费用等。</w:t>
      </w: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7.1.3工程建设其它费用</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1.项目前期工作咨询费：按《广西壮族自治区工程建设其他费用定额》（2018年版）计列。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2.勘察费：按《广西勘察设计收费指导标准》(2020版)计算。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3.设计费：按《广西勘察设计收费指导标准》(2020版)计算。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4.监理费：按《广西壮族自治区工程建设其他费用定额》（2018年版）计算。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5.工程造价咨询费：按桂价协[2019]15号文计列。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6.施工图审查费：按桂建发[2019]1号估算。</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7.招标代理费：按《广西壮族自治区工程建设其他费用定额》（2018年版）计算。</w:t>
      </w:r>
    </w:p>
    <w:p>
      <w:pPr>
        <w:ind w:firstLine="560"/>
        <w:rPr>
          <w:rFonts w:asciiTheme="minorEastAsia" w:hAnsiTheme="minorEastAsia" w:eastAsiaTheme="minorEastAsia"/>
          <w:szCs w:val="28"/>
        </w:rPr>
      </w:pPr>
      <w:r>
        <w:rPr>
          <w:rFonts w:hint="eastAsia" w:asciiTheme="minorEastAsia" w:hAnsiTheme="minorEastAsia" w:eastAsiaTheme="minorEastAsia"/>
          <w:szCs w:val="28"/>
        </w:rPr>
        <w:t>13.预备费：按照工程建设费用与工程建设其他费用之和的</w:t>
      </w:r>
      <w:r>
        <w:rPr>
          <w:rFonts w:asciiTheme="minorEastAsia" w:hAnsiTheme="minorEastAsia" w:eastAsiaTheme="minorEastAsia"/>
          <w:szCs w:val="28"/>
        </w:rPr>
        <w:t>2</w:t>
      </w:r>
      <w:r>
        <w:rPr>
          <w:rFonts w:hint="eastAsia" w:asciiTheme="minorEastAsia" w:hAnsiTheme="minorEastAsia" w:eastAsiaTheme="minorEastAsia"/>
          <w:szCs w:val="28"/>
        </w:rPr>
        <w:t>%计算。</w:t>
      </w: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7.1.4项目估算总投资及资金来源</w:t>
      </w:r>
    </w:p>
    <w:p>
      <w:pPr>
        <w:snapToGrid w:val="0"/>
        <w:ind w:firstLine="560"/>
        <w:rPr>
          <w:rFonts w:ascii="宋体" w:hAnsi="宋体" w:cs="宋体"/>
        </w:rPr>
      </w:pPr>
      <w:r>
        <w:rPr>
          <w:rFonts w:hint="eastAsia" w:asciiTheme="minorEastAsia" w:hAnsiTheme="minorEastAsia" w:eastAsiaTheme="minorEastAsia"/>
          <w:szCs w:val="28"/>
        </w:rPr>
        <w:t>经估算，</w:t>
      </w:r>
      <w:r>
        <w:rPr>
          <w:rFonts w:hint="eastAsia" w:ascii="宋体" w:hAnsi="宋体" w:cs="宋体"/>
        </w:rPr>
        <w:t>本项目预计总投资约977.97万元，其中工程费用约884.73万元，其他费用约93.24万元。</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资金来源为：申请自治区农整专项资金。</w:t>
      </w:r>
    </w:p>
    <w:p>
      <w:pPr>
        <w:pStyle w:val="2"/>
        <w:ind w:firstLine="880"/>
        <w:jc w:val="center"/>
        <w:rPr>
          <w:rFonts w:ascii="黑体" w:hAnsi="黑体" w:eastAsia="黑体" w:cs="黑体"/>
          <w:b w:val="0"/>
          <w:bCs w:val="0"/>
        </w:rPr>
      </w:pPr>
      <w:bookmarkStart w:id="210" w:name="_Toc169616907"/>
      <w:r>
        <w:rPr>
          <w:rFonts w:hint="eastAsia" w:ascii="黑体" w:hAnsi="黑体" w:eastAsia="黑体" w:cs="黑体"/>
          <w:b w:val="0"/>
          <w:bCs w:val="0"/>
        </w:rPr>
        <w:t>第8章 项目</w:t>
      </w:r>
      <w:r>
        <w:rPr>
          <w:rFonts w:ascii="黑体" w:hAnsi="黑体" w:eastAsia="黑体" w:cs="黑体"/>
          <w:b w:val="0"/>
          <w:bCs w:val="0"/>
        </w:rPr>
        <w:t>影响效果分析</w:t>
      </w:r>
      <w:bookmarkEnd w:id="210"/>
    </w:p>
    <w:p>
      <w:pPr>
        <w:pStyle w:val="3"/>
        <w:spacing w:before="120" w:beforeLines="50"/>
        <w:rPr>
          <w:rFonts w:ascii="黑体" w:hAnsi="黑体" w:eastAsia="黑体" w:cs="黑体"/>
          <w:b w:val="0"/>
          <w:bCs w:val="0"/>
          <w:sz w:val="32"/>
        </w:rPr>
      </w:pPr>
      <w:bookmarkStart w:id="211" w:name="_Toc169616908"/>
      <w:r>
        <w:rPr>
          <w:rFonts w:ascii="黑体" w:hAnsi="黑体" w:eastAsia="黑体" w:cs="黑体"/>
          <w:b w:val="0"/>
          <w:bCs w:val="0"/>
          <w:sz w:val="32"/>
        </w:rPr>
        <w:t>8.1</w:t>
      </w:r>
      <w:r>
        <w:rPr>
          <w:rFonts w:hint="eastAsia" w:ascii="黑体" w:hAnsi="黑体" w:eastAsia="黑体" w:cs="黑体"/>
          <w:b w:val="0"/>
          <w:bCs w:val="0"/>
          <w:sz w:val="32"/>
        </w:rPr>
        <w:t>经济影响</w:t>
      </w:r>
      <w:r>
        <w:rPr>
          <w:rFonts w:ascii="黑体" w:hAnsi="黑体" w:eastAsia="黑体" w:cs="黑体"/>
          <w:b w:val="0"/>
          <w:bCs w:val="0"/>
          <w:sz w:val="32"/>
        </w:rPr>
        <w:t>分析</w:t>
      </w:r>
      <w:bookmarkEnd w:id="211"/>
    </w:p>
    <w:p>
      <w:pPr>
        <w:ind w:firstLine="560"/>
        <w:rPr>
          <w:lang w:bidi="zh-CN"/>
        </w:rPr>
      </w:pPr>
      <w:r>
        <w:rPr>
          <w:lang w:bidi="zh-CN"/>
        </w:rPr>
        <w:t>本项目建成后，</w:t>
      </w:r>
      <w:r>
        <w:rPr>
          <w:rFonts w:hint="eastAsia"/>
          <w:lang w:bidi="zh-CN"/>
        </w:rPr>
        <w:t>可</w:t>
      </w:r>
      <w:r>
        <w:rPr>
          <w:lang w:bidi="zh-CN"/>
        </w:rPr>
        <w:t>完善区域内污水收集系统，可使排入江河的污染物显著减少，提高城市的污水处理率，提高污水处理厂的进水水质中BOD5、COD等数据，使污水处理厂运行成本费用降低，使其具有一定的经济效益。</w:t>
      </w:r>
    </w:p>
    <w:p>
      <w:pPr>
        <w:ind w:firstLine="560"/>
      </w:pPr>
      <w:r>
        <w:rPr>
          <w:lang w:bidi="zh-CN"/>
        </w:rPr>
        <w:t>本工程的间接经济效益主要通过减少水污染对社会造成的经济损失而体现出来。治理区域内生活污染物排放，为区域经济可持续发展提供保障，大幅度的提高GDP，产生巨大的间接经济效益</w:t>
      </w:r>
      <w:r>
        <w:t>。</w:t>
      </w:r>
    </w:p>
    <w:p>
      <w:pPr>
        <w:pStyle w:val="3"/>
        <w:spacing w:before="120" w:beforeLines="50"/>
        <w:rPr>
          <w:rFonts w:ascii="黑体" w:hAnsi="黑体" w:eastAsia="黑体" w:cs="黑体"/>
          <w:b w:val="0"/>
          <w:bCs w:val="0"/>
          <w:sz w:val="32"/>
        </w:rPr>
      </w:pPr>
      <w:bookmarkStart w:id="212" w:name="_Toc169616909"/>
      <w:r>
        <w:rPr>
          <w:rFonts w:hint="eastAsia" w:ascii="黑体" w:hAnsi="黑体" w:eastAsia="黑体" w:cs="黑体"/>
          <w:b w:val="0"/>
          <w:bCs w:val="0"/>
          <w:sz w:val="32"/>
        </w:rPr>
        <w:t>8.</w:t>
      </w:r>
      <w:r>
        <w:rPr>
          <w:rFonts w:ascii="黑体" w:hAnsi="黑体" w:eastAsia="黑体" w:cs="黑体"/>
          <w:b w:val="0"/>
          <w:bCs w:val="0"/>
          <w:sz w:val="32"/>
        </w:rPr>
        <w:t>2</w:t>
      </w:r>
      <w:r>
        <w:rPr>
          <w:rFonts w:hint="eastAsia" w:ascii="黑体" w:hAnsi="黑体" w:eastAsia="黑体" w:cs="黑体"/>
          <w:b w:val="0"/>
          <w:bCs w:val="0"/>
          <w:sz w:val="32"/>
        </w:rPr>
        <w:t>社会</w:t>
      </w:r>
      <w:r>
        <w:rPr>
          <w:rFonts w:ascii="黑体" w:hAnsi="黑体" w:eastAsia="黑体" w:cs="黑体"/>
          <w:b w:val="0"/>
          <w:bCs w:val="0"/>
          <w:sz w:val="32"/>
        </w:rPr>
        <w:t>影响分析</w:t>
      </w:r>
      <w:bookmarkEnd w:id="212"/>
    </w:p>
    <w:p>
      <w:pPr>
        <w:ind w:firstLine="560"/>
        <w:rPr>
          <w:rFonts w:asciiTheme="minorEastAsia" w:hAnsiTheme="minorEastAsia" w:eastAsiaTheme="minorEastAsia"/>
          <w:szCs w:val="28"/>
        </w:rPr>
      </w:pPr>
      <w:r>
        <w:rPr>
          <w:rFonts w:hint="eastAsia" w:asciiTheme="minorEastAsia" w:hAnsiTheme="minorEastAsia" w:eastAsiaTheme="minorEastAsia"/>
          <w:bCs/>
          <w:szCs w:val="28"/>
          <w:lang w:bidi="zh-CN"/>
        </w:rPr>
        <w:t>环境治理</w:t>
      </w:r>
      <w:r>
        <w:rPr>
          <w:rFonts w:asciiTheme="minorEastAsia" w:hAnsiTheme="minorEastAsia" w:eastAsiaTheme="minorEastAsia"/>
          <w:bCs/>
          <w:szCs w:val="28"/>
          <w:lang w:bidi="zh-CN"/>
        </w:rPr>
        <w:t>项目是村庄环境综合整治作为社会主义新农村建设的重要组成，将有力地推动农村环境面貌的改观，通过实施村庄环境综合治理工程，将极大地改善村庄环境状况，提高农民生活质量</w:t>
      </w:r>
      <w:r>
        <w:rPr>
          <w:rFonts w:hint="eastAsia" w:asciiTheme="minorEastAsia" w:hAnsiTheme="minorEastAsia" w:eastAsiaTheme="minorEastAsia"/>
          <w:bCs/>
          <w:szCs w:val="28"/>
          <w:lang w:bidi="zh-CN"/>
        </w:rPr>
        <w:t>。</w:t>
      </w:r>
      <w:r>
        <w:rPr>
          <w:rFonts w:asciiTheme="minorEastAsia" w:hAnsiTheme="minorEastAsia" w:eastAsiaTheme="minorEastAsia"/>
          <w:bCs/>
          <w:szCs w:val="28"/>
          <w:lang w:bidi="zh-CN"/>
        </w:rPr>
        <w:t>在环境保护已成为一项基本国策的今天，水污染所引发的各种问题日益受到全社会的关注与重视，本工程的实施，对农村实现自身发展战略，具有深远的意义和影响</w:t>
      </w:r>
      <w:r>
        <w:rPr>
          <w:rFonts w:hint="eastAsia" w:asciiTheme="minorEastAsia" w:hAnsiTheme="minorEastAsia" w:eastAsiaTheme="minorEastAsia"/>
          <w:szCs w:val="28"/>
        </w:rPr>
        <w:t>。</w:t>
      </w:r>
    </w:p>
    <w:p>
      <w:pPr>
        <w:pStyle w:val="3"/>
        <w:spacing w:before="120" w:beforeLines="50"/>
        <w:rPr>
          <w:rFonts w:ascii="黑体" w:hAnsi="黑体" w:eastAsia="黑体" w:cs="黑体"/>
          <w:b w:val="0"/>
          <w:bCs w:val="0"/>
          <w:sz w:val="32"/>
        </w:rPr>
      </w:pPr>
      <w:bookmarkStart w:id="213" w:name="_Toc169616910"/>
      <w:r>
        <w:rPr>
          <w:rFonts w:hint="eastAsia" w:ascii="黑体" w:hAnsi="黑体" w:eastAsia="黑体" w:cs="黑体"/>
          <w:b w:val="0"/>
          <w:bCs w:val="0"/>
          <w:sz w:val="32"/>
        </w:rPr>
        <w:t>8.</w:t>
      </w:r>
      <w:r>
        <w:rPr>
          <w:rFonts w:ascii="黑体" w:hAnsi="黑体" w:eastAsia="黑体" w:cs="黑体"/>
          <w:b w:val="0"/>
          <w:bCs w:val="0"/>
          <w:sz w:val="32"/>
        </w:rPr>
        <w:t>3</w:t>
      </w:r>
      <w:r>
        <w:rPr>
          <w:rFonts w:hint="eastAsia" w:ascii="黑体" w:hAnsi="黑体" w:eastAsia="黑体" w:cs="黑体"/>
          <w:b w:val="0"/>
          <w:bCs w:val="0"/>
          <w:sz w:val="32"/>
        </w:rPr>
        <w:t>生态环境</w:t>
      </w:r>
      <w:r>
        <w:rPr>
          <w:rFonts w:ascii="黑体" w:hAnsi="黑体" w:eastAsia="黑体" w:cs="黑体"/>
          <w:b w:val="0"/>
          <w:bCs w:val="0"/>
          <w:sz w:val="32"/>
        </w:rPr>
        <w:t>影响分析</w:t>
      </w:r>
      <w:bookmarkEnd w:id="213"/>
    </w:p>
    <w:p>
      <w:pPr>
        <w:ind w:firstLine="560"/>
      </w:pPr>
      <w:r>
        <w:t>环境效益是本工程实施和完成后所能体现的最直接的工程效益。其主要表现在以下几个方面：</w:t>
      </w:r>
    </w:p>
    <w:p>
      <w:pPr>
        <w:ind w:firstLine="560"/>
      </w:pPr>
      <w:r>
        <w:rPr>
          <w:rFonts w:hint="eastAsia"/>
        </w:rPr>
        <w:t>第一：新建治理项目涉及的村屯开展生活污水治理的生活污水处理率达到90%以上</w:t>
      </w:r>
      <w:r>
        <w:t>，经过处理后的尾水外排，直接降低了各污染污染物的排放量，给环境的容量带来了巨大的空间，环境的承载力得到明显改善。</w:t>
      </w:r>
    </w:p>
    <w:p>
      <w:pPr>
        <w:ind w:firstLine="560"/>
      </w:pPr>
      <w:r>
        <w:t>第二：污水经收集统一处理后外排，改善了污水横流的现状，环境得到明显改善，生活环境更加舒适、优越。同时，选取生态型的处理工艺，还能为村庄带来景观效果，提升村容村貌。</w:t>
      </w:r>
    </w:p>
    <w:p>
      <w:pPr>
        <w:ind w:firstLine="560"/>
      </w:pPr>
      <w:r>
        <w:t>第三：本工程实施后对周边水域的保护作用是显而易见的；作为一项重要的基础设施，建设将有效地改善河流、江河的水污染现状，有效保护居民的饮用水安全，镇级、农村的饮用水源也得到保护，并将有效解决农村生活面源问题。</w:t>
      </w:r>
    </w:p>
    <w:p>
      <w:pPr>
        <w:ind w:firstLine="560"/>
      </w:pPr>
      <w:bookmarkStart w:id="214" w:name="_Toc10391_WPSOffice_Level3"/>
      <w:r>
        <w:t>第</w:t>
      </w:r>
      <w:r>
        <w:rPr>
          <w:rFonts w:hint="eastAsia"/>
        </w:rPr>
        <w:t>四</w:t>
      </w:r>
      <w:r>
        <w:t>：</w:t>
      </w:r>
      <w:r>
        <w:rPr>
          <w:rFonts w:hint="eastAsia"/>
        </w:rPr>
        <w:t>项目对所在地区文化、教育、卫生、基础设施的影响</w:t>
      </w:r>
      <w:bookmarkEnd w:id="214"/>
      <w:r>
        <w:rPr>
          <w:rFonts w:hint="eastAsia"/>
        </w:rPr>
        <w:t xml:space="preserve"> </w:t>
      </w:r>
    </w:p>
    <w:p>
      <w:pPr>
        <w:ind w:firstLine="560"/>
      </w:pPr>
      <w:r>
        <w:rPr>
          <w:rFonts w:hint="eastAsia"/>
        </w:rPr>
        <w:t xml:space="preserve">本项目集市政、环保、卫生于一体，是地方公共服务事业、生态环境保护建设的重要组成部分，本项目建设有利于提升城市品位，有利于提高环境卫生水平。所以，在乡村建设污水处理站是社会经济发展的必然要求，具有良好的社会效益和环境效益。项目建成后，有利于改善下游水体的环境质量。对改善投资环境，吸引外资，发展经济具有积极的作用。本项目排水系统的综合治理，使得困扰该区域的雨季积水和平时污水溢流问题得到根本解决，可使居民生活和生产环境都得以大幅度改观，对于改变村屯的对外形象都将起到积极作用，有利于社会安定，人民安居乐业，社会稳定发展，为居民提供一个良好的生活环境、工作环境和生态环境，具有显著的社会效益。 </w:t>
      </w:r>
    </w:p>
    <w:p>
      <w:pPr>
        <w:ind w:firstLine="560"/>
      </w:pPr>
      <w:r>
        <w:t>项目实施后，</w:t>
      </w:r>
      <w:r>
        <w:rPr>
          <w:rFonts w:hint="eastAsia"/>
        </w:rPr>
        <w:t>该区域无须排放、雨污混流现象</w:t>
      </w:r>
      <w:r>
        <w:t>得到了解决，</w:t>
      </w:r>
      <w:r>
        <w:rPr>
          <w:rFonts w:hint="eastAsia"/>
        </w:rPr>
        <w:t>附近</w:t>
      </w:r>
      <w:r>
        <w:t>居民的日常生活环境得到了较大的改善，对周边水域起到了积极的保护作用</w:t>
      </w:r>
      <w:r>
        <w:rPr>
          <w:rFonts w:hint="eastAsia"/>
        </w:rPr>
        <w:t>。</w:t>
      </w:r>
    </w:p>
    <w:p>
      <w:pPr>
        <w:pStyle w:val="3"/>
        <w:spacing w:before="120" w:beforeLines="50"/>
        <w:rPr>
          <w:rFonts w:ascii="黑体" w:hAnsi="黑体" w:eastAsia="黑体" w:cs="黑体"/>
          <w:b w:val="0"/>
          <w:bCs w:val="0"/>
          <w:sz w:val="32"/>
        </w:rPr>
      </w:pPr>
      <w:bookmarkStart w:id="215" w:name="_Toc169616911"/>
      <w:r>
        <w:rPr>
          <w:rFonts w:hint="eastAsia" w:ascii="黑体" w:hAnsi="黑体" w:eastAsia="黑体" w:cs="黑体"/>
          <w:b w:val="0"/>
          <w:bCs w:val="0"/>
          <w:sz w:val="32"/>
        </w:rPr>
        <w:t>8.</w:t>
      </w:r>
      <w:r>
        <w:rPr>
          <w:rFonts w:ascii="黑体" w:hAnsi="黑体" w:eastAsia="黑体" w:cs="黑体"/>
          <w:b w:val="0"/>
          <w:bCs w:val="0"/>
          <w:sz w:val="32"/>
        </w:rPr>
        <w:t>4</w:t>
      </w:r>
      <w:r>
        <w:rPr>
          <w:rFonts w:hint="eastAsia" w:ascii="黑体" w:hAnsi="黑体" w:eastAsia="黑体" w:cs="黑体"/>
          <w:b w:val="0"/>
          <w:bCs w:val="0"/>
          <w:sz w:val="32"/>
        </w:rPr>
        <w:t>资源</w:t>
      </w:r>
      <w:r>
        <w:rPr>
          <w:rFonts w:ascii="黑体" w:hAnsi="黑体" w:eastAsia="黑体" w:cs="黑体"/>
          <w:b w:val="0"/>
          <w:bCs w:val="0"/>
          <w:sz w:val="32"/>
        </w:rPr>
        <w:t>和能源利用效果分析</w:t>
      </w:r>
      <w:bookmarkEnd w:id="215"/>
    </w:p>
    <w:p>
      <w:pPr>
        <w:ind w:firstLine="560"/>
      </w:pPr>
      <w:r>
        <w:rPr>
          <w:rFonts w:hint="eastAsia"/>
        </w:rPr>
        <w:t>随著环境保护意识的抬头，友善环境、与自然环境共生共荣已成为国家发展时重要的考量因子。由于传统水资源开发的方式如兴建水库、拦河堰、越域引水等，因开发极为不易，近年来多以发展新兴水资源的方式辅助传统的水资源。</w:t>
      </w:r>
    </w:p>
    <w:p>
      <w:pPr>
        <w:ind w:firstLine="560"/>
      </w:pPr>
      <w:r>
        <w:rPr>
          <w:rFonts w:hint="eastAsia"/>
        </w:rPr>
        <w:t>污水再利用是指经过处理达到水质要求标准的城市污水，在适宜使用的范围内使用。污水资源化作为一种环保理念，是解决水资源短缺、减少污水危害环境的重要举措，实施污水资源化工程能够推动我国可持续发展战略的落实与发展。</w:t>
      </w:r>
    </w:p>
    <w:p>
      <w:pPr>
        <w:ind w:firstLine="560"/>
      </w:pPr>
      <w:r>
        <w:rPr>
          <w:rFonts w:hint="eastAsia"/>
        </w:rPr>
        <w:t>基于传统的二级污水处理及深度处理工艺，污水资源化处理技术能够对污水进一步加工处理，其水质更加符合质量安全标准。目前，我国已经做出了污水资源化的相应举措，初步建成了一批污水处理与再利用工程设施。污水资源化是指将经过深度处理后的城市污水，作为再生水资源应用到适宜的用途。</w:t>
      </w:r>
    </w:p>
    <w:p>
      <w:pPr>
        <w:ind w:firstLine="560"/>
      </w:pPr>
      <w:r>
        <w:rPr>
          <w:rFonts w:hint="eastAsia"/>
        </w:rPr>
        <w:t>对城市污水进行深度处理后，可以生产出水质安全、达标的再生水资源。以不与人体直接接触为前提，再生水具有广泛的用途，具体如下：</w:t>
      </w:r>
    </w:p>
    <w:p>
      <w:pPr>
        <w:ind w:firstLine="560"/>
      </w:pPr>
      <w:r>
        <w:rPr>
          <w:rFonts w:hint="eastAsia"/>
        </w:rPr>
        <w:t>（1）公共用水：再生水资源可以应用于喷洒道路、灌溉绿化、景观水域等城市公共资源维护，可以用作冲洗车辆、冲刷厕所等居民生活用水，还可以用作建设人工湿地、开发人工湖、补给自然河流与湿地等环保用水。</w:t>
      </w:r>
    </w:p>
    <w:p>
      <w:pPr>
        <w:ind w:firstLine="560"/>
      </w:pPr>
      <w:r>
        <w:rPr>
          <w:rFonts w:hint="eastAsia"/>
        </w:rPr>
        <w:t>（2）工业用水：再生水资源可以应用到工业生产中，补给工业循环用水以及矿产资源开发冷却用水，有效缓解不断扩张的工业企业水资源需求与水资源可持续发展之间的矛盾。在工业生产中，循环用水约占工业用水总量的75%，能源开发企业的冷却用水占工业用水总量的90%。为了支持工业企业的发展，污水资源化企业务必保证再生水的供应稳定性、水质安全性和供应总量。</w:t>
      </w:r>
    </w:p>
    <w:p>
      <w:pPr>
        <w:ind w:firstLine="560"/>
      </w:pPr>
      <w:r>
        <w:rPr>
          <w:rFonts w:hint="eastAsia"/>
        </w:rPr>
        <w:t>（3）灌溉用水：农业灌溉存在巨大的水资源需求，再生水应用于农业灌溉可以有效减少纯净水资源的消耗量，同时再生水中含有的化学元素既能为农作物的生长提供充足的养料，又不危害农作物的安全。</w:t>
      </w:r>
    </w:p>
    <w:p>
      <w:pPr>
        <w:ind w:firstLine="560"/>
      </w:pPr>
      <w:r>
        <w:rPr>
          <w:rFonts w:hint="eastAsia"/>
        </w:rPr>
        <w:t>（4）地下回灌水：经过深度处理的再生水排入城区附近的流域，能够通过地表水渗透有效补给地下水资源，避免地下水位降低，有效平衡地下水资源总量。</w:t>
      </w:r>
    </w:p>
    <w:p>
      <w:pPr>
        <w:ind w:firstLine="560"/>
      </w:pPr>
    </w:p>
    <w:p>
      <w:pPr>
        <w:pStyle w:val="2"/>
        <w:ind w:firstLine="880"/>
        <w:jc w:val="center"/>
        <w:rPr>
          <w:rFonts w:ascii="黑体" w:hAnsi="黑体" w:eastAsia="黑体" w:cs="黑体"/>
          <w:b w:val="0"/>
          <w:bCs w:val="0"/>
        </w:rPr>
      </w:pPr>
      <w:bookmarkStart w:id="216" w:name="_Toc169616912"/>
      <w:r>
        <w:rPr>
          <w:rFonts w:hint="eastAsia" w:ascii="黑体" w:hAnsi="黑体" w:eastAsia="黑体" w:cs="黑体"/>
          <w:b w:val="0"/>
          <w:bCs w:val="0"/>
        </w:rPr>
        <w:t>第9章 项目</w:t>
      </w:r>
      <w:r>
        <w:rPr>
          <w:rFonts w:ascii="黑体" w:hAnsi="黑体" w:eastAsia="黑体" w:cs="黑体"/>
          <w:b w:val="0"/>
          <w:bCs w:val="0"/>
        </w:rPr>
        <w:t>风险管控方案</w:t>
      </w:r>
      <w:bookmarkEnd w:id="216"/>
    </w:p>
    <w:p>
      <w:pPr>
        <w:pStyle w:val="3"/>
        <w:spacing w:before="120" w:beforeLines="50"/>
        <w:rPr>
          <w:rFonts w:ascii="黑体" w:hAnsi="黑体" w:eastAsia="黑体" w:cs="黑体"/>
          <w:b w:val="0"/>
          <w:bCs w:val="0"/>
          <w:sz w:val="32"/>
        </w:rPr>
      </w:pPr>
      <w:bookmarkStart w:id="217" w:name="_Toc169616913"/>
      <w:r>
        <w:rPr>
          <w:rFonts w:hint="eastAsia" w:ascii="黑体" w:hAnsi="黑体" w:eastAsia="黑体" w:cs="黑体"/>
          <w:b w:val="0"/>
          <w:bCs w:val="0"/>
          <w:sz w:val="32"/>
        </w:rPr>
        <w:t>9.1风险识别</w:t>
      </w:r>
      <w:r>
        <w:rPr>
          <w:rFonts w:ascii="黑体" w:hAnsi="黑体" w:eastAsia="黑体" w:cs="黑体"/>
          <w:b w:val="0"/>
          <w:bCs w:val="0"/>
          <w:sz w:val="32"/>
        </w:rPr>
        <w:t>与评价</w:t>
      </w:r>
      <w:bookmarkEnd w:id="217"/>
    </w:p>
    <w:p>
      <w:pPr>
        <w:ind w:firstLine="560"/>
        <w:rPr>
          <w:rFonts w:asciiTheme="minorEastAsia" w:hAnsiTheme="minorEastAsia" w:eastAsiaTheme="minorEastAsia"/>
          <w:szCs w:val="28"/>
        </w:rPr>
      </w:pPr>
      <w:r>
        <w:rPr>
          <w:rFonts w:asciiTheme="minorEastAsia" w:hAnsiTheme="minorEastAsia" w:eastAsiaTheme="minorEastAsia"/>
          <w:szCs w:val="28"/>
        </w:rPr>
        <w:t>经分析，本项目的风险因素有：</w:t>
      </w:r>
    </w:p>
    <w:p>
      <w:pPr>
        <w:ind w:firstLine="560"/>
        <w:rPr>
          <w:rFonts w:asciiTheme="minorEastAsia" w:hAnsiTheme="minorEastAsia" w:eastAsiaTheme="minorEastAsia"/>
          <w:szCs w:val="28"/>
        </w:rPr>
      </w:pPr>
      <w:r>
        <w:rPr>
          <w:rFonts w:asciiTheme="minorEastAsia" w:hAnsiTheme="minorEastAsia" w:eastAsiaTheme="minorEastAsia"/>
          <w:szCs w:val="28"/>
        </w:rPr>
        <w:t>（1）市场风险</w:t>
      </w:r>
    </w:p>
    <w:p>
      <w:pPr>
        <w:ind w:firstLine="560"/>
        <w:rPr>
          <w:rFonts w:asciiTheme="minorEastAsia" w:hAnsiTheme="minorEastAsia" w:eastAsiaTheme="minorEastAsia"/>
          <w:szCs w:val="28"/>
        </w:rPr>
      </w:pPr>
      <w:r>
        <w:rPr>
          <w:rFonts w:asciiTheme="minorEastAsia" w:hAnsiTheme="minorEastAsia" w:eastAsiaTheme="minorEastAsia"/>
          <w:szCs w:val="28"/>
        </w:rPr>
        <w:t>市场风险主要指污水量预测的不确定性。</w:t>
      </w:r>
    </w:p>
    <w:p>
      <w:pPr>
        <w:ind w:firstLine="560"/>
        <w:rPr>
          <w:rFonts w:asciiTheme="minorEastAsia" w:hAnsiTheme="minorEastAsia" w:eastAsiaTheme="minorEastAsia"/>
          <w:szCs w:val="28"/>
        </w:rPr>
      </w:pPr>
      <w:r>
        <w:rPr>
          <w:rFonts w:asciiTheme="minorEastAsia" w:hAnsiTheme="minorEastAsia" w:eastAsiaTheme="minorEastAsia"/>
          <w:szCs w:val="28"/>
        </w:rPr>
        <w:t>（2）技术风险</w:t>
      </w:r>
    </w:p>
    <w:p>
      <w:pPr>
        <w:ind w:firstLine="560"/>
        <w:rPr>
          <w:rFonts w:asciiTheme="minorEastAsia" w:hAnsiTheme="minorEastAsia" w:eastAsiaTheme="minorEastAsia"/>
          <w:szCs w:val="28"/>
        </w:rPr>
      </w:pPr>
      <w:r>
        <w:rPr>
          <w:rFonts w:asciiTheme="minorEastAsia" w:hAnsiTheme="minorEastAsia" w:eastAsiaTheme="minorEastAsia"/>
          <w:szCs w:val="28"/>
        </w:rPr>
        <w:t>技术方面的风险主要指项目采用先进技术和新技术应用上的可靠性和适用性能等存在不确定性，可能给项目带来的风险。</w:t>
      </w:r>
    </w:p>
    <w:p>
      <w:pPr>
        <w:ind w:firstLine="560"/>
        <w:rPr>
          <w:rFonts w:asciiTheme="minorEastAsia" w:hAnsiTheme="minorEastAsia" w:eastAsiaTheme="minorEastAsia"/>
          <w:szCs w:val="28"/>
        </w:rPr>
      </w:pPr>
      <w:r>
        <w:rPr>
          <w:rFonts w:asciiTheme="minorEastAsia" w:hAnsiTheme="minorEastAsia" w:eastAsiaTheme="minorEastAsia"/>
          <w:szCs w:val="28"/>
        </w:rPr>
        <w:t>（3）工程风险</w:t>
      </w:r>
    </w:p>
    <w:p>
      <w:pPr>
        <w:ind w:firstLine="560"/>
        <w:rPr>
          <w:rFonts w:asciiTheme="minorEastAsia" w:hAnsiTheme="minorEastAsia" w:eastAsiaTheme="minorEastAsia"/>
          <w:szCs w:val="28"/>
        </w:rPr>
      </w:pPr>
      <w:r>
        <w:rPr>
          <w:rFonts w:asciiTheme="minorEastAsia" w:hAnsiTheme="minorEastAsia" w:eastAsiaTheme="minorEastAsia"/>
          <w:szCs w:val="28"/>
        </w:rPr>
        <w:t>工程风险主要包括方案、工程地质、施工与工期等存在的各种不确定性给项目带来的风险。</w:t>
      </w:r>
    </w:p>
    <w:p>
      <w:pPr>
        <w:ind w:firstLine="560"/>
        <w:rPr>
          <w:rFonts w:asciiTheme="minorEastAsia" w:hAnsiTheme="minorEastAsia" w:eastAsiaTheme="minorEastAsia"/>
          <w:szCs w:val="28"/>
        </w:rPr>
      </w:pPr>
      <w:r>
        <w:rPr>
          <w:rFonts w:asciiTheme="minorEastAsia" w:hAnsiTheme="minorEastAsia" w:eastAsiaTheme="minorEastAsia"/>
          <w:szCs w:val="28"/>
        </w:rPr>
        <w:t>（4）环境影响</w:t>
      </w:r>
    </w:p>
    <w:p>
      <w:pPr>
        <w:ind w:firstLine="560"/>
        <w:rPr>
          <w:rFonts w:asciiTheme="minorEastAsia" w:hAnsiTheme="minorEastAsia" w:eastAsiaTheme="minorEastAsia"/>
          <w:szCs w:val="28"/>
        </w:rPr>
      </w:pPr>
      <w:r>
        <w:rPr>
          <w:rFonts w:asciiTheme="minorEastAsia" w:hAnsiTheme="minorEastAsia" w:eastAsiaTheme="minorEastAsia"/>
          <w:szCs w:val="28"/>
        </w:rPr>
        <w:t>环境影响方面的风险主要指工程建设施工期的排污和运营期污水渗漏对周围大气环境、声环境、水环境等产生的负面影响，致使项目不能顺利实施或需要增加大量投资进行治理等。</w:t>
      </w:r>
    </w:p>
    <w:p>
      <w:pPr>
        <w:ind w:firstLine="560"/>
        <w:rPr>
          <w:rFonts w:asciiTheme="minorEastAsia" w:hAnsiTheme="minorEastAsia" w:eastAsiaTheme="minorEastAsia"/>
          <w:szCs w:val="28"/>
        </w:rPr>
      </w:pPr>
      <w:r>
        <w:rPr>
          <w:rFonts w:asciiTheme="minorEastAsia" w:hAnsiTheme="minorEastAsia" w:eastAsiaTheme="minorEastAsia"/>
          <w:szCs w:val="28"/>
        </w:rPr>
        <w:t>（5）投资估算风险</w:t>
      </w:r>
    </w:p>
    <w:p>
      <w:pPr>
        <w:ind w:firstLine="560"/>
        <w:rPr>
          <w:rFonts w:asciiTheme="minorEastAsia" w:hAnsiTheme="minorEastAsia" w:eastAsiaTheme="minorEastAsia"/>
          <w:szCs w:val="28"/>
        </w:rPr>
      </w:pPr>
      <w:r>
        <w:rPr>
          <w:rFonts w:asciiTheme="minorEastAsia" w:hAnsiTheme="minorEastAsia" w:eastAsiaTheme="minorEastAsia"/>
          <w:szCs w:val="28"/>
        </w:rPr>
        <w:t>投资估算的风险主要来自工程方案变动的工程量增加、工期延长、人工、材料、机械台班费及各种费率、利率的提高，工程量增加和单价的提高。</w:t>
      </w:r>
    </w:p>
    <w:p>
      <w:pPr>
        <w:ind w:firstLine="560"/>
        <w:rPr>
          <w:rFonts w:asciiTheme="minorEastAsia" w:hAnsiTheme="minorEastAsia" w:eastAsiaTheme="minorEastAsia"/>
          <w:szCs w:val="28"/>
        </w:rPr>
      </w:pPr>
      <w:r>
        <w:rPr>
          <w:rFonts w:asciiTheme="minorEastAsia" w:hAnsiTheme="minorEastAsia" w:eastAsiaTheme="minorEastAsia"/>
          <w:szCs w:val="28"/>
        </w:rPr>
        <w:t>（6）经济风险</w:t>
      </w:r>
    </w:p>
    <w:p>
      <w:pPr>
        <w:ind w:firstLine="560"/>
        <w:rPr>
          <w:rFonts w:asciiTheme="minorEastAsia" w:hAnsiTheme="minorEastAsia" w:eastAsiaTheme="minorEastAsia"/>
          <w:szCs w:val="28"/>
        </w:rPr>
      </w:pPr>
      <w:r>
        <w:rPr>
          <w:rFonts w:asciiTheme="minorEastAsia" w:hAnsiTheme="minorEastAsia" w:eastAsiaTheme="minorEastAsia"/>
          <w:szCs w:val="28"/>
        </w:rPr>
        <w:t>经济方面的风险一是来自运输费用节约、运输时间节约，减少拥挤，提高安全等经济效益预测的不确定性；二是投资或运营费用的增加，使项目经济效益水平达不到预期目标。</w:t>
      </w:r>
    </w:p>
    <w:p>
      <w:pPr>
        <w:ind w:firstLine="560"/>
        <w:rPr>
          <w:rFonts w:asciiTheme="minorEastAsia" w:hAnsiTheme="minorEastAsia" w:eastAsiaTheme="minorEastAsia"/>
          <w:szCs w:val="28"/>
        </w:rPr>
      </w:pPr>
      <w:r>
        <w:rPr>
          <w:rFonts w:asciiTheme="minorEastAsia" w:hAnsiTheme="minorEastAsia" w:eastAsiaTheme="minorEastAsia"/>
          <w:szCs w:val="28"/>
        </w:rPr>
        <w:t>（7）社会影响风险</w:t>
      </w:r>
    </w:p>
    <w:p>
      <w:pPr>
        <w:ind w:firstLine="560"/>
        <w:rPr>
          <w:rFonts w:asciiTheme="minorEastAsia" w:hAnsiTheme="minorEastAsia" w:eastAsiaTheme="minorEastAsia"/>
          <w:szCs w:val="28"/>
        </w:rPr>
      </w:pPr>
      <w:r>
        <w:rPr>
          <w:rFonts w:asciiTheme="minorEastAsia" w:hAnsiTheme="minorEastAsia" w:eastAsiaTheme="minorEastAsia"/>
          <w:szCs w:val="28"/>
        </w:rPr>
        <w:t>社会风险是项目与所在地互适度可能出现的问题，对社会各利益群体、当地组织机构及当地技术、文化环境带来的负面影响，项目可能承担的风险</w:t>
      </w:r>
      <w:r>
        <w:rPr>
          <w:rFonts w:hint="eastAsia" w:asciiTheme="minorEastAsia" w:hAnsiTheme="minorEastAsia" w:eastAsiaTheme="minorEastAsia"/>
          <w:szCs w:val="28"/>
        </w:rPr>
        <w:t>。</w:t>
      </w:r>
    </w:p>
    <w:p>
      <w:pPr>
        <w:ind w:firstLine="560"/>
        <w:rPr>
          <w:rFonts w:asciiTheme="minorEastAsia" w:hAnsiTheme="minorEastAsia" w:eastAsiaTheme="minorEastAsia"/>
          <w:szCs w:val="28"/>
        </w:rPr>
      </w:pPr>
      <w:r>
        <w:rPr>
          <w:rFonts w:hint="eastAsia" w:asciiTheme="minorEastAsia" w:hAnsiTheme="minorEastAsia" w:eastAsiaTheme="minorEastAsia"/>
          <w:szCs w:val="28"/>
        </w:rPr>
        <w:t>（8）风险程度分析</w:t>
      </w:r>
    </w:p>
    <w:p>
      <w:pPr>
        <w:ind w:firstLine="560"/>
        <w:rPr>
          <w:rFonts w:asciiTheme="minorEastAsia" w:hAnsiTheme="minorEastAsia" w:eastAsiaTheme="minorEastAsia"/>
          <w:szCs w:val="28"/>
        </w:rPr>
      </w:pPr>
      <w:r>
        <w:rPr>
          <w:rFonts w:asciiTheme="minorEastAsia" w:hAnsiTheme="minorEastAsia" w:eastAsiaTheme="minorEastAsia"/>
          <w:szCs w:val="28"/>
        </w:rPr>
        <w:t>1.风险评估方法的选择</w:t>
      </w:r>
    </w:p>
    <w:p>
      <w:pPr>
        <w:ind w:firstLine="560"/>
        <w:rPr>
          <w:rFonts w:asciiTheme="minorEastAsia" w:hAnsiTheme="minorEastAsia" w:eastAsiaTheme="minorEastAsia"/>
          <w:szCs w:val="28"/>
        </w:rPr>
      </w:pPr>
      <w:r>
        <w:rPr>
          <w:rFonts w:asciiTheme="minorEastAsia" w:hAnsiTheme="minorEastAsia" w:eastAsiaTheme="minorEastAsia"/>
          <w:szCs w:val="28"/>
        </w:rPr>
        <w:t>风险评估一般采用专家调查法、层资分析法、CIM法、蒙特卡洛模拟法等基本方法。本项目仅以上述选取的风险因素为风险对象，采用专家调查法。</w:t>
      </w:r>
    </w:p>
    <w:p>
      <w:pPr>
        <w:ind w:firstLine="560"/>
        <w:rPr>
          <w:rFonts w:asciiTheme="minorEastAsia" w:hAnsiTheme="minorEastAsia" w:eastAsiaTheme="minorEastAsia"/>
          <w:szCs w:val="28"/>
        </w:rPr>
      </w:pPr>
      <w:r>
        <w:rPr>
          <w:rFonts w:asciiTheme="minorEastAsia" w:hAnsiTheme="minorEastAsia" w:eastAsiaTheme="minorEastAsia"/>
          <w:szCs w:val="28"/>
        </w:rPr>
        <w:t>2.风险等级和影响程度划分</w:t>
      </w:r>
    </w:p>
    <w:p>
      <w:pPr>
        <w:ind w:firstLine="560"/>
        <w:rPr>
          <w:rFonts w:asciiTheme="minorEastAsia" w:hAnsiTheme="minorEastAsia" w:eastAsiaTheme="minorEastAsia"/>
          <w:szCs w:val="28"/>
        </w:rPr>
      </w:pPr>
      <w:r>
        <w:rPr>
          <w:rFonts w:asciiTheme="minorEastAsia" w:hAnsiTheme="minorEastAsia" w:eastAsiaTheme="minorEastAsia"/>
          <w:szCs w:val="28"/>
        </w:rPr>
        <w:t>将各种风险因素出现的可能性及对项目的影响程度划分为9个等级，用1-9表示即：</w:t>
      </w:r>
    </w:p>
    <w:p>
      <w:pPr>
        <w:ind w:firstLine="560"/>
        <w:rPr>
          <w:rFonts w:asciiTheme="minorEastAsia" w:hAnsiTheme="minorEastAsia" w:eastAsiaTheme="minorEastAsia"/>
          <w:szCs w:val="28"/>
        </w:rPr>
      </w:pPr>
      <w:r>
        <w:rPr>
          <w:rFonts w:asciiTheme="minorEastAsia" w:hAnsiTheme="minorEastAsia" w:eastAsiaTheme="minorEastAsia"/>
          <w:szCs w:val="28"/>
        </w:rPr>
        <w:t>1—表示可能性极小或影响极小；</w:t>
      </w:r>
    </w:p>
    <w:p>
      <w:pPr>
        <w:ind w:firstLine="560"/>
        <w:rPr>
          <w:rFonts w:asciiTheme="minorEastAsia" w:hAnsiTheme="minorEastAsia" w:eastAsiaTheme="minorEastAsia"/>
          <w:szCs w:val="28"/>
        </w:rPr>
      </w:pPr>
      <w:r>
        <w:rPr>
          <w:rFonts w:asciiTheme="minorEastAsia" w:hAnsiTheme="minorEastAsia" w:eastAsiaTheme="minorEastAsia"/>
          <w:szCs w:val="28"/>
        </w:rPr>
        <w:t>2—表示可能性非常小或影响非常小；</w:t>
      </w:r>
    </w:p>
    <w:p>
      <w:pPr>
        <w:ind w:firstLine="560"/>
        <w:rPr>
          <w:rFonts w:asciiTheme="minorEastAsia" w:hAnsiTheme="minorEastAsia" w:eastAsiaTheme="minorEastAsia"/>
          <w:szCs w:val="28"/>
        </w:rPr>
      </w:pPr>
      <w:r>
        <w:rPr>
          <w:rFonts w:asciiTheme="minorEastAsia" w:hAnsiTheme="minorEastAsia" w:eastAsiaTheme="minorEastAsia"/>
          <w:szCs w:val="28"/>
        </w:rPr>
        <w:t>3—表示可能性小或影响小；</w:t>
      </w:r>
    </w:p>
    <w:p>
      <w:pPr>
        <w:ind w:firstLine="560"/>
        <w:rPr>
          <w:rFonts w:asciiTheme="minorEastAsia" w:hAnsiTheme="minorEastAsia" w:eastAsiaTheme="minorEastAsia"/>
          <w:szCs w:val="28"/>
        </w:rPr>
      </w:pPr>
      <w:r>
        <w:rPr>
          <w:rFonts w:asciiTheme="minorEastAsia" w:hAnsiTheme="minorEastAsia" w:eastAsiaTheme="minorEastAsia"/>
          <w:szCs w:val="28"/>
        </w:rPr>
        <w:t>4—表示可能性较小或影响较小</w:t>
      </w:r>
    </w:p>
    <w:p>
      <w:pPr>
        <w:ind w:firstLine="560"/>
        <w:rPr>
          <w:rFonts w:asciiTheme="minorEastAsia" w:hAnsiTheme="minorEastAsia" w:eastAsiaTheme="minorEastAsia"/>
          <w:szCs w:val="28"/>
        </w:rPr>
      </w:pPr>
      <w:r>
        <w:rPr>
          <w:rFonts w:asciiTheme="minorEastAsia" w:hAnsiTheme="minorEastAsia" w:eastAsiaTheme="minorEastAsia"/>
          <w:szCs w:val="28"/>
        </w:rPr>
        <w:t>5—表示可能性一般或影响一般；</w:t>
      </w:r>
    </w:p>
    <w:p>
      <w:pPr>
        <w:ind w:firstLine="560"/>
        <w:rPr>
          <w:rFonts w:asciiTheme="minorEastAsia" w:hAnsiTheme="minorEastAsia" w:eastAsiaTheme="minorEastAsia"/>
          <w:szCs w:val="28"/>
        </w:rPr>
      </w:pPr>
      <w:r>
        <w:rPr>
          <w:rFonts w:asciiTheme="minorEastAsia" w:hAnsiTheme="minorEastAsia" w:eastAsiaTheme="minorEastAsia"/>
          <w:szCs w:val="28"/>
        </w:rPr>
        <w:t>6—表示可能性较大或影响较大；</w:t>
      </w:r>
    </w:p>
    <w:p>
      <w:pPr>
        <w:ind w:firstLine="560"/>
        <w:rPr>
          <w:rFonts w:asciiTheme="minorEastAsia" w:hAnsiTheme="minorEastAsia" w:eastAsiaTheme="minorEastAsia"/>
          <w:szCs w:val="28"/>
        </w:rPr>
      </w:pPr>
      <w:r>
        <w:rPr>
          <w:rFonts w:asciiTheme="minorEastAsia" w:hAnsiTheme="minorEastAsia" w:eastAsiaTheme="minorEastAsia"/>
          <w:szCs w:val="28"/>
        </w:rPr>
        <w:t>7—表示可能性大或影响大；</w:t>
      </w:r>
    </w:p>
    <w:p>
      <w:pPr>
        <w:ind w:firstLine="560"/>
        <w:rPr>
          <w:rFonts w:asciiTheme="minorEastAsia" w:hAnsiTheme="minorEastAsia" w:eastAsiaTheme="minorEastAsia"/>
          <w:szCs w:val="28"/>
        </w:rPr>
      </w:pPr>
      <w:r>
        <w:rPr>
          <w:rFonts w:asciiTheme="minorEastAsia" w:hAnsiTheme="minorEastAsia" w:eastAsiaTheme="minorEastAsia"/>
          <w:szCs w:val="28"/>
        </w:rPr>
        <w:t>8—表示可能性非常大或影响非常大；</w:t>
      </w:r>
    </w:p>
    <w:p>
      <w:pPr>
        <w:ind w:firstLine="560"/>
        <w:rPr>
          <w:rFonts w:asciiTheme="minorEastAsia" w:hAnsiTheme="minorEastAsia" w:eastAsiaTheme="minorEastAsia"/>
          <w:szCs w:val="28"/>
        </w:rPr>
      </w:pPr>
      <w:r>
        <w:rPr>
          <w:rFonts w:asciiTheme="minorEastAsia" w:hAnsiTheme="minorEastAsia" w:eastAsiaTheme="minorEastAsia"/>
          <w:szCs w:val="28"/>
        </w:rPr>
        <w:t>9—表示可能性极大或影响极大；</w:t>
      </w:r>
    </w:p>
    <w:p>
      <w:pPr>
        <w:ind w:firstLine="560"/>
        <w:rPr>
          <w:rFonts w:asciiTheme="minorEastAsia" w:hAnsiTheme="minorEastAsia" w:eastAsiaTheme="minorEastAsia"/>
          <w:szCs w:val="28"/>
        </w:rPr>
      </w:pPr>
      <w:r>
        <w:rPr>
          <w:rFonts w:asciiTheme="minorEastAsia" w:hAnsiTheme="minorEastAsia" w:eastAsiaTheme="minorEastAsia"/>
          <w:szCs w:val="28"/>
        </w:rPr>
        <w:t>3.风险评估</w:t>
      </w:r>
    </w:p>
    <w:p>
      <w:pPr>
        <w:pStyle w:val="38"/>
        <w:rPr>
          <w:color w:val="auto"/>
        </w:rPr>
      </w:pPr>
    </w:p>
    <w:p>
      <w:pPr>
        <w:ind w:firstLine="560"/>
      </w:pPr>
    </w:p>
    <w:tbl>
      <w:tblPr>
        <w:tblStyle w:val="29"/>
        <w:tblW w:w="87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6"/>
        <w:gridCol w:w="1276"/>
        <w:gridCol w:w="1275"/>
        <w:gridCol w:w="1701"/>
        <w:gridCol w:w="1276"/>
        <w:gridCol w:w="23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序号</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风险因素</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对项目的影响程度</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发生的可能性</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风险等级</w:t>
            </w:r>
          </w:p>
        </w:tc>
        <w:tc>
          <w:tcPr>
            <w:tcW w:w="2380" w:type="dxa"/>
            <w:vAlign w:val="center"/>
          </w:tcPr>
          <w:p>
            <w:pPr>
              <w:ind w:firstLine="170" w:firstLineChars="71"/>
              <w:jc w:val="center"/>
              <w:rPr>
                <w:rFonts w:asciiTheme="minorEastAsia" w:hAnsiTheme="minorEastAsia" w:eastAsiaTheme="minorEastAsia"/>
                <w:sz w:val="24"/>
              </w:rPr>
            </w:pPr>
            <w:r>
              <w:rPr>
                <w:rFonts w:asciiTheme="minorEastAsia" w:hAnsiTheme="minorEastAsia" w:eastAsiaTheme="minorEastAsia"/>
                <w:sz w:val="24"/>
              </w:rP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1</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市场风险</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1</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1</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较大</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预测</w:t>
            </w:r>
            <w:r>
              <w:rPr>
                <w:rFonts w:hint="eastAsia" w:asciiTheme="minorEastAsia" w:hAnsiTheme="minorEastAsia" w:eastAsiaTheme="minorEastAsia"/>
                <w:sz w:val="24"/>
              </w:rPr>
              <w:t>的</w:t>
            </w:r>
            <w:r>
              <w:rPr>
                <w:rFonts w:asciiTheme="minorEastAsia" w:hAnsiTheme="minorEastAsia" w:eastAsiaTheme="minorEastAsia"/>
                <w:sz w:val="24"/>
              </w:rPr>
              <w:t>不确定性大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2</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技术风险</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2</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一般</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工程风险</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较小</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4</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环境影响</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1</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一般</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5</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投资估算</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4</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一般</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6</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经济风险</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2</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2</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较小</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83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7</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社会影响</w:t>
            </w:r>
          </w:p>
        </w:tc>
        <w:tc>
          <w:tcPr>
            <w:tcW w:w="1275"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2</w:t>
            </w:r>
          </w:p>
        </w:tc>
        <w:tc>
          <w:tcPr>
            <w:tcW w:w="1701"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3</w:t>
            </w:r>
          </w:p>
        </w:tc>
        <w:tc>
          <w:tcPr>
            <w:tcW w:w="1276"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一般</w:t>
            </w:r>
          </w:p>
        </w:tc>
        <w:tc>
          <w:tcPr>
            <w:tcW w:w="2380" w:type="dxa"/>
            <w:vAlign w:val="center"/>
          </w:tcPr>
          <w:p>
            <w:pPr>
              <w:ind w:firstLine="0" w:firstLineChars="0"/>
              <w:jc w:val="center"/>
              <w:rPr>
                <w:rFonts w:asciiTheme="minorEastAsia" w:hAnsiTheme="minorEastAsia" w:eastAsiaTheme="minorEastAsia"/>
                <w:sz w:val="24"/>
              </w:rPr>
            </w:pPr>
            <w:r>
              <w:rPr>
                <w:rFonts w:asciiTheme="minorEastAsia" w:hAnsiTheme="minorEastAsia" w:eastAsiaTheme="minorEastAsia"/>
                <w:sz w:val="24"/>
              </w:rPr>
              <w:t>略</w:t>
            </w:r>
          </w:p>
        </w:tc>
      </w:tr>
    </w:tbl>
    <w:p>
      <w:pPr>
        <w:ind w:firstLine="560"/>
        <w:rPr>
          <w:rFonts w:asciiTheme="minorEastAsia" w:hAnsiTheme="minorEastAsia" w:eastAsiaTheme="minorEastAsia"/>
          <w:szCs w:val="28"/>
        </w:rPr>
      </w:pPr>
      <w:r>
        <w:rPr>
          <w:rFonts w:asciiTheme="minorEastAsia" w:hAnsiTheme="minorEastAsia" w:eastAsiaTheme="minorEastAsia"/>
          <w:szCs w:val="28"/>
        </w:rPr>
        <w:t>从上表可以得出，本项目投资估算方面均存在一定的风险，其他方面的风险一般或较小。</w:t>
      </w:r>
    </w:p>
    <w:p>
      <w:pPr>
        <w:ind w:firstLine="560"/>
        <w:rPr>
          <w:rFonts w:asciiTheme="minorEastAsia" w:hAnsiTheme="minorEastAsia" w:eastAsiaTheme="minorEastAsia"/>
          <w:szCs w:val="28"/>
        </w:rPr>
      </w:pPr>
      <w:r>
        <w:rPr>
          <w:rFonts w:asciiTheme="minorEastAsia" w:hAnsiTheme="minorEastAsia" w:eastAsiaTheme="minorEastAsia"/>
          <w:szCs w:val="28"/>
        </w:rPr>
        <w:t>根据风险因素对投资项目影响程度的大小划分风险评价判别标准如下：</w:t>
      </w:r>
    </w:p>
    <w:p>
      <w:pPr>
        <w:ind w:firstLine="560"/>
        <w:rPr>
          <w:rFonts w:asciiTheme="minorEastAsia" w:hAnsiTheme="minorEastAsia" w:eastAsiaTheme="minorEastAsia"/>
          <w:szCs w:val="28"/>
        </w:rPr>
      </w:pPr>
      <w:r>
        <w:rPr>
          <w:rFonts w:asciiTheme="minorEastAsia" w:hAnsiTheme="minorEastAsia" w:eastAsiaTheme="minorEastAsia"/>
          <w:szCs w:val="28"/>
        </w:rPr>
        <w:t>1）较小风险（风险等级1-2级），是指风险发生的可能性较小，即使发生，造成的损失也较小，不影响项目的可行性。</w:t>
      </w:r>
    </w:p>
    <w:p>
      <w:pPr>
        <w:ind w:firstLine="560"/>
        <w:rPr>
          <w:rFonts w:asciiTheme="minorEastAsia" w:hAnsiTheme="minorEastAsia" w:eastAsiaTheme="minorEastAsia"/>
          <w:szCs w:val="28"/>
        </w:rPr>
      </w:pPr>
      <w:r>
        <w:rPr>
          <w:rFonts w:asciiTheme="minorEastAsia" w:hAnsiTheme="minorEastAsia" w:eastAsiaTheme="minorEastAsia"/>
          <w:szCs w:val="28"/>
        </w:rPr>
        <w:t>2）一般风险（风险等级3-4级），是指风险发生的可能性较大，即使发生造成的损失不大，一般不影响项目的可行性。</w:t>
      </w:r>
    </w:p>
    <w:p>
      <w:pPr>
        <w:ind w:firstLine="560"/>
        <w:rPr>
          <w:rFonts w:asciiTheme="minorEastAsia" w:hAnsiTheme="minorEastAsia" w:eastAsiaTheme="minorEastAsia"/>
          <w:szCs w:val="28"/>
        </w:rPr>
      </w:pPr>
      <w:r>
        <w:rPr>
          <w:rFonts w:asciiTheme="minorEastAsia" w:hAnsiTheme="minorEastAsia" w:eastAsiaTheme="minorEastAsia"/>
          <w:szCs w:val="28"/>
        </w:rPr>
        <w:t>3）较大风险（风险等级5-6级），是指风险发生的可能性很大，一旦发生，造成的损失较大，但损失程度还在项目本身可以承受的范围之内。</w:t>
      </w:r>
    </w:p>
    <w:p>
      <w:pPr>
        <w:pStyle w:val="3"/>
        <w:spacing w:before="120" w:beforeLines="50"/>
        <w:rPr>
          <w:rFonts w:ascii="黑体" w:hAnsi="黑体" w:eastAsia="黑体" w:cs="黑体"/>
          <w:b w:val="0"/>
          <w:bCs w:val="0"/>
          <w:sz w:val="32"/>
        </w:rPr>
      </w:pPr>
      <w:bookmarkStart w:id="218" w:name="_Toc169616914"/>
      <w:r>
        <w:rPr>
          <w:rFonts w:hint="eastAsia" w:ascii="黑体" w:hAnsi="黑体" w:eastAsia="黑体" w:cs="黑体"/>
          <w:b w:val="0"/>
          <w:bCs w:val="0"/>
          <w:sz w:val="32"/>
        </w:rPr>
        <w:t>9.2风险</w:t>
      </w:r>
      <w:r>
        <w:rPr>
          <w:rFonts w:ascii="黑体" w:hAnsi="黑体" w:eastAsia="黑体" w:cs="黑体"/>
          <w:b w:val="0"/>
          <w:bCs w:val="0"/>
          <w:sz w:val="32"/>
        </w:rPr>
        <w:t>管控方案</w:t>
      </w:r>
      <w:bookmarkEnd w:id="218"/>
    </w:p>
    <w:p>
      <w:pPr>
        <w:ind w:firstLine="560"/>
        <w:rPr>
          <w:rFonts w:asciiTheme="minorEastAsia" w:hAnsiTheme="minorEastAsia" w:eastAsiaTheme="minorEastAsia"/>
          <w:szCs w:val="28"/>
        </w:rPr>
      </w:pPr>
      <w:r>
        <w:rPr>
          <w:rFonts w:asciiTheme="minorEastAsia" w:hAnsiTheme="minorEastAsia" w:eastAsiaTheme="minorEastAsia"/>
          <w:szCs w:val="28"/>
        </w:rPr>
        <w:t>1.类比同类项目，优先选择成熟、可靠的施工技术方案，选择先进施工机械设备。</w:t>
      </w:r>
    </w:p>
    <w:p>
      <w:pPr>
        <w:ind w:firstLine="560"/>
        <w:rPr>
          <w:rFonts w:asciiTheme="minorEastAsia" w:hAnsiTheme="minorEastAsia" w:eastAsiaTheme="minorEastAsia"/>
          <w:szCs w:val="28"/>
        </w:rPr>
      </w:pPr>
      <w:r>
        <w:rPr>
          <w:rFonts w:asciiTheme="minorEastAsia" w:hAnsiTheme="minorEastAsia" w:eastAsiaTheme="minorEastAsia"/>
          <w:szCs w:val="28"/>
        </w:rPr>
        <w:t>2.本项目在投资估算上存在一定风险，因目前建筑材料价格上涨，给预算带来一定的不确定性。故在预算时，按目前的市场价格，并留取一定的涨价预备费。</w:t>
      </w:r>
    </w:p>
    <w:p>
      <w:pPr>
        <w:ind w:firstLine="560"/>
        <w:rPr>
          <w:rFonts w:asciiTheme="minorEastAsia" w:hAnsiTheme="minorEastAsia" w:eastAsiaTheme="minorEastAsia"/>
          <w:szCs w:val="28"/>
        </w:rPr>
      </w:pPr>
      <w:r>
        <w:rPr>
          <w:rFonts w:asciiTheme="minorEastAsia" w:hAnsiTheme="minorEastAsia" w:eastAsiaTheme="minorEastAsia"/>
          <w:szCs w:val="28"/>
        </w:rPr>
        <w:t>3.需要加强工程管理，制定有效的规避风险的措施，减轻风险带来的影响。</w:t>
      </w:r>
    </w:p>
    <w:p>
      <w:pPr>
        <w:ind w:firstLine="560"/>
        <w:rPr>
          <w:rFonts w:asciiTheme="minorEastAsia" w:hAnsiTheme="minorEastAsia" w:eastAsiaTheme="minorEastAsia"/>
          <w:szCs w:val="28"/>
        </w:rPr>
      </w:pPr>
      <w:r>
        <w:rPr>
          <w:rFonts w:asciiTheme="minorEastAsia" w:hAnsiTheme="minorEastAsia" w:eastAsiaTheme="minorEastAsia"/>
          <w:szCs w:val="28"/>
        </w:rPr>
        <w:t>4.施工期内采取有效防护、治理措施，降低对环境影响，运营期内定期对污水管内的气体进行监测、分析，以便制定相应的维修防护措施，以降低项目环境风险，需检修的工段由专人在工作场地负责，并备有必要的急救措施。</w:t>
      </w:r>
    </w:p>
    <w:p>
      <w:pPr>
        <w:ind w:firstLine="560"/>
        <w:rPr>
          <w:rFonts w:asciiTheme="minorEastAsia" w:hAnsiTheme="minorEastAsia" w:eastAsiaTheme="minorEastAsia"/>
          <w:szCs w:val="28"/>
        </w:rPr>
      </w:pPr>
      <w:r>
        <w:rPr>
          <w:rFonts w:asciiTheme="minorEastAsia" w:hAnsiTheme="minorEastAsia" w:eastAsiaTheme="minorEastAsia"/>
          <w:szCs w:val="28"/>
        </w:rPr>
        <w:t>5.项目施工做好公示、公告，与片区居民进行有效沟通，施工避免扰民</w:t>
      </w:r>
      <w:r>
        <w:rPr>
          <w:rFonts w:hint="eastAsia" w:asciiTheme="minorEastAsia" w:hAnsiTheme="minorEastAsia" w:eastAsiaTheme="minorEastAsia"/>
          <w:szCs w:val="28"/>
        </w:rPr>
        <w:t>。</w:t>
      </w:r>
    </w:p>
    <w:p>
      <w:pPr>
        <w:pStyle w:val="3"/>
        <w:spacing w:before="120" w:beforeLines="50"/>
        <w:rPr>
          <w:rFonts w:ascii="黑体" w:hAnsi="黑体" w:eastAsia="黑体" w:cs="黑体"/>
          <w:b w:val="0"/>
          <w:bCs w:val="0"/>
          <w:sz w:val="32"/>
        </w:rPr>
      </w:pPr>
      <w:bookmarkStart w:id="219" w:name="_Toc169616915"/>
      <w:r>
        <w:rPr>
          <w:rFonts w:hint="eastAsia" w:ascii="黑体" w:hAnsi="黑体" w:eastAsia="黑体" w:cs="黑体"/>
          <w:b w:val="0"/>
          <w:bCs w:val="0"/>
          <w:sz w:val="32"/>
        </w:rPr>
        <w:t>9.3风险</w:t>
      </w:r>
      <w:r>
        <w:rPr>
          <w:rFonts w:ascii="黑体" w:hAnsi="黑体" w:eastAsia="黑体" w:cs="黑体"/>
          <w:b w:val="0"/>
          <w:bCs w:val="0"/>
          <w:sz w:val="32"/>
        </w:rPr>
        <w:t>应急预案</w:t>
      </w:r>
      <w:bookmarkEnd w:id="219"/>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9.3.1识别风险</w:t>
      </w:r>
    </w:p>
    <w:p>
      <w:pPr>
        <w:ind w:firstLine="560"/>
      </w:pPr>
      <w:r>
        <w:rPr>
          <w:rFonts w:hint="eastAsia"/>
        </w:rPr>
        <w:t>识别风险是一项复杂而细致的工作需按特定的程序采取先进的工具与技术方法去分析各种现象从宏观上了解和识别风险。风险识别不是一次性的活动。必须在整个项目过程中经常进行。风险识别之后要把结果整理出来写成书面文件为下一步的风险分析和风险管理对策与控制做准备。</w:t>
      </w:r>
    </w:p>
    <w:p>
      <w:pPr>
        <w:ind w:firstLine="562"/>
      </w:pPr>
      <w:r>
        <w:rPr>
          <w:rFonts w:hint="eastAsia"/>
          <w:b/>
          <w:bCs/>
        </w:rPr>
        <w:t>风险来源：</w:t>
      </w:r>
      <w:r>
        <w:rPr>
          <w:rFonts w:hint="eastAsia"/>
        </w:rPr>
        <w:t>风险来源是给项目造成损失机会的原因。根据可能发生的风险事件分类可划分为自然、社会和人为三类也可划分为项目内部和外部来源。内部风险来源包括项目关系人的行为、不可信的估算、成员的流动等外部风险来源包括自然条件变化、政府行为等。</w:t>
      </w:r>
    </w:p>
    <w:p>
      <w:pPr>
        <w:ind w:firstLine="562"/>
      </w:pPr>
      <w:r>
        <w:rPr>
          <w:rFonts w:hint="eastAsia"/>
          <w:b/>
          <w:bCs/>
        </w:rPr>
        <w:t>潜在的风险事件：</w:t>
      </w:r>
      <w:r>
        <w:rPr>
          <w:rFonts w:hint="eastAsia"/>
        </w:rPr>
        <w:t>潜在的风险事件是尚未发生的事件但当它具备了一定的条件时将可能产生风险。对项目产生影响的潜在风险事件一般是离散的彼此互相无联系的如自然灾害或项目班子的某一成员的离开。</w:t>
      </w:r>
    </w:p>
    <w:p>
      <w:pPr>
        <w:ind w:firstLine="562"/>
      </w:pPr>
      <w:r>
        <w:rPr>
          <w:rFonts w:hint="eastAsia"/>
          <w:b/>
          <w:bCs/>
        </w:rPr>
        <w:t>风险征兆</w:t>
      </w:r>
      <w:r>
        <w:rPr>
          <w:rFonts w:hint="eastAsia"/>
        </w:rPr>
        <w:t>：风险征兆是风险事件的各种外在表现如苗头、前兆等等。比如施工人员的士气低落可能是进度计划延误逼近的早期预警信号。施工现场混乱材料、工具随便乱丢、无人及时回收整理有可能存在安全事故、项目质量和成本超支风险的隐患。</w:t>
      </w:r>
    </w:p>
    <w:p>
      <w:pPr>
        <w:ind w:firstLine="562"/>
      </w:pPr>
      <w:r>
        <w:rPr>
          <w:rFonts w:hint="eastAsia"/>
          <w:b/>
          <w:bCs/>
        </w:rPr>
        <w:t>其他问题：</w:t>
      </w:r>
      <w:r>
        <w:rPr>
          <w:rFonts w:hint="eastAsia"/>
        </w:rPr>
        <w:t>在风险识别过程中可能会发现项目管理其他方向的问题需要改进或完善。比如当发现项目有超支风险但是又无人制定防止超支的措施时就必须向有关人员提出要求、采取防止项目超支的措施。</w:t>
      </w:r>
    </w:p>
    <w:p>
      <w:pPr>
        <w:pStyle w:val="38"/>
        <w:rPr>
          <w:rFonts w:ascii="黑体" w:hAnsi="黑体" w:eastAsia="黑体" w:cs="黑体"/>
          <w:color w:val="auto"/>
          <w:kern w:val="2"/>
          <w:sz w:val="30"/>
          <w:szCs w:val="30"/>
        </w:rPr>
      </w:pPr>
      <w:r>
        <w:rPr>
          <w:rFonts w:hint="eastAsia" w:ascii="黑体" w:hAnsi="黑体" w:eastAsia="黑体" w:cs="黑体"/>
          <w:color w:val="auto"/>
          <w:kern w:val="2"/>
          <w:sz w:val="30"/>
          <w:szCs w:val="30"/>
        </w:rPr>
        <w:t>9.3.2项目风险应急预案的演练</w:t>
      </w:r>
    </w:p>
    <w:p>
      <w:pPr>
        <w:ind w:firstLine="560"/>
      </w:pPr>
      <w:r>
        <w:rPr>
          <w:rFonts w:hint="eastAsia"/>
        </w:rPr>
        <w:t>应急预案是行动指南应急培训是应急救援行动成功的前提和保证。通过培训可以发现应急预案的不足和缺陷并在实践中加以补充和改进通过培训可以使事故涉及到的人员包括应急队员、事故当事人等都能够了解一旦发生风险事故他们应该做什么能够做什么如何去做以及如何协调各应急部门人员的工作等。</w:t>
      </w:r>
    </w:p>
    <w:p>
      <w:pPr>
        <w:pStyle w:val="71"/>
        <w:ind w:firstLine="0" w:firstLineChars="0"/>
      </w:pPr>
    </w:p>
    <w:p>
      <w:pPr>
        <w:pStyle w:val="71"/>
        <w:ind w:firstLine="0" w:firstLineChars="0"/>
      </w:pPr>
      <w:r>
        <w:drawing>
          <wp:inline distT="0" distB="0" distL="0" distR="0">
            <wp:extent cx="5760720" cy="17373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760720" cy="1737360"/>
                    </a:xfrm>
                    <a:prstGeom prst="rect">
                      <a:avLst/>
                    </a:prstGeom>
                    <a:noFill/>
                    <a:ln>
                      <a:noFill/>
                    </a:ln>
                  </pic:spPr>
                </pic:pic>
              </a:graphicData>
            </a:graphic>
          </wp:inline>
        </w:drawing>
      </w:r>
    </w:p>
    <w:p>
      <w:pPr>
        <w:ind w:firstLine="560"/>
        <w:jc w:val="center"/>
        <w:rPr>
          <w:rFonts w:ascii="宋体" w:hAnsi="宋体"/>
        </w:rPr>
      </w:pPr>
      <w:r>
        <w:rPr>
          <w:rFonts w:hint="eastAsia" w:ascii="宋体" w:hAnsi="宋体"/>
        </w:rPr>
        <w:t>图9.1风险应急预案流程图</w:t>
      </w:r>
    </w:p>
    <w:p>
      <w:pPr>
        <w:ind w:firstLine="560"/>
      </w:pPr>
      <w:r>
        <w:rPr>
          <w:rFonts w:hint="eastAsia"/>
        </w:rPr>
        <w:t>当工程项目发生风险事故期望现场附近居民能够采取某些行动或遵从应急管理人员的指挥。在技术上已经需要对风险事故应急作出准备的居民便是大型工程项目风险应急管理培训规划的一部分。与居民交流的主要方式是书面材料、广播、有线电视以及报告会。为了有效地应急相应的工作居民必须指导对可能发生的事故采取什么应急响应行动还必须遵守命令。对这两项内容他们都必须接受培训。大型工程项目的项目部应明确分配制定风险应急预案培训计划任务。在制定计划时要考虑到施工人员、承包商、参观者、管理人员和其他在紧急事件中响应的人员的培训以及有关信息。</w:t>
      </w:r>
    </w:p>
    <w:p>
      <w:pPr>
        <w:pStyle w:val="38"/>
        <w:rPr>
          <w:rFonts w:ascii="黑体" w:hAnsi="黑体" w:eastAsia="黑体" w:cs="黑体"/>
          <w:color w:val="auto"/>
          <w:kern w:val="2"/>
          <w:sz w:val="30"/>
          <w:szCs w:val="30"/>
        </w:rPr>
      </w:pPr>
      <w:r>
        <w:rPr>
          <w:rFonts w:ascii="黑体" w:hAnsi="黑体" w:eastAsia="黑体" w:cs="黑体"/>
          <w:color w:val="auto"/>
          <w:kern w:val="2"/>
          <w:sz w:val="30"/>
          <w:szCs w:val="30"/>
        </w:rPr>
        <w:t>9.3.3</w:t>
      </w:r>
      <w:r>
        <w:rPr>
          <w:rFonts w:hint="eastAsia" w:ascii="黑体" w:hAnsi="黑体" w:eastAsia="黑体" w:cs="黑体"/>
          <w:color w:val="auto"/>
          <w:kern w:val="2"/>
          <w:sz w:val="30"/>
          <w:szCs w:val="30"/>
        </w:rPr>
        <w:t>项目风险应急预案的演练基础</w:t>
      </w:r>
    </w:p>
    <w:p>
      <w:pPr>
        <w:ind w:firstLine="560"/>
      </w:pPr>
      <w:r>
        <w:rPr>
          <w:rFonts w:hint="eastAsia"/>
        </w:rPr>
        <w:t>由于大型工程项目的风险应急演练是由许多机构和组织共同参与的一系列行为和活动因此应急演练的组织与实施是一项非常复杂的任务应急演练过程可以划分为演练准备</w:t>
      </w:r>
      <w:r>
        <w:t>、</w:t>
      </w:r>
      <w:r>
        <w:rPr>
          <w:rFonts w:hint="eastAsia"/>
        </w:rPr>
        <w:t>演练实施和演练总结三个阶段</w:t>
      </w:r>
      <w:r>
        <w:t>。</w:t>
      </w:r>
    </w:p>
    <w:p>
      <w:pPr>
        <w:pStyle w:val="71"/>
        <w:ind w:firstLine="0" w:firstLineChars="0"/>
        <w:rPr>
          <w:rFonts w:ascii="宋体" w:hAnsi="宋体" w:eastAsia="宋体"/>
        </w:rPr>
      </w:pPr>
      <w:r>
        <w:rPr>
          <w:rFonts w:ascii="宋体" w:hAnsi="宋体" w:eastAsia="宋体"/>
        </w:rPr>
        <w:drawing>
          <wp:inline distT="0" distB="0" distL="0" distR="0">
            <wp:extent cx="5760720" cy="40233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760720" cy="4023360"/>
                    </a:xfrm>
                    <a:prstGeom prst="rect">
                      <a:avLst/>
                    </a:prstGeom>
                    <a:noFill/>
                    <a:ln>
                      <a:noFill/>
                    </a:ln>
                  </pic:spPr>
                </pic:pic>
              </a:graphicData>
            </a:graphic>
          </wp:inline>
        </w:drawing>
      </w:r>
    </w:p>
    <w:p>
      <w:pPr>
        <w:ind w:firstLine="560"/>
        <w:jc w:val="center"/>
      </w:pPr>
      <w:r>
        <w:rPr>
          <w:rFonts w:hint="eastAsia" w:ascii="宋体" w:hAnsi="宋体"/>
        </w:rPr>
        <w:t>图9.</w:t>
      </w:r>
      <w:r>
        <w:rPr>
          <w:rFonts w:ascii="宋体" w:hAnsi="宋体"/>
        </w:rPr>
        <w:t>2</w:t>
      </w:r>
      <w:r>
        <w:rPr>
          <w:rFonts w:hint="eastAsia" w:ascii="宋体" w:hAnsi="宋体"/>
        </w:rPr>
        <w:t>工程项目风险应急演练实施基本过程</w:t>
      </w:r>
    </w:p>
    <w:p>
      <w:pPr>
        <w:pStyle w:val="2"/>
        <w:ind w:firstLine="880"/>
        <w:jc w:val="center"/>
        <w:rPr>
          <w:rFonts w:ascii="黑体" w:hAnsi="黑体" w:eastAsia="黑体" w:cs="黑体"/>
          <w:b w:val="0"/>
          <w:bCs w:val="0"/>
        </w:rPr>
      </w:pPr>
      <w:bookmarkStart w:id="220" w:name="_Toc169616916"/>
      <w:r>
        <w:rPr>
          <w:rFonts w:hint="eastAsia" w:ascii="黑体" w:hAnsi="黑体" w:eastAsia="黑体" w:cs="黑体"/>
          <w:b w:val="0"/>
          <w:bCs w:val="0"/>
        </w:rPr>
        <w:t>第10章 主要</w:t>
      </w:r>
      <w:r>
        <w:rPr>
          <w:rFonts w:ascii="黑体" w:hAnsi="黑体" w:eastAsia="黑体" w:cs="黑体"/>
          <w:b w:val="0"/>
          <w:bCs w:val="0"/>
        </w:rPr>
        <w:t>结论及建议</w:t>
      </w:r>
      <w:bookmarkEnd w:id="220"/>
    </w:p>
    <w:p>
      <w:pPr>
        <w:pStyle w:val="3"/>
        <w:spacing w:before="120" w:beforeLines="50"/>
        <w:rPr>
          <w:rFonts w:ascii="黑体" w:hAnsi="黑体" w:eastAsia="黑体" w:cs="黑体"/>
          <w:b w:val="0"/>
          <w:bCs w:val="0"/>
          <w:sz w:val="32"/>
        </w:rPr>
      </w:pPr>
      <w:bookmarkStart w:id="221" w:name="_Toc169616917"/>
      <w:r>
        <w:rPr>
          <w:rFonts w:hint="eastAsia" w:ascii="黑体" w:hAnsi="黑体" w:eastAsia="黑体" w:cs="黑体"/>
          <w:b w:val="0"/>
          <w:bCs w:val="0"/>
          <w:sz w:val="32"/>
        </w:rPr>
        <w:t>10.1主要</w:t>
      </w:r>
      <w:r>
        <w:rPr>
          <w:rFonts w:ascii="黑体" w:hAnsi="黑体" w:eastAsia="黑体" w:cs="黑体"/>
          <w:b w:val="0"/>
          <w:bCs w:val="0"/>
          <w:sz w:val="32"/>
        </w:rPr>
        <w:t>结论</w:t>
      </w:r>
      <w:bookmarkEnd w:id="221"/>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1.</w:t>
      </w:r>
      <w:r>
        <w:rPr>
          <w:rFonts w:asciiTheme="minorEastAsia" w:hAnsiTheme="minorEastAsia" w:eastAsiaTheme="minorEastAsia"/>
          <w:szCs w:val="28"/>
        </w:rPr>
        <w:t>本工程对</w:t>
      </w:r>
      <w:r>
        <w:rPr>
          <w:rFonts w:hint="eastAsia" w:asciiTheme="minorEastAsia" w:hAnsiTheme="minorEastAsia" w:eastAsiaTheme="minorEastAsia"/>
          <w:szCs w:val="28"/>
        </w:rPr>
        <w:t>百色市田东县</w:t>
      </w:r>
      <w:r>
        <w:rPr>
          <w:rFonts w:asciiTheme="minorEastAsia" w:hAnsiTheme="minorEastAsia" w:eastAsiaTheme="minorEastAsia"/>
          <w:szCs w:val="28"/>
        </w:rPr>
        <w:t>地表水及地下水环境质量极其重要，本工程建设将会极大地改善投资环境。应尽快上报本报告，尽早使本项目</w:t>
      </w:r>
      <w:r>
        <w:rPr>
          <w:rFonts w:hint="eastAsia" w:asciiTheme="minorEastAsia" w:hAnsiTheme="minorEastAsia" w:eastAsiaTheme="minorEastAsia"/>
          <w:szCs w:val="28"/>
        </w:rPr>
        <w:t>开工</w:t>
      </w:r>
      <w:r>
        <w:rPr>
          <w:rFonts w:asciiTheme="minorEastAsia" w:hAnsiTheme="minorEastAsia" w:eastAsiaTheme="minorEastAsia"/>
          <w:szCs w:val="28"/>
        </w:rPr>
        <w:t>建设</w:t>
      </w:r>
      <w:r>
        <w:rPr>
          <w:rFonts w:hint="eastAsia" w:asciiTheme="minorEastAsia" w:hAnsiTheme="minorEastAsia" w:eastAsiaTheme="minorEastAsia"/>
          <w:szCs w:val="28"/>
        </w:rPr>
        <w:t>。</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2.</w:t>
      </w:r>
      <w:r>
        <w:rPr>
          <w:rFonts w:asciiTheme="minorEastAsia" w:hAnsiTheme="minorEastAsia" w:eastAsiaTheme="minorEastAsia"/>
          <w:szCs w:val="28"/>
        </w:rPr>
        <w:t>本工程的建设投运将大大减少对周围河渠的污染，改善居住生活环境，同时对周边环境无不良影响，是一件利国利民的好事</w:t>
      </w:r>
      <w:r>
        <w:rPr>
          <w:rFonts w:hint="eastAsia" w:asciiTheme="minorEastAsia" w:hAnsiTheme="minorEastAsia" w:eastAsiaTheme="minorEastAsia"/>
          <w:szCs w:val="28"/>
        </w:rPr>
        <w:t>。</w:t>
      </w:r>
    </w:p>
    <w:p>
      <w:pPr>
        <w:snapToGrid w:val="0"/>
        <w:spacing w:line="600" w:lineRule="exact"/>
        <w:ind w:firstLine="560"/>
        <w:rPr>
          <w:rFonts w:asciiTheme="minorEastAsia" w:hAnsiTheme="minorEastAsia" w:eastAsiaTheme="minorEastAsia"/>
          <w:szCs w:val="28"/>
        </w:rPr>
      </w:pPr>
      <w:r>
        <w:rPr>
          <w:rFonts w:hint="eastAsia" w:asciiTheme="minorEastAsia" w:hAnsiTheme="minorEastAsia" w:eastAsiaTheme="minorEastAsia"/>
          <w:szCs w:val="28"/>
        </w:rPr>
        <w:t>3. 建设内容主要涵盖如下几个方面：</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项目包含新建主管网6379米等建设内容，具体如下。</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（1）甲逢屯新建主管网约 2151 米，其中DN400波纹管约 1417米、新建 DN315波纹管约 669 米、DN400钢管65米、300m³资源化利用设施一座。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（2）东海屯新建主管网3227米，其中新建DN400波纹管1580米（含100米雨水管）、新建DN315波纹管网约 1647 米，200m³资源化利用设施1座；</w:t>
      </w:r>
    </w:p>
    <w:p>
      <w:pPr>
        <w:snapToGrid w:val="0"/>
        <w:ind w:firstLine="560"/>
        <w:rPr>
          <w:rFonts w:hint="eastAsia" w:cs="宋体" w:asciiTheme="minorEastAsia" w:hAnsiTheme="minorEastAsia" w:eastAsiaTheme="minorEastAsia"/>
          <w:szCs w:val="28"/>
        </w:rPr>
      </w:pPr>
      <w:r>
        <w:rPr>
          <w:rFonts w:hint="eastAsia" w:cs="宋体" w:asciiTheme="minorEastAsia" w:hAnsiTheme="minorEastAsia" w:eastAsiaTheme="minorEastAsia"/>
          <w:szCs w:val="28"/>
        </w:rPr>
        <w:t>（3）里弄屯新建新建DN315波纹管1001米；</w:t>
      </w:r>
    </w:p>
    <w:p>
      <w:pPr>
        <w:snapToGrid w:val="0"/>
        <w:ind w:firstLine="560"/>
        <w:rPr>
          <w:rFonts w:asciiTheme="minorEastAsia" w:hAnsiTheme="minorEastAsia" w:eastAsiaTheme="minorEastAsia"/>
          <w:szCs w:val="28"/>
        </w:rPr>
      </w:pPr>
      <w:r>
        <w:rPr>
          <w:rFonts w:hint="eastAsia" w:cs="宋体" w:asciiTheme="minorEastAsia" w:hAnsiTheme="minorEastAsia" w:eastAsiaTheme="minorEastAsia"/>
          <w:szCs w:val="28"/>
        </w:rPr>
        <w:t>（4）项目配套DN200PVC屯内入户管2250米，检查井272座，</w:t>
      </w:r>
      <w:r>
        <w:rPr>
          <w:rFonts w:hint="eastAsia" w:cs="宋体" w:asciiTheme="minorEastAsia" w:hAnsiTheme="minorEastAsia" w:eastAsiaTheme="minorEastAsia"/>
          <w:szCs w:val="28"/>
          <w:highlight w:val="green"/>
          <w:lang w:eastAsia="zh-CN"/>
        </w:rPr>
        <w:t>疏浚</w:t>
      </w:r>
      <w:r>
        <w:rPr>
          <w:rFonts w:hint="eastAsia" w:cs="宋体" w:asciiTheme="minorEastAsia" w:hAnsiTheme="minorEastAsia" w:eastAsiaTheme="minorEastAsia"/>
          <w:szCs w:val="28"/>
          <w:highlight w:val="green"/>
          <w:lang w:val="en-US" w:eastAsia="zh-CN"/>
        </w:rPr>
        <w:t>*****（管网名称）</w:t>
      </w:r>
      <w:r>
        <w:rPr>
          <w:rFonts w:hint="eastAsia" w:cs="宋体" w:asciiTheme="minorEastAsia" w:hAnsiTheme="minorEastAsia" w:eastAsiaTheme="minorEastAsia"/>
          <w:szCs w:val="28"/>
        </w:rPr>
        <w:t>3136米，清理水葫芦42000㎡</w:t>
      </w:r>
      <w:r>
        <w:rPr>
          <w:rFonts w:hint="eastAsia"/>
        </w:rPr>
        <w:t>。</w:t>
      </w:r>
    </w:p>
    <w:p>
      <w:pPr>
        <w:ind w:firstLine="560"/>
        <w:rPr>
          <w:rFonts w:asciiTheme="minorEastAsia" w:hAnsiTheme="minorEastAsia" w:eastAsiaTheme="minorEastAsia"/>
          <w:szCs w:val="28"/>
        </w:rPr>
      </w:pPr>
      <w:r>
        <w:rPr>
          <w:rFonts w:hint="eastAsia" w:asciiTheme="minorEastAsia" w:hAnsiTheme="minorEastAsia" w:eastAsiaTheme="minorEastAsia"/>
          <w:szCs w:val="28"/>
        </w:rPr>
        <w:t>综上所述，本项目的建设是必要的，也是可行的。</w:t>
      </w:r>
    </w:p>
    <w:p>
      <w:pPr>
        <w:pStyle w:val="3"/>
        <w:spacing w:before="120" w:beforeLines="50"/>
        <w:rPr>
          <w:rFonts w:ascii="黑体" w:hAnsi="黑体" w:eastAsia="黑体" w:cs="黑体"/>
          <w:b w:val="0"/>
          <w:bCs w:val="0"/>
          <w:sz w:val="32"/>
        </w:rPr>
      </w:pPr>
      <w:bookmarkStart w:id="222" w:name="_Toc169616918"/>
      <w:r>
        <w:rPr>
          <w:rFonts w:hint="eastAsia" w:ascii="黑体" w:hAnsi="黑体" w:eastAsia="黑体" w:cs="黑体"/>
          <w:b w:val="0"/>
          <w:bCs w:val="0"/>
          <w:sz w:val="32"/>
        </w:rPr>
        <w:t>10.2问题</w:t>
      </w:r>
      <w:r>
        <w:rPr>
          <w:rFonts w:ascii="黑体" w:hAnsi="黑体" w:eastAsia="黑体" w:cs="黑体"/>
          <w:b w:val="0"/>
          <w:bCs w:val="0"/>
          <w:sz w:val="32"/>
        </w:rPr>
        <w:t>与建议</w:t>
      </w:r>
      <w:bookmarkEnd w:id="222"/>
    </w:p>
    <w:p>
      <w:pPr>
        <w:ind w:firstLine="560"/>
      </w:pPr>
      <w:r>
        <w:rPr>
          <w:rFonts w:hint="eastAsia"/>
        </w:rPr>
        <w:t>1.</w:t>
      </w:r>
      <w:r>
        <w:t>加强规划引导，充分发挥规划的宏观调控和指导作用，从根本上处理好当前与长远、局部与全局的关系，有力地促进本项目健康、有序地发展。</w:t>
      </w:r>
    </w:p>
    <w:p>
      <w:pPr>
        <w:ind w:firstLine="560"/>
      </w:pPr>
      <w:r>
        <w:rPr>
          <w:rFonts w:hint="eastAsia"/>
        </w:rPr>
        <w:t>2.</w:t>
      </w:r>
      <w:r>
        <w:t>建议建设单位会同</w:t>
      </w:r>
      <w:r>
        <w:rPr>
          <w:rFonts w:hint="eastAsia"/>
          <w:highlight w:val="green"/>
          <w:lang w:eastAsia="zh-CN"/>
        </w:rPr>
        <w:t>生态保护、自然资源</w:t>
      </w:r>
      <w:r>
        <w:rPr>
          <w:highlight w:val="green"/>
        </w:rPr>
        <w:t>、</w:t>
      </w:r>
      <w:r>
        <w:rPr>
          <w:rFonts w:hint="eastAsia"/>
          <w:highlight w:val="green"/>
          <w:lang w:eastAsia="zh-CN"/>
        </w:rPr>
        <w:t>发改</w:t>
      </w:r>
      <w:r>
        <w:t>等相关部门积极配合项目进度和阶段性要求。</w:t>
      </w:r>
    </w:p>
    <w:p>
      <w:pPr>
        <w:ind w:firstLine="560"/>
      </w:pPr>
      <w:r>
        <w:rPr>
          <w:rFonts w:hint="eastAsia"/>
        </w:rPr>
        <w:t>3.</w:t>
      </w:r>
      <w:r>
        <w:t>建设工程中做好相关群众的解释工作</w:t>
      </w:r>
      <w:r>
        <w:rPr>
          <w:rFonts w:hint="eastAsia"/>
        </w:rPr>
        <w:t>。</w:t>
      </w:r>
    </w:p>
    <w:p>
      <w:pPr>
        <w:ind w:firstLine="560"/>
        <w:rPr>
          <w:highlight w:val="green"/>
        </w:rPr>
      </w:pPr>
      <w:r>
        <w:rPr>
          <w:rFonts w:hint="eastAsia"/>
        </w:rPr>
        <w:t>4.鉴于本项目公益性强，社会效益明显，有利于和谐建设。</w:t>
      </w:r>
      <w:r>
        <w:rPr>
          <w:rFonts w:hint="eastAsia"/>
          <w:highlight w:val="green"/>
        </w:rPr>
        <w:t>建议</w:t>
      </w:r>
    </w:p>
    <w:p>
      <w:pPr>
        <w:ind w:firstLine="0" w:firstLineChars="0"/>
        <w:rPr>
          <w:rFonts w:asciiTheme="minorEastAsia" w:hAnsiTheme="minorEastAsia" w:eastAsiaTheme="minorEastAsia"/>
          <w:szCs w:val="28"/>
        </w:rPr>
      </w:pPr>
      <w:r>
        <w:rPr>
          <w:rFonts w:hint="eastAsia"/>
          <w:highlight w:val="green"/>
        </w:rPr>
        <w:t>政府和相关部门能给予政策与资金支持，</w:t>
      </w:r>
      <w:r>
        <w:rPr>
          <w:rFonts w:hint="eastAsia"/>
          <w:highlight w:val="green"/>
          <w:lang w:eastAsia="zh-CN"/>
        </w:rPr>
        <w:t>督促“德贷”工程</w:t>
      </w:r>
      <w:bookmarkStart w:id="223" w:name="_GoBack"/>
      <w:bookmarkEnd w:id="223"/>
      <w:r>
        <w:rPr>
          <w:rFonts w:hint="eastAsia"/>
          <w:highlight w:val="green"/>
          <w:lang w:eastAsia="zh-CN"/>
        </w:rPr>
        <w:t>等关联项目按时竣工发挥作用，</w:t>
      </w:r>
      <w:r>
        <w:rPr>
          <w:rFonts w:hint="eastAsia"/>
          <w:highlight w:val="green"/>
        </w:rPr>
        <w:t>以促进</w:t>
      </w:r>
      <w:r>
        <w:rPr>
          <w:rFonts w:hint="eastAsia"/>
          <w:highlight w:val="green"/>
          <w:lang w:eastAsia="zh-CN"/>
        </w:rPr>
        <w:t>本</w:t>
      </w:r>
      <w:r>
        <w:rPr>
          <w:rFonts w:hint="eastAsia"/>
          <w:highlight w:val="green"/>
        </w:rPr>
        <w:t>项目早日建成发挥其社会效益</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hint="eastAsia"/>
          <w:highlight w:val="green"/>
        </w:rPr>
        <w:t>。</w:t>
      </w:r>
    </w:p>
    <w:sectPr>
      <w:headerReference r:id="rId13" w:type="default"/>
      <w:footerReference r:id="rId14" w:type="default"/>
      <w:pgSz w:w="11906" w:h="16838"/>
      <w:pgMar w:top="1440" w:right="1797" w:bottom="1440" w:left="1797"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0" w:firstLineChars="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2381233"/>
                          </w:sdtPr>
                          <w:sdtContent>
                            <w:p>
                              <w:pPr>
                                <w:pStyle w:val="17"/>
                                <w:ind w:firstLine="360"/>
                                <w:jc w:val="center"/>
                              </w:pPr>
                              <w:r>
                                <w:fldChar w:fldCharType="begin"/>
                              </w:r>
                              <w:r>
                                <w:instrText xml:space="preserve"> PAGE   \* MERGEFORMAT </w:instrText>
                              </w:r>
                              <w:r>
                                <w:fldChar w:fldCharType="separate"/>
                              </w:r>
                              <w:r>
                                <w:rPr>
                                  <w:lang w:val="zh-CN"/>
                                </w:rPr>
                                <w:t>I</w:t>
                              </w:r>
                              <w:r>
                                <w:rPr>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122381233"/>
                    </w:sdtPr>
                    <w:sdtContent>
                      <w:p>
                        <w:pPr>
                          <w:pStyle w:val="17"/>
                          <w:ind w:firstLine="360"/>
                          <w:jc w:val="center"/>
                        </w:pPr>
                        <w:r>
                          <w:fldChar w:fldCharType="begin"/>
                        </w:r>
                        <w:r>
                          <w:instrText xml:space="preserve"> PAGE   \* MERGEFORMAT </w:instrText>
                        </w:r>
                        <w:r>
                          <w:fldChar w:fldCharType="separate"/>
                        </w:r>
                        <w:r>
                          <w:rPr>
                            <w:lang w:val="zh-CN"/>
                          </w:rPr>
                          <w:t>I</w:t>
                        </w:r>
                        <w:r>
                          <w:rPr>
                            <w:lang w:val="zh-CN"/>
                          </w:rPr>
                          <w:fldChar w:fldCharType="end"/>
                        </w:r>
                      </w:p>
                    </w:sdtContent>
                  </w:sdt>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ind w:firstLine="360"/>
                    </w:pPr>
                    <w:r>
                      <w:rPr>
                        <w:rFonts w:hint="eastAsia"/>
                      </w:rPr>
                      <w:fldChar w:fldCharType="begin"/>
                    </w:r>
                    <w:r>
                      <w:rPr>
                        <w:rFonts w:hint="eastAsia"/>
                      </w:rPr>
                      <w:instrText xml:space="preserve"> PAGE  \* MERGEFORMAT </w:instrText>
                    </w:r>
                    <w:r>
                      <w:rPr>
                        <w:rFonts w:hint="eastAsia"/>
                      </w:rPr>
                      <w:fldChar w:fldCharType="separate"/>
                    </w:r>
                    <w:r>
                      <w:t>89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pPr>
    <w:r>
      <w:rPr>
        <w:rFonts w:hint="eastAsia" w:ascii="黑体" w:eastAsia="黑体"/>
        <w:sz w:val="24"/>
        <w:szCs w:val="24"/>
      </w:rPr>
      <w:t>田东县平马镇合恒村里弄屯里弄沟黑臭水体治理项目实施方案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0" w:firstLineChars="0"/>
      <w:rPr>
        <w:rFonts w:ascii="黑体" w:eastAsia="黑体"/>
        <w:sz w:val="24"/>
        <w:szCs w:val="24"/>
      </w:rPr>
    </w:pPr>
    <w:r>
      <w:rPr>
        <w:rFonts w:hint="eastAsia" w:ascii="黑体" w:eastAsia="黑体"/>
        <w:sz w:val="24"/>
        <w:szCs w:val="24"/>
      </w:rPr>
      <w:t>田东县平马镇合恒村里弄屯里弄沟黑臭水体治理项目实施方案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80"/>
      <w:jc w:val="right"/>
      <w:rPr>
        <w:rFonts w:ascii="黑体" w:eastAsia="黑体"/>
        <w:sz w:val="24"/>
        <w:szCs w:val="24"/>
      </w:rPr>
    </w:pPr>
    <w:r>
      <w:rPr>
        <w:rFonts w:hint="eastAsia" w:ascii="黑体" w:eastAsia="黑体"/>
        <w:sz w:val="24"/>
        <w:szCs w:val="24"/>
      </w:rPr>
      <w:t>田东县平马镇合恒村里弄屯里弄沟黑臭水体治理项目实施方案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6"/>
      <w:lvlText w:val="%1."/>
      <w:lvlJc w:val="left"/>
      <w:pPr>
        <w:tabs>
          <w:tab w:val="left" w:pos="780"/>
        </w:tabs>
        <w:ind w:left="780" w:leftChars="200" w:hanging="360" w:hangingChars="200"/>
      </w:pPr>
    </w:lvl>
  </w:abstractNum>
  <w:abstractNum w:abstractNumId="1">
    <w:nsid w:val="14623275"/>
    <w:multiLevelType w:val="multilevel"/>
    <w:tmpl w:val="14623275"/>
    <w:lvl w:ilvl="0" w:tentative="0">
      <w:start w:val="1"/>
      <w:numFmt w:val="decimal"/>
      <w:lvlText w:val="（%1）"/>
      <w:lvlJc w:val="left"/>
      <w:pPr>
        <w:ind w:left="1555" w:hanging="420"/>
      </w:pPr>
      <w:rPr>
        <w:rFonts w:hint="eastAsia"/>
        <w:lang w:val="en-US"/>
      </w:rPr>
    </w:lvl>
    <w:lvl w:ilvl="1" w:tentative="0">
      <w:start w:val="1"/>
      <w:numFmt w:val="lowerLetter"/>
      <w:lvlText w:val="%2)"/>
      <w:lvlJc w:val="left"/>
      <w:pPr>
        <w:ind w:left="1258" w:hanging="420"/>
      </w:pPr>
    </w:lvl>
    <w:lvl w:ilvl="2" w:tentative="0">
      <w:start w:val="1"/>
      <w:numFmt w:val="lowerRoman"/>
      <w:lvlText w:val="%3."/>
      <w:lvlJc w:val="right"/>
      <w:pPr>
        <w:ind w:left="1678" w:hanging="420"/>
      </w:pPr>
    </w:lvl>
    <w:lvl w:ilvl="3" w:tentative="0">
      <w:start w:val="1"/>
      <w:numFmt w:val="decimal"/>
      <w:lvlText w:val="%4."/>
      <w:lvlJc w:val="left"/>
      <w:pPr>
        <w:ind w:left="2098" w:hanging="420"/>
      </w:pPr>
    </w:lvl>
    <w:lvl w:ilvl="4" w:tentative="0">
      <w:start w:val="1"/>
      <w:numFmt w:val="lowerLetter"/>
      <w:lvlText w:val="%5)"/>
      <w:lvlJc w:val="left"/>
      <w:pPr>
        <w:ind w:left="2518" w:hanging="420"/>
      </w:pPr>
    </w:lvl>
    <w:lvl w:ilvl="5" w:tentative="0">
      <w:start w:val="1"/>
      <w:numFmt w:val="lowerRoman"/>
      <w:lvlText w:val="%6."/>
      <w:lvlJc w:val="right"/>
      <w:pPr>
        <w:ind w:left="2938" w:hanging="420"/>
      </w:pPr>
    </w:lvl>
    <w:lvl w:ilvl="6" w:tentative="0">
      <w:start w:val="1"/>
      <w:numFmt w:val="decimal"/>
      <w:lvlText w:val="%7."/>
      <w:lvlJc w:val="left"/>
      <w:pPr>
        <w:ind w:left="3358" w:hanging="420"/>
      </w:pPr>
    </w:lvl>
    <w:lvl w:ilvl="7" w:tentative="0">
      <w:start w:val="1"/>
      <w:numFmt w:val="lowerLetter"/>
      <w:lvlText w:val="%8)"/>
      <w:lvlJc w:val="left"/>
      <w:pPr>
        <w:ind w:left="3778" w:hanging="420"/>
      </w:pPr>
    </w:lvl>
    <w:lvl w:ilvl="8" w:tentative="0">
      <w:start w:val="1"/>
      <w:numFmt w:val="lowerRoman"/>
      <w:lvlText w:val="%9."/>
      <w:lvlJc w:val="right"/>
      <w:pPr>
        <w:ind w:left="4198" w:hanging="420"/>
      </w:pPr>
    </w:lvl>
  </w:abstractNum>
  <w:abstractNum w:abstractNumId="2">
    <w:nsid w:val="243113B5"/>
    <w:multiLevelType w:val="multilevel"/>
    <w:tmpl w:val="243113B5"/>
    <w:lvl w:ilvl="0" w:tentative="0">
      <w:start w:val="1"/>
      <w:numFmt w:val="decimal"/>
      <w:lvlText w:val="（%1）"/>
      <w:lvlJc w:val="left"/>
      <w:pPr>
        <w:ind w:left="1271" w:hanging="420"/>
      </w:pPr>
      <w:rPr>
        <w:rFonts w:hint="eastAsia"/>
        <w:lang w:val="en-US"/>
      </w:rPr>
    </w:lvl>
    <w:lvl w:ilvl="1" w:tentative="0">
      <w:start w:val="1"/>
      <w:numFmt w:val="lowerLetter"/>
      <w:lvlText w:val="%2)"/>
      <w:lvlJc w:val="left"/>
      <w:pPr>
        <w:ind w:left="1258" w:hanging="420"/>
      </w:pPr>
    </w:lvl>
    <w:lvl w:ilvl="2" w:tentative="0">
      <w:start w:val="1"/>
      <w:numFmt w:val="lowerRoman"/>
      <w:lvlText w:val="%3."/>
      <w:lvlJc w:val="right"/>
      <w:pPr>
        <w:ind w:left="1678" w:hanging="420"/>
      </w:pPr>
    </w:lvl>
    <w:lvl w:ilvl="3" w:tentative="0">
      <w:start w:val="1"/>
      <w:numFmt w:val="decimal"/>
      <w:lvlText w:val="%4."/>
      <w:lvlJc w:val="left"/>
      <w:pPr>
        <w:ind w:left="2098" w:hanging="420"/>
      </w:pPr>
    </w:lvl>
    <w:lvl w:ilvl="4" w:tentative="0">
      <w:start w:val="1"/>
      <w:numFmt w:val="lowerLetter"/>
      <w:lvlText w:val="%5)"/>
      <w:lvlJc w:val="left"/>
      <w:pPr>
        <w:ind w:left="2518" w:hanging="420"/>
      </w:pPr>
    </w:lvl>
    <w:lvl w:ilvl="5" w:tentative="0">
      <w:start w:val="1"/>
      <w:numFmt w:val="lowerRoman"/>
      <w:lvlText w:val="%6."/>
      <w:lvlJc w:val="right"/>
      <w:pPr>
        <w:ind w:left="2938" w:hanging="420"/>
      </w:pPr>
    </w:lvl>
    <w:lvl w:ilvl="6" w:tentative="0">
      <w:start w:val="1"/>
      <w:numFmt w:val="decimal"/>
      <w:lvlText w:val="%7."/>
      <w:lvlJc w:val="left"/>
      <w:pPr>
        <w:ind w:left="3358" w:hanging="420"/>
      </w:pPr>
    </w:lvl>
    <w:lvl w:ilvl="7" w:tentative="0">
      <w:start w:val="1"/>
      <w:numFmt w:val="lowerLetter"/>
      <w:lvlText w:val="%8)"/>
      <w:lvlJc w:val="left"/>
      <w:pPr>
        <w:ind w:left="3778" w:hanging="420"/>
      </w:pPr>
    </w:lvl>
    <w:lvl w:ilvl="8" w:tentative="0">
      <w:start w:val="1"/>
      <w:numFmt w:val="lowerRoman"/>
      <w:lvlText w:val="%9."/>
      <w:lvlJc w:val="right"/>
      <w:pPr>
        <w:ind w:left="4198" w:hanging="420"/>
      </w:pPr>
    </w:lvl>
  </w:abstractNum>
  <w:abstractNum w:abstractNumId="3">
    <w:nsid w:val="41006FAA"/>
    <w:multiLevelType w:val="multilevel"/>
    <w:tmpl w:val="41006FAA"/>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44F071FD"/>
    <w:multiLevelType w:val="multilevel"/>
    <w:tmpl w:val="44F071FD"/>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4728793C"/>
    <w:multiLevelType w:val="singleLevel"/>
    <w:tmpl w:val="4728793C"/>
    <w:lvl w:ilvl="0" w:tentative="0">
      <w:start w:val="1"/>
      <w:numFmt w:val="decimalEnclosedCircleChinese"/>
      <w:suff w:val="nothing"/>
      <w:lvlText w:val="%1 "/>
      <w:lvlJc w:val="left"/>
      <w:pPr>
        <w:ind w:left="0" w:firstLine="403"/>
      </w:pPr>
      <w:rPr>
        <w:rFonts w:hint="eastAsia"/>
      </w:rPr>
    </w:lvl>
  </w:abstractNum>
  <w:abstractNum w:abstractNumId="6">
    <w:nsid w:val="548D5DFC"/>
    <w:multiLevelType w:val="multilevel"/>
    <w:tmpl w:val="548D5DFC"/>
    <w:lvl w:ilvl="0" w:tentative="0">
      <w:start w:val="1"/>
      <w:numFmt w:val="decimal"/>
      <w:lvlText w:val="（%1）"/>
      <w:lvlJc w:val="left"/>
      <w:pPr>
        <w:ind w:left="1980" w:hanging="420"/>
      </w:pPr>
      <w:rPr>
        <w:rFonts w:hint="eastAsia"/>
        <w:lang w:val="en-US"/>
      </w:rPr>
    </w:lvl>
    <w:lvl w:ilvl="1" w:tentative="0">
      <w:start w:val="1"/>
      <w:numFmt w:val="lowerLetter"/>
      <w:lvlText w:val="%2)"/>
      <w:lvlJc w:val="left"/>
      <w:pPr>
        <w:ind w:left="1258" w:hanging="420"/>
      </w:pPr>
    </w:lvl>
    <w:lvl w:ilvl="2" w:tentative="0">
      <w:start w:val="1"/>
      <w:numFmt w:val="lowerRoman"/>
      <w:lvlText w:val="%3."/>
      <w:lvlJc w:val="right"/>
      <w:pPr>
        <w:ind w:left="1678" w:hanging="420"/>
      </w:pPr>
    </w:lvl>
    <w:lvl w:ilvl="3" w:tentative="0">
      <w:start w:val="1"/>
      <w:numFmt w:val="decimal"/>
      <w:lvlText w:val="%4."/>
      <w:lvlJc w:val="left"/>
      <w:pPr>
        <w:ind w:left="2098" w:hanging="420"/>
      </w:pPr>
    </w:lvl>
    <w:lvl w:ilvl="4" w:tentative="0">
      <w:start w:val="1"/>
      <w:numFmt w:val="lowerLetter"/>
      <w:lvlText w:val="%5)"/>
      <w:lvlJc w:val="left"/>
      <w:pPr>
        <w:ind w:left="2518" w:hanging="420"/>
      </w:pPr>
    </w:lvl>
    <w:lvl w:ilvl="5" w:tentative="0">
      <w:start w:val="1"/>
      <w:numFmt w:val="lowerRoman"/>
      <w:lvlText w:val="%6."/>
      <w:lvlJc w:val="right"/>
      <w:pPr>
        <w:ind w:left="2938" w:hanging="420"/>
      </w:pPr>
    </w:lvl>
    <w:lvl w:ilvl="6" w:tentative="0">
      <w:start w:val="1"/>
      <w:numFmt w:val="decimal"/>
      <w:lvlText w:val="%7."/>
      <w:lvlJc w:val="left"/>
      <w:pPr>
        <w:ind w:left="3358" w:hanging="420"/>
      </w:pPr>
    </w:lvl>
    <w:lvl w:ilvl="7" w:tentative="0">
      <w:start w:val="1"/>
      <w:numFmt w:val="lowerLetter"/>
      <w:lvlText w:val="%8)"/>
      <w:lvlJc w:val="left"/>
      <w:pPr>
        <w:ind w:left="3778" w:hanging="420"/>
      </w:pPr>
    </w:lvl>
    <w:lvl w:ilvl="8" w:tentative="0">
      <w:start w:val="1"/>
      <w:numFmt w:val="lowerRoman"/>
      <w:lvlText w:val="%9."/>
      <w:lvlJc w:val="right"/>
      <w:pPr>
        <w:ind w:left="4198" w:hanging="420"/>
      </w:pPr>
    </w:lvl>
  </w:abstractNum>
  <w:abstractNum w:abstractNumId="7">
    <w:nsid w:val="5D3E5A9D"/>
    <w:multiLevelType w:val="multilevel"/>
    <w:tmpl w:val="5D3E5A9D"/>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6B7681AB"/>
    <w:multiLevelType w:val="singleLevel"/>
    <w:tmpl w:val="6B7681AB"/>
    <w:lvl w:ilvl="0" w:tentative="0">
      <w:start w:val="1"/>
      <w:numFmt w:val="chineseCounting"/>
      <w:suff w:val="nothing"/>
      <w:lvlText w:val="%1、"/>
      <w:lvlJc w:val="left"/>
      <w:rPr>
        <w:rFonts w:hint="eastAsia"/>
      </w:rPr>
    </w:lvl>
  </w:abstractNum>
  <w:abstractNum w:abstractNumId="9">
    <w:nsid w:val="70A007BF"/>
    <w:multiLevelType w:val="multilevel"/>
    <w:tmpl w:val="70A007BF"/>
    <w:lvl w:ilvl="0" w:tentative="0">
      <w:start w:val="1"/>
      <w:numFmt w:val="decimal"/>
      <w:lvlText w:val="（%1）"/>
      <w:lvlJc w:val="left"/>
      <w:pPr>
        <w:ind w:left="2122" w:hanging="420"/>
      </w:pPr>
      <w:rPr>
        <w:rFonts w:hint="eastAsia"/>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8"/>
  </w:num>
  <w:num w:numId="3">
    <w:abstractNumId w:val="4"/>
  </w:num>
  <w:num w:numId="4">
    <w:abstractNumId w:val="3"/>
  </w:num>
  <w:num w:numId="5">
    <w:abstractNumId w:val="9"/>
  </w:num>
  <w:num w:numId="6">
    <w:abstractNumId w:val="6"/>
  </w:num>
  <w:num w:numId="7">
    <w:abstractNumId w:val="2"/>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ZGQ2OGRiNzBkMjliZDE2YzliODk0NDJiZTFkN2YifQ=="/>
  </w:docVars>
  <w:rsids>
    <w:rsidRoot w:val="00392B34"/>
    <w:rsid w:val="0000102C"/>
    <w:rsid w:val="00002841"/>
    <w:rsid w:val="0000353E"/>
    <w:rsid w:val="000207F8"/>
    <w:rsid w:val="00021470"/>
    <w:rsid w:val="00025F1F"/>
    <w:rsid w:val="00026347"/>
    <w:rsid w:val="00030B9B"/>
    <w:rsid w:val="0003211E"/>
    <w:rsid w:val="000331D6"/>
    <w:rsid w:val="00037175"/>
    <w:rsid w:val="0004213C"/>
    <w:rsid w:val="00042AA8"/>
    <w:rsid w:val="00045716"/>
    <w:rsid w:val="000457CC"/>
    <w:rsid w:val="00045F46"/>
    <w:rsid w:val="0006028E"/>
    <w:rsid w:val="0006145D"/>
    <w:rsid w:val="000618AB"/>
    <w:rsid w:val="000620E8"/>
    <w:rsid w:val="00062D08"/>
    <w:rsid w:val="0006600E"/>
    <w:rsid w:val="00071DB6"/>
    <w:rsid w:val="00073B2C"/>
    <w:rsid w:val="000751BF"/>
    <w:rsid w:val="0007630E"/>
    <w:rsid w:val="00076F6F"/>
    <w:rsid w:val="000812E1"/>
    <w:rsid w:val="00081D7A"/>
    <w:rsid w:val="00082448"/>
    <w:rsid w:val="00085564"/>
    <w:rsid w:val="00091C57"/>
    <w:rsid w:val="00094098"/>
    <w:rsid w:val="0009523F"/>
    <w:rsid w:val="000A26C9"/>
    <w:rsid w:val="000A2938"/>
    <w:rsid w:val="000A2FA1"/>
    <w:rsid w:val="000A34EA"/>
    <w:rsid w:val="000A40AA"/>
    <w:rsid w:val="000A56F6"/>
    <w:rsid w:val="000A5F6F"/>
    <w:rsid w:val="000B1B34"/>
    <w:rsid w:val="000B21C1"/>
    <w:rsid w:val="000B348C"/>
    <w:rsid w:val="000B3B5E"/>
    <w:rsid w:val="000B6BEA"/>
    <w:rsid w:val="000C2FCF"/>
    <w:rsid w:val="000D1F0A"/>
    <w:rsid w:val="000D2FB9"/>
    <w:rsid w:val="000D5B0A"/>
    <w:rsid w:val="000D74ED"/>
    <w:rsid w:val="000E17BE"/>
    <w:rsid w:val="000E3278"/>
    <w:rsid w:val="000E4307"/>
    <w:rsid w:val="000E6C84"/>
    <w:rsid w:val="000F1B49"/>
    <w:rsid w:val="000F48A0"/>
    <w:rsid w:val="000F6977"/>
    <w:rsid w:val="000F758F"/>
    <w:rsid w:val="000F7B9F"/>
    <w:rsid w:val="00100D44"/>
    <w:rsid w:val="00101E94"/>
    <w:rsid w:val="00102532"/>
    <w:rsid w:val="00107448"/>
    <w:rsid w:val="00107896"/>
    <w:rsid w:val="00107C16"/>
    <w:rsid w:val="00114564"/>
    <w:rsid w:val="00114BD1"/>
    <w:rsid w:val="00114DEE"/>
    <w:rsid w:val="00117182"/>
    <w:rsid w:val="00120418"/>
    <w:rsid w:val="00125ECC"/>
    <w:rsid w:val="001265C7"/>
    <w:rsid w:val="00132281"/>
    <w:rsid w:val="00136E94"/>
    <w:rsid w:val="00141915"/>
    <w:rsid w:val="00142C5B"/>
    <w:rsid w:val="00143085"/>
    <w:rsid w:val="001445A1"/>
    <w:rsid w:val="00147C66"/>
    <w:rsid w:val="00150450"/>
    <w:rsid w:val="001519FA"/>
    <w:rsid w:val="00156524"/>
    <w:rsid w:val="00157F0E"/>
    <w:rsid w:val="00161E65"/>
    <w:rsid w:val="0016725B"/>
    <w:rsid w:val="0016773D"/>
    <w:rsid w:val="0017674A"/>
    <w:rsid w:val="001800F3"/>
    <w:rsid w:val="0018182C"/>
    <w:rsid w:val="001825BB"/>
    <w:rsid w:val="00184AD3"/>
    <w:rsid w:val="0018582D"/>
    <w:rsid w:val="00187209"/>
    <w:rsid w:val="001905C2"/>
    <w:rsid w:val="00193074"/>
    <w:rsid w:val="00194284"/>
    <w:rsid w:val="0019441A"/>
    <w:rsid w:val="0019755F"/>
    <w:rsid w:val="001A0855"/>
    <w:rsid w:val="001A1A8E"/>
    <w:rsid w:val="001A1C0D"/>
    <w:rsid w:val="001A21FE"/>
    <w:rsid w:val="001A56B9"/>
    <w:rsid w:val="001A7111"/>
    <w:rsid w:val="001B3207"/>
    <w:rsid w:val="001B398A"/>
    <w:rsid w:val="001B744B"/>
    <w:rsid w:val="001C3B70"/>
    <w:rsid w:val="001C423E"/>
    <w:rsid w:val="001D0125"/>
    <w:rsid w:val="001D0AC9"/>
    <w:rsid w:val="001D1EC5"/>
    <w:rsid w:val="001D3C42"/>
    <w:rsid w:val="001D3E2C"/>
    <w:rsid w:val="001E2A58"/>
    <w:rsid w:val="001E2DF1"/>
    <w:rsid w:val="001E65DE"/>
    <w:rsid w:val="001F16B9"/>
    <w:rsid w:val="001F38C6"/>
    <w:rsid w:val="001F50B0"/>
    <w:rsid w:val="001F614E"/>
    <w:rsid w:val="001F6AE1"/>
    <w:rsid w:val="00200C0D"/>
    <w:rsid w:val="00203479"/>
    <w:rsid w:val="002037CB"/>
    <w:rsid w:val="00212521"/>
    <w:rsid w:val="00216C2A"/>
    <w:rsid w:val="00220E4C"/>
    <w:rsid w:val="002225D9"/>
    <w:rsid w:val="00224217"/>
    <w:rsid w:val="0022491E"/>
    <w:rsid w:val="00226EAD"/>
    <w:rsid w:val="00227373"/>
    <w:rsid w:val="00232019"/>
    <w:rsid w:val="00232547"/>
    <w:rsid w:val="0023289F"/>
    <w:rsid w:val="00233912"/>
    <w:rsid w:val="00233975"/>
    <w:rsid w:val="00234AA8"/>
    <w:rsid w:val="00236656"/>
    <w:rsid w:val="00237F18"/>
    <w:rsid w:val="00241843"/>
    <w:rsid w:val="002470C5"/>
    <w:rsid w:val="00247A25"/>
    <w:rsid w:val="00254135"/>
    <w:rsid w:val="00255602"/>
    <w:rsid w:val="002564D4"/>
    <w:rsid w:val="00256959"/>
    <w:rsid w:val="00257BCD"/>
    <w:rsid w:val="00260178"/>
    <w:rsid w:val="0026119C"/>
    <w:rsid w:val="0026234D"/>
    <w:rsid w:val="00262AC2"/>
    <w:rsid w:val="00272514"/>
    <w:rsid w:val="00274E53"/>
    <w:rsid w:val="00276F3C"/>
    <w:rsid w:val="00277A9C"/>
    <w:rsid w:val="002835C5"/>
    <w:rsid w:val="00284750"/>
    <w:rsid w:val="00290D81"/>
    <w:rsid w:val="00293649"/>
    <w:rsid w:val="00296A54"/>
    <w:rsid w:val="00296DDA"/>
    <w:rsid w:val="002A490B"/>
    <w:rsid w:val="002A4CB3"/>
    <w:rsid w:val="002B0840"/>
    <w:rsid w:val="002B3B89"/>
    <w:rsid w:val="002B3CBF"/>
    <w:rsid w:val="002B3F79"/>
    <w:rsid w:val="002B5F31"/>
    <w:rsid w:val="002C0389"/>
    <w:rsid w:val="002C2809"/>
    <w:rsid w:val="002C333E"/>
    <w:rsid w:val="002C4249"/>
    <w:rsid w:val="002C47E0"/>
    <w:rsid w:val="002C72E9"/>
    <w:rsid w:val="002D0F9A"/>
    <w:rsid w:val="002D2A12"/>
    <w:rsid w:val="002D313F"/>
    <w:rsid w:val="002D34FD"/>
    <w:rsid w:val="002D6ACC"/>
    <w:rsid w:val="002E27F7"/>
    <w:rsid w:val="002E3E12"/>
    <w:rsid w:val="002E4101"/>
    <w:rsid w:val="002E5498"/>
    <w:rsid w:val="002E6D3F"/>
    <w:rsid w:val="002E70C7"/>
    <w:rsid w:val="002F063F"/>
    <w:rsid w:val="002F1084"/>
    <w:rsid w:val="00302571"/>
    <w:rsid w:val="003026C6"/>
    <w:rsid w:val="003028F3"/>
    <w:rsid w:val="0030369F"/>
    <w:rsid w:val="003068E8"/>
    <w:rsid w:val="0031149D"/>
    <w:rsid w:val="003120B5"/>
    <w:rsid w:val="003122CC"/>
    <w:rsid w:val="003127EA"/>
    <w:rsid w:val="0031327D"/>
    <w:rsid w:val="003241BB"/>
    <w:rsid w:val="00327263"/>
    <w:rsid w:val="00333C30"/>
    <w:rsid w:val="00335A93"/>
    <w:rsid w:val="00335CD7"/>
    <w:rsid w:val="00336D73"/>
    <w:rsid w:val="00342AA5"/>
    <w:rsid w:val="0034460B"/>
    <w:rsid w:val="003461F4"/>
    <w:rsid w:val="00346321"/>
    <w:rsid w:val="00346D54"/>
    <w:rsid w:val="00346D5B"/>
    <w:rsid w:val="003474BB"/>
    <w:rsid w:val="003501D8"/>
    <w:rsid w:val="00351026"/>
    <w:rsid w:val="003563EB"/>
    <w:rsid w:val="003565BB"/>
    <w:rsid w:val="00356E6A"/>
    <w:rsid w:val="0035758D"/>
    <w:rsid w:val="003616F3"/>
    <w:rsid w:val="0036489F"/>
    <w:rsid w:val="003678E2"/>
    <w:rsid w:val="00372071"/>
    <w:rsid w:val="0037319C"/>
    <w:rsid w:val="00374070"/>
    <w:rsid w:val="00384C65"/>
    <w:rsid w:val="0038677F"/>
    <w:rsid w:val="00392B34"/>
    <w:rsid w:val="00392B87"/>
    <w:rsid w:val="00392B9D"/>
    <w:rsid w:val="003931AC"/>
    <w:rsid w:val="003937D9"/>
    <w:rsid w:val="00393CFE"/>
    <w:rsid w:val="0039764D"/>
    <w:rsid w:val="00397F80"/>
    <w:rsid w:val="003A11E3"/>
    <w:rsid w:val="003A1213"/>
    <w:rsid w:val="003A1B62"/>
    <w:rsid w:val="003A1ED1"/>
    <w:rsid w:val="003A338E"/>
    <w:rsid w:val="003A50C7"/>
    <w:rsid w:val="003A5F93"/>
    <w:rsid w:val="003A63EA"/>
    <w:rsid w:val="003A7039"/>
    <w:rsid w:val="003B1E76"/>
    <w:rsid w:val="003B7E9C"/>
    <w:rsid w:val="003C0B74"/>
    <w:rsid w:val="003C0FDF"/>
    <w:rsid w:val="003C198B"/>
    <w:rsid w:val="003C39E8"/>
    <w:rsid w:val="003C4812"/>
    <w:rsid w:val="003C5306"/>
    <w:rsid w:val="003D0A73"/>
    <w:rsid w:val="003D1FC6"/>
    <w:rsid w:val="003D34D5"/>
    <w:rsid w:val="003D48B0"/>
    <w:rsid w:val="003D61C9"/>
    <w:rsid w:val="003E0E2A"/>
    <w:rsid w:val="003E10B5"/>
    <w:rsid w:val="003E153D"/>
    <w:rsid w:val="003E273A"/>
    <w:rsid w:val="003E4CD9"/>
    <w:rsid w:val="003E4D59"/>
    <w:rsid w:val="003E7229"/>
    <w:rsid w:val="003F00AC"/>
    <w:rsid w:val="003F1EC8"/>
    <w:rsid w:val="003F249A"/>
    <w:rsid w:val="003F3A08"/>
    <w:rsid w:val="003F4867"/>
    <w:rsid w:val="004007EC"/>
    <w:rsid w:val="00401169"/>
    <w:rsid w:val="00402104"/>
    <w:rsid w:val="0040223C"/>
    <w:rsid w:val="00402BEB"/>
    <w:rsid w:val="00403394"/>
    <w:rsid w:val="0040729F"/>
    <w:rsid w:val="00410C04"/>
    <w:rsid w:val="00416AA7"/>
    <w:rsid w:val="004209BE"/>
    <w:rsid w:val="0042468A"/>
    <w:rsid w:val="004276D8"/>
    <w:rsid w:val="004338C4"/>
    <w:rsid w:val="00435685"/>
    <w:rsid w:val="004362B3"/>
    <w:rsid w:val="00436502"/>
    <w:rsid w:val="00441459"/>
    <w:rsid w:val="0044210F"/>
    <w:rsid w:val="0044347B"/>
    <w:rsid w:val="00444B67"/>
    <w:rsid w:val="00450DFA"/>
    <w:rsid w:val="00451C7F"/>
    <w:rsid w:val="00453163"/>
    <w:rsid w:val="004533CA"/>
    <w:rsid w:val="00454717"/>
    <w:rsid w:val="004615EE"/>
    <w:rsid w:val="00465314"/>
    <w:rsid w:val="00465DDE"/>
    <w:rsid w:val="00465DFA"/>
    <w:rsid w:val="00470C05"/>
    <w:rsid w:val="00470C81"/>
    <w:rsid w:val="00470D1B"/>
    <w:rsid w:val="00470D6E"/>
    <w:rsid w:val="004749F8"/>
    <w:rsid w:val="00481C4B"/>
    <w:rsid w:val="00485859"/>
    <w:rsid w:val="0048615B"/>
    <w:rsid w:val="00487CDA"/>
    <w:rsid w:val="00490332"/>
    <w:rsid w:val="00492134"/>
    <w:rsid w:val="0049299F"/>
    <w:rsid w:val="00495CE7"/>
    <w:rsid w:val="004A06E9"/>
    <w:rsid w:val="004A160D"/>
    <w:rsid w:val="004A216E"/>
    <w:rsid w:val="004A5ED8"/>
    <w:rsid w:val="004B4A05"/>
    <w:rsid w:val="004B4EEE"/>
    <w:rsid w:val="004B7F88"/>
    <w:rsid w:val="004C1EE2"/>
    <w:rsid w:val="004C2A73"/>
    <w:rsid w:val="004C3E67"/>
    <w:rsid w:val="004C4F99"/>
    <w:rsid w:val="004C5241"/>
    <w:rsid w:val="004C5E8E"/>
    <w:rsid w:val="004C6896"/>
    <w:rsid w:val="004D0C12"/>
    <w:rsid w:val="004D305A"/>
    <w:rsid w:val="004D47FB"/>
    <w:rsid w:val="004D4DA1"/>
    <w:rsid w:val="004D53A5"/>
    <w:rsid w:val="004D5581"/>
    <w:rsid w:val="004D5D07"/>
    <w:rsid w:val="004D61E5"/>
    <w:rsid w:val="004D6517"/>
    <w:rsid w:val="004E3B1C"/>
    <w:rsid w:val="004F399D"/>
    <w:rsid w:val="004F4518"/>
    <w:rsid w:val="00500B1B"/>
    <w:rsid w:val="00501194"/>
    <w:rsid w:val="005019F2"/>
    <w:rsid w:val="005107F8"/>
    <w:rsid w:val="00511693"/>
    <w:rsid w:val="00511D3E"/>
    <w:rsid w:val="00514003"/>
    <w:rsid w:val="00514673"/>
    <w:rsid w:val="00514F24"/>
    <w:rsid w:val="005150BF"/>
    <w:rsid w:val="00515D55"/>
    <w:rsid w:val="00516D9D"/>
    <w:rsid w:val="0051719B"/>
    <w:rsid w:val="005200DA"/>
    <w:rsid w:val="005229DA"/>
    <w:rsid w:val="00525D26"/>
    <w:rsid w:val="0052674C"/>
    <w:rsid w:val="00526D4C"/>
    <w:rsid w:val="00527F03"/>
    <w:rsid w:val="005326BC"/>
    <w:rsid w:val="00540F0A"/>
    <w:rsid w:val="0054412B"/>
    <w:rsid w:val="005446E1"/>
    <w:rsid w:val="005458E7"/>
    <w:rsid w:val="0054729B"/>
    <w:rsid w:val="00552339"/>
    <w:rsid w:val="0055674F"/>
    <w:rsid w:val="0055742A"/>
    <w:rsid w:val="005673C0"/>
    <w:rsid w:val="005677C5"/>
    <w:rsid w:val="0057215C"/>
    <w:rsid w:val="0057240B"/>
    <w:rsid w:val="00572687"/>
    <w:rsid w:val="00577B8B"/>
    <w:rsid w:val="005807CC"/>
    <w:rsid w:val="00581E17"/>
    <w:rsid w:val="005843BF"/>
    <w:rsid w:val="0058728F"/>
    <w:rsid w:val="005874F1"/>
    <w:rsid w:val="00591491"/>
    <w:rsid w:val="00591C72"/>
    <w:rsid w:val="005943F7"/>
    <w:rsid w:val="00595B11"/>
    <w:rsid w:val="00596651"/>
    <w:rsid w:val="005A3888"/>
    <w:rsid w:val="005A6020"/>
    <w:rsid w:val="005A793F"/>
    <w:rsid w:val="005B0D0D"/>
    <w:rsid w:val="005B0FF9"/>
    <w:rsid w:val="005B1B2F"/>
    <w:rsid w:val="005B6C87"/>
    <w:rsid w:val="005B7A4C"/>
    <w:rsid w:val="005C0102"/>
    <w:rsid w:val="005C20A1"/>
    <w:rsid w:val="005C43FD"/>
    <w:rsid w:val="005C6C27"/>
    <w:rsid w:val="005D2965"/>
    <w:rsid w:val="005D2AF6"/>
    <w:rsid w:val="005D43D5"/>
    <w:rsid w:val="005D4857"/>
    <w:rsid w:val="005E023D"/>
    <w:rsid w:val="005E2199"/>
    <w:rsid w:val="005E3174"/>
    <w:rsid w:val="005E386E"/>
    <w:rsid w:val="005E3C81"/>
    <w:rsid w:val="005E646E"/>
    <w:rsid w:val="005E6B39"/>
    <w:rsid w:val="005F0724"/>
    <w:rsid w:val="005F10C6"/>
    <w:rsid w:val="005F1F7F"/>
    <w:rsid w:val="005F3B2E"/>
    <w:rsid w:val="005F40EF"/>
    <w:rsid w:val="005F5425"/>
    <w:rsid w:val="005F767C"/>
    <w:rsid w:val="006005FB"/>
    <w:rsid w:val="00603725"/>
    <w:rsid w:val="0060688F"/>
    <w:rsid w:val="00607599"/>
    <w:rsid w:val="00610AEE"/>
    <w:rsid w:val="00612C82"/>
    <w:rsid w:val="00613428"/>
    <w:rsid w:val="006148A5"/>
    <w:rsid w:val="00616DC5"/>
    <w:rsid w:val="00617D02"/>
    <w:rsid w:val="00621351"/>
    <w:rsid w:val="00622D0D"/>
    <w:rsid w:val="00623552"/>
    <w:rsid w:val="00624A29"/>
    <w:rsid w:val="00625B0D"/>
    <w:rsid w:val="0062627F"/>
    <w:rsid w:val="00626375"/>
    <w:rsid w:val="006269FA"/>
    <w:rsid w:val="00630C17"/>
    <w:rsid w:val="0063687D"/>
    <w:rsid w:val="00642848"/>
    <w:rsid w:val="00643DD9"/>
    <w:rsid w:val="006469F3"/>
    <w:rsid w:val="006527F6"/>
    <w:rsid w:val="00653AFC"/>
    <w:rsid w:val="00654CA5"/>
    <w:rsid w:val="006555DA"/>
    <w:rsid w:val="00655C70"/>
    <w:rsid w:val="006573A1"/>
    <w:rsid w:val="00657C6E"/>
    <w:rsid w:val="00657C96"/>
    <w:rsid w:val="00660ADF"/>
    <w:rsid w:val="00660CF1"/>
    <w:rsid w:val="006639DF"/>
    <w:rsid w:val="00664E22"/>
    <w:rsid w:val="00672D79"/>
    <w:rsid w:val="00673744"/>
    <w:rsid w:val="00673D16"/>
    <w:rsid w:val="006813E1"/>
    <w:rsid w:val="00681A5B"/>
    <w:rsid w:val="0068215B"/>
    <w:rsid w:val="00686AA9"/>
    <w:rsid w:val="0068706E"/>
    <w:rsid w:val="00687442"/>
    <w:rsid w:val="00687D2F"/>
    <w:rsid w:val="00691901"/>
    <w:rsid w:val="00694F38"/>
    <w:rsid w:val="00696363"/>
    <w:rsid w:val="006A0155"/>
    <w:rsid w:val="006A1FAE"/>
    <w:rsid w:val="006A5804"/>
    <w:rsid w:val="006A5A32"/>
    <w:rsid w:val="006B06E9"/>
    <w:rsid w:val="006B174D"/>
    <w:rsid w:val="006B3B71"/>
    <w:rsid w:val="006B4F94"/>
    <w:rsid w:val="006B56CF"/>
    <w:rsid w:val="006B79B5"/>
    <w:rsid w:val="006B79F4"/>
    <w:rsid w:val="006C0265"/>
    <w:rsid w:val="006C0834"/>
    <w:rsid w:val="006C1EC7"/>
    <w:rsid w:val="006C2CB2"/>
    <w:rsid w:val="006C6C79"/>
    <w:rsid w:val="006D0364"/>
    <w:rsid w:val="006D7437"/>
    <w:rsid w:val="006D781E"/>
    <w:rsid w:val="006E33C4"/>
    <w:rsid w:val="006E4295"/>
    <w:rsid w:val="006E45BC"/>
    <w:rsid w:val="006E5C7B"/>
    <w:rsid w:val="006F2A52"/>
    <w:rsid w:val="006F6068"/>
    <w:rsid w:val="00700907"/>
    <w:rsid w:val="007040FD"/>
    <w:rsid w:val="00717024"/>
    <w:rsid w:val="00717B06"/>
    <w:rsid w:val="00720108"/>
    <w:rsid w:val="00721AA5"/>
    <w:rsid w:val="00721DDB"/>
    <w:rsid w:val="00722572"/>
    <w:rsid w:val="00722E18"/>
    <w:rsid w:val="00724C84"/>
    <w:rsid w:val="007260E0"/>
    <w:rsid w:val="0072699A"/>
    <w:rsid w:val="0072785A"/>
    <w:rsid w:val="00730715"/>
    <w:rsid w:val="00730743"/>
    <w:rsid w:val="00730E2E"/>
    <w:rsid w:val="00735149"/>
    <w:rsid w:val="0073684D"/>
    <w:rsid w:val="00736953"/>
    <w:rsid w:val="00736D4A"/>
    <w:rsid w:val="0073728A"/>
    <w:rsid w:val="00737924"/>
    <w:rsid w:val="00737A54"/>
    <w:rsid w:val="00737AF9"/>
    <w:rsid w:val="00744B9E"/>
    <w:rsid w:val="00746FC0"/>
    <w:rsid w:val="0075597E"/>
    <w:rsid w:val="00755FAC"/>
    <w:rsid w:val="00756A76"/>
    <w:rsid w:val="00757C8C"/>
    <w:rsid w:val="00757FA1"/>
    <w:rsid w:val="00765B23"/>
    <w:rsid w:val="00772EF7"/>
    <w:rsid w:val="00774830"/>
    <w:rsid w:val="00780ACF"/>
    <w:rsid w:val="007810B1"/>
    <w:rsid w:val="00784412"/>
    <w:rsid w:val="00785725"/>
    <w:rsid w:val="00786E39"/>
    <w:rsid w:val="00790F28"/>
    <w:rsid w:val="00793E59"/>
    <w:rsid w:val="007A29C5"/>
    <w:rsid w:val="007A550B"/>
    <w:rsid w:val="007A616A"/>
    <w:rsid w:val="007A6D31"/>
    <w:rsid w:val="007A7161"/>
    <w:rsid w:val="007B0406"/>
    <w:rsid w:val="007B259E"/>
    <w:rsid w:val="007B58FE"/>
    <w:rsid w:val="007B663C"/>
    <w:rsid w:val="007B7093"/>
    <w:rsid w:val="007C180C"/>
    <w:rsid w:val="007C2C23"/>
    <w:rsid w:val="007C3656"/>
    <w:rsid w:val="007C3FF3"/>
    <w:rsid w:val="007D09F2"/>
    <w:rsid w:val="007D4113"/>
    <w:rsid w:val="007D48AF"/>
    <w:rsid w:val="007D508E"/>
    <w:rsid w:val="007D6F3D"/>
    <w:rsid w:val="007D7327"/>
    <w:rsid w:val="007E1528"/>
    <w:rsid w:val="007E713D"/>
    <w:rsid w:val="007E77EF"/>
    <w:rsid w:val="007E7E38"/>
    <w:rsid w:val="007F238F"/>
    <w:rsid w:val="007F57D7"/>
    <w:rsid w:val="007F58A9"/>
    <w:rsid w:val="007F5CE3"/>
    <w:rsid w:val="007F5F94"/>
    <w:rsid w:val="007F6E73"/>
    <w:rsid w:val="007F7C33"/>
    <w:rsid w:val="00801607"/>
    <w:rsid w:val="0080191E"/>
    <w:rsid w:val="00801FA7"/>
    <w:rsid w:val="00804D29"/>
    <w:rsid w:val="008125AC"/>
    <w:rsid w:val="008144D1"/>
    <w:rsid w:val="008200D2"/>
    <w:rsid w:val="00821BF3"/>
    <w:rsid w:val="008223B8"/>
    <w:rsid w:val="0082591F"/>
    <w:rsid w:val="00825F95"/>
    <w:rsid w:val="00827C48"/>
    <w:rsid w:val="00831B04"/>
    <w:rsid w:val="00835CAB"/>
    <w:rsid w:val="0084115D"/>
    <w:rsid w:val="00841434"/>
    <w:rsid w:val="0084281B"/>
    <w:rsid w:val="00843340"/>
    <w:rsid w:val="00850152"/>
    <w:rsid w:val="00852BCE"/>
    <w:rsid w:val="00854BEB"/>
    <w:rsid w:val="008567E3"/>
    <w:rsid w:val="0086482D"/>
    <w:rsid w:val="00870507"/>
    <w:rsid w:val="008713F2"/>
    <w:rsid w:val="008716EA"/>
    <w:rsid w:val="00871D29"/>
    <w:rsid w:val="00873F1F"/>
    <w:rsid w:val="00875366"/>
    <w:rsid w:val="008800FB"/>
    <w:rsid w:val="00881747"/>
    <w:rsid w:val="008820BA"/>
    <w:rsid w:val="00882CF4"/>
    <w:rsid w:val="008857B4"/>
    <w:rsid w:val="0088672B"/>
    <w:rsid w:val="00887CA2"/>
    <w:rsid w:val="00891577"/>
    <w:rsid w:val="008A3625"/>
    <w:rsid w:val="008A44E5"/>
    <w:rsid w:val="008A4C8B"/>
    <w:rsid w:val="008A6402"/>
    <w:rsid w:val="008B1688"/>
    <w:rsid w:val="008B2324"/>
    <w:rsid w:val="008B455C"/>
    <w:rsid w:val="008C4757"/>
    <w:rsid w:val="008C6844"/>
    <w:rsid w:val="008C6F74"/>
    <w:rsid w:val="008C7EBC"/>
    <w:rsid w:val="008D0766"/>
    <w:rsid w:val="008D0AA1"/>
    <w:rsid w:val="008D0EC5"/>
    <w:rsid w:val="008D3F39"/>
    <w:rsid w:val="008D5727"/>
    <w:rsid w:val="008D6454"/>
    <w:rsid w:val="008D7727"/>
    <w:rsid w:val="008D7D87"/>
    <w:rsid w:val="008E0FAE"/>
    <w:rsid w:val="008E1B52"/>
    <w:rsid w:val="008E2284"/>
    <w:rsid w:val="008E23CC"/>
    <w:rsid w:val="008E55C8"/>
    <w:rsid w:val="008E55F8"/>
    <w:rsid w:val="008E5D81"/>
    <w:rsid w:val="008E7C65"/>
    <w:rsid w:val="008E7DB7"/>
    <w:rsid w:val="008F0311"/>
    <w:rsid w:val="008F3043"/>
    <w:rsid w:val="008F3849"/>
    <w:rsid w:val="008F5A02"/>
    <w:rsid w:val="008F7C50"/>
    <w:rsid w:val="00900620"/>
    <w:rsid w:val="009021B6"/>
    <w:rsid w:val="0090316E"/>
    <w:rsid w:val="009031CB"/>
    <w:rsid w:val="00904161"/>
    <w:rsid w:val="00906678"/>
    <w:rsid w:val="00906A2B"/>
    <w:rsid w:val="009111CA"/>
    <w:rsid w:val="00911B85"/>
    <w:rsid w:val="00913D73"/>
    <w:rsid w:val="00915CFB"/>
    <w:rsid w:val="0091729D"/>
    <w:rsid w:val="00921918"/>
    <w:rsid w:val="00924574"/>
    <w:rsid w:val="00925B81"/>
    <w:rsid w:val="00926E6F"/>
    <w:rsid w:val="00927081"/>
    <w:rsid w:val="0093008D"/>
    <w:rsid w:val="00933636"/>
    <w:rsid w:val="00936E09"/>
    <w:rsid w:val="00937845"/>
    <w:rsid w:val="0094336A"/>
    <w:rsid w:val="0094484B"/>
    <w:rsid w:val="00952CD1"/>
    <w:rsid w:val="00956F87"/>
    <w:rsid w:val="00957BB7"/>
    <w:rsid w:val="0096032D"/>
    <w:rsid w:val="00962D3C"/>
    <w:rsid w:val="00964A52"/>
    <w:rsid w:val="00964C52"/>
    <w:rsid w:val="0097000A"/>
    <w:rsid w:val="009708DD"/>
    <w:rsid w:val="00970B22"/>
    <w:rsid w:val="00974F5E"/>
    <w:rsid w:val="0098004C"/>
    <w:rsid w:val="0098555E"/>
    <w:rsid w:val="00986A52"/>
    <w:rsid w:val="00994A6F"/>
    <w:rsid w:val="00996A81"/>
    <w:rsid w:val="009976DE"/>
    <w:rsid w:val="009A19AA"/>
    <w:rsid w:val="009A1C7E"/>
    <w:rsid w:val="009A1E6F"/>
    <w:rsid w:val="009A28A6"/>
    <w:rsid w:val="009A5CEC"/>
    <w:rsid w:val="009A7B27"/>
    <w:rsid w:val="009B05C3"/>
    <w:rsid w:val="009B3D1E"/>
    <w:rsid w:val="009B3FA5"/>
    <w:rsid w:val="009B6DDC"/>
    <w:rsid w:val="009C1017"/>
    <w:rsid w:val="009C4718"/>
    <w:rsid w:val="009C5B10"/>
    <w:rsid w:val="009C6144"/>
    <w:rsid w:val="009D0FDA"/>
    <w:rsid w:val="009D1E0D"/>
    <w:rsid w:val="009D268A"/>
    <w:rsid w:val="009D6923"/>
    <w:rsid w:val="009D6B5A"/>
    <w:rsid w:val="009D6E97"/>
    <w:rsid w:val="009D79B8"/>
    <w:rsid w:val="009E04C6"/>
    <w:rsid w:val="009E050C"/>
    <w:rsid w:val="009E0712"/>
    <w:rsid w:val="009E0E2A"/>
    <w:rsid w:val="009E2048"/>
    <w:rsid w:val="009E634B"/>
    <w:rsid w:val="009E7A75"/>
    <w:rsid w:val="009E7BCF"/>
    <w:rsid w:val="009F20DF"/>
    <w:rsid w:val="009F4149"/>
    <w:rsid w:val="009F641B"/>
    <w:rsid w:val="009F70AF"/>
    <w:rsid w:val="00A01DD1"/>
    <w:rsid w:val="00A0335C"/>
    <w:rsid w:val="00A03BF4"/>
    <w:rsid w:val="00A10CAF"/>
    <w:rsid w:val="00A116EF"/>
    <w:rsid w:val="00A127DB"/>
    <w:rsid w:val="00A15114"/>
    <w:rsid w:val="00A15F80"/>
    <w:rsid w:val="00A1667E"/>
    <w:rsid w:val="00A166AE"/>
    <w:rsid w:val="00A32517"/>
    <w:rsid w:val="00A41806"/>
    <w:rsid w:val="00A44A8E"/>
    <w:rsid w:val="00A47043"/>
    <w:rsid w:val="00A50F92"/>
    <w:rsid w:val="00A51691"/>
    <w:rsid w:val="00A544EF"/>
    <w:rsid w:val="00A57DC2"/>
    <w:rsid w:val="00A60391"/>
    <w:rsid w:val="00A62367"/>
    <w:rsid w:val="00A635F6"/>
    <w:rsid w:val="00A6410C"/>
    <w:rsid w:val="00A66292"/>
    <w:rsid w:val="00A72AC5"/>
    <w:rsid w:val="00A7301D"/>
    <w:rsid w:val="00A74CC1"/>
    <w:rsid w:val="00A75515"/>
    <w:rsid w:val="00A76FEF"/>
    <w:rsid w:val="00A80183"/>
    <w:rsid w:val="00A833C3"/>
    <w:rsid w:val="00A839D3"/>
    <w:rsid w:val="00A84182"/>
    <w:rsid w:val="00A842E4"/>
    <w:rsid w:val="00A84BF3"/>
    <w:rsid w:val="00A84F33"/>
    <w:rsid w:val="00A87773"/>
    <w:rsid w:val="00A92856"/>
    <w:rsid w:val="00A953D8"/>
    <w:rsid w:val="00A96B67"/>
    <w:rsid w:val="00AA22E3"/>
    <w:rsid w:val="00AB0CDD"/>
    <w:rsid w:val="00AB511A"/>
    <w:rsid w:val="00AB5B1A"/>
    <w:rsid w:val="00AB6BA5"/>
    <w:rsid w:val="00AB7947"/>
    <w:rsid w:val="00AB7A68"/>
    <w:rsid w:val="00AC19DD"/>
    <w:rsid w:val="00AC3196"/>
    <w:rsid w:val="00AC3F74"/>
    <w:rsid w:val="00AC500A"/>
    <w:rsid w:val="00AD094B"/>
    <w:rsid w:val="00AD13F2"/>
    <w:rsid w:val="00AD629D"/>
    <w:rsid w:val="00AE3C5B"/>
    <w:rsid w:val="00AF0A2E"/>
    <w:rsid w:val="00AF0E62"/>
    <w:rsid w:val="00AF1A18"/>
    <w:rsid w:val="00AF2857"/>
    <w:rsid w:val="00AF35DF"/>
    <w:rsid w:val="00AF363E"/>
    <w:rsid w:val="00AF4CED"/>
    <w:rsid w:val="00AF60AB"/>
    <w:rsid w:val="00AF6E34"/>
    <w:rsid w:val="00B0081D"/>
    <w:rsid w:val="00B0222E"/>
    <w:rsid w:val="00B02713"/>
    <w:rsid w:val="00B04E1A"/>
    <w:rsid w:val="00B0615A"/>
    <w:rsid w:val="00B14C47"/>
    <w:rsid w:val="00B20C90"/>
    <w:rsid w:val="00B278A9"/>
    <w:rsid w:val="00B316D9"/>
    <w:rsid w:val="00B348ED"/>
    <w:rsid w:val="00B35BE2"/>
    <w:rsid w:val="00B40FBC"/>
    <w:rsid w:val="00B41308"/>
    <w:rsid w:val="00B4157C"/>
    <w:rsid w:val="00B41FC4"/>
    <w:rsid w:val="00B45D48"/>
    <w:rsid w:val="00B473EB"/>
    <w:rsid w:val="00B47E6D"/>
    <w:rsid w:val="00B50B7A"/>
    <w:rsid w:val="00B53762"/>
    <w:rsid w:val="00B55A94"/>
    <w:rsid w:val="00B57EED"/>
    <w:rsid w:val="00B63EF0"/>
    <w:rsid w:val="00B649E8"/>
    <w:rsid w:val="00B65B7E"/>
    <w:rsid w:val="00B65C9A"/>
    <w:rsid w:val="00B66869"/>
    <w:rsid w:val="00B716AF"/>
    <w:rsid w:val="00B71EEC"/>
    <w:rsid w:val="00B826E5"/>
    <w:rsid w:val="00B84155"/>
    <w:rsid w:val="00B859B0"/>
    <w:rsid w:val="00B85A3D"/>
    <w:rsid w:val="00B924E4"/>
    <w:rsid w:val="00B96405"/>
    <w:rsid w:val="00B969AA"/>
    <w:rsid w:val="00BA36C1"/>
    <w:rsid w:val="00BA380B"/>
    <w:rsid w:val="00BA3ADF"/>
    <w:rsid w:val="00BA44D0"/>
    <w:rsid w:val="00BA45BF"/>
    <w:rsid w:val="00BA6462"/>
    <w:rsid w:val="00BA6AC2"/>
    <w:rsid w:val="00BA71E6"/>
    <w:rsid w:val="00BA7C1A"/>
    <w:rsid w:val="00BA7E02"/>
    <w:rsid w:val="00BB0B09"/>
    <w:rsid w:val="00BB2F41"/>
    <w:rsid w:val="00BB561F"/>
    <w:rsid w:val="00BB5802"/>
    <w:rsid w:val="00BC2631"/>
    <w:rsid w:val="00BC2B74"/>
    <w:rsid w:val="00BC3C58"/>
    <w:rsid w:val="00BC4C75"/>
    <w:rsid w:val="00BC5083"/>
    <w:rsid w:val="00BC72A2"/>
    <w:rsid w:val="00BD105F"/>
    <w:rsid w:val="00BD2051"/>
    <w:rsid w:val="00BD4812"/>
    <w:rsid w:val="00BD605C"/>
    <w:rsid w:val="00BD709D"/>
    <w:rsid w:val="00BD7586"/>
    <w:rsid w:val="00BD79D3"/>
    <w:rsid w:val="00BE05DA"/>
    <w:rsid w:val="00BE29D1"/>
    <w:rsid w:val="00BE61FE"/>
    <w:rsid w:val="00BF6389"/>
    <w:rsid w:val="00BF70A3"/>
    <w:rsid w:val="00C00672"/>
    <w:rsid w:val="00C01BBC"/>
    <w:rsid w:val="00C02D08"/>
    <w:rsid w:val="00C030A7"/>
    <w:rsid w:val="00C04354"/>
    <w:rsid w:val="00C0545A"/>
    <w:rsid w:val="00C062A1"/>
    <w:rsid w:val="00C07CC3"/>
    <w:rsid w:val="00C12339"/>
    <w:rsid w:val="00C13FA0"/>
    <w:rsid w:val="00C14263"/>
    <w:rsid w:val="00C14823"/>
    <w:rsid w:val="00C14BED"/>
    <w:rsid w:val="00C16E1C"/>
    <w:rsid w:val="00C20FFD"/>
    <w:rsid w:val="00C23295"/>
    <w:rsid w:val="00C25828"/>
    <w:rsid w:val="00C26784"/>
    <w:rsid w:val="00C27DFA"/>
    <w:rsid w:val="00C27FBB"/>
    <w:rsid w:val="00C3127F"/>
    <w:rsid w:val="00C31993"/>
    <w:rsid w:val="00C3233F"/>
    <w:rsid w:val="00C32EC5"/>
    <w:rsid w:val="00C3490E"/>
    <w:rsid w:val="00C3674F"/>
    <w:rsid w:val="00C376E5"/>
    <w:rsid w:val="00C4446D"/>
    <w:rsid w:val="00C45ABE"/>
    <w:rsid w:val="00C45BB7"/>
    <w:rsid w:val="00C50BF4"/>
    <w:rsid w:val="00C50D6F"/>
    <w:rsid w:val="00C51D23"/>
    <w:rsid w:val="00C543DE"/>
    <w:rsid w:val="00C57DE7"/>
    <w:rsid w:val="00C61460"/>
    <w:rsid w:val="00C6667C"/>
    <w:rsid w:val="00C70CEB"/>
    <w:rsid w:val="00C70DF8"/>
    <w:rsid w:val="00C71150"/>
    <w:rsid w:val="00C87660"/>
    <w:rsid w:val="00C9012B"/>
    <w:rsid w:val="00C9184B"/>
    <w:rsid w:val="00C9256F"/>
    <w:rsid w:val="00C92996"/>
    <w:rsid w:val="00C976B7"/>
    <w:rsid w:val="00CA0349"/>
    <w:rsid w:val="00CB14ED"/>
    <w:rsid w:val="00CB48F1"/>
    <w:rsid w:val="00CB6E51"/>
    <w:rsid w:val="00CB7969"/>
    <w:rsid w:val="00CC1523"/>
    <w:rsid w:val="00CC1885"/>
    <w:rsid w:val="00CC4649"/>
    <w:rsid w:val="00CC6C79"/>
    <w:rsid w:val="00CD034A"/>
    <w:rsid w:val="00CD0DDC"/>
    <w:rsid w:val="00CD10F0"/>
    <w:rsid w:val="00CD3C44"/>
    <w:rsid w:val="00CE05C2"/>
    <w:rsid w:val="00CE34C4"/>
    <w:rsid w:val="00CE53C3"/>
    <w:rsid w:val="00CE70BC"/>
    <w:rsid w:val="00CF12F6"/>
    <w:rsid w:val="00CF470C"/>
    <w:rsid w:val="00CF646E"/>
    <w:rsid w:val="00CF69DC"/>
    <w:rsid w:val="00CF70C2"/>
    <w:rsid w:val="00D00CB0"/>
    <w:rsid w:val="00D07708"/>
    <w:rsid w:val="00D116B1"/>
    <w:rsid w:val="00D116CA"/>
    <w:rsid w:val="00D12910"/>
    <w:rsid w:val="00D2103A"/>
    <w:rsid w:val="00D219EA"/>
    <w:rsid w:val="00D22848"/>
    <w:rsid w:val="00D243CE"/>
    <w:rsid w:val="00D24E58"/>
    <w:rsid w:val="00D26493"/>
    <w:rsid w:val="00D32E4B"/>
    <w:rsid w:val="00D35428"/>
    <w:rsid w:val="00D40ABB"/>
    <w:rsid w:val="00D4420B"/>
    <w:rsid w:val="00D47348"/>
    <w:rsid w:val="00D507FD"/>
    <w:rsid w:val="00D56880"/>
    <w:rsid w:val="00D56F15"/>
    <w:rsid w:val="00D60BCA"/>
    <w:rsid w:val="00D60DB1"/>
    <w:rsid w:val="00D6176B"/>
    <w:rsid w:val="00D650CB"/>
    <w:rsid w:val="00D70A80"/>
    <w:rsid w:val="00D72EBF"/>
    <w:rsid w:val="00D75CE4"/>
    <w:rsid w:val="00D8004C"/>
    <w:rsid w:val="00D80EFD"/>
    <w:rsid w:val="00D810AB"/>
    <w:rsid w:val="00D81682"/>
    <w:rsid w:val="00D81F9F"/>
    <w:rsid w:val="00D834E4"/>
    <w:rsid w:val="00D84612"/>
    <w:rsid w:val="00D85267"/>
    <w:rsid w:val="00D864B3"/>
    <w:rsid w:val="00D86E0D"/>
    <w:rsid w:val="00D872B9"/>
    <w:rsid w:val="00D917CC"/>
    <w:rsid w:val="00D9225B"/>
    <w:rsid w:val="00D952B9"/>
    <w:rsid w:val="00D96AAA"/>
    <w:rsid w:val="00DA1855"/>
    <w:rsid w:val="00DB160D"/>
    <w:rsid w:val="00DB202A"/>
    <w:rsid w:val="00DB6021"/>
    <w:rsid w:val="00DB6D20"/>
    <w:rsid w:val="00DB773E"/>
    <w:rsid w:val="00DB79AB"/>
    <w:rsid w:val="00DC20F9"/>
    <w:rsid w:val="00DC65E6"/>
    <w:rsid w:val="00DD3BA8"/>
    <w:rsid w:val="00DD659F"/>
    <w:rsid w:val="00DE1641"/>
    <w:rsid w:val="00DE1D4B"/>
    <w:rsid w:val="00DE3D63"/>
    <w:rsid w:val="00DE446E"/>
    <w:rsid w:val="00DE6375"/>
    <w:rsid w:val="00DE676F"/>
    <w:rsid w:val="00DE68C0"/>
    <w:rsid w:val="00DE6907"/>
    <w:rsid w:val="00DF1B59"/>
    <w:rsid w:val="00DF50E4"/>
    <w:rsid w:val="00E01A54"/>
    <w:rsid w:val="00E02292"/>
    <w:rsid w:val="00E03C09"/>
    <w:rsid w:val="00E03E81"/>
    <w:rsid w:val="00E057B3"/>
    <w:rsid w:val="00E06582"/>
    <w:rsid w:val="00E06BBF"/>
    <w:rsid w:val="00E13B82"/>
    <w:rsid w:val="00E15D36"/>
    <w:rsid w:val="00E15E87"/>
    <w:rsid w:val="00E1665C"/>
    <w:rsid w:val="00E1759D"/>
    <w:rsid w:val="00E276F5"/>
    <w:rsid w:val="00E33936"/>
    <w:rsid w:val="00E34443"/>
    <w:rsid w:val="00E35059"/>
    <w:rsid w:val="00E353FC"/>
    <w:rsid w:val="00E3655E"/>
    <w:rsid w:val="00E368A1"/>
    <w:rsid w:val="00E372DE"/>
    <w:rsid w:val="00E41EC6"/>
    <w:rsid w:val="00E44DE2"/>
    <w:rsid w:val="00E47CBF"/>
    <w:rsid w:val="00E50EBB"/>
    <w:rsid w:val="00E50ED3"/>
    <w:rsid w:val="00E51020"/>
    <w:rsid w:val="00E5615D"/>
    <w:rsid w:val="00E63B03"/>
    <w:rsid w:val="00E64381"/>
    <w:rsid w:val="00E65189"/>
    <w:rsid w:val="00E657AA"/>
    <w:rsid w:val="00E760AB"/>
    <w:rsid w:val="00E820CB"/>
    <w:rsid w:val="00E87814"/>
    <w:rsid w:val="00E928D9"/>
    <w:rsid w:val="00E93DD9"/>
    <w:rsid w:val="00E94014"/>
    <w:rsid w:val="00E94064"/>
    <w:rsid w:val="00E94BBB"/>
    <w:rsid w:val="00E95C98"/>
    <w:rsid w:val="00EA0AC8"/>
    <w:rsid w:val="00EA1A60"/>
    <w:rsid w:val="00EA5EF5"/>
    <w:rsid w:val="00EA72C7"/>
    <w:rsid w:val="00EB069D"/>
    <w:rsid w:val="00EB2B65"/>
    <w:rsid w:val="00EB39F9"/>
    <w:rsid w:val="00EB55B9"/>
    <w:rsid w:val="00EB5C55"/>
    <w:rsid w:val="00EB6230"/>
    <w:rsid w:val="00EB6AD2"/>
    <w:rsid w:val="00EB708C"/>
    <w:rsid w:val="00EC4EDD"/>
    <w:rsid w:val="00EC6FBC"/>
    <w:rsid w:val="00EC715C"/>
    <w:rsid w:val="00ED112A"/>
    <w:rsid w:val="00ED1666"/>
    <w:rsid w:val="00ED2331"/>
    <w:rsid w:val="00ED2729"/>
    <w:rsid w:val="00ED2FA7"/>
    <w:rsid w:val="00ED39D0"/>
    <w:rsid w:val="00ED489A"/>
    <w:rsid w:val="00ED55C1"/>
    <w:rsid w:val="00ED5D80"/>
    <w:rsid w:val="00ED70B7"/>
    <w:rsid w:val="00ED744D"/>
    <w:rsid w:val="00ED7C85"/>
    <w:rsid w:val="00EE155D"/>
    <w:rsid w:val="00EE2041"/>
    <w:rsid w:val="00EE2FDF"/>
    <w:rsid w:val="00EE3495"/>
    <w:rsid w:val="00EE3C98"/>
    <w:rsid w:val="00EF2FEB"/>
    <w:rsid w:val="00EF6AF3"/>
    <w:rsid w:val="00F02ECD"/>
    <w:rsid w:val="00F05F27"/>
    <w:rsid w:val="00F0677E"/>
    <w:rsid w:val="00F06E65"/>
    <w:rsid w:val="00F1010C"/>
    <w:rsid w:val="00F11769"/>
    <w:rsid w:val="00F12C54"/>
    <w:rsid w:val="00F13ACF"/>
    <w:rsid w:val="00F1475F"/>
    <w:rsid w:val="00F17A16"/>
    <w:rsid w:val="00F22575"/>
    <w:rsid w:val="00F2394B"/>
    <w:rsid w:val="00F2399F"/>
    <w:rsid w:val="00F23F9F"/>
    <w:rsid w:val="00F24CF7"/>
    <w:rsid w:val="00F30B9A"/>
    <w:rsid w:val="00F31373"/>
    <w:rsid w:val="00F31D02"/>
    <w:rsid w:val="00F33688"/>
    <w:rsid w:val="00F34FA5"/>
    <w:rsid w:val="00F365CD"/>
    <w:rsid w:val="00F37247"/>
    <w:rsid w:val="00F37B75"/>
    <w:rsid w:val="00F40FA5"/>
    <w:rsid w:val="00F41C6F"/>
    <w:rsid w:val="00F42086"/>
    <w:rsid w:val="00F426B2"/>
    <w:rsid w:val="00F474B8"/>
    <w:rsid w:val="00F47823"/>
    <w:rsid w:val="00F50796"/>
    <w:rsid w:val="00F5123E"/>
    <w:rsid w:val="00F52282"/>
    <w:rsid w:val="00F534B8"/>
    <w:rsid w:val="00F548A3"/>
    <w:rsid w:val="00F568DC"/>
    <w:rsid w:val="00F56FF6"/>
    <w:rsid w:val="00F601ED"/>
    <w:rsid w:val="00F64520"/>
    <w:rsid w:val="00F658D0"/>
    <w:rsid w:val="00F65B70"/>
    <w:rsid w:val="00F70960"/>
    <w:rsid w:val="00F71C54"/>
    <w:rsid w:val="00F77825"/>
    <w:rsid w:val="00F83C47"/>
    <w:rsid w:val="00F86B76"/>
    <w:rsid w:val="00F90C38"/>
    <w:rsid w:val="00F96645"/>
    <w:rsid w:val="00F96C95"/>
    <w:rsid w:val="00F9756E"/>
    <w:rsid w:val="00F97FAC"/>
    <w:rsid w:val="00FA0E4F"/>
    <w:rsid w:val="00FA3003"/>
    <w:rsid w:val="00FA3670"/>
    <w:rsid w:val="00FA5AC1"/>
    <w:rsid w:val="00FA5D3F"/>
    <w:rsid w:val="00FA6AA8"/>
    <w:rsid w:val="00FA7722"/>
    <w:rsid w:val="00FB18C6"/>
    <w:rsid w:val="00FB241F"/>
    <w:rsid w:val="00FB2572"/>
    <w:rsid w:val="00FB58F4"/>
    <w:rsid w:val="00FB77E3"/>
    <w:rsid w:val="00FC090F"/>
    <w:rsid w:val="00FC0ED0"/>
    <w:rsid w:val="00FC19F1"/>
    <w:rsid w:val="00FC2822"/>
    <w:rsid w:val="00FD1918"/>
    <w:rsid w:val="00FD2B8B"/>
    <w:rsid w:val="00FD5063"/>
    <w:rsid w:val="00FD5C96"/>
    <w:rsid w:val="00FD6311"/>
    <w:rsid w:val="00FD7A2B"/>
    <w:rsid w:val="00FE0E42"/>
    <w:rsid w:val="00FE1C2E"/>
    <w:rsid w:val="00FE26A9"/>
    <w:rsid w:val="00FE2E29"/>
    <w:rsid w:val="00FE78AC"/>
    <w:rsid w:val="00FE7A97"/>
    <w:rsid w:val="00FF26BD"/>
    <w:rsid w:val="016F5316"/>
    <w:rsid w:val="018922F5"/>
    <w:rsid w:val="020E4D8C"/>
    <w:rsid w:val="025D6B69"/>
    <w:rsid w:val="027D291F"/>
    <w:rsid w:val="02804AB9"/>
    <w:rsid w:val="02E33D6A"/>
    <w:rsid w:val="034B677E"/>
    <w:rsid w:val="0363090B"/>
    <w:rsid w:val="03DD77FD"/>
    <w:rsid w:val="03E30972"/>
    <w:rsid w:val="0439315C"/>
    <w:rsid w:val="04887CA4"/>
    <w:rsid w:val="048A7B99"/>
    <w:rsid w:val="04C240F3"/>
    <w:rsid w:val="04F03A39"/>
    <w:rsid w:val="04FB5E7E"/>
    <w:rsid w:val="051C2E63"/>
    <w:rsid w:val="05217C78"/>
    <w:rsid w:val="05260DC6"/>
    <w:rsid w:val="05683D4F"/>
    <w:rsid w:val="0589009F"/>
    <w:rsid w:val="05B83D75"/>
    <w:rsid w:val="05FB78FB"/>
    <w:rsid w:val="06481728"/>
    <w:rsid w:val="06986394"/>
    <w:rsid w:val="071E7E5F"/>
    <w:rsid w:val="075E151F"/>
    <w:rsid w:val="076C31A9"/>
    <w:rsid w:val="07D511EB"/>
    <w:rsid w:val="08385717"/>
    <w:rsid w:val="084A2786"/>
    <w:rsid w:val="086B591E"/>
    <w:rsid w:val="08985D94"/>
    <w:rsid w:val="099A0C40"/>
    <w:rsid w:val="09BE14AA"/>
    <w:rsid w:val="09BF08FD"/>
    <w:rsid w:val="0A03621B"/>
    <w:rsid w:val="0A1A11B2"/>
    <w:rsid w:val="0A2C3C5A"/>
    <w:rsid w:val="0A375840"/>
    <w:rsid w:val="0A3F2F8A"/>
    <w:rsid w:val="0A4C6688"/>
    <w:rsid w:val="0A727584"/>
    <w:rsid w:val="0AFF5503"/>
    <w:rsid w:val="0B8B0731"/>
    <w:rsid w:val="0B9B354F"/>
    <w:rsid w:val="0C6C4805"/>
    <w:rsid w:val="0C8700BA"/>
    <w:rsid w:val="0CC55DE0"/>
    <w:rsid w:val="0CED3DB4"/>
    <w:rsid w:val="0D790CED"/>
    <w:rsid w:val="0D990234"/>
    <w:rsid w:val="0DDD62EF"/>
    <w:rsid w:val="0DF75A37"/>
    <w:rsid w:val="0E174519"/>
    <w:rsid w:val="0E446E99"/>
    <w:rsid w:val="0E876EE8"/>
    <w:rsid w:val="0EA230FA"/>
    <w:rsid w:val="0F404A74"/>
    <w:rsid w:val="1000222F"/>
    <w:rsid w:val="1033464A"/>
    <w:rsid w:val="10624D6F"/>
    <w:rsid w:val="10643557"/>
    <w:rsid w:val="10756DFF"/>
    <w:rsid w:val="10B714B1"/>
    <w:rsid w:val="11755507"/>
    <w:rsid w:val="119107BF"/>
    <w:rsid w:val="12857401"/>
    <w:rsid w:val="12915E63"/>
    <w:rsid w:val="12D31F1B"/>
    <w:rsid w:val="12F67291"/>
    <w:rsid w:val="1324249F"/>
    <w:rsid w:val="139371AA"/>
    <w:rsid w:val="13DE4AAC"/>
    <w:rsid w:val="13F80D81"/>
    <w:rsid w:val="14382E21"/>
    <w:rsid w:val="14491EAA"/>
    <w:rsid w:val="144D0926"/>
    <w:rsid w:val="145337B9"/>
    <w:rsid w:val="145C0E72"/>
    <w:rsid w:val="148D7923"/>
    <w:rsid w:val="14A76EE7"/>
    <w:rsid w:val="14AF3C2A"/>
    <w:rsid w:val="14EA11E5"/>
    <w:rsid w:val="151F274C"/>
    <w:rsid w:val="154F37A0"/>
    <w:rsid w:val="155F5169"/>
    <w:rsid w:val="15821932"/>
    <w:rsid w:val="15A05365"/>
    <w:rsid w:val="15E001B4"/>
    <w:rsid w:val="15EB5D8F"/>
    <w:rsid w:val="160042EE"/>
    <w:rsid w:val="163E4541"/>
    <w:rsid w:val="16744BF9"/>
    <w:rsid w:val="169A5C22"/>
    <w:rsid w:val="16AA2096"/>
    <w:rsid w:val="16C0173A"/>
    <w:rsid w:val="171437B3"/>
    <w:rsid w:val="17695033"/>
    <w:rsid w:val="179E0521"/>
    <w:rsid w:val="17D81695"/>
    <w:rsid w:val="183C5F84"/>
    <w:rsid w:val="191D554A"/>
    <w:rsid w:val="192B521C"/>
    <w:rsid w:val="19911359"/>
    <w:rsid w:val="19B006DC"/>
    <w:rsid w:val="1A2962A4"/>
    <w:rsid w:val="1A5F4134"/>
    <w:rsid w:val="1B1B5860"/>
    <w:rsid w:val="1BCB66AF"/>
    <w:rsid w:val="1C0E2E86"/>
    <w:rsid w:val="1C460205"/>
    <w:rsid w:val="1C600A8E"/>
    <w:rsid w:val="1CB50F47"/>
    <w:rsid w:val="1D334355"/>
    <w:rsid w:val="1D6A1A4B"/>
    <w:rsid w:val="1DBD7D12"/>
    <w:rsid w:val="1F1B2403"/>
    <w:rsid w:val="1F8B2AE2"/>
    <w:rsid w:val="1FC81641"/>
    <w:rsid w:val="200A7BA7"/>
    <w:rsid w:val="20A24F68"/>
    <w:rsid w:val="20BD6F1F"/>
    <w:rsid w:val="2102782B"/>
    <w:rsid w:val="225A582B"/>
    <w:rsid w:val="22653EA8"/>
    <w:rsid w:val="22ED7A57"/>
    <w:rsid w:val="230A3AB3"/>
    <w:rsid w:val="232D0366"/>
    <w:rsid w:val="23800707"/>
    <w:rsid w:val="238B615E"/>
    <w:rsid w:val="23DF189A"/>
    <w:rsid w:val="24247062"/>
    <w:rsid w:val="24352B51"/>
    <w:rsid w:val="24B35117"/>
    <w:rsid w:val="251A4265"/>
    <w:rsid w:val="25551BC9"/>
    <w:rsid w:val="25A753A0"/>
    <w:rsid w:val="26006A63"/>
    <w:rsid w:val="261A3D91"/>
    <w:rsid w:val="26355903"/>
    <w:rsid w:val="2701304A"/>
    <w:rsid w:val="27164029"/>
    <w:rsid w:val="277B2E5F"/>
    <w:rsid w:val="287337DF"/>
    <w:rsid w:val="28C27E23"/>
    <w:rsid w:val="29CD3A17"/>
    <w:rsid w:val="2A172B32"/>
    <w:rsid w:val="2A314286"/>
    <w:rsid w:val="2B82719F"/>
    <w:rsid w:val="2B947784"/>
    <w:rsid w:val="2BE40462"/>
    <w:rsid w:val="2C4B0E17"/>
    <w:rsid w:val="2C6216FE"/>
    <w:rsid w:val="2C7C7052"/>
    <w:rsid w:val="2C8C38EB"/>
    <w:rsid w:val="2C8D3C9B"/>
    <w:rsid w:val="2CC15DA0"/>
    <w:rsid w:val="2D064D26"/>
    <w:rsid w:val="2D230614"/>
    <w:rsid w:val="2D9476DD"/>
    <w:rsid w:val="2E716650"/>
    <w:rsid w:val="2EE12240"/>
    <w:rsid w:val="2F3E7D67"/>
    <w:rsid w:val="2F4A42DC"/>
    <w:rsid w:val="2F974B8C"/>
    <w:rsid w:val="2FC566EE"/>
    <w:rsid w:val="300D12B1"/>
    <w:rsid w:val="30780CD5"/>
    <w:rsid w:val="30C3550D"/>
    <w:rsid w:val="30CB67D5"/>
    <w:rsid w:val="30D23867"/>
    <w:rsid w:val="315A2682"/>
    <w:rsid w:val="3176139D"/>
    <w:rsid w:val="31F72633"/>
    <w:rsid w:val="32003A98"/>
    <w:rsid w:val="321A0B24"/>
    <w:rsid w:val="321A1E35"/>
    <w:rsid w:val="32B178BA"/>
    <w:rsid w:val="32CB34AF"/>
    <w:rsid w:val="332B4DEC"/>
    <w:rsid w:val="333D5440"/>
    <w:rsid w:val="33506EB5"/>
    <w:rsid w:val="335B081E"/>
    <w:rsid w:val="33C302F3"/>
    <w:rsid w:val="33F252B9"/>
    <w:rsid w:val="341C2AB1"/>
    <w:rsid w:val="342A2472"/>
    <w:rsid w:val="3431703C"/>
    <w:rsid w:val="34640A9B"/>
    <w:rsid w:val="34684AA4"/>
    <w:rsid w:val="346C1696"/>
    <w:rsid w:val="34FE4B94"/>
    <w:rsid w:val="35B47030"/>
    <w:rsid w:val="36066A67"/>
    <w:rsid w:val="360A4D2E"/>
    <w:rsid w:val="363C7B4B"/>
    <w:rsid w:val="364213BB"/>
    <w:rsid w:val="36580585"/>
    <w:rsid w:val="36D4587F"/>
    <w:rsid w:val="36FE5C26"/>
    <w:rsid w:val="37922808"/>
    <w:rsid w:val="37BF1893"/>
    <w:rsid w:val="380266E8"/>
    <w:rsid w:val="383707AB"/>
    <w:rsid w:val="387C0DC3"/>
    <w:rsid w:val="396F341A"/>
    <w:rsid w:val="3995213C"/>
    <w:rsid w:val="39C42717"/>
    <w:rsid w:val="3A2D7854"/>
    <w:rsid w:val="3A363B7A"/>
    <w:rsid w:val="3A7B019D"/>
    <w:rsid w:val="3A9D7822"/>
    <w:rsid w:val="3AE54FEF"/>
    <w:rsid w:val="3B6603B6"/>
    <w:rsid w:val="3BF75C06"/>
    <w:rsid w:val="3C374EA5"/>
    <w:rsid w:val="3C757CEC"/>
    <w:rsid w:val="3CC6356F"/>
    <w:rsid w:val="3DDD53D6"/>
    <w:rsid w:val="3E113382"/>
    <w:rsid w:val="3E253455"/>
    <w:rsid w:val="3E7C2097"/>
    <w:rsid w:val="3E8872BC"/>
    <w:rsid w:val="3E8A51CB"/>
    <w:rsid w:val="3EF0573D"/>
    <w:rsid w:val="3F5F459D"/>
    <w:rsid w:val="3F685733"/>
    <w:rsid w:val="3FBD58AE"/>
    <w:rsid w:val="3FD460B0"/>
    <w:rsid w:val="3FDF04A3"/>
    <w:rsid w:val="3FE166F0"/>
    <w:rsid w:val="3FF82252"/>
    <w:rsid w:val="40281D66"/>
    <w:rsid w:val="40AB0300"/>
    <w:rsid w:val="40C667C7"/>
    <w:rsid w:val="40EF00F4"/>
    <w:rsid w:val="40F93641"/>
    <w:rsid w:val="40F94DDB"/>
    <w:rsid w:val="41034656"/>
    <w:rsid w:val="4109701C"/>
    <w:rsid w:val="410F72A0"/>
    <w:rsid w:val="41167CAB"/>
    <w:rsid w:val="41BD4926"/>
    <w:rsid w:val="41EC5438"/>
    <w:rsid w:val="424431CC"/>
    <w:rsid w:val="4291456F"/>
    <w:rsid w:val="42CB4338"/>
    <w:rsid w:val="42D55421"/>
    <w:rsid w:val="44031D63"/>
    <w:rsid w:val="44103178"/>
    <w:rsid w:val="442B32FC"/>
    <w:rsid w:val="44B4554B"/>
    <w:rsid w:val="450549A3"/>
    <w:rsid w:val="450E57D8"/>
    <w:rsid w:val="45B62075"/>
    <w:rsid w:val="45F909DD"/>
    <w:rsid w:val="46223F91"/>
    <w:rsid w:val="463E5CE2"/>
    <w:rsid w:val="46587BE6"/>
    <w:rsid w:val="469F3723"/>
    <w:rsid w:val="46D22811"/>
    <w:rsid w:val="4706214F"/>
    <w:rsid w:val="4716424F"/>
    <w:rsid w:val="476747B8"/>
    <w:rsid w:val="477875DC"/>
    <w:rsid w:val="47E86E5C"/>
    <w:rsid w:val="482477E3"/>
    <w:rsid w:val="48EA3E31"/>
    <w:rsid w:val="48F72302"/>
    <w:rsid w:val="4A3C3C84"/>
    <w:rsid w:val="4A4E5808"/>
    <w:rsid w:val="4A94020B"/>
    <w:rsid w:val="4AD14828"/>
    <w:rsid w:val="4B466E8B"/>
    <w:rsid w:val="4B672260"/>
    <w:rsid w:val="4B762AFB"/>
    <w:rsid w:val="4B95241C"/>
    <w:rsid w:val="4B9A4EA4"/>
    <w:rsid w:val="4BF170E7"/>
    <w:rsid w:val="4C302B7C"/>
    <w:rsid w:val="4C330BE0"/>
    <w:rsid w:val="4C6E4DF5"/>
    <w:rsid w:val="4C7B4571"/>
    <w:rsid w:val="4CDE5601"/>
    <w:rsid w:val="4DD92DA2"/>
    <w:rsid w:val="4DDF2372"/>
    <w:rsid w:val="4E17576B"/>
    <w:rsid w:val="4E6769B3"/>
    <w:rsid w:val="4E814A0D"/>
    <w:rsid w:val="4ED914B9"/>
    <w:rsid w:val="4EFF34CA"/>
    <w:rsid w:val="4F1A4074"/>
    <w:rsid w:val="4F5D087B"/>
    <w:rsid w:val="4F8349DF"/>
    <w:rsid w:val="4FEB5D31"/>
    <w:rsid w:val="501F0559"/>
    <w:rsid w:val="5040625F"/>
    <w:rsid w:val="50607274"/>
    <w:rsid w:val="5063165C"/>
    <w:rsid w:val="50B921C4"/>
    <w:rsid w:val="510D24D7"/>
    <w:rsid w:val="512F6EC2"/>
    <w:rsid w:val="51731DB9"/>
    <w:rsid w:val="51873458"/>
    <w:rsid w:val="519E080E"/>
    <w:rsid w:val="5247586E"/>
    <w:rsid w:val="527E38E9"/>
    <w:rsid w:val="5298788F"/>
    <w:rsid w:val="52A5042A"/>
    <w:rsid w:val="52AC5E17"/>
    <w:rsid w:val="531A11E6"/>
    <w:rsid w:val="53467BF5"/>
    <w:rsid w:val="535F1666"/>
    <w:rsid w:val="539E732B"/>
    <w:rsid w:val="53DF24DA"/>
    <w:rsid w:val="53F06A12"/>
    <w:rsid w:val="544E312D"/>
    <w:rsid w:val="547E7DFE"/>
    <w:rsid w:val="54AB4910"/>
    <w:rsid w:val="54CF6505"/>
    <w:rsid w:val="550E53C0"/>
    <w:rsid w:val="553A1028"/>
    <w:rsid w:val="55585C1F"/>
    <w:rsid w:val="55793165"/>
    <w:rsid w:val="55E07347"/>
    <w:rsid w:val="56236C2C"/>
    <w:rsid w:val="578C1D16"/>
    <w:rsid w:val="57F302B6"/>
    <w:rsid w:val="57FE1F60"/>
    <w:rsid w:val="585B22FB"/>
    <w:rsid w:val="5869573B"/>
    <w:rsid w:val="5881178A"/>
    <w:rsid w:val="58FF7D21"/>
    <w:rsid w:val="590D2A01"/>
    <w:rsid w:val="592D62D8"/>
    <w:rsid w:val="595A67FA"/>
    <w:rsid w:val="59B173F3"/>
    <w:rsid w:val="5A0213A5"/>
    <w:rsid w:val="5A3235D2"/>
    <w:rsid w:val="5AAC5742"/>
    <w:rsid w:val="5AAE0E88"/>
    <w:rsid w:val="5AE02943"/>
    <w:rsid w:val="5BEA5B5D"/>
    <w:rsid w:val="5C3556D4"/>
    <w:rsid w:val="5C514838"/>
    <w:rsid w:val="5D806784"/>
    <w:rsid w:val="5DA714B8"/>
    <w:rsid w:val="5E0A14C5"/>
    <w:rsid w:val="5E81495D"/>
    <w:rsid w:val="5EBC3230"/>
    <w:rsid w:val="5EEC2A36"/>
    <w:rsid w:val="5EEF669A"/>
    <w:rsid w:val="5F183CA2"/>
    <w:rsid w:val="5F1C1C14"/>
    <w:rsid w:val="5FE4496B"/>
    <w:rsid w:val="60E03D35"/>
    <w:rsid w:val="613668D1"/>
    <w:rsid w:val="613B1CDC"/>
    <w:rsid w:val="614A0894"/>
    <w:rsid w:val="61510CCB"/>
    <w:rsid w:val="615E6913"/>
    <w:rsid w:val="61D10224"/>
    <w:rsid w:val="61F562F2"/>
    <w:rsid w:val="61FC59D9"/>
    <w:rsid w:val="62083873"/>
    <w:rsid w:val="624F3B13"/>
    <w:rsid w:val="6271541F"/>
    <w:rsid w:val="62F4603D"/>
    <w:rsid w:val="63207732"/>
    <w:rsid w:val="63360CCB"/>
    <w:rsid w:val="63563E79"/>
    <w:rsid w:val="6382765C"/>
    <w:rsid w:val="63C00EAA"/>
    <w:rsid w:val="647B6502"/>
    <w:rsid w:val="64BD382A"/>
    <w:rsid w:val="64DE1DA5"/>
    <w:rsid w:val="653B125E"/>
    <w:rsid w:val="653E0804"/>
    <w:rsid w:val="65916149"/>
    <w:rsid w:val="65D87E14"/>
    <w:rsid w:val="667B772C"/>
    <w:rsid w:val="66CF4E1E"/>
    <w:rsid w:val="66DD7865"/>
    <w:rsid w:val="66FD096C"/>
    <w:rsid w:val="670825C3"/>
    <w:rsid w:val="67CF0672"/>
    <w:rsid w:val="68120085"/>
    <w:rsid w:val="682D4D28"/>
    <w:rsid w:val="687E630D"/>
    <w:rsid w:val="68805F8E"/>
    <w:rsid w:val="68CB527F"/>
    <w:rsid w:val="68CF7700"/>
    <w:rsid w:val="698F27E1"/>
    <w:rsid w:val="69EA27F0"/>
    <w:rsid w:val="6A0448BC"/>
    <w:rsid w:val="6A4A1230"/>
    <w:rsid w:val="6A6F43BE"/>
    <w:rsid w:val="6AD62118"/>
    <w:rsid w:val="6AF91C6B"/>
    <w:rsid w:val="6B344B78"/>
    <w:rsid w:val="6B4232C1"/>
    <w:rsid w:val="6C2B227D"/>
    <w:rsid w:val="6C3D0B63"/>
    <w:rsid w:val="6C5B1B8D"/>
    <w:rsid w:val="6C684000"/>
    <w:rsid w:val="6C7719B4"/>
    <w:rsid w:val="6C787B18"/>
    <w:rsid w:val="6C8374A9"/>
    <w:rsid w:val="6D1E2AA7"/>
    <w:rsid w:val="6D8E6711"/>
    <w:rsid w:val="6DA558FC"/>
    <w:rsid w:val="6DF928D6"/>
    <w:rsid w:val="6E643FA9"/>
    <w:rsid w:val="6ED0518A"/>
    <w:rsid w:val="6ED704EB"/>
    <w:rsid w:val="6EDF6231"/>
    <w:rsid w:val="6F4B6D48"/>
    <w:rsid w:val="6FE90FAA"/>
    <w:rsid w:val="6FE942DC"/>
    <w:rsid w:val="70261C6A"/>
    <w:rsid w:val="706D2C47"/>
    <w:rsid w:val="7073674F"/>
    <w:rsid w:val="70937AD1"/>
    <w:rsid w:val="709664C5"/>
    <w:rsid w:val="70AA2AC1"/>
    <w:rsid w:val="70B02935"/>
    <w:rsid w:val="71911677"/>
    <w:rsid w:val="71E054E5"/>
    <w:rsid w:val="723811FE"/>
    <w:rsid w:val="7275520F"/>
    <w:rsid w:val="72BA4426"/>
    <w:rsid w:val="72C609C2"/>
    <w:rsid w:val="730616F4"/>
    <w:rsid w:val="731C1B74"/>
    <w:rsid w:val="735902E1"/>
    <w:rsid w:val="73DB2E25"/>
    <w:rsid w:val="741D1EBC"/>
    <w:rsid w:val="74287837"/>
    <w:rsid w:val="746556DE"/>
    <w:rsid w:val="74EE0396"/>
    <w:rsid w:val="75022074"/>
    <w:rsid w:val="752D0F10"/>
    <w:rsid w:val="759A5402"/>
    <w:rsid w:val="75DC093A"/>
    <w:rsid w:val="767D27C0"/>
    <w:rsid w:val="767D441F"/>
    <w:rsid w:val="76A95A20"/>
    <w:rsid w:val="773226E8"/>
    <w:rsid w:val="7774151B"/>
    <w:rsid w:val="77A30875"/>
    <w:rsid w:val="7844319C"/>
    <w:rsid w:val="78B33CFB"/>
    <w:rsid w:val="78C8025E"/>
    <w:rsid w:val="79270E6C"/>
    <w:rsid w:val="792B1A5E"/>
    <w:rsid w:val="794762A8"/>
    <w:rsid w:val="79871C52"/>
    <w:rsid w:val="79886E4E"/>
    <w:rsid w:val="79F02411"/>
    <w:rsid w:val="79FD4660"/>
    <w:rsid w:val="7AD968CF"/>
    <w:rsid w:val="7B3601EA"/>
    <w:rsid w:val="7BF02C26"/>
    <w:rsid w:val="7C115304"/>
    <w:rsid w:val="7C5F4473"/>
    <w:rsid w:val="7C9B06E8"/>
    <w:rsid w:val="7D1F691E"/>
    <w:rsid w:val="7D4B0238"/>
    <w:rsid w:val="7D891547"/>
    <w:rsid w:val="7DF5163E"/>
    <w:rsid w:val="7E543DCA"/>
    <w:rsid w:val="7E6C4F49"/>
    <w:rsid w:val="7EE43328"/>
    <w:rsid w:val="7F23133A"/>
    <w:rsid w:val="7F7C755D"/>
    <w:rsid w:val="7FD1412C"/>
    <w:rsid w:val="7FEF2C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39"/>
    <w:qFormat/>
    <w:uiPriority w:val="9"/>
    <w:pPr>
      <w:keepNext/>
      <w:keepLines/>
      <w:pageBreakBefore/>
      <w:widowControl/>
      <w:spacing w:before="340" w:after="330" w:line="578" w:lineRule="atLeast"/>
      <w:outlineLvl w:val="0"/>
    </w:pPr>
    <w:rPr>
      <w:b/>
      <w:bCs/>
      <w:kern w:val="44"/>
      <w:sz w:val="44"/>
      <w:szCs w:val="44"/>
    </w:rPr>
  </w:style>
  <w:style w:type="paragraph" w:styleId="3">
    <w:name w:val="heading 2"/>
    <w:basedOn w:val="1"/>
    <w:next w:val="1"/>
    <w:link w:val="40"/>
    <w:unhideWhenUsed/>
    <w:qFormat/>
    <w:uiPriority w:val="9"/>
    <w:pPr>
      <w:keepNext/>
      <w:keepLines/>
      <w:spacing w:line="416" w:lineRule="atLeast"/>
      <w:ind w:firstLine="0" w:firstLineChars="0"/>
      <w:jc w:val="left"/>
      <w:outlineLvl w:val="1"/>
    </w:pPr>
    <w:rPr>
      <w:rFonts w:asciiTheme="majorHAnsi" w:hAnsiTheme="majorHAnsi" w:cstheme="majorBidi"/>
      <w:b/>
      <w:bCs/>
      <w:szCs w:val="32"/>
    </w:rPr>
  </w:style>
  <w:style w:type="paragraph" w:styleId="4">
    <w:name w:val="heading 3"/>
    <w:basedOn w:val="1"/>
    <w:next w:val="1"/>
    <w:link w:val="41"/>
    <w:unhideWhenUsed/>
    <w:qFormat/>
    <w:uiPriority w:val="9"/>
    <w:pPr>
      <w:keepNext/>
      <w:keepLines/>
      <w:spacing w:line="416" w:lineRule="atLeast"/>
      <w:ind w:firstLine="0" w:firstLineChars="0"/>
      <w:outlineLvl w:val="2"/>
    </w:pPr>
    <w:rPr>
      <w:b/>
      <w:bCs/>
      <w:szCs w:val="32"/>
    </w:rPr>
  </w:style>
  <w:style w:type="character" w:default="1" w:styleId="31">
    <w:name w:val="Default Paragraph Font"/>
    <w:semiHidden/>
    <w:unhideWhenUsed/>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6">
    <w:name w:val="List Number 2"/>
    <w:basedOn w:val="1"/>
    <w:semiHidden/>
    <w:unhideWhenUsed/>
    <w:uiPriority w:val="99"/>
    <w:pPr>
      <w:numPr>
        <w:ilvl w:val="0"/>
        <w:numId w:val="1"/>
      </w:numPr>
      <w:contextualSpacing/>
    </w:pPr>
  </w:style>
  <w:style w:type="paragraph" w:styleId="7">
    <w:name w:val="Normal Indent"/>
    <w:basedOn w:val="1"/>
    <w:next w:val="1"/>
    <w:link w:val="57"/>
    <w:qFormat/>
    <w:uiPriority w:val="0"/>
    <w:pPr>
      <w:spacing w:line="240" w:lineRule="auto"/>
      <w:ind w:firstLine="420"/>
    </w:pPr>
    <w:rPr>
      <w:sz w:val="21"/>
    </w:rPr>
  </w:style>
  <w:style w:type="paragraph" w:styleId="8">
    <w:name w:val="Document Map"/>
    <w:basedOn w:val="1"/>
    <w:link w:val="54"/>
    <w:unhideWhenUsed/>
    <w:qFormat/>
    <w:uiPriority w:val="99"/>
    <w:rPr>
      <w:rFonts w:ascii="宋体"/>
      <w:sz w:val="18"/>
      <w:szCs w:val="18"/>
    </w:rPr>
  </w:style>
  <w:style w:type="paragraph" w:styleId="9">
    <w:name w:val="annotation text"/>
    <w:basedOn w:val="1"/>
    <w:link w:val="59"/>
    <w:unhideWhenUsed/>
    <w:qFormat/>
    <w:uiPriority w:val="99"/>
    <w:pPr>
      <w:jc w:val="left"/>
    </w:pPr>
  </w:style>
  <w:style w:type="paragraph" w:styleId="10">
    <w:name w:val="Body Text"/>
    <w:basedOn w:val="1"/>
    <w:link w:val="62"/>
    <w:qFormat/>
    <w:uiPriority w:val="1"/>
    <w:pPr>
      <w:spacing w:after="120" w:line="240" w:lineRule="auto"/>
      <w:ind w:firstLine="0" w:firstLineChars="0"/>
    </w:pPr>
    <w:rPr>
      <w:sz w:val="21"/>
    </w:rPr>
  </w:style>
  <w:style w:type="paragraph" w:styleId="11">
    <w:name w:val="Body Text Indent"/>
    <w:basedOn w:val="1"/>
    <w:link w:val="56"/>
    <w:qFormat/>
    <w:uiPriority w:val="0"/>
    <w:pPr>
      <w:ind w:firstLine="560"/>
    </w:pPr>
  </w:style>
  <w:style w:type="paragraph" w:styleId="12">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13">
    <w:name w:val="toc 3"/>
    <w:basedOn w:val="1"/>
    <w:next w:val="1"/>
    <w:unhideWhenUsed/>
    <w:qFormat/>
    <w:uiPriority w:val="39"/>
    <w:pPr>
      <w:ind w:left="840" w:leftChars="400"/>
    </w:pPr>
  </w:style>
  <w:style w:type="paragraph" w:styleId="14">
    <w:name w:val="Plain Text"/>
    <w:basedOn w:val="1"/>
    <w:link w:val="46"/>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rPr>
  </w:style>
  <w:style w:type="paragraph" w:styleId="15">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16">
    <w:name w:val="Balloon Text"/>
    <w:basedOn w:val="1"/>
    <w:link w:val="42"/>
    <w:unhideWhenUsed/>
    <w:qFormat/>
    <w:uiPriority w:val="99"/>
    <w:pPr>
      <w:spacing w:line="240" w:lineRule="auto"/>
    </w:pPr>
    <w:rPr>
      <w:sz w:val="18"/>
      <w:szCs w:val="18"/>
    </w:rPr>
  </w:style>
  <w:style w:type="paragraph" w:styleId="17">
    <w:name w:val="footer"/>
    <w:basedOn w:val="1"/>
    <w:link w:val="53"/>
    <w:unhideWhenUsed/>
    <w:qFormat/>
    <w:uiPriority w:val="0"/>
    <w:pPr>
      <w:tabs>
        <w:tab w:val="center" w:pos="4153"/>
        <w:tab w:val="right" w:pos="8306"/>
      </w:tabs>
      <w:snapToGrid w:val="0"/>
      <w:spacing w:line="240" w:lineRule="atLeast"/>
      <w:jc w:val="left"/>
    </w:pPr>
    <w:rPr>
      <w:sz w:val="18"/>
      <w:szCs w:val="18"/>
    </w:rPr>
  </w:style>
  <w:style w:type="paragraph" w:styleId="18">
    <w:name w:val="header"/>
    <w:basedOn w:val="1"/>
    <w:link w:val="52"/>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9">
    <w:name w:val="toc 1"/>
    <w:basedOn w:val="1"/>
    <w:next w:val="1"/>
    <w:unhideWhenUsed/>
    <w:qFormat/>
    <w:uiPriority w:val="39"/>
    <w:pPr>
      <w:tabs>
        <w:tab w:val="right" w:leader="dot" w:pos="9061"/>
      </w:tabs>
      <w:ind w:firstLine="562"/>
      <w:jc w:val="center"/>
    </w:pPr>
    <w:rPr>
      <w:b/>
    </w:rPr>
  </w:style>
  <w:style w:type="paragraph" w:styleId="20">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21">
    <w:name w:val="List"/>
    <w:basedOn w:val="1"/>
    <w:semiHidden/>
    <w:unhideWhenUsed/>
    <w:qFormat/>
    <w:uiPriority w:val="99"/>
    <w:pPr>
      <w:ind w:left="200" w:hanging="200" w:hangingChars="200"/>
      <w:contextualSpacing/>
    </w:pPr>
  </w:style>
  <w:style w:type="paragraph" w:styleId="22">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25">
    <w:name w:val="Normal (Web)"/>
    <w:basedOn w:val="1"/>
    <w:qFormat/>
    <w:uiPriority w:val="99"/>
    <w:pPr>
      <w:spacing w:beforeAutospacing="1" w:afterAutospacing="1"/>
      <w:jc w:val="left"/>
    </w:pPr>
    <w:rPr>
      <w:kern w:val="0"/>
      <w:sz w:val="24"/>
    </w:rPr>
  </w:style>
  <w:style w:type="paragraph" w:styleId="26">
    <w:name w:val="annotation subject"/>
    <w:basedOn w:val="9"/>
    <w:next w:val="9"/>
    <w:link w:val="60"/>
    <w:unhideWhenUsed/>
    <w:qFormat/>
    <w:uiPriority w:val="99"/>
    <w:rPr>
      <w:b/>
      <w:bCs/>
    </w:rPr>
  </w:style>
  <w:style w:type="paragraph" w:styleId="27">
    <w:name w:val="Body Text First Indent"/>
    <w:basedOn w:val="10"/>
    <w:qFormat/>
    <w:uiPriority w:val="0"/>
    <w:pPr>
      <w:ind w:firstLine="420" w:firstLineChars="100"/>
    </w:pPr>
  </w:style>
  <w:style w:type="paragraph" w:styleId="28">
    <w:name w:val="Body Text First Indent 2"/>
    <w:basedOn w:val="11"/>
    <w:link w:val="73"/>
    <w:semiHidden/>
    <w:unhideWhenUsed/>
    <w:qFormat/>
    <w:uiPriority w:val="99"/>
    <w:pPr>
      <w:spacing w:after="120"/>
      <w:ind w:left="420" w:leftChars="200" w:firstLine="420"/>
    </w:p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qFormat/>
    <w:uiPriority w:val="0"/>
    <w:rPr>
      <w:vertAlign w:val="baseline"/>
    </w:rPr>
  </w:style>
  <w:style w:type="character" w:styleId="34">
    <w:name w:val="Emphasis"/>
    <w:basedOn w:val="31"/>
    <w:qFormat/>
    <w:uiPriority w:val="20"/>
    <w:rPr>
      <w:color w:val="F73131"/>
    </w:rPr>
  </w:style>
  <w:style w:type="character" w:styleId="35">
    <w:name w:val="Hyperlink"/>
    <w:basedOn w:val="31"/>
    <w:unhideWhenUsed/>
    <w:qFormat/>
    <w:uiPriority w:val="99"/>
    <w:rPr>
      <w:color w:val="0000FF"/>
      <w:u w:val="single"/>
    </w:rPr>
  </w:style>
  <w:style w:type="character" w:styleId="36">
    <w:name w:val="annotation reference"/>
    <w:basedOn w:val="31"/>
    <w:unhideWhenUsed/>
    <w:qFormat/>
    <w:uiPriority w:val="99"/>
    <w:rPr>
      <w:sz w:val="21"/>
      <w:szCs w:val="21"/>
    </w:rPr>
  </w:style>
  <w:style w:type="character" w:styleId="37">
    <w:name w:val="HTML Cite"/>
    <w:basedOn w:val="31"/>
    <w:semiHidden/>
    <w:unhideWhenUsed/>
    <w:qFormat/>
    <w:uiPriority w:val="99"/>
    <w:rPr>
      <w:color w:val="008000"/>
    </w:rPr>
  </w:style>
  <w:style w:type="paragraph" w:customStyle="1" w:styleId="38">
    <w:name w:val="Default"/>
    <w:next w:val="1"/>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character" w:customStyle="1" w:styleId="39">
    <w:name w:val="标题 1 字符"/>
    <w:basedOn w:val="31"/>
    <w:link w:val="2"/>
    <w:qFormat/>
    <w:uiPriority w:val="0"/>
    <w:rPr>
      <w:rFonts w:ascii="Times New Roman" w:hAnsi="Times New Roman" w:eastAsia="宋体" w:cs="Times New Roman"/>
      <w:b/>
      <w:bCs/>
      <w:kern w:val="44"/>
      <w:sz w:val="44"/>
      <w:szCs w:val="44"/>
    </w:rPr>
  </w:style>
  <w:style w:type="character" w:customStyle="1" w:styleId="40">
    <w:name w:val="标题 2 字符"/>
    <w:basedOn w:val="31"/>
    <w:link w:val="3"/>
    <w:qFormat/>
    <w:uiPriority w:val="9"/>
    <w:rPr>
      <w:rFonts w:eastAsia="宋体" w:asciiTheme="majorHAnsi" w:hAnsiTheme="majorHAnsi" w:cstheme="majorBidi"/>
      <w:b/>
      <w:bCs/>
      <w:sz w:val="28"/>
      <w:szCs w:val="32"/>
    </w:rPr>
  </w:style>
  <w:style w:type="character" w:customStyle="1" w:styleId="41">
    <w:name w:val="标题 3 字符"/>
    <w:basedOn w:val="31"/>
    <w:link w:val="4"/>
    <w:qFormat/>
    <w:uiPriority w:val="9"/>
    <w:rPr>
      <w:rFonts w:ascii="Times New Roman" w:hAnsi="Times New Roman" w:eastAsia="宋体" w:cs="Times New Roman"/>
      <w:b/>
      <w:bCs/>
      <w:sz w:val="28"/>
      <w:szCs w:val="32"/>
    </w:rPr>
  </w:style>
  <w:style w:type="character" w:customStyle="1" w:styleId="42">
    <w:name w:val="批注框文本 字符"/>
    <w:basedOn w:val="31"/>
    <w:link w:val="16"/>
    <w:semiHidden/>
    <w:qFormat/>
    <w:uiPriority w:val="99"/>
    <w:rPr>
      <w:rFonts w:ascii="Times New Roman" w:hAnsi="Times New Roman" w:eastAsia="宋体" w:cs="Times New Roman"/>
      <w:sz w:val="18"/>
      <w:szCs w:val="18"/>
    </w:rPr>
  </w:style>
  <w:style w:type="character" w:customStyle="1" w:styleId="43">
    <w:name w:val="占位符文本1"/>
    <w:basedOn w:val="31"/>
    <w:semiHidden/>
    <w:qFormat/>
    <w:uiPriority w:val="99"/>
    <w:rPr>
      <w:color w:val="808080"/>
    </w:rPr>
  </w:style>
  <w:style w:type="paragraph" w:customStyle="1" w:styleId="44">
    <w:name w:val="列出段落1"/>
    <w:basedOn w:val="1"/>
    <w:unhideWhenUsed/>
    <w:qFormat/>
    <w:uiPriority w:val="99"/>
    <w:pPr>
      <w:ind w:firstLine="420"/>
    </w:pPr>
  </w:style>
  <w:style w:type="paragraph" w:customStyle="1" w:styleId="45">
    <w:name w:val="p0"/>
    <w:basedOn w:val="1"/>
    <w:qFormat/>
    <w:uiPriority w:val="0"/>
    <w:pPr>
      <w:widowControl/>
      <w:spacing w:line="240" w:lineRule="auto"/>
      <w:ind w:firstLine="0" w:firstLineChars="0"/>
      <w:jc w:val="left"/>
    </w:pPr>
    <w:rPr>
      <w:rFonts w:ascii="宋体" w:hAnsi="宋体" w:cs="宋体"/>
      <w:kern w:val="0"/>
      <w:sz w:val="24"/>
    </w:rPr>
  </w:style>
  <w:style w:type="character" w:customStyle="1" w:styleId="46">
    <w:name w:val="纯文本 字符"/>
    <w:basedOn w:val="31"/>
    <w:link w:val="14"/>
    <w:qFormat/>
    <w:uiPriority w:val="0"/>
    <w:rPr>
      <w:rFonts w:ascii="宋体" w:hAnsi="宋体" w:eastAsia="宋体" w:cs="宋体"/>
      <w:sz w:val="24"/>
      <w:szCs w:val="24"/>
    </w:rPr>
  </w:style>
  <w:style w:type="paragraph" w:customStyle="1" w:styleId="47">
    <w:name w:val="样式 样式1 + 首行缩进:  2 字符"/>
    <w:basedOn w:val="48"/>
    <w:link w:val="49"/>
    <w:qFormat/>
    <w:uiPriority w:val="0"/>
    <w:pPr>
      <w:tabs>
        <w:tab w:val="center" w:pos="4153"/>
        <w:tab w:val="right" w:pos="8306"/>
      </w:tabs>
      <w:autoSpaceDE w:val="0"/>
      <w:autoSpaceDN w:val="0"/>
      <w:adjustRightInd w:val="0"/>
      <w:spacing w:line="360" w:lineRule="auto"/>
      <w:ind w:firstLine="560"/>
    </w:pPr>
    <w:rPr>
      <w:rFonts w:eastAsia="仿宋_GB2312" w:cs="宋体"/>
      <w:spacing w:val="-4"/>
      <w:szCs w:val="28"/>
    </w:rPr>
  </w:style>
  <w:style w:type="paragraph" w:customStyle="1" w:styleId="48">
    <w:name w:val="样式1"/>
    <w:basedOn w:val="18"/>
    <w:qFormat/>
    <w:uiPriority w:val="0"/>
    <w:rPr>
      <w:rFonts w:ascii="宋体" w:hAnsi="宋体"/>
      <w:b/>
      <w:bCs/>
    </w:rPr>
  </w:style>
  <w:style w:type="character" w:customStyle="1" w:styleId="49">
    <w:name w:val="样式 样式1 + 首行缩进:  2 字符 Char Char"/>
    <w:basedOn w:val="31"/>
    <w:link w:val="47"/>
    <w:qFormat/>
    <w:uiPriority w:val="0"/>
    <w:rPr>
      <w:rFonts w:ascii="宋体" w:hAnsi="宋体" w:eastAsia="仿宋_GB2312" w:cs="宋体"/>
      <w:b/>
      <w:bCs/>
      <w:spacing w:val="-4"/>
      <w:kern w:val="2"/>
      <w:sz w:val="28"/>
      <w:szCs w:val="28"/>
    </w:rPr>
  </w:style>
  <w:style w:type="paragraph" w:customStyle="1" w:styleId="50">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样式 段 + 首行缩进:  2 字符2"/>
    <w:basedOn w:val="1"/>
    <w:qFormat/>
    <w:uiPriority w:val="0"/>
    <w:pPr>
      <w:widowControl/>
      <w:autoSpaceDE w:val="0"/>
      <w:autoSpaceDN w:val="0"/>
      <w:spacing w:line="520" w:lineRule="exact"/>
      <w:ind w:firstLine="560"/>
    </w:pPr>
    <w:rPr>
      <w:rFonts w:eastAsia="仿宋_GB2312" w:cs="宋体"/>
      <w:kern w:val="0"/>
      <w:szCs w:val="20"/>
    </w:rPr>
  </w:style>
  <w:style w:type="character" w:customStyle="1" w:styleId="52">
    <w:name w:val="页眉 字符"/>
    <w:basedOn w:val="31"/>
    <w:link w:val="18"/>
    <w:qFormat/>
    <w:uiPriority w:val="0"/>
    <w:rPr>
      <w:rFonts w:ascii="Times New Roman" w:hAnsi="Times New Roman" w:eastAsia="宋体" w:cs="Times New Roman"/>
      <w:kern w:val="2"/>
      <w:sz w:val="18"/>
      <w:szCs w:val="18"/>
    </w:rPr>
  </w:style>
  <w:style w:type="character" w:customStyle="1" w:styleId="53">
    <w:name w:val="页脚 字符"/>
    <w:basedOn w:val="31"/>
    <w:link w:val="17"/>
    <w:qFormat/>
    <w:uiPriority w:val="0"/>
    <w:rPr>
      <w:rFonts w:ascii="Times New Roman" w:hAnsi="Times New Roman" w:eastAsia="宋体" w:cs="Times New Roman"/>
      <w:kern w:val="2"/>
      <w:sz w:val="18"/>
      <w:szCs w:val="18"/>
    </w:rPr>
  </w:style>
  <w:style w:type="character" w:customStyle="1" w:styleId="54">
    <w:name w:val="文档结构图 字符"/>
    <w:basedOn w:val="31"/>
    <w:link w:val="8"/>
    <w:semiHidden/>
    <w:qFormat/>
    <w:uiPriority w:val="99"/>
    <w:rPr>
      <w:rFonts w:ascii="宋体" w:hAnsi="Times New Roman" w:eastAsia="宋体" w:cs="Times New Roman"/>
      <w:kern w:val="2"/>
      <w:sz w:val="18"/>
      <w:szCs w:val="18"/>
    </w:rPr>
  </w:style>
  <w:style w:type="character" w:customStyle="1" w:styleId="55">
    <w:name w:val="占位符文本2"/>
    <w:basedOn w:val="31"/>
    <w:unhideWhenUsed/>
    <w:qFormat/>
    <w:uiPriority w:val="99"/>
    <w:rPr>
      <w:color w:val="808080"/>
    </w:rPr>
  </w:style>
  <w:style w:type="character" w:customStyle="1" w:styleId="56">
    <w:name w:val="正文文本缩进 字符"/>
    <w:basedOn w:val="31"/>
    <w:link w:val="11"/>
    <w:qFormat/>
    <w:uiPriority w:val="0"/>
    <w:rPr>
      <w:rFonts w:ascii="Times New Roman" w:hAnsi="Times New Roman" w:eastAsia="宋体" w:cs="Times New Roman"/>
      <w:kern w:val="2"/>
      <w:sz w:val="28"/>
      <w:szCs w:val="24"/>
    </w:rPr>
  </w:style>
  <w:style w:type="character" w:customStyle="1" w:styleId="57">
    <w:name w:val="正文缩进 字符"/>
    <w:basedOn w:val="31"/>
    <w:link w:val="7"/>
    <w:qFormat/>
    <w:uiPriority w:val="0"/>
    <w:rPr>
      <w:rFonts w:ascii="Times New Roman" w:hAnsi="Times New Roman" w:eastAsia="宋体" w:cs="Times New Roman"/>
      <w:kern w:val="2"/>
      <w:sz w:val="21"/>
      <w:szCs w:val="24"/>
    </w:rPr>
  </w:style>
  <w:style w:type="paragraph" w:customStyle="1" w:styleId="58">
    <w:name w:val="TOC 标题1"/>
    <w:basedOn w:val="2"/>
    <w:next w:val="1"/>
    <w:unhideWhenUsed/>
    <w:qFormat/>
    <w:uiPriority w:val="39"/>
    <w:pPr>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9">
    <w:name w:val="批注文字 字符"/>
    <w:basedOn w:val="31"/>
    <w:link w:val="9"/>
    <w:semiHidden/>
    <w:qFormat/>
    <w:uiPriority w:val="99"/>
    <w:rPr>
      <w:rFonts w:ascii="Times New Roman" w:hAnsi="Times New Roman" w:eastAsia="宋体" w:cs="Times New Roman"/>
      <w:kern w:val="2"/>
      <w:sz w:val="28"/>
      <w:szCs w:val="24"/>
    </w:rPr>
  </w:style>
  <w:style w:type="character" w:customStyle="1" w:styleId="60">
    <w:name w:val="批注主题 字符"/>
    <w:basedOn w:val="59"/>
    <w:link w:val="26"/>
    <w:semiHidden/>
    <w:qFormat/>
    <w:uiPriority w:val="99"/>
    <w:rPr>
      <w:rFonts w:ascii="Times New Roman" w:hAnsi="Times New Roman" w:eastAsia="宋体" w:cs="Times New Roman"/>
      <w:b/>
      <w:bCs/>
      <w:kern w:val="2"/>
      <w:sz w:val="28"/>
      <w:szCs w:val="24"/>
    </w:rPr>
  </w:style>
  <w:style w:type="paragraph" w:customStyle="1" w:styleId="61">
    <w:name w:val="Char1"/>
    <w:basedOn w:val="1"/>
    <w:qFormat/>
    <w:uiPriority w:val="0"/>
    <w:pPr>
      <w:widowControl/>
      <w:spacing w:after="160" w:line="240" w:lineRule="exact"/>
      <w:ind w:firstLine="0" w:firstLineChars="0"/>
      <w:jc w:val="left"/>
    </w:pPr>
    <w:rPr>
      <w:sz w:val="21"/>
    </w:rPr>
  </w:style>
  <w:style w:type="character" w:customStyle="1" w:styleId="62">
    <w:name w:val="正文文本 字符"/>
    <w:basedOn w:val="31"/>
    <w:link w:val="10"/>
    <w:qFormat/>
    <w:uiPriority w:val="0"/>
    <w:rPr>
      <w:rFonts w:ascii="Times New Roman" w:hAnsi="Times New Roman" w:eastAsia="宋体" w:cs="Times New Roman"/>
      <w:kern w:val="2"/>
      <w:sz w:val="21"/>
      <w:szCs w:val="24"/>
    </w:rPr>
  </w:style>
  <w:style w:type="paragraph" w:customStyle="1" w:styleId="63">
    <w:name w:val="Table Paragraph"/>
    <w:basedOn w:val="1"/>
    <w:qFormat/>
    <w:uiPriority w:val="1"/>
  </w:style>
  <w:style w:type="paragraph" w:styleId="64">
    <w:name w:val="List Paragraph"/>
    <w:basedOn w:val="1"/>
    <w:unhideWhenUsed/>
    <w:qFormat/>
    <w:uiPriority w:val="99"/>
    <w:pPr>
      <w:ind w:firstLine="420"/>
    </w:pPr>
  </w:style>
  <w:style w:type="paragraph" w:customStyle="1" w:styleId="65">
    <w:name w:val="Other|1"/>
    <w:basedOn w:val="1"/>
    <w:qFormat/>
    <w:uiPriority w:val="6"/>
    <w:pPr>
      <w:spacing w:line="336" w:lineRule="auto"/>
      <w:ind w:firstLine="400"/>
    </w:pPr>
    <w:rPr>
      <w:rFonts w:ascii="宋体" w:hAnsi="宋体" w:cs="宋体"/>
      <w:color w:val="76CCE4"/>
      <w:sz w:val="22"/>
      <w:szCs w:val="22"/>
      <w:lang w:val="zh-TW" w:eastAsia="zh-TW" w:bidi="zh-TW"/>
    </w:rPr>
  </w:style>
  <w:style w:type="paragraph" w:customStyle="1" w:styleId="66">
    <w:name w:val="表格"/>
    <w:basedOn w:val="21"/>
    <w:qFormat/>
    <w:uiPriority w:val="99"/>
    <w:pPr>
      <w:spacing w:before="50" w:beforeLines="50" w:after="50" w:afterLines="50" w:line="240" w:lineRule="auto"/>
      <w:ind w:left="0" w:firstLine="0" w:firstLineChars="0"/>
      <w:jc w:val="center"/>
    </w:pPr>
    <w:rPr>
      <w:sz w:val="24"/>
    </w:rPr>
  </w:style>
  <w:style w:type="paragraph" w:customStyle="1" w:styleId="67">
    <w:name w:val="正文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
    <w:name w:val="样式 标题 2 + 仿宋_GB2312 黑色"/>
    <w:basedOn w:val="3"/>
    <w:link w:val="69"/>
    <w:qFormat/>
    <w:uiPriority w:val="0"/>
    <w:pPr>
      <w:keepNext w:val="0"/>
      <w:keepLines w:val="0"/>
      <w:spacing w:line="600" w:lineRule="atLeast"/>
      <w:jc w:val="both"/>
    </w:pPr>
    <w:rPr>
      <w:rFonts w:ascii="仿宋_GB2312" w:hAnsi="仿宋_GB2312" w:eastAsia="仿宋_GB2312" w:cs="Times New Roman"/>
      <w:color w:val="000000"/>
      <w:sz w:val="36"/>
    </w:rPr>
  </w:style>
  <w:style w:type="character" w:customStyle="1" w:styleId="69">
    <w:name w:val="样式 标题 2 + 仿宋_GB2312 黑色 Char"/>
    <w:link w:val="68"/>
    <w:qFormat/>
    <w:uiPriority w:val="0"/>
    <w:rPr>
      <w:rFonts w:ascii="仿宋_GB2312" w:hAnsi="仿宋_GB2312" w:eastAsia="仿宋_GB2312"/>
      <w:b/>
      <w:bCs/>
      <w:color w:val="000000"/>
      <w:kern w:val="2"/>
      <w:sz w:val="36"/>
      <w:szCs w:val="32"/>
    </w:rPr>
  </w:style>
  <w:style w:type="paragraph" w:customStyle="1" w:styleId="70">
    <w:name w:val="reader-word-layer reader-word-s9-31"/>
    <w:basedOn w:val="1"/>
    <w:next w:val="1"/>
    <w:qFormat/>
    <w:uiPriority w:val="0"/>
    <w:pPr>
      <w:widowControl/>
      <w:spacing w:before="280" w:after="280" w:line="240" w:lineRule="auto"/>
      <w:ind w:firstLine="5632" w:firstLineChars="0"/>
    </w:pPr>
    <w:rPr>
      <w:sz w:val="21"/>
    </w:rPr>
  </w:style>
  <w:style w:type="paragraph" w:customStyle="1" w:styleId="71">
    <w:name w:val="标准正文"/>
    <w:basedOn w:val="1"/>
    <w:qFormat/>
    <w:uiPriority w:val="0"/>
    <w:pPr>
      <w:spacing w:line="360" w:lineRule="auto"/>
      <w:ind w:firstLine="480"/>
      <w:jc w:val="left"/>
    </w:pPr>
    <w:rPr>
      <w:rFonts w:eastAsia="仿宋_GB2312"/>
      <w:bCs/>
      <w:sz w:val="24"/>
      <w:szCs w:val="20"/>
    </w:rPr>
  </w:style>
  <w:style w:type="paragraph" w:customStyle="1" w:styleId="72">
    <w:name w:val="正文缩进2字符"/>
    <w:basedOn w:val="1"/>
    <w:qFormat/>
    <w:uiPriority w:val="0"/>
    <w:pPr>
      <w:spacing w:line="360" w:lineRule="auto"/>
      <w:ind w:firstLine="480"/>
      <w:jc w:val="left"/>
    </w:pPr>
    <w:rPr>
      <w:rFonts w:eastAsia="仿宋_GB2312"/>
      <w:color w:val="000000"/>
      <w:sz w:val="24"/>
    </w:rPr>
  </w:style>
  <w:style w:type="character" w:customStyle="1" w:styleId="73">
    <w:name w:val="正文首行缩进 2 字符"/>
    <w:basedOn w:val="56"/>
    <w:link w:val="28"/>
    <w:semiHidden/>
    <w:uiPriority w:val="99"/>
    <w:rPr>
      <w:rFonts w:ascii="Times New Roman" w:hAnsi="Times New Roman" w:eastAsia="宋体" w:cs="Times New Roman"/>
      <w:kern w:val="2"/>
      <w:sz w:val="28"/>
      <w:szCs w:val="24"/>
    </w:rPr>
  </w:style>
  <w:style w:type="paragraph" w:customStyle="1" w:styleId="74">
    <w:name w:val="我的表格"/>
    <w:next w:val="1"/>
    <w:qFormat/>
    <w:uiPriority w:val="0"/>
    <w:pPr>
      <w:widowControl w:val="0"/>
      <w:jc w:val="center"/>
    </w:pPr>
    <w:rPr>
      <w:rFonts w:ascii="Times New Roman" w:hAnsi="Times New Roman" w:eastAsia="宋体" w:cstheme="minorBidi"/>
      <w:kern w:val="2"/>
      <w:sz w:val="21"/>
      <w:szCs w:val="24"/>
      <w:lang w:val="en-US" w:eastAsia="zh-CN" w:bidi="ar-SA"/>
    </w:rPr>
  </w:style>
  <w:style w:type="paragraph" w:customStyle="1" w:styleId="75">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styleId="76">
    <w:name w:val="No Spacing"/>
    <w:qFormat/>
    <w:uiPriority w:val="1"/>
    <w:pPr>
      <w:widowControl w:val="0"/>
      <w:jc w:val="center"/>
    </w:pPr>
    <w:rPr>
      <w:rFonts w:ascii="Times New Roman" w:hAnsi="Times New Roman" w:eastAsia="宋体" w:cs="Times New Roman"/>
      <w:kern w:val="2"/>
      <w:sz w:val="21"/>
      <w:szCs w:val="22"/>
      <w:lang w:val="en-US" w:eastAsia="zh-CN" w:bidi="ar-SA"/>
    </w:rPr>
  </w:style>
  <w:style w:type="character" w:styleId="77">
    <w:name w:val="Placeholder Text"/>
    <w:basedOn w:val="31"/>
    <w:semiHidden/>
    <w:uiPriority w:val="99"/>
    <w:rPr>
      <w:color w:val="808080"/>
    </w:rPr>
  </w:style>
  <w:style w:type="character" w:customStyle="1" w:styleId="78">
    <w:name w:val="hover"/>
    <w:basedOn w:val="31"/>
    <w:uiPriority w:val="0"/>
    <w:rPr>
      <w:color w:val="315EFB"/>
    </w:rPr>
  </w:style>
  <w:style w:type="character" w:customStyle="1" w:styleId="79">
    <w:name w:val="hover1"/>
    <w:basedOn w:val="31"/>
    <w:uiPriority w:val="0"/>
  </w:style>
  <w:style w:type="character" w:customStyle="1" w:styleId="80">
    <w:name w:val="hover2"/>
    <w:basedOn w:val="31"/>
    <w:uiPriority w:val="0"/>
    <w:rPr>
      <w:color w:val="315EFB"/>
    </w:rPr>
  </w:style>
  <w:style w:type="character" w:customStyle="1" w:styleId="81">
    <w:name w:val="hover3"/>
    <w:basedOn w:val="31"/>
    <w:qFormat/>
    <w:uiPriority w:val="0"/>
    <w:rPr>
      <w:color w:val="335BFF"/>
    </w:rPr>
  </w:style>
  <w:style w:type="character" w:customStyle="1" w:styleId="82">
    <w:name w:val="hover4"/>
    <w:basedOn w:val="31"/>
    <w:qFormat/>
    <w:uiPriority w:val="0"/>
  </w:style>
  <w:style w:type="character" w:customStyle="1" w:styleId="83">
    <w:name w:val="c-icon"/>
    <w:basedOn w:val="3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wmf"/><Relationship Id="rId44" Type="http://schemas.openxmlformats.org/officeDocument/2006/relationships/oleObject" Target="embeddings/oleObject8.bin"/><Relationship Id="rId43" Type="http://schemas.openxmlformats.org/officeDocument/2006/relationships/image" Target="media/image21.wmf"/><Relationship Id="rId42" Type="http://schemas.openxmlformats.org/officeDocument/2006/relationships/oleObject" Target="embeddings/oleObject7.bin"/><Relationship Id="rId41" Type="http://schemas.openxmlformats.org/officeDocument/2006/relationships/image" Target="media/image20.wmf"/><Relationship Id="rId40" Type="http://schemas.openxmlformats.org/officeDocument/2006/relationships/oleObject" Target="embeddings/oleObject6.bin"/><Relationship Id="rId4" Type="http://schemas.openxmlformats.org/officeDocument/2006/relationships/endnotes" Target="endnotes.xml"/><Relationship Id="rId39" Type="http://schemas.openxmlformats.org/officeDocument/2006/relationships/image" Target="media/image19.wmf"/><Relationship Id="rId38" Type="http://schemas.openxmlformats.org/officeDocument/2006/relationships/oleObject" Target="embeddings/oleObject5.bin"/><Relationship Id="rId37" Type="http://schemas.openxmlformats.org/officeDocument/2006/relationships/image" Target="media/image18.wmf"/><Relationship Id="rId36" Type="http://schemas.openxmlformats.org/officeDocument/2006/relationships/oleObject" Target="embeddings/oleObject4.bin"/><Relationship Id="rId35" Type="http://schemas.openxmlformats.org/officeDocument/2006/relationships/image" Target="media/image17.wmf"/><Relationship Id="rId34" Type="http://schemas.openxmlformats.org/officeDocument/2006/relationships/oleObject" Target="embeddings/oleObject3.bin"/><Relationship Id="rId33" Type="http://schemas.openxmlformats.org/officeDocument/2006/relationships/image" Target="media/image16.wmf"/><Relationship Id="rId32" Type="http://schemas.openxmlformats.org/officeDocument/2006/relationships/oleObject" Target="embeddings/oleObject2.bin"/><Relationship Id="rId31" Type="http://schemas.openxmlformats.org/officeDocument/2006/relationships/image" Target="media/image15.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0115F-C73E-4600-92EE-57CD0F4FDD69}">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92</Pages>
  <Words>39996</Words>
  <Characters>43110</Characters>
  <Lines>341</Lines>
  <Paragraphs>96</Paragraphs>
  <TotalTime>0</TotalTime>
  <ScaleCrop>false</ScaleCrop>
  <LinksUpToDate>false</LinksUpToDate>
  <CharactersWithSpaces>43437</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2016-09-18T12:01:00Z</dcterms:created>
  <dc:creator>dreamsummit</dc:creator>
  <cp:lastModifiedBy>大宾</cp:lastModifiedBy>
  <cp:lastPrinted>2024-05-27T02:04:00Z</cp:lastPrinted>
  <dcterms:modified xsi:type="dcterms:W3CDTF">2025-05-23T03:34:59Z</dcterms:modified>
  <cp:revision>1097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5456D231BD22412CA2AC58BDAEF133AC_13</vt:lpwstr>
  </property>
  <property fmtid="{D5CDD505-2E9C-101B-9397-08002B2CF9AE}" pid="4" name="KSOTemplateDocerSaveRecord">
    <vt:lpwstr>eyJoZGlkIjoiOTJjNzcxNWM2ZTQ3ZTFkN2RjMmU4YjFiMzllMmI1NjQiLCJ1c2VySWQiOiIyNDgxMDYwNDMifQ==</vt:lpwstr>
  </property>
</Properties>
</file>