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方正小标宋简体" w:hAnsi="方正小标宋简体" w:eastAsia="方正小标宋简体" w:cs="方正小标宋简体"/>
          <w:b/>
          <w:color w:val="auto"/>
          <w:sz w:val="44"/>
          <w:szCs w:val="44"/>
          <w:highlight w:val="none"/>
          <w:lang w:val="en-US" w:eastAsia="zh-CN"/>
        </w:rPr>
      </w:pPr>
      <w:r>
        <w:rPr>
          <w:rFonts w:hint="eastAsia" w:ascii="宋体" w:hAnsi="宋体" w:eastAsia="方正小标宋简体"/>
          <w:color w:val="auto"/>
          <w:sz w:val="52"/>
          <w:szCs w:val="52"/>
          <w:highlight w:val="none"/>
          <w:lang w:val="en-US" w:eastAsia="zh-CN"/>
        </w:rPr>
        <w:t>广西百色公共资源交易有限公司</w:t>
      </w:r>
    </w:p>
    <w:p>
      <w:pPr>
        <w:pStyle w:val="12"/>
        <w:spacing w:before="120" w:after="120" w:line="360" w:lineRule="auto"/>
        <w:jc w:val="both"/>
        <w:rPr>
          <w:rFonts w:hint="eastAsia" w:ascii="仿宋_GB2312" w:hAnsi="宋体" w:eastAsia="仿宋_GB2312"/>
          <w:color w:val="auto"/>
          <w:highlight w:val="none"/>
        </w:rPr>
      </w:pPr>
    </w:p>
    <w:p>
      <w:pPr>
        <w:spacing w:line="540" w:lineRule="exact"/>
        <w:rPr>
          <w:color w:val="auto"/>
          <w:sz w:val="28"/>
          <w:szCs w:val="28"/>
          <w:highlight w:val="none"/>
        </w:rPr>
      </w:pPr>
    </w:p>
    <w:p>
      <w:pPr>
        <w:spacing w:line="360" w:lineRule="auto"/>
        <w:jc w:val="center"/>
        <w:rPr>
          <w:rFonts w:hint="eastAsia" w:ascii="宋体" w:hAnsi="宋体" w:eastAsia="宋体" w:cs="宋体"/>
          <w:b w:val="0"/>
          <w:bCs w:val="0"/>
          <w:color w:val="auto"/>
          <w:sz w:val="48"/>
          <w:szCs w:val="48"/>
          <w:highlight w:val="none"/>
          <w:lang w:eastAsia="zh-CN"/>
        </w:rPr>
      </w:pPr>
      <w:r>
        <w:rPr>
          <w:rFonts w:hint="eastAsia" w:ascii="宋体" w:hAnsi="宋体" w:cs="宋体"/>
          <w:b w:val="0"/>
          <w:bCs w:val="0"/>
          <w:color w:val="auto"/>
          <w:sz w:val="48"/>
          <w:szCs w:val="48"/>
          <w:highlight w:val="none"/>
          <w:lang w:eastAsia="zh-CN"/>
        </w:rPr>
        <w:t>靖西市人民医院新院一批设备采购项目</w:t>
      </w:r>
    </w:p>
    <w:p>
      <w:pPr>
        <w:jc w:val="center"/>
        <w:rPr>
          <w:rFonts w:hint="eastAsia" w:cs="宋体"/>
          <w:color w:val="auto"/>
          <w:sz w:val="72"/>
          <w:szCs w:val="72"/>
          <w:highlight w:val="none"/>
        </w:rPr>
      </w:pPr>
    </w:p>
    <w:p>
      <w:pPr>
        <w:jc w:val="center"/>
        <w:rPr>
          <w:rFonts w:hint="eastAsia" w:cs="宋体"/>
          <w:color w:val="auto"/>
          <w:sz w:val="72"/>
          <w:szCs w:val="72"/>
          <w:highlight w:val="none"/>
        </w:rPr>
      </w:pPr>
    </w:p>
    <w:p>
      <w:pPr>
        <w:jc w:val="center"/>
        <w:rPr>
          <w:color w:val="auto"/>
          <w:sz w:val="72"/>
          <w:szCs w:val="72"/>
          <w:highlight w:val="none"/>
        </w:rPr>
      </w:pPr>
      <w:r>
        <w:rPr>
          <w:rFonts w:hint="eastAsia" w:cs="宋体"/>
          <w:color w:val="auto"/>
          <w:sz w:val="72"/>
          <w:szCs w:val="72"/>
          <w:highlight w:val="none"/>
        </w:rPr>
        <w:t>招</w:t>
      </w:r>
      <w:r>
        <w:rPr>
          <w:color w:val="auto"/>
          <w:sz w:val="72"/>
          <w:szCs w:val="72"/>
          <w:highlight w:val="none"/>
        </w:rPr>
        <w:t xml:space="preserve"> </w:t>
      </w:r>
      <w:r>
        <w:rPr>
          <w:rFonts w:hint="eastAsia" w:cs="宋体"/>
          <w:color w:val="auto"/>
          <w:sz w:val="72"/>
          <w:szCs w:val="72"/>
          <w:highlight w:val="none"/>
        </w:rPr>
        <w:t>标</w:t>
      </w:r>
      <w:r>
        <w:rPr>
          <w:color w:val="auto"/>
          <w:sz w:val="72"/>
          <w:szCs w:val="72"/>
          <w:highlight w:val="none"/>
        </w:rPr>
        <w:t xml:space="preserve"> </w:t>
      </w:r>
      <w:r>
        <w:rPr>
          <w:rFonts w:hint="eastAsia" w:cs="宋体"/>
          <w:color w:val="auto"/>
          <w:sz w:val="72"/>
          <w:szCs w:val="72"/>
          <w:highlight w:val="none"/>
        </w:rPr>
        <w:t>文</w:t>
      </w:r>
      <w:r>
        <w:rPr>
          <w:color w:val="auto"/>
          <w:sz w:val="72"/>
          <w:szCs w:val="72"/>
          <w:highlight w:val="none"/>
        </w:rPr>
        <w:t xml:space="preserve"> </w:t>
      </w:r>
      <w:r>
        <w:rPr>
          <w:rFonts w:hint="eastAsia" w:cs="宋体"/>
          <w:color w:val="auto"/>
          <w:sz w:val="72"/>
          <w:szCs w:val="72"/>
          <w:highlight w:val="none"/>
        </w:rPr>
        <w:t>件</w:t>
      </w:r>
    </w:p>
    <w:p>
      <w:pPr>
        <w:spacing w:line="540" w:lineRule="exact"/>
        <w:ind w:firstLine="437"/>
        <w:rPr>
          <w:color w:val="auto"/>
          <w:highlight w:val="none"/>
        </w:rPr>
      </w:pPr>
    </w:p>
    <w:p>
      <w:pPr>
        <w:pStyle w:val="6"/>
        <w:rPr>
          <w:color w:val="auto"/>
          <w:highlight w:val="none"/>
        </w:rPr>
      </w:pPr>
    </w:p>
    <w:p>
      <w:pPr>
        <w:pStyle w:val="6"/>
        <w:rPr>
          <w:color w:val="auto"/>
          <w:highlight w:val="none"/>
        </w:rPr>
      </w:pPr>
    </w:p>
    <w:p>
      <w:pPr>
        <w:pStyle w:val="6"/>
        <w:rPr>
          <w:color w:val="auto"/>
          <w:highlight w:val="none"/>
        </w:rPr>
      </w:pPr>
    </w:p>
    <w:p>
      <w:pPr>
        <w:pStyle w:val="6"/>
        <w:rPr>
          <w:color w:val="auto"/>
          <w:highlight w:val="none"/>
        </w:rPr>
      </w:pPr>
    </w:p>
    <w:p>
      <w:pPr>
        <w:pStyle w:val="6"/>
        <w:rPr>
          <w:color w:val="auto"/>
          <w:highlight w:val="none"/>
        </w:rPr>
      </w:pPr>
    </w:p>
    <w:p>
      <w:pPr>
        <w:pStyle w:val="6"/>
        <w:rPr>
          <w:color w:val="auto"/>
          <w:highlight w:val="none"/>
        </w:rPr>
      </w:pPr>
    </w:p>
    <w:p>
      <w:pPr>
        <w:spacing w:line="540" w:lineRule="exact"/>
        <w:ind w:firstLine="960" w:firstLineChars="300"/>
        <w:rPr>
          <w:rFonts w:hint="eastAsia" w:ascii="Times New Roman" w:hAnsi="Times New Roman" w:eastAsia="宋体" w:cs="Times New Roman"/>
          <w:color w:val="auto"/>
          <w:sz w:val="32"/>
          <w:szCs w:val="32"/>
          <w:highlight w:val="none"/>
        </w:rPr>
      </w:pPr>
    </w:p>
    <w:p>
      <w:pPr>
        <w:spacing w:line="540" w:lineRule="exact"/>
        <w:ind w:firstLine="960" w:firstLineChars="300"/>
        <w:rPr>
          <w:rFonts w:hint="eastAsia" w:ascii="Times New Roman" w:hAnsi="Times New Roman" w:eastAsia="宋体" w:cs="Times New Roman"/>
          <w:color w:val="auto"/>
          <w:sz w:val="32"/>
          <w:szCs w:val="32"/>
          <w:highlight w:val="none"/>
        </w:rPr>
      </w:pPr>
      <w:r>
        <w:rPr>
          <w:rFonts w:hint="eastAsia" w:ascii="Times New Roman" w:hAnsi="Times New Roman" w:eastAsia="宋体" w:cs="Times New Roman"/>
          <w:color w:val="auto"/>
          <w:sz w:val="32"/>
          <w:szCs w:val="32"/>
          <w:highlight w:val="none"/>
        </w:rPr>
        <w:t>项目招标编号：BSZC2025-G1-250003-GXBS</w:t>
      </w:r>
    </w:p>
    <w:p>
      <w:pPr>
        <w:spacing w:line="540" w:lineRule="exact"/>
        <w:ind w:firstLine="437"/>
        <w:rPr>
          <w:rFonts w:ascii="Times New Roman" w:hAnsi="Times New Roman" w:eastAsia="宋体" w:cs="Times New Roman"/>
          <w:color w:val="auto"/>
          <w:sz w:val="32"/>
          <w:szCs w:val="32"/>
          <w:highlight w:val="none"/>
        </w:rPr>
      </w:pPr>
    </w:p>
    <w:p>
      <w:pPr>
        <w:spacing w:line="540" w:lineRule="exact"/>
        <w:ind w:firstLine="437"/>
        <w:rPr>
          <w:rFonts w:hint="eastAsia" w:eastAsia="宋体"/>
          <w:color w:val="auto"/>
          <w:sz w:val="32"/>
          <w:szCs w:val="32"/>
          <w:highlight w:val="none"/>
          <w:lang w:eastAsia="zh-CN"/>
        </w:rPr>
      </w:pPr>
      <w:r>
        <w:rPr>
          <w:color w:val="auto"/>
          <w:sz w:val="32"/>
          <w:szCs w:val="32"/>
          <w:highlight w:val="none"/>
        </w:rPr>
        <w:t xml:space="preserve">   </w:t>
      </w:r>
      <w:r>
        <w:rPr>
          <w:rFonts w:hint="eastAsia" w:cs="宋体"/>
          <w:color w:val="auto"/>
          <w:sz w:val="32"/>
          <w:szCs w:val="32"/>
          <w:highlight w:val="none"/>
        </w:rPr>
        <w:t>招</w:t>
      </w:r>
      <w:r>
        <w:rPr>
          <w:color w:val="auto"/>
          <w:sz w:val="32"/>
          <w:szCs w:val="32"/>
          <w:highlight w:val="none"/>
        </w:rPr>
        <w:t xml:space="preserve"> </w:t>
      </w:r>
      <w:r>
        <w:rPr>
          <w:rFonts w:hint="eastAsia" w:cs="宋体"/>
          <w:color w:val="auto"/>
          <w:sz w:val="32"/>
          <w:szCs w:val="32"/>
          <w:highlight w:val="none"/>
        </w:rPr>
        <w:t>标</w:t>
      </w:r>
      <w:r>
        <w:rPr>
          <w:color w:val="auto"/>
          <w:sz w:val="32"/>
          <w:szCs w:val="32"/>
          <w:highlight w:val="none"/>
        </w:rPr>
        <w:t xml:space="preserve"> </w:t>
      </w:r>
      <w:r>
        <w:rPr>
          <w:rFonts w:hint="eastAsia" w:cs="宋体"/>
          <w:color w:val="auto"/>
          <w:sz w:val="32"/>
          <w:szCs w:val="32"/>
          <w:highlight w:val="none"/>
        </w:rPr>
        <w:t>人：</w:t>
      </w:r>
      <w:r>
        <w:rPr>
          <w:rFonts w:hint="eastAsia" w:cs="宋体"/>
          <w:color w:val="auto"/>
          <w:sz w:val="32"/>
          <w:szCs w:val="32"/>
          <w:highlight w:val="none"/>
          <w:lang w:eastAsia="zh-CN"/>
        </w:rPr>
        <w:t>靖西市人民医院</w:t>
      </w:r>
    </w:p>
    <w:p>
      <w:pPr>
        <w:spacing w:line="540" w:lineRule="exact"/>
        <w:ind w:firstLine="437"/>
        <w:rPr>
          <w:color w:val="auto"/>
          <w:sz w:val="32"/>
          <w:szCs w:val="32"/>
          <w:highlight w:val="none"/>
        </w:rPr>
      </w:pPr>
    </w:p>
    <w:p>
      <w:pPr>
        <w:spacing w:line="540" w:lineRule="exact"/>
        <w:ind w:firstLine="437"/>
        <w:rPr>
          <w:rFonts w:hint="eastAsia" w:eastAsia="宋体"/>
          <w:color w:val="auto"/>
          <w:sz w:val="32"/>
          <w:szCs w:val="32"/>
          <w:highlight w:val="none"/>
          <w:lang w:eastAsia="zh-CN"/>
        </w:rPr>
      </w:pPr>
      <w:r>
        <w:rPr>
          <w:color w:val="auto"/>
          <w:sz w:val="32"/>
          <w:szCs w:val="32"/>
          <w:highlight w:val="none"/>
        </w:rPr>
        <w:t xml:space="preserve">   </w:t>
      </w:r>
      <w:r>
        <w:rPr>
          <w:rFonts w:hint="eastAsia" w:cs="宋体"/>
          <w:color w:val="auto"/>
          <w:sz w:val="32"/>
          <w:szCs w:val="32"/>
          <w:highlight w:val="none"/>
        </w:rPr>
        <w:t>招标代理机构：</w:t>
      </w:r>
      <w:r>
        <w:rPr>
          <w:rFonts w:hint="eastAsia" w:cs="宋体"/>
          <w:color w:val="auto"/>
          <w:sz w:val="32"/>
          <w:szCs w:val="32"/>
          <w:highlight w:val="none"/>
          <w:lang w:eastAsia="zh-CN"/>
        </w:rPr>
        <w:t>广西百色公共资源交易有限公司</w:t>
      </w:r>
    </w:p>
    <w:p>
      <w:pPr>
        <w:spacing w:line="540" w:lineRule="exact"/>
        <w:ind w:firstLine="437"/>
        <w:rPr>
          <w:color w:val="auto"/>
          <w:sz w:val="32"/>
          <w:szCs w:val="32"/>
          <w:highlight w:val="none"/>
        </w:rPr>
      </w:pPr>
    </w:p>
    <w:p>
      <w:pPr>
        <w:spacing w:line="540" w:lineRule="exact"/>
        <w:ind w:firstLine="437"/>
        <w:rPr>
          <w:color w:val="auto"/>
          <w:sz w:val="32"/>
          <w:szCs w:val="32"/>
          <w:highlight w:val="none"/>
        </w:rPr>
      </w:pPr>
      <w:r>
        <w:rPr>
          <w:color w:val="auto"/>
          <w:sz w:val="32"/>
          <w:szCs w:val="32"/>
          <w:highlight w:val="none"/>
        </w:rPr>
        <w:t xml:space="preserve">   </w:t>
      </w:r>
      <w:r>
        <w:rPr>
          <w:rFonts w:hint="eastAsia" w:cs="宋体"/>
          <w:color w:val="auto"/>
          <w:sz w:val="32"/>
          <w:szCs w:val="32"/>
          <w:highlight w:val="none"/>
        </w:rPr>
        <w:t>发布日期：</w:t>
      </w:r>
      <w:bookmarkStart w:id="0" w:name="EBd8c1b870cf424a62ae0e2a3a6ef5ce80"/>
      <w:r>
        <w:rPr>
          <w:rFonts w:hint="eastAsia" w:cs="宋体"/>
          <w:color w:val="auto"/>
          <w:sz w:val="32"/>
          <w:szCs w:val="32"/>
          <w:highlight w:val="none"/>
        </w:rPr>
        <w:t>202</w:t>
      </w:r>
      <w:r>
        <w:rPr>
          <w:rFonts w:hint="eastAsia" w:cs="宋体"/>
          <w:color w:val="auto"/>
          <w:sz w:val="32"/>
          <w:szCs w:val="32"/>
          <w:highlight w:val="none"/>
          <w:lang w:val="en-US" w:eastAsia="zh-CN"/>
        </w:rPr>
        <w:t>5</w:t>
      </w:r>
      <w:r>
        <w:rPr>
          <w:rFonts w:hint="eastAsia" w:cs="宋体"/>
          <w:color w:val="auto"/>
          <w:sz w:val="32"/>
          <w:szCs w:val="32"/>
          <w:highlight w:val="none"/>
        </w:rPr>
        <w:t>年</w:t>
      </w:r>
      <w:r>
        <w:rPr>
          <w:rFonts w:hint="eastAsia" w:cs="宋体"/>
          <w:color w:val="auto"/>
          <w:sz w:val="32"/>
          <w:szCs w:val="32"/>
          <w:highlight w:val="none"/>
          <w:lang w:val="en-US" w:eastAsia="zh-CN"/>
        </w:rPr>
        <w:t xml:space="preserve">  </w:t>
      </w:r>
      <w:r>
        <w:rPr>
          <w:rFonts w:hint="eastAsia" w:cs="宋体"/>
          <w:color w:val="auto"/>
          <w:sz w:val="32"/>
          <w:szCs w:val="32"/>
          <w:highlight w:val="none"/>
        </w:rPr>
        <w:t>月</w:t>
      </w:r>
      <w:r>
        <w:rPr>
          <w:rFonts w:hint="eastAsia" w:cs="宋体"/>
          <w:color w:val="auto"/>
          <w:sz w:val="32"/>
          <w:szCs w:val="32"/>
          <w:highlight w:val="none"/>
          <w:lang w:val="en-US" w:eastAsia="zh-CN"/>
        </w:rPr>
        <w:t xml:space="preserve">  </w:t>
      </w:r>
      <w:r>
        <w:rPr>
          <w:rFonts w:hint="eastAsia" w:cs="宋体"/>
          <w:color w:val="auto"/>
          <w:sz w:val="32"/>
          <w:szCs w:val="32"/>
          <w:highlight w:val="none"/>
        </w:rPr>
        <w:t>日</w:t>
      </w:r>
      <w:bookmarkEnd w:id="0"/>
    </w:p>
    <w:p>
      <w:pPr>
        <w:rPr>
          <w:rFonts w:hint="eastAsia"/>
          <w:color w:val="auto"/>
          <w:highlight w:val="none"/>
        </w:rPr>
      </w:pPr>
    </w:p>
    <w:p>
      <w:pPr>
        <w:rPr>
          <w:color w:val="auto"/>
          <w:highlight w:val="none"/>
        </w:rPr>
      </w:pPr>
      <w:bookmarkStart w:id="1" w:name="EBadb230e6bfd8433db6f63a48bcd75a67"/>
      <w:r>
        <w:rPr>
          <w:rFonts w:hint="eastAsia"/>
          <w:color w:val="auto"/>
          <w:sz w:val="20"/>
          <w:highlight w:val="none"/>
        </w:rPr>
        <w:t xml:space="preserve"> </w:t>
      </w:r>
      <w:bookmarkEnd w:id="1"/>
    </w:p>
    <w:p>
      <w:pPr>
        <w:spacing w:line="360" w:lineRule="auto"/>
        <w:jc w:val="center"/>
        <w:rPr>
          <w:rFonts w:hint="eastAsia" w:ascii="宋体" w:hAnsi="宋体"/>
          <w:b/>
          <w:color w:val="auto"/>
          <w:sz w:val="44"/>
          <w:szCs w:val="44"/>
          <w:highlight w:val="none"/>
        </w:rPr>
      </w:pPr>
    </w:p>
    <w:p>
      <w:pPr>
        <w:pStyle w:val="6"/>
        <w:rPr>
          <w:rFonts w:hint="eastAsia" w:ascii="宋体" w:hAnsi="宋体"/>
          <w:b/>
          <w:color w:val="auto"/>
          <w:sz w:val="44"/>
          <w:szCs w:val="44"/>
          <w:highlight w:val="none"/>
        </w:rPr>
      </w:pPr>
    </w:p>
    <w:p>
      <w:pPr>
        <w:spacing w:line="360" w:lineRule="auto"/>
        <w:jc w:val="both"/>
        <w:rPr>
          <w:rFonts w:hint="eastAsia" w:ascii="宋体" w:hAnsi="宋体"/>
          <w:b/>
          <w:color w:val="auto"/>
          <w:sz w:val="44"/>
          <w:szCs w:val="44"/>
          <w:highlight w:val="none"/>
        </w:rPr>
      </w:pPr>
    </w:p>
    <w:p>
      <w:pPr>
        <w:spacing w:line="360" w:lineRule="auto"/>
        <w:jc w:val="center"/>
        <w:rPr>
          <w:rFonts w:hint="eastAsia" w:ascii="宋体" w:hAnsi="宋体"/>
          <w:b/>
          <w:color w:val="auto"/>
          <w:sz w:val="44"/>
          <w:szCs w:val="44"/>
          <w:highlight w:val="none"/>
        </w:rPr>
      </w:pPr>
      <w:r>
        <w:rPr>
          <w:rFonts w:hint="eastAsia" w:ascii="宋体" w:hAnsi="宋体"/>
          <w:b/>
          <w:color w:val="auto"/>
          <w:sz w:val="44"/>
          <w:szCs w:val="44"/>
          <w:highlight w:val="none"/>
        </w:rPr>
        <w:t>目  录</w:t>
      </w:r>
    </w:p>
    <w:p>
      <w:pPr>
        <w:pStyle w:val="15"/>
        <w:spacing w:line="480" w:lineRule="auto"/>
        <w:rPr>
          <w:rFonts w:ascii="Calibri" w:hAnsi="Calibri"/>
          <w:b w:val="0"/>
          <w:bCs w:val="0"/>
          <w:caps w:val="0"/>
          <w:color w:val="auto"/>
          <w:sz w:val="28"/>
          <w:szCs w:val="28"/>
          <w:highlight w:val="none"/>
          <w:lang w:val="en-US" w:eastAsia="zh-CN"/>
        </w:rPr>
      </w:pPr>
      <w:r>
        <w:rPr>
          <w:rFonts w:ascii="仿宋_GB2312" w:eastAsia="仿宋_GB2312"/>
          <w:b w:val="0"/>
          <w:color w:val="auto"/>
          <w:sz w:val="28"/>
          <w:szCs w:val="28"/>
          <w:highlight w:val="none"/>
        </w:rPr>
        <w:fldChar w:fldCharType="begin"/>
      </w:r>
      <w:r>
        <w:rPr>
          <w:rFonts w:ascii="仿宋_GB2312" w:eastAsia="仿宋_GB2312"/>
          <w:b w:val="0"/>
          <w:color w:val="auto"/>
          <w:sz w:val="28"/>
          <w:szCs w:val="28"/>
          <w:highlight w:val="none"/>
        </w:rPr>
        <w:instrText xml:space="preserve"> </w:instrText>
      </w:r>
      <w:r>
        <w:rPr>
          <w:rFonts w:hint="eastAsia" w:ascii="仿宋_GB2312" w:eastAsia="仿宋_GB2312"/>
          <w:b w:val="0"/>
          <w:color w:val="auto"/>
          <w:sz w:val="28"/>
          <w:szCs w:val="28"/>
          <w:highlight w:val="none"/>
        </w:rPr>
        <w:instrText xml:space="preserve">TOC \o "1-2" \h \z \u</w:instrText>
      </w:r>
      <w:r>
        <w:rPr>
          <w:rFonts w:ascii="仿宋_GB2312" w:eastAsia="仿宋_GB2312"/>
          <w:b w:val="0"/>
          <w:color w:val="auto"/>
          <w:sz w:val="28"/>
          <w:szCs w:val="28"/>
          <w:highlight w:val="none"/>
        </w:rPr>
        <w:instrText xml:space="preserve"> </w:instrText>
      </w:r>
      <w:r>
        <w:rPr>
          <w:rFonts w:ascii="仿宋_GB2312" w:eastAsia="仿宋_GB2312"/>
          <w:b w:val="0"/>
          <w:color w:val="auto"/>
          <w:sz w:val="28"/>
          <w:szCs w:val="28"/>
          <w:highlight w:val="none"/>
        </w:rPr>
        <w:fldChar w:fldCharType="separate"/>
      </w:r>
      <w:r>
        <w:rPr>
          <w:rStyle w:val="21"/>
          <w:color w:val="auto"/>
          <w:sz w:val="28"/>
          <w:szCs w:val="28"/>
          <w:highlight w:val="none"/>
        </w:rPr>
        <w:fldChar w:fldCharType="begin"/>
      </w:r>
      <w:r>
        <w:rPr>
          <w:rStyle w:val="21"/>
          <w:color w:val="auto"/>
          <w:sz w:val="28"/>
          <w:szCs w:val="28"/>
          <w:highlight w:val="none"/>
        </w:rPr>
        <w:instrText xml:space="preserve"> </w:instrText>
      </w:r>
      <w:r>
        <w:rPr>
          <w:color w:val="auto"/>
          <w:sz w:val="28"/>
          <w:szCs w:val="28"/>
          <w:highlight w:val="none"/>
        </w:rPr>
        <w:instrText xml:space="preserve">HYPERLINK \l "_Toc74320800"</w:instrText>
      </w:r>
      <w:r>
        <w:rPr>
          <w:rStyle w:val="21"/>
          <w:color w:val="auto"/>
          <w:sz w:val="28"/>
          <w:szCs w:val="28"/>
          <w:highlight w:val="none"/>
        </w:rPr>
        <w:instrText xml:space="preserve"> </w:instrText>
      </w:r>
      <w:r>
        <w:rPr>
          <w:rStyle w:val="21"/>
          <w:color w:val="auto"/>
          <w:sz w:val="28"/>
          <w:szCs w:val="28"/>
          <w:highlight w:val="none"/>
        </w:rPr>
        <w:fldChar w:fldCharType="separate"/>
      </w:r>
      <w:r>
        <w:rPr>
          <w:rStyle w:val="21"/>
          <w:rFonts w:hint="eastAsia"/>
          <w:color w:val="auto"/>
          <w:sz w:val="28"/>
          <w:szCs w:val="28"/>
          <w:highlight w:val="none"/>
        </w:rPr>
        <w:t>第一章</w:t>
      </w:r>
      <w:r>
        <w:rPr>
          <w:rStyle w:val="21"/>
          <w:color w:val="auto"/>
          <w:sz w:val="28"/>
          <w:szCs w:val="28"/>
          <w:highlight w:val="none"/>
        </w:rPr>
        <w:t xml:space="preserve"> </w:t>
      </w:r>
      <w:r>
        <w:rPr>
          <w:rStyle w:val="21"/>
          <w:rFonts w:hint="eastAsia"/>
          <w:color w:val="auto"/>
          <w:sz w:val="28"/>
          <w:szCs w:val="28"/>
          <w:highlight w:val="none"/>
          <w:lang w:val="en-US" w:eastAsia="zh-CN"/>
        </w:rPr>
        <w:t xml:space="preserve"> </w:t>
      </w:r>
      <w:r>
        <w:rPr>
          <w:rStyle w:val="21"/>
          <w:rFonts w:hint="eastAsia"/>
          <w:color w:val="auto"/>
          <w:sz w:val="28"/>
          <w:szCs w:val="28"/>
          <w:highlight w:val="none"/>
        </w:rPr>
        <w:t>招标公告</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_Toc74320800 \h </w:instrText>
      </w:r>
      <w:r>
        <w:rPr>
          <w:color w:val="auto"/>
          <w:sz w:val="28"/>
          <w:szCs w:val="28"/>
          <w:highlight w:val="none"/>
        </w:rPr>
        <w:fldChar w:fldCharType="separate"/>
      </w:r>
      <w:r>
        <w:rPr>
          <w:color w:val="auto"/>
          <w:sz w:val="28"/>
          <w:szCs w:val="28"/>
          <w:highlight w:val="none"/>
        </w:rPr>
        <w:t>1</w:t>
      </w:r>
      <w:r>
        <w:rPr>
          <w:color w:val="auto"/>
          <w:sz w:val="28"/>
          <w:szCs w:val="28"/>
          <w:highlight w:val="none"/>
        </w:rPr>
        <w:fldChar w:fldCharType="end"/>
      </w:r>
      <w:r>
        <w:rPr>
          <w:rStyle w:val="21"/>
          <w:color w:val="auto"/>
          <w:sz w:val="28"/>
          <w:szCs w:val="28"/>
          <w:highlight w:val="none"/>
        </w:rPr>
        <w:fldChar w:fldCharType="end"/>
      </w:r>
    </w:p>
    <w:p>
      <w:pPr>
        <w:pStyle w:val="15"/>
        <w:spacing w:line="480" w:lineRule="auto"/>
        <w:ind w:firstLine="241"/>
        <w:rPr>
          <w:rFonts w:ascii="Calibri" w:hAnsi="Calibri"/>
          <w:b w:val="0"/>
          <w:bCs w:val="0"/>
          <w:caps w:val="0"/>
          <w:color w:val="auto"/>
          <w:sz w:val="28"/>
          <w:szCs w:val="28"/>
          <w:highlight w:val="none"/>
          <w:lang w:val="en-US" w:eastAsia="zh-CN"/>
        </w:rPr>
      </w:pPr>
      <w:r>
        <w:rPr>
          <w:rStyle w:val="21"/>
          <w:color w:val="auto"/>
          <w:sz w:val="28"/>
          <w:szCs w:val="28"/>
          <w:highlight w:val="none"/>
        </w:rPr>
        <w:fldChar w:fldCharType="begin"/>
      </w:r>
      <w:r>
        <w:rPr>
          <w:rStyle w:val="21"/>
          <w:color w:val="auto"/>
          <w:sz w:val="28"/>
          <w:szCs w:val="28"/>
          <w:highlight w:val="none"/>
        </w:rPr>
        <w:instrText xml:space="preserve"> </w:instrText>
      </w:r>
      <w:r>
        <w:rPr>
          <w:color w:val="auto"/>
          <w:sz w:val="28"/>
          <w:szCs w:val="28"/>
          <w:highlight w:val="none"/>
        </w:rPr>
        <w:instrText xml:space="preserve">HYPERLINK \l "_Toc74320801"</w:instrText>
      </w:r>
      <w:r>
        <w:rPr>
          <w:rStyle w:val="21"/>
          <w:color w:val="auto"/>
          <w:sz w:val="28"/>
          <w:szCs w:val="28"/>
          <w:highlight w:val="none"/>
        </w:rPr>
        <w:instrText xml:space="preserve"> </w:instrText>
      </w:r>
      <w:r>
        <w:rPr>
          <w:rStyle w:val="21"/>
          <w:color w:val="auto"/>
          <w:sz w:val="28"/>
          <w:szCs w:val="28"/>
          <w:highlight w:val="none"/>
        </w:rPr>
        <w:fldChar w:fldCharType="separate"/>
      </w:r>
      <w:r>
        <w:rPr>
          <w:rStyle w:val="21"/>
          <w:rFonts w:hint="eastAsia"/>
          <w:color w:val="auto"/>
          <w:sz w:val="28"/>
          <w:szCs w:val="28"/>
          <w:highlight w:val="none"/>
        </w:rPr>
        <w:t>第二章</w:t>
      </w:r>
      <w:r>
        <w:rPr>
          <w:rStyle w:val="21"/>
          <w:color w:val="auto"/>
          <w:sz w:val="28"/>
          <w:szCs w:val="28"/>
          <w:highlight w:val="none"/>
        </w:rPr>
        <w:t xml:space="preserve">  </w:t>
      </w:r>
      <w:r>
        <w:rPr>
          <w:rStyle w:val="21"/>
          <w:rFonts w:hint="eastAsia"/>
          <w:color w:val="auto"/>
          <w:sz w:val="28"/>
          <w:szCs w:val="28"/>
          <w:highlight w:val="none"/>
        </w:rPr>
        <w:t>采购需求</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_Toc74320801 \h </w:instrText>
      </w:r>
      <w:r>
        <w:rPr>
          <w:color w:val="auto"/>
          <w:sz w:val="28"/>
          <w:szCs w:val="28"/>
          <w:highlight w:val="none"/>
        </w:rPr>
        <w:fldChar w:fldCharType="separate"/>
      </w:r>
      <w:r>
        <w:rPr>
          <w:color w:val="auto"/>
          <w:sz w:val="28"/>
          <w:szCs w:val="28"/>
          <w:highlight w:val="none"/>
        </w:rPr>
        <w:t>7</w:t>
      </w:r>
      <w:r>
        <w:rPr>
          <w:color w:val="auto"/>
          <w:sz w:val="28"/>
          <w:szCs w:val="28"/>
          <w:highlight w:val="none"/>
        </w:rPr>
        <w:fldChar w:fldCharType="end"/>
      </w:r>
      <w:r>
        <w:rPr>
          <w:rStyle w:val="21"/>
          <w:color w:val="auto"/>
          <w:sz w:val="28"/>
          <w:szCs w:val="28"/>
          <w:highlight w:val="none"/>
        </w:rPr>
        <w:fldChar w:fldCharType="end"/>
      </w:r>
    </w:p>
    <w:p>
      <w:pPr>
        <w:pStyle w:val="15"/>
        <w:spacing w:line="480" w:lineRule="auto"/>
        <w:ind w:firstLine="241"/>
        <w:rPr>
          <w:rFonts w:ascii="Calibri" w:hAnsi="Calibri"/>
          <w:b w:val="0"/>
          <w:bCs w:val="0"/>
          <w:caps w:val="0"/>
          <w:color w:val="auto"/>
          <w:sz w:val="28"/>
          <w:szCs w:val="28"/>
          <w:highlight w:val="none"/>
          <w:lang w:val="en-US" w:eastAsia="zh-CN"/>
        </w:rPr>
      </w:pPr>
      <w:r>
        <w:rPr>
          <w:rStyle w:val="21"/>
          <w:color w:val="auto"/>
          <w:sz w:val="28"/>
          <w:szCs w:val="28"/>
          <w:highlight w:val="none"/>
        </w:rPr>
        <w:fldChar w:fldCharType="begin"/>
      </w:r>
      <w:r>
        <w:rPr>
          <w:rStyle w:val="21"/>
          <w:color w:val="auto"/>
          <w:sz w:val="28"/>
          <w:szCs w:val="28"/>
          <w:highlight w:val="none"/>
        </w:rPr>
        <w:instrText xml:space="preserve"> </w:instrText>
      </w:r>
      <w:r>
        <w:rPr>
          <w:color w:val="auto"/>
          <w:sz w:val="28"/>
          <w:szCs w:val="28"/>
          <w:highlight w:val="none"/>
        </w:rPr>
        <w:instrText xml:space="preserve">HYPERLINK \l "_Toc74320802"</w:instrText>
      </w:r>
      <w:r>
        <w:rPr>
          <w:rStyle w:val="21"/>
          <w:color w:val="auto"/>
          <w:sz w:val="28"/>
          <w:szCs w:val="28"/>
          <w:highlight w:val="none"/>
        </w:rPr>
        <w:instrText xml:space="preserve"> </w:instrText>
      </w:r>
      <w:r>
        <w:rPr>
          <w:rStyle w:val="21"/>
          <w:color w:val="auto"/>
          <w:sz w:val="28"/>
          <w:szCs w:val="28"/>
          <w:highlight w:val="none"/>
        </w:rPr>
        <w:fldChar w:fldCharType="separate"/>
      </w:r>
      <w:r>
        <w:rPr>
          <w:rStyle w:val="21"/>
          <w:rFonts w:hint="eastAsia"/>
          <w:color w:val="auto"/>
          <w:sz w:val="28"/>
          <w:szCs w:val="28"/>
          <w:highlight w:val="none"/>
        </w:rPr>
        <w:t>第三章</w:t>
      </w:r>
      <w:r>
        <w:rPr>
          <w:rStyle w:val="21"/>
          <w:color w:val="auto"/>
          <w:sz w:val="28"/>
          <w:szCs w:val="28"/>
          <w:highlight w:val="none"/>
        </w:rPr>
        <w:t xml:space="preserve">  </w:t>
      </w:r>
      <w:r>
        <w:rPr>
          <w:rStyle w:val="21"/>
          <w:rFonts w:hint="eastAsia"/>
          <w:color w:val="auto"/>
          <w:sz w:val="28"/>
          <w:szCs w:val="28"/>
          <w:highlight w:val="none"/>
        </w:rPr>
        <w:t>投标人须</w:t>
      </w:r>
      <w:bookmarkStart w:id="2" w:name="_Hlt79572744"/>
      <w:bookmarkStart w:id="3" w:name="_Hlt79572745"/>
      <w:r>
        <w:rPr>
          <w:rStyle w:val="21"/>
          <w:rFonts w:hint="eastAsia"/>
          <w:color w:val="auto"/>
          <w:sz w:val="28"/>
          <w:szCs w:val="28"/>
          <w:highlight w:val="none"/>
        </w:rPr>
        <w:t>知</w:t>
      </w:r>
      <w:bookmarkEnd w:id="2"/>
      <w:bookmarkEnd w:id="3"/>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_Toc74320802 \h </w:instrText>
      </w:r>
      <w:r>
        <w:rPr>
          <w:color w:val="auto"/>
          <w:sz w:val="28"/>
          <w:szCs w:val="28"/>
          <w:highlight w:val="none"/>
        </w:rPr>
        <w:fldChar w:fldCharType="separate"/>
      </w:r>
      <w:r>
        <w:rPr>
          <w:color w:val="auto"/>
          <w:sz w:val="28"/>
          <w:szCs w:val="28"/>
          <w:highlight w:val="none"/>
        </w:rPr>
        <w:t>54</w:t>
      </w:r>
      <w:r>
        <w:rPr>
          <w:color w:val="auto"/>
          <w:sz w:val="28"/>
          <w:szCs w:val="28"/>
          <w:highlight w:val="none"/>
        </w:rPr>
        <w:fldChar w:fldCharType="end"/>
      </w:r>
      <w:r>
        <w:rPr>
          <w:rStyle w:val="21"/>
          <w:color w:val="auto"/>
          <w:sz w:val="28"/>
          <w:szCs w:val="28"/>
          <w:highlight w:val="none"/>
        </w:rPr>
        <w:fldChar w:fldCharType="end"/>
      </w:r>
    </w:p>
    <w:p>
      <w:pPr>
        <w:pStyle w:val="15"/>
        <w:spacing w:line="480" w:lineRule="auto"/>
        <w:ind w:firstLine="241"/>
        <w:rPr>
          <w:rFonts w:ascii="Calibri" w:hAnsi="Calibri"/>
          <w:b w:val="0"/>
          <w:bCs w:val="0"/>
          <w:caps w:val="0"/>
          <w:color w:val="auto"/>
          <w:sz w:val="28"/>
          <w:szCs w:val="28"/>
          <w:highlight w:val="none"/>
          <w:lang w:val="en-US" w:eastAsia="zh-CN"/>
        </w:rPr>
      </w:pPr>
      <w:r>
        <w:rPr>
          <w:rStyle w:val="21"/>
          <w:color w:val="auto"/>
          <w:sz w:val="28"/>
          <w:szCs w:val="28"/>
          <w:highlight w:val="none"/>
        </w:rPr>
        <w:fldChar w:fldCharType="begin"/>
      </w:r>
      <w:r>
        <w:rPr>
          <w:rStyle w:val="21"/>
          <w:color w:val="auto"/>
          <w:sz w:val="28"/>
          <w:szCs w:val="28"/>
          <w:highlight w:val="none"/>
        </w:rPr>
        <w:instrText xml:space="preserve"> </w:instrText>
      </w:r>
      <w:r>
        <w:rPr>
          <w:color w:val="auto"/>
          <w:sz w:val="28"/>
          <w:szCs w:val="28"/>
          <w:highlight w:val="none"/>
        </w:rPr>
        <w:instrText xml:space="preserve">HYPERLINK \l "_Toc74320803"</w:instrText>
      </w:r>
      <w:r>
        <w:rPr>
          <w:rStyle w:val="21"/>
          <w:color w:val="auto"/>
          <w:sz w:val="28"/>
          <w:szCs w:val="28"/>
          <w:highlight w:val="none"/>
        </w:rPr>
        <w:instrText xml:space="preserve"> </w:instrText>
      </w:r>
      <w:r>
        <w:rPr>
          <w:rStyle w:val="21"/>
          <w:color w:val="auto"/>
          <w:sz w:val="28"/>
          <w:szCs w:val="28"/>
          <w:highlight w:val="none"/>
        </w:rPr>
        <w:fldChar w:fldCharType="separate"/>
      </w:r>
      <w:r>
        <w:rPr>
          <w:rStyle w:val="21"/>
          <w:rFonts w:hint="eastAsia"/>
          <w:color w:val="auto"/>
          <w:sz w:val="28"/>
          <w:szCs w:val="28"/>
          <w:highlight w:val="none"/>
        </w:rPr>
        <w:t>第四章</w:t>
      </w:r>
      <w:r>
        <w:rPr>
          <w:rStyle w:val="21"/>
          <w:color w:val="auto"/>
          <w:sz w:val="28"/>
          <w:szCs w:val="28"/>
          <w:highlight w:val="none"/>
        </w:rPr>
        <w:t xml:space="preserve">  </w:t>
      </w:r>
      <w:r>
        <w:rPr>
          <w:rStyle w:val="21"/>
          <w:rFonts w:hint="eastAsia"/>
          <w:color w:val="auto"/>
          <w:sz w:val="28"/>
          <w:szCs w:val="28"/>
          <w:highlight w:val="none"/>
        </w:rPr>
        <w:t>评标方</w:t>
      </w:r>
      <w:bookmarkStart w:id="4" w:name="_Hlt82186274"/>
      <w:bookmarkStart w:id="5" w:name="_Hlt82186273"/>
      <w:r>
        <w:rPr>
          <w:rStyle w:val="21"/>
          <w:rFonts w:hint="eastAsia"/>
          <w:color w:val="auto"/>
          <w:sz w:val="28"/>
          <w:szCs w:val="28"/>
          <w:highlight w:val="none"/>
        </w:rPr>
        <w:t>法</w:t>
      </w:r>
      <w:bookmarkEnd w:id="4"/>
      <w:bookmarkEnd w:id="5"/>
      <w:r>
        <w:rPr>
          <w:rStyle w:val="21"/>
          <w:rFonts w:hint="eastAsia"/>
          <w:color w:val="auto"/>
          <w:sz w:val="28"/>
          <w:szCs w:val="28"/>
          <w:highlight w:val="none"/>
        </w:rPr>
        <w:t>及评标标准</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_Toc74320803 \h </w:instrText>
      </w:r>
      <w:r>
        <w:rPr>
          <w:color w:val="auto"/>
          <w:sz w:val="28"/>
          <w:szCs w:val="28"/>
          <w:highlight w:val="none"/>
        </w:rPr>
        <w:fldChar w:fldCharType="separate"/>
      </w:r>
      <w:r>
        <w:rPr>
          <w:color w:val="auto"/>
          <w:sz w:val="28"/>
          <w:szCs w:val="28"/>
          <w:highlight w:val="none"/>
        </w:rPr>
        <w:t>73</w:t>
      </w:r>
      <w:r>
        <w:rPr>
          <w:color w:val="auto"/>
          <w:sz w:val="28"/>
          <w:szCs w:val="28"/>
          <w:highlight w:val="none"/>
        </w:rPr>
        <w:fldChar w:fldCharType="end"/>
      </w:r>
      <w:r>
        <w:rPr>
          <w:rStyle w:val="21"/>
          <w:color w:val="auto"/>
          <w:sz w:val="28"/>
          <w:szCs w:val="28"/>
          <w:highlight w:val="none"/>
        </w:rPr>
        <w:fldChar w:fldCharType="end"/>
      </w:r>
    </w:p>
    <w:p>
      <w:pPr>
        <w:pStyle w:val="15"/>
        <w:spacing w:line="480" w:lineRule="auto"/>
        <w:ind w:firstLine="241"/>
        <w:rPr>
          <w:rFonts w:ascii="Calibri" w:hAnsi="Calibri"/>
          <w:b w:val="0"/>
          <w:bCs w:val="0"/>
          <w:caps w:val="0"/>
          <w:color w:val="auto"/>
          <w:sz w:val="28"/>
          <w:szCs w:val="28"/>
          <w:highlight w:val="none"/>
          <w:lang w:val="en-US" w:eastAsia="zh-CN"/>
        </w:rPr>
      </w:pPr>
      <w:r>
        <w:rPr>
          <w:rStyle w:val="21"/>
          <w:color w:val="auto"/>
          <w:sz w:val="28"/>
          <w:szCs w:val="28"/>
          <w:highlight w:val="none"/>
        </w:rPr>
        <w:fldChar w:fldCharType="begin"/>
      </w:r>
      <w:r>
        <w:rPr>
          <w:rStyle w:val="21"/>
          <w:color w:val="auto"/>
          <w:sz w:val="28"/>
          <w:szCs w:val="28"/>
          <w:highlight w:val="none"/>
        </w:rPr>
        <w:instrText xml:space="preserve"> </w:instrText>
      </w:r>
      <w:r>
        <w:rPr>
          <w:color w:val="auto"/>
          <w:sz w:val="28"/>
          <w:szCs w:val="28"/>
          <w:highlight w:val="none"/>
        </w:rPr>
        <w:instrText xml:space="preserve">HYPERLINK \l "_Toc74320804"</w:instrText>
      </w:r>
      <w:r>
        <w:rPr>
          <w:rStyle w:val="21"/>
          <w:color w:val="auto"/>
          <w:sz w:val="28"/>
          <w:szCs w:val="28"/>
          <w:highlight w:val="none"/>
        </w:rPr>
        <w:instrText xml:space="preserve"> </w:instrText>
      </w:r>
      <w:r>
        <w:rPr>
          <w:rStyle w:val="21"/>
          <w:color w:val="auto"/>
          <w:sz w:val="28"/>
          <w:szCs w:val="28"/>
          <w:highlight w:val="none"/>
        </w:rPr>
        <w:fldChar w:fldCharType="separate"/>
      </w:r>
      <w:r>
        <w:rPr>
          <w:rStyle w:val="21"/>
          <w:rFonts w:hint="eastAsia"/>
          <w:color w:val="auto"/>
          <w:sz w:val="28"/>
          <w:szCs w:val="28"/>
          <w:highlight w:val="none"/>
        </w:rPr>
        <w:t>第五章</w:t>
      </w:r>
      <w:r>
        <w:rPr>
          <w:rStyle w:val="21"/>
          <w:color w:val="auto"/>
          <w:sz w:val="28"/>
          <w:szCs w:val="28"/>
          <w:highlight w:val="none"/>
        </w:rPr>
        <w:t xml:space="preserve">  </w:t>
      </w:r>
      <w:r>
        <w:rPr>
          <w:rStyle w:val="21"/>
          <w:rFonts w:hint="eastAsia"/>
          <w:color w:val="auto"/>
          <w:sz w:val="28"/>
          <w:szCs w:val="28"/>
          <w:highlight w:val="none"/>
        </w:rPr>
        <w:t>拟签订的合同文本</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_Toc74320804 \h </w:instrText>
      </w:r>
      <w:r>
        <w:rPr>
          <w:color w:val="auto"/>
          <w:sz w:val="28"/>
          <w:szCs w:val="28"/>
          <w:highlight w:val="none"/>
        </w:rPr>
        <w:fldChar w:fldCharType="separate"/>
      </w:r>
      <w:r>
        <w:rPr>
          <w:color w:val="auto"/>
          <w:sz w:val="28"/>
          <w:szCs w:val="28"/>
          <w:highlight w:val="none"/>
        </w:rPr>
        <w:t>82</w:t>
      </w:r>
      <w:r>
        <w:rPr>
          <w:color w:val="auto"/>
          <w:sz w:val="28"/>
          <w:szCs w:val="28"/>
          <w:highlight w:val="none"/>
        </w:rPr>
        <w:fldChar w:fldCharType="end"/>
      </w:r>
      <w:r>
        <w:rPr>
          <w:rStyle w:val="21"/>
          <w:color w:val="auto"/>
          <w:sz w:val="28"/>
          <w:szCs w:val="28"/>
          <w:highlight w:val="none"/>
        </w:rPr>
        <w:fldChar w:fldCharType="end"/>
      </w:r>
    </w:p>
    <w:p>
      <w:pPr>
        <w:pStyle w:val="15"/>
        <w:spacing w:line="480" w:lineRule="auto"/>
        <w:ind w:firstLine="241"/>
        <w:rPr>
          <w:rFonts w:ascii="Calibri" w:hAnsi="Calibri"/>
          <w:b w:val="0"/>
          <w:bCs w:val="0"/>
          <w:caps w:val="0"/>
          <w:color w:val="auto"/>
          <w:sz w:val="28"/>
          <w:szCs w:val="28"/>
          <w:highlight w:val="none"/>
          <w:lang w:val="en-US" w:eastAsia="zh-CN"/>
        </w:rPr>
      </w:pPr>
      <w:r>
        <w:rPr>
          <w:rStyle w:val="21"/>
          <w:color w:val="auto"/>
          <w:sz w:val="28"/>
          <w:szCs w:val="28"/>
          <w:highlight w:val="none"/>
        </w:rPr>
        <w:fldChar w:fldCharType="begin"/>
      </w:r>
      <w:r>
        <w:rPr>
          <w:rStyle w:val="21"/>
          <w:color w:val="auto"/>
          <w:sz w:val="28"/>
          <w:szCs w:val="28"/>
          <w:highlight w:val="none"/>
        </w:rPr>
        <w:instrText xml:space="preserve"> </w:instrText>
      </w:r>
      <w:r>
        <w:rPr>
          <w:color w:val="auto"/>
          <w:sz w:val="28"/>
          <w:szCs w:val="28"/>
          <w:highlight w:val="none"/>
        </w:rPr>
        <w:instrText xml:space="preserve">HYPERLINK \l "_Toc74320805"</w:instrText>
      </w:r>
      <w:r>
        <w:rPr>
          <w:rStyle w:val="21"/>
          <w:color w:val="auto"/>
          <w:sz w:val="28"/>
          <w:szCs w:val="28"/>
          <w:highlight w:val="none"/>
        </w:rPr>
        <w:instrText xml:space="preserve"> </w:instrText>
      </w:r>
      <w:r>
        <w:rPr>
          <w:rStyle w:val="21"/>
          <w:color w:val="auto"/>
          <w:sz w:val="28"/>
          <w:szCs w:val="28"/>
          <w:highlight w:val="none"/>
        </w:rPr>
        <w:fldChar w:fldCharType="separate"/>
      </w:r>
      <w:r>
        <w:rPr>
          <w:rStyle w:val="21"/>
          <w:rFonts w:hint="eastAsia"/>
          <w:color w:val="auto"/>
          <w:sz w:val="28"/>
          <w:szCs w:val="28"/>
          <w:highlight w:val="none"/>
        </w:rPr>
        <w:t>第六章　投标文件格式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_Toc74320805 \h </w:instrText>
      </w:r>
      <w:r>
        <w:rPr>
          <w:color w:val="auto"/>
          <w:sz w:val="28"/>
          <w:szCs w:val="28"/>
          <w:highlight w:val="none"/>
        </w:rPr>
        <w:fldChar w:fldCharType="separate"/>
      </w:r>
      <w:r>
        <w:rPr>
          <w:color w:val="auto"/>
          <w:sz w:val="28"/>
          <w:szCs w:val="28"/>
          <w:highlight w:val="none"/>
        </w:rPr>
        <w:t>91</w:t>
      </w:r>
      <w:r>
        <w:rPr>
          <w:color w:val="auto"/>
          <w:sz w:val="28"/>
          <w:szCs w:val="28"/>
          <w:highlight w:val="none"/>
        </w:rPr>
        <w:fldChar w:fldCharType="end"/>
      </w:r>
      <w:r>
        <w:rPr>
          <w:rStyle w:val="21"/>
          <w:color w:val="auto"/>
          <w:sz w:val="28"/>
          <w:szCs w:val="28"/>
          <w:highlight w:val="none"/>
        </w:rPr>
        <w:fldChar w:fldCharType="end"/>
      </w:r>
    </w:p>
    <w:p>
      <w:pPr>
        <w:spacing w:before="120" w:beforeLines="50" w:line="480" w:lineRule="auto"/>
        <w:rPr>
          <w:rFonts w:hint="eastAsia" w:ascii="仿宋_GB2312" w:hAnsi="宋体" w:eastAsia="仿宋_GB2312"/>
          <w:color w:val="auto"/>
          <w:sz w:val="24"/>
          <w:highlight w:val="none"/>
        </w:rPr>
      </w:pPr>
      <w:r>
        <w:rPr>
          <w:rFonts w:ascii="仿宋_GB2312" w:hAnsi="宋体" w:eastAsia="仿宋_GB2312"/>
          <w:b/>
          <w:color w:val="auto"/>
          <w:sz w:val="28"/>
          <w:szCs w:val="28"/>
          <w:highlight w:val="none"/>
        </w:rPr>
        <w:fldChar w:fldCharType="end"/>
      </w:r>
    </w:p>
    <w:p>
      <w:pPr>
        <w:spacing w:before="120" w:beforeLines="50" w:line="480" w:lineRule="exact"/>
        <w:rPr>
          <w:rFonts w:hint="eastAsia" w:ascii="仿宋_GB2312" w:hAnsi="宋体" w:eastAsia="仿宋_GB2312"/>
          <w:color w:val="auto"/>
          <w:sz w:val="30"/>
          <w:highlight w:val="none"/>
        </w:rPr>
      </w:pPr>
    </w:p>
    <w:p>
      <w:pPr>
        <w:rPr>
          <w:rFonts w:hint="eastAsia"/>
          <w:color w:val="auto"/>
          <w:highlight w:val="none"/>
        </w:rPr>
      </w:pPr>
    </w:p>
    <w:p>
      <w:pPr>
        <w:spacing w:before="120" w:beforeLines="50" w:line="480" w:lineRule="exact"/>
        <w:rPr>
          <w:rFonts w:hint="eastAsia" w:ascii="仿宋_GB2312" w:hAnsi="宋体" w:eastAsia="仿宋_GB2312"/>
          <w:color w:val="auto"/>
          <w:sz w:val="30"/>
          <w:highlight w:val="none"/>
        </w:rPr>
      </w:pPr>
    </w:p>
    <w:p>
      <w:pPr>
        <w:spacing w:before="120" w:beforeLines="50" w:line="480" w:lineRule="exact"/>
        <w:rPr>
          <w:rFonts w:hint="eastAsia" w:ascii="仿宋_GB2312" w:hAnsi="宋体" w:eastAsia="仿宋_GB2312"/>
          <w:color w:val="auto"/>
          <w:sz w:val="30"/>
          <w:highlight w:val="none"/>
        </w:rPr>
      </w:pPr>
    </w:p>
    <w:p>
      <w:pPr>
        <w:pStyle w:val="8"/>
        <w:rPr>
          <w:rFonts w:hint="eastAsia" w:ascii="宋体" w:hAnsi="宋体" w:cs="宋体"/>
          <w:b/>
          <w:bCs/>
          <w:color w:val="auto"/>
          <w:highlight w:val="none"/>
        </w:rPr>
      </w:pPr>
      <w:bookmarkStart w:id="6" w:name="_Toc254970630"/>
      <w:bookmarkStart w:id="7" w:name="_Toc254970489"/>
    </w:p>
    <w:p>
      <w:pPr>
        <w:pStyle w:val="2"/>
        <w:keepNext w:val="0"/>
        <w:keepLines w:val="0"/>
        <w:tabs>
          <w:tab w:val="left" w:pos="0"/>
          <w:tab w:val="left" w:pos="3165"/>
          <w:tab w:val="center" w:pos="4153"/>
        </w:tabs>
        <w:autoSpaceDE w:val="0"/>
        <w:autoSpaceDN w:val="0"/>
        <w:adjustRightInd w:val="0"/>
        <w:spacing w:before="0" w:after="0" w:line="360" w:lineRule="auto"/>
        <w:jc w:val="center"/>
        <w:rPr>
          <w:rFonts w:hint="eastAsia"/>
          <w:color w:val="auto"/>
          <w:highlight w:val="none"/>
        </w:rPr>
        <w:sectPr>
          <w:headerReference r:id="rId3" w:type="default"/>
          <w:pgSz w:w="11906" w:h="16838"/>
          <w:pgMar w:top="1440" w:right="1797" w:bottom="1440" w:left="1797" w:header="851" w:footer="992" w:gutter="0"/>
          <w:cols w:space="720" w:num="1"/>
          <w:docGrid w:linePitch="312" w:charSpace="0"/>
        </w:sectPr>
      </w:pPr>
      <w:bookmarkStart w:id="8" w:name="_Toc74320800"/>
    </w:p>
    <w:p>
      <w:pPr>
        <w:pStyle w:val="2"/>
        <w:keepNext w:val="0"/>
        <w:keepLines w:val="0"/>
        <w:tabs>
          <w:tab w:val="left" w:pos="0"/>
          <w:tab w:val="left" w:pos="3165"/>
          <w:tab w:val="center" w:pos="4153"/>
        </w:tabs>
        <w:autoSpaceDE w:val="0"/>
        <w:autoSpaceDN w:val="0"/>
        <w:adjustRightInd w:val="0"/>
        <w:spacing w:before="0" w:after="0" w:line="360" w:lineRule="auto"/>
        <w:jc w:val="center"/>
        <w:rPr>
          <w:rFonts w:hint="eastAsia" w:eastAsia="宋体"/>
          <w:color w:val="auto"/>
          <w:highlight w:val="none"/>
          <w:lang w:eastAsia="zh-CN"/>
        </w:rPr>
      </w:pPr>
      <w:r>
        <w:rPr>
          <w:rFonts w:hint="eastAsia"/>
          <w:color w:val="auto"/>
          <w:highlight w:val="none"/>
        </w:rPr>
        <w:t>第一章</w:t>
      </w:r>
      <w:bookmarkEnd w:id="6"/>
      <w:bookmarkEnd w:id="7"/>
      <w:bookmarkStart w:id="9" w:name="_Toc28359001"/>
      <w:bookmarkStart w:id="10" w:name="_Toc35393789"/>
      <w:r>
        <w:rPr>
          <w:rFonts w:hint="eastAsia"/>
          <w:color w:val="auto"/>
          <w:highlight w:val="none"/>
        </w:rPr>
        <w:t xml:space="preserve"> 招标公告</w:t>
      </w:r>
      <w:bookmarkEnd w:id="8"/>
      <w:bookmarkEnd w:id="9"/>
      <w:bookmarkEnd w:id="10"/>
    </w:p>
    <w:p>
      <w:pPr>
        <w:pStyle w:val="2"/>
        <w:keepNext w:val="0"/>
        <w:keepLines w:val="0"/>
        <w:tabs>
          <w:tab w:val="left" w:pos="0"/>
          <w:tab w:val="left" w:pos="3165"/>
          <w:tab w:val="center" w:pos="4153"/>
        </w:tabs>
        <w:autoSpaceDE w:val="0"/>
        <w:autoSpaceDN w:val="0"/>
        <w:adjustRightInd w:val="0"/>
        <w:spacing w:before="0" w:after="0" w:line="360" w:lineRule="auto"/>
        <w:jc w:val="center"/>
        <w:rPr>
          <w:rFonts w:hint="eastAsia" w:ascii="Times New Roman" w:hAnsi="Times New Roman" w:eastAsia="宋体" w:cs="Times New Roman"/>
          <w:b/>
          <w:bCs/>
          <w:color w:val="auto"/>
          <w:highlight w:val="none"/>
        </w:rPr>
      </w:pPr>
      <w:r>
        <w:rPr>
          <w:rFonts w:hint="eastAsia" w:cs="Times New Roman"/>
          <w:b/>
          <w:bCs/>
          <w:color w:val="auto"/>
          <w:highlight w:val="none"/>
          <w:lang w:eastAsia="zh-CN"/>
        </w:rPr>
        <w:t>靖西市人民医院新院一批设备采购项目</w:t>
      </w:r>
      <w:r>
        <w:rPr>
          <w:rFonts w:hint="eastAsia" w:ascii="Times New Roman" w:hAnsi="Times New Roman" w:eastAsia="宋体" w:cs="Times New Roman"/>
          <w:b/>
          <w:bCs/>
          <w:color w:val="auto"/>
          <w:highlight w:val="none"/>
          <w:lang w:eastAsia="zh-CN"/>
        </w:rPr>
        <w:t>招标公告</w:t>
      </w:r>
      <w:r>
        <w:rPr>
          <w:rFonts w:hint="eastAsia"/>
          <w:color w:val="auto"/>
          <w:highlight w:val="none"/>
          <w:lang w:eastAsia="zh-CN"/>
        </w:rPr>
        <w:t>（远程异地评标）</w:t>
      </w:r>
    </w:p>
    <w:p>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s="Times New Roman"/>
          <w:color w:val="auto"/>
          <w:szCs w:val="21"/>
          <w:highlight w:val="none"/>
          <w:u w:val="single"/>
          <w:lang w:eastAsia="zh-CN"/>
        </w:rPr>
        <w:t>靖西市人民医院新院一批设备采购项目</w:t>
      </w:r>
      <w:r>
        <w:rPr>
          <w:rFonts w:hint="eastAsia" w:ascii="宋体" w:hAnsi="宋体" w:eastAsia="宋体" w:cs="Times New Roman"/>
          <w:color w:val="auto"/>
          <w:szCs w:val="21"/>
          <w:highlight w:val="none"/>
          <w:u w:val="none"/>
          <w:lang w:eastAsia="zh-CN"/>
        </w:rPr>
        <w:t xml:space="preserve"> </w:t>
      </w:r>
      <w:r>
        <w:rPr>
          <w:rFonts w:hint="eastAsia" w:ascii="宋体" w:hAnsi="宋体" w:eastAsia="宋体" w:cs="Times New Roman"/>
          <w:color w:val="auto"/>
          <w:szCs w:val="21"/>
          <w:highlight w:val="none"/>
          <w:lang w:eastAsia="zh-CN"/>
        </w:rPr>
        <w:t>招标项目的潜在投标人应在</w:t>
      </w:r>
      <w:r>
        <w:rPr>
          <w:rFonts w:hint="eastAsia" w:ascii="宋体" w:hAnsi="宋体" w:eastAsia="宋体" w:cs="Times New Roman"/>
          <w:color w:val="auto"/>
          <w:szCs w:val="21"/>
          <w:highlight w:val="none"/>
          <w:u w:val="single"/>
          <w:lang w:eastAsia="zh-CN"/>
        </w:rPr>
        <w:t>广西政府采购云平台（https://www.gcy.zfcg.gxzf.gov.cn/）</w:t>
      </w:r>
      <w:r>
        <w:rPr>
          <w:rFonts w:hint="eastAsia" w:ascii="宋体" w:hAnsi="宋体" w:eastAsia="宋体" w:cs="Times New Roman"/>
          <w:color w:val="auto"/>
          <w:szCs w:val="21"/>
          <w:highlight w:val="none"/>
          <w:lang w:eastAsia="zh-CN"/>
        </w:rPr>
        <w:t>获取招标文件，并于</w:t>
      </w:r>
      <w:r>
        <w:rPr>
          <w:rFonts w:hint="eastAsia" w:ascii="宋体" w:hAnsi="宋体" w:eastAsia="宋体" w:cs="Times New Roman"/>
          <w:color w:val="auto"/>
          <w:szCs w:val="21"/>
          <w:highlight w:val="none"/>
          <w:u w:val="single"/>
          <w:lang w:eastAsia="zh-CN"/>
        </w:rPr>
        <w:t xml:space="preserve"> </w:t>
      </w:r>
      <w:r>
        <w:rPr>
          <w:rFonts w:hint="eastAsia" w:ascii="宋体" w:hAnsi="宋体" w:eastAsia="宋体" w:cs="Times New Roman"/>
          <w:color w:val="auto"/>
          <w:szCs w:val="21"/>
          <w:highlight w:val="none"/>
          <w:u w:val="single"/>
          <w:lang w:val="en-US" w:eastAsia="zh-CN"/>
        </w:rPr>
        <w:t>202</w:t>
      </w:r>
      <w:r>
        <w:rPr>
          <w:rFonts w:hint="eastAsia" w:ascii="宋体" w:hAnsi="宋体" w:cs="Times New Roman"/>
          <w:color w:val="auto"/>
          <w:szCs w:val="21"/>
          <w:highlight w:val="none"/>
          <w:u w:val="single"/>
          <w:lang w:val="en-US" w:eastAsia="zh-CN"/>
        </w:rPr>
        <w:t>5</w:t>
      </w:r>
      <w:r>
        <w:rPr>
          <w:rFonts w:hint="eastAsia" w:ascii="宋体" w:hAnsi="宋体" w:eastAsia="宋体" w:cs="Times New Roman"/>
          <w:color w:val="auto"/>
          <w:szCs w:val="21"/>
          <w:highlight w:val="none"/>
          <w:u w:val="single"/>
          <w:lang w:eastAsia="zh-CN"/>
        </w:rPr>
        <w:t>年</w:t>
      </w:r>
      <w:r>
        <w:rPr>
          <w:rFonts w:hint="eastAsia" w:ascii="宋体" w:hAnsi="宋体" w:cs="Times New Roman"/>
          <w:color w:val="auto"/>
          <w:szCs w:val="21"/>
          <w:highlight w:val="none"/>
          <w:u w:val="single"/>
          <w:lang w:val="en-US" w:eastAsia="zh-CN"/>
        </w:rPr>
        <w:t xml:space="preserve">  </w:t>
      </w:r>
      <w:r>
        <w:rPr>
          <w:rFonts w:hint="eastAsia" w:ascii="宋体" w:hAnsi="宋体" w:eastAsia="宋体" w:cs="Times New Roman"/>
          <w:color w:val="auto"/>
          <w:szCs w:val="21"/>
          <w:highlight w:val="none"/>
          <w:u w:val="single"/>
          <w:lang w:eastAsia="zh-CN"/>
        </w:rPr>
        <w:t>月</w:t>
      </w:r>
      <w:r>
        <w:rPr>
          <w:rFonts w:hint="eastAsia" w:ascii="宋体" w:hAnsi="宋体" w:cs="Times New Roman"/>
          <w:color w:val="auto"/>
          <w:szCs w:val="21"/>
          <w:highlight w:val="none"/>
          <w:u w:val="single"/>
          <w:lang w:val="en-US" w:eastAsia="zh-CN"/>
        </w:rPr>
        <w:t xml:space="preserve">  </w:t>
      </w:r>
      <w:r>
        <w:rPr>
          <w:rFonts w:hint="eastAsia" w:ascii="宋体" w:hAnsi="宋体" w:eastAsia="宋体" w:cs="Times New Roman"/>
          <w:color w:val="auto"/>
          <w:szCs w:val="21"/>
          <w:highlight w:val="none"/>
          <w:u w:val="single"/>
          <w:lang w:eastAsia="zh-CN"/>
        </w:rPr>
        <w:t>日</w:t>
      </w:r>
      <w:r>
        <w:rPr>
          <w:rFonts w:hint="eastAsia" w:ascii="宋体" w:hAnsi="宋体" w:eastAsia="宋体" w:cs="Times New Roman"/>
          <w:color w:val="auto"/>
          <w:szCs w:val="21"/>
          <w:highlight w:val="none"/>
          <w:lang w:val="en-US" w:eastAsia="zh-CN"/>
        </w:rPr>
        <w:t>09</w:t>
      </w:r>
      <w:r>
        <w:rPr>
          <w:rFonts w:hint="eastAsia" w:ascii="宋体" w:hAnsi="宋体" w:eastAsia="宋体" w:cs="Times New Roman"/>
          <w:color w:val="auto"/>
          <w:szCs w:val="21"/>
          <w:highlight w:val="none"/>
          <w:lang w:eastAsia="zh-CN"/>
        </w:rPr>
        <w:t>时</w:t>
      </w:r>
      <w:r>
        <w:rPr>
          <w:rFonts w:hint="eastAsia" w:ascii="宋体" w:hAnsi="宋体" w:eastAsia="宋体" w:cs="Times New Roman"/>
          <w:color w:val="auto"/>
          <w:szCs w:val="21"/>
          <w:highlight w:val="none"/>
          <w:lang w:val="en-US" w:eastAsia="zh-CN"/>
        </w:rPr>
        <w:t>30</w:t>
      </w:r>
      <w:r>
        <w:rPr>
          <w:rFonts w:hint="eastAsia" w:ascii="宋体" w:hAnsi="宋体" w:eastAsia="宋体" w:cs="Times New Roman"/>
          <w:color w:val="auto"/>
          <w:szCs w:val="21"/>
          <w:highlight w:val="none"/>
          <w:lang w:eastAsia="zh-CN"/>
        </w:rPr>
        <w:t>分（北京时间）前递交投标文件。</w:t>
      </w:r>
    </w:p>
    <w:p>
      <w:pPr>
        <w:spacing w:line="360" w:lineRule="auto"/>
        <w:rPr>
          <w:rFonts w:ascii="宋体" w:hAnsi="宋体"/>
          <w:color w:val="auto"/>
          <w:szCs w:val="21"/>
          <w:highlight w:val="none"/>
        </w:rPr>
      </w:pPr>
    </w:p>
    <w:p>
      <w:pPr>
        <w:spacing w:line="360" w:lineRule="auto"/>
        <w:rPr>
          <w:rFonts w:ascii="黑体" w:hAnsi="黑体" w:eastAsia="黑体"/>
          <w:b/>
          <w:bCs/>
          <w:color w:val="auto"/>
          <w:sz w:val="24"/>
          <w:highlight w:val="none"/>
        </w:rPr>
      </w:pPr>
      <w:bookmarkStart w:id="11" w:name="_Toc35393790"/>
      <w:bookmarkStart w:id="12" w:name="_Toc35393621"/>
      <w:bookmarkStart w:id="13" w:name="_Toc28359079"/>
      <w:bookmarkStart w:id="14" w:name="_Toc28359002"/>
      <w:bookmarkStart w:id="15" w:name="_Hlk24379207"/>
      <w:r>
        <w:rPr>
          <w:rFonts w:hint="eastAsia" w:ascii="黑体" w:hAnsi="黑体" w:eastAsia="黑体"/>
          <w:b/>
          <w:bCs/>
          <w:color w:val="auto"/>
          <w:sz w:val="24"/>
          <w:highlight w:val="none"/>
        </w:rPr>
        <w:t>一、项目基本情况</w:t>
      </w:r>
      <w:bookmarkEnd w:id="11"/>
      <w:bookmarkEnd w:id="12"/>
      <w:bookmarkEnd w:id="13"/>
      <w:bookmarkEnd w:id="14"/>
    </w:p>
    <w:p>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项目编号：BBSZC2025-G1-250003-GXBS</w:t>
      </w:r>
    </w:p>
    <w:p>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项目名称：</w:t>
      </w:r>
      <w:r>
        <w:rPr>
          <w:rFonts w:hint="eastAsia" w:ascii="宋体" w:hAnsi="宋体"/>
          <w:color w:val="auto"/>
          <w:szCs w:val="21"/>
          <w:highlight w:val="none"/>
          <w:u w:val="single"/>
          <w:lang w:eastAsia="zh-CN"/>
        </w:rPr>
        <w:t>靖西市人民医院新院一批设备采购项目</w:t>
      </w:r>
    </w:p>
    <w:bookmarkEnd w:id="15"/>
    <w:p>
      <w:pPr>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rPr>
        <w:t>预算金额：</w:t>
      </w:r>
      <w:r>
        <w:rPr>
          <w:rFonts w:ascii="宋体" w:hAnsi="宋体"/>
          <w:color w:val="auto"/>
          <w:szCs w:val="21"/>
          <w:highlight w:val="none"/>
          <w:u w:val="single"/>
        </w:rPr>
        <w:t xml:space="preserve"> </w:t>
      </w:r>
      <w:r>
        <w:rPr>
          <w:rFonts w:hint="eastAsia" w:ascii="宋体" w:hAnsi="宋体" w:eastAsia="宋体" w:cs="宋体"/>
          <w:color w:val="auto"/>
          <w:szCs w:val="21"/>
          <w:highlight w:val="none"/>
          <w:u w:val="single"/>
        </w:rPr>
        <w:t>¥</w:t>
      </w:r>
      <w:r>
        <w:rPr>
          <w:rFonts w:hint="eastAsia" w:ascii="宋体" w:hAnsi="宋体"/>
          <w:color w:val="auto"/>
          <w:szCs w:val="21"/>
          <w:highlight w:val="none"/>
          <w:u w:val="single"/>
          <w:lang w:val="en-US" w:eastAsia="zh-CN"/>
        </w:rPr>
        <w:t>10081380.00</w:t>
      </w:r>
      <w:r>
        <w:rPr>
          <w:rFonts w:hint="eastAsia" w:ascii="宋体" w:hAnsi="宋体"/>
          <w:color w:val="auto"/>
          <w:szCs w:val="21"/>
          <w:highlight w:val="none"/>
          <w:u w:val="single"/>
        </w:rPr>
        <w:t>元</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最高限价： ¥</w:t>
      </w:r>
      <w:r>
        <w:rPr>
          <w:rFonts w:hint="eastAsia" w:ascii="宋体" w:hAnsi="宋体"/>
          <w:color w:val="auto"/>
          <w:szCs w:val="21"/>
          <w:highlight w:val="none"/>
          <w:u w:val="single"/>
          <w:lang w:val="en-US" w:eastAsia="zh-CN"/>
        </w:rPr>
        <w:t>10081380.00</w:t>
      </w:r>
      <w:r>
        <w:rPr>
          <w:rFonts w:hint="eastAsia" w:ascii="宋体" w:hAnsi="宋体" w:eastAsia="宋体" w:cs="Times New Roman"/>
          <w:color w:val="auto"/>
          <w:szCs w:val="21"/>
          <w:highlight w:val="none"/>
        </w:rPr>
        <w:t>元</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采购需求：</w:t>
      </w:r>
    </w:p>
    <w:p>
      <w:pPr>
        <w:spacing w:line="360" w:lineRule="auto"/>
        <w:ind w:firstLine="422" w:firstLineChars="200"/>
        <w:rPr>
          <w:rFonts w:hint="eastAsia" w:ascii="宋体" w:hAnsi="宋体" w:eastAsia="宋体" w:cs="Times New Roman"/>
          <w:b/>
          <w:bCs/>
          <w:color w:val="auto"/>
          <w:szCs w:val="21"/>
          <w:highlight w:val="none"/>
        </w:rPr>
      </w:pPr>
      <w:r>
        <w:rPr>
          <w:rFonts w:hint="eastAsia" w:ascii="宋体" w:hAnsi="宋体" w:eastAsia="宋体" w:cs="Times New Roman"/>
          <w:b/>
          <w:bCs/>
          <w:color w:val="auto"/>
          <w:szCs w:val="21"/>
          <w:highlight w:val="none"/>
          <w:lang w:val="en-US" w:eastAsia="zh-CN"/>
        </w:rPr>
        <w:t xml:space="preserve">标项 1：标项名称：电切内窥镜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数量：1 套 </w:t>
      </w:r>
    </w:p>
    <w:p>
      <w:pPr>
        <w:spacing w:line="360" w:lineRule="auto"/>
        <w:ind w:firstLine="420" w:firstLineChars="200"/>
        <w:rPr>
          <w:rFonts w:hint="default" w:ascii="仿宋" w:hAnsi="仿宋" w:eastAsia="仿宋" w:cs="仿宋"/>
          <w:i w:val="0"/>
          <w:color w:val="auto"/>
          <w:kern w:val="0"/>
          <w:sz w:val="24"/>
          <w:szCs w:val="24"/>
          <w:highlight w:val="none"/>
          <w:u w:val="none"/>
          <w:lang w:val="en-US" w:eastAsia="zh-CN" w:bidi="ar"/>
        </w:rPr>
      </w:pPr>
      <w:r>
        <w:rPr>
          <w:rFonts w:hint="eastAsia" w:ascii="宋体" w:hAnsi="宋体" w:eastAsia="宋体" w:cs="Times New Roman"/>
          <w:color w:val="auto"/>
          <w:szCs w:val="21"/>
          <w:highlight w:val="none"/>
          <w:lang w:val="en-US" w:eastAsia="zh-CN"/>
        </w:rPr>
        <w:t>预算金额（元）：135980.00</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简要规格描述或项目基本概况介绍、用途：具体内容详见附件：采购需求表；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最高限价：135980.00 元。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合同履约期限：</w:t>
      </w:r>
      <w:r>
        <w:rPr>
          <w:rFonts w:hint="eastAsia" w:ascii="宋体" w:hAnsi="宋体"/>
          <w:color w:val="auto"/>
          <w:szCs w:val="21"/>
          <w:highlight w:val="none"/>
          <w:lang w:val="en-US" w:eastAsia="zh-CN"/>
        </w:rPr>
        <w:t>自合同签订之日起</w:t>
      </w:r>
      <w:r>
        <w:rPr>
          <w:rFonts w:hint="eastAsia" w:ascii="宋体" w:hAnsi="宋体"/>
          <w:color w:val="auto"/>
          <w:szCs w:val="21"/>
          <w:highlight w:val="none"/>
          <w:lang w:val="en-US" w:eastAsia="zh-CN"/>
        </w:rPr>
        <w:t>25</w:t>
      </w:r>
      <w:r>
        <w:rPr>
          <w:rFonts w:hint="eastAsia" w:ascii="宋体" w:hAnsi="宋体"/>
          <w:color w:val="auto"/>
          <w:szCs w:val="21"/>
          <w:highlight w:val="none"/>
          <w:lang w:val="en-US" w:eastAsia="zh-CN"/>
        </w:rPr>
        <w:t>日历天内供货并安装调试完毕。</w:t>
      </w:r>
      <w:r>
        <w:rPr>
          <w:rFonts w:hint="eastAsia" w:ascii="宋体" w:hAnsi="宋体" w:eastAsia="宋体" w:cs="Times New Roman"/>
          <w:color w:val="auto"/>
          <w:szCs w:val="21"/>
          <w:highlight w:val="none"/>
          <w:lang w:val="en-US" w:eastAsia="zh-CN"/>
        </w:rPr>
        <w:t xml:space="preserve">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本标项（否）接受联合体投标。 </w:t>
      </w:r>
    </w:p>
    <w:p>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备注：/</w:t>
      </w:r>
    </w:p>
    <w:p>
      <w:pPr>
        <w:spacing w:line="360" w:lineRule="auto"/>
        <w:ind w:firstLine="422" w:firstLineChars="200"/>
        <w:rPr>
          <w:rFonts w:hint="eastAsia" w:ascii="宋体" w:hAnsi="宋体" w:eastAsia="宋体" w:cs="Times New Roman"/>
          <w:b/>
          <w:bCs/>
          <w:color w:val="auto"/>
          <w:szCs w:val="21"/>
          <w:highlight w:val="none"/>
        </w:rPr>
      </w:pPr>
      <w:r>
        <w:rPr>
          <w:rFonts w:hint="eastAsia" w:ascii="宋体" w:hAnsi="宋体" w:eastAsia="宋体" w:cs="Times New Roman"/>
          <w:b/>
          <w:bCs/>
          <w:color w:val="auto"/>
          <w:szCs w:val="21"/>
          <w:highlight w:val="none"/>
          <w:lang w:val="en-US" w:eastAsia="zh-CN"/>
        </w:rPr>
        <w:t>标项 2：标项名称：遥测监护系统（一拖十）</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数量：1 套 </w:t>
      </w:r>
    </w:p>
    <w:p>
      <w:pPr>
        <w:spacing w:line="360" w:lineRule="auto"/>
        <w:ind w:firstLine="420" w:firstLineChars="200"/>
        <w:rPr>
          <w:rFonts w:hint="default" w:ascii="仿宋" w:hAnsi="仿宋" w:eastAsia="仿宋" w:cs="仿宋"/>
          <w:i w:val="0"/>
          <w:color w:val="auto"/>
          <w:kern w:val="0"/>
          <w:sz w:val="24"/>
          <w:szCs w:val="24"/>
          <w:highlight w:val="none"/>
          <w:u w:val="none"/>
          <w:lang w:val="en-US" w:eastAsia="zh-CN" w:bidi="ar"/>
        </w:rPr>
      </w:pPr>
      <w:r>
        <w:rPr>
          <w:rFonts w:hint="eastAsia" w:ascii="宋体" w:hAnsi="宋体" w:eastAsia="宋体" w:cs="Times New Roman"/>
          <w:color w:val="auto"/>
          <w:szCs w:val="21"/>
          <w:highlight w:val="none"/>
          <w:lang w:val="en-US" w:eastAsia="zh-CN"/>
        </w:rPr>
        <w:t>预算金额（元）：80000.00</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简要规格描述或项目基本概况介绍、用途：具体内容详见附件：采购需求表；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最高限价：80000.00元。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合同履约期限：</w:t>
      </w:r>
      <w:r>
        <w:rPr>
          <w:rFonts w:hint="eastAsia" w:ascii="宋体" w:hAnsi="宋体"/>
          <w:color w:val="auto"/>
          <w:szCs w:val="21"/>
          <w:highlight w:val="none"/>
          <w:lang w:val="en-US" w:eastAsia="zh-CN"/>
        </w:rPr>
        <w:t>自合同签订之日起</w:t>
      </w:r>
      <w:r>
        <w:rPr>
          <w:rFonts w:hint="eastAsia" w:ascii="宋体" w:hAnsi="宋体"/>
          <w:color w:val="auto"/>
          <w:szCs w:val="21"/>
          <w:highlight w:val="none"/>
          <w:lang w:val="en-US" w:eastAsia="zh-CN"/>
        </w:rPr>
        <w:t>25</w:t>
      </w:r>
      <w:r>
        <w:rPr>
          <w:rFonts w:hint="eastAsia" w:ascii="宋体" w:hAnsi="宋体"/>
          <w:color w:val="auto"/>
          <w:szCs w:val="21"/>
          <w:highlight w:val="none"/>
          <w:lang w:val="en-US" w:eastAsia="zh-CN"/>
        </w:rPr>
        <w:t>日历天内供货并安装调试完毕。</w:t>
      </w:r>
      <w:r>
        <w:rPr>
          <w:rFonts w:hint="eastAsia" w:ascii="宋体" w:hAnsi="宋体" w:eastAsia="宋体" w:cs="Times New Roman"/>
          <w:color w:val="auto"/>
          <w:szCs w:val="21"/>
          <w:highlight w:val="none"/>
          <w:lang w:val="en-US" w:eastAsia="zh-CN"/>
        </w:rPr>
        <w:t xml:space="preserve">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本标项（否）接受联合体投标。 </w:t>
      </w:r>
    </w:p>
    <w:p>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备注：/</w:t>
      </w:r>
    </w:p>
    <w:p>
      <w:pPr>
        <w:spacing w:line="360" w:lineRule="auto"/>
        <w:ind w:firstLine="422"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b/>
          <w:bCs/>
          <w:color w:val="auto"/>
          <w:szCs w:val="21"/>
          <w:highlight w:val="none"/>
          <w:lang w:val="en-US" w:eastAsia="zh-CN"/>
        </w:rPr>
        <w:t>标项 3：标项名称：血液透析滤过机（双泵）</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数量：</w:t>
      </w:r>
      <w:r>
        <w:rPr>
          <w:rFonts w:hint="eastAsia" w:ascii="宋体" w:hAnsi="宋体" w:cs="Times New Roman"/>
          <w:color w:val="auto"/>
          <w:szCs w:val="21"/>
          <w:highlight w:val="none"/>
          <w:lang w:val="en-US" w:eastAsia="zh-CN"/>
        </w:rPr>
        <w:t>10</w:t>
      </w:r>
      <w:r>
        <w:rPr>
          <w:rFonts w:hint="eastAsia" w:ascii="宋体" w:hAnsi="宋体" w:eastAsia="宋体" w:cs="Times New Roman"/>
          <w:color w:val="auto"/>
          <w:szCs w:val="21"/>
          <w:highlight w:val="none"/>
          <w:lang w:val="en-US" w:eastAsia="zh-CN"/>
        </w:rPr>
        <w:t xml:space="preserve">套 </w:t>
      </w:r>
    </w:p>
    <w:p>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预算金额（元）：2135000.00</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简要规格描述或项目基本概况介绍、用途：具体内容详见附件：采购需求表；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最高限价：2135000.00元。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合同履约期限：</w:t>
      </w:r>
      <w:r>
        <w:rPr>
          <w:rFonts w:hint="eastAsia" w:ascii="宋体" w:hAnsi="宋体"/>
          <w:color w:val="auto"/>
          <w:szCs w:val="21"/>
          <w:highlight w:val="none"/>
          <w:lang w:val="en-US" w:eastAsia="zh-CN"/>
        </w:rPr>
        <w:t>自合同签订之日起</w:t>
      </w:r>
      <w:r>
        <w:rPr>
          <w:rFonts w:hint="eastAsia" w:ascii="宋体" w:hAnsi="宋体"/>
          <w:color w:val="auto"/>
          <w:szCs w:val="21"/>
          <w:highlight w:val="none"/>
          <w:lang w:val="en-US" w:eastAsia="zh-CN"/>
        </w:rPr>
        <w:t>60日历天</w:t>
      </w:r>
      <w:r>
        <w:rPr>
          <w:rFonts w:hint="eastAsia" w:ascii="宋体" w:hAnsi="宋体"/>
          <w:color w:val="auto"/>
          <w:szCs w:val="21"/>
          <w:highlight w:val="none"/>
          <w:lang w:val="en-US" w:eastAsia="zh-CN"/>
        </w:rPr>
        <w:t>内供货并安装调试完毕。</w:t>
      </w:r>
      <w:r>
        <w:rPr>
          <w:rFonts w:hint="eastAsia" w:ascii="宋体" w:hAnsi="宋体" w:eastAsia="宋体" w:cs="Times New Roman"/>
          <w:color w:val="auto"/>
          <w:szCs w:val="21"/>
          <w:highlight w:val="none"/>
          <w:lang w:val="en-US" w:eastAsia="zh-CN"/>
        </w:rPr>
        <w:t xml:space="preserve">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本标项（否）接受联合体投标。 </w:t>
      </w:r>
    </w:p>
    <w:p>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备注：/</w:t>
      </w:r>
    </w:p>
    <w:p>
      <w:pPr>
        <w:spacing w:line="360" w:lineRule="auto"/>
        <w:ind w:firstLine="422" w:firstLineChars="200"/>
        <w:rPr>
          <w:rFonts w:hint="eastAsia" w:ascii="宋体" w:hAnsi="宋体" w:eastAsia="宋体" w:cs="Times New Roman"/>
          <w:b/>
          <w:bCs/>
          <w:color w:val="auto"/>
          <w:szCs w:val="21"/>
          <w:highlight w:val="none"/>
        </w:rPr>
      </w:pPr>
      <w:r>
        <w:rPr>
          <w:rFonts w:hint="eastAsia" w:ascii="宋体" w:hAnsi="宋体" w:eastAsia="宋体" w:cs="Times New Roman"/>
          <w:b/>
          <w:bCs/>
          <w:color w:val="auto"/>
          <w:szCs w:val="21"/>
          <w:highlight w:val="none"/>
          <w:lang w:val="en-US" w:eastAsia="zh-CN"/>
        </w:rPr>
        <w:t>标项 4：标项名称：双级反渗透水处理设备</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数量：1 套 </w:t>
      </w:r>
    </w:p>
    <w:p>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预算金额（元）：550000.00</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简要规格描述或项目基本概况介绍、用途：具体内容详见附件：采购需求表；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最高限价：550000.00元。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合同履约期限：</w:t>
      </w:r>
      <w:r>
        <w:rPr>
          <w:rFonts w:hint="eastAsia" w:ascii="宋体" w:hAnsi="宋体"/>
          <w:color w:val="auto"/>
          <w:szCs w:val="21"/>
          <w:highlight w:val="none"/>
          <w:lang w:val="en-US" w:eastAsia="zh-CN"/>
        </w:rPr>
        <w:t>自合同签订之日起</w:t>
      </w:r>
      <w:r>
        <w:rPr>
          <w:rFonts w:hint="eastAsia" w:ascii="宋体" w:hAnsi="宋体"/>
          <w:color w:val="auto"/>
          <w:szCs w:val="21"/>
          <w:highlight w:val="none"/>
          <w:lang w:val="en-US" w:eastAsia="zh-CN"/>
        </w:rPr>
        <w:t>30日历天</w:t>
      </w:r>
      <w:r>
        <w:rPr>
          <w:rFonts w:hint="eastAsia" w:ascii="宋体" w:hAnsi="宋体"/>
          <w:color w:val="auto"/>
          <w:szCs w:val="21"/>
          <w:highlight w:val="none"/>
          <w:lang w:val="en-US" w:eastAsia="zh-CN"/>
        </w:rPr>
        <w:t>内供货并安装调试完毕。</w:t>
      </w:r>
      <w:r>
        <w:rPr>
          <w:rFonts w:hint="eastAsia" w:ascii="宋体" w:hAnsi="宋体" w:eastAsia="宋体" w:cs="Times New Roman"/>
          <w:color w:val="auto"/>
          <w:szCs w:val="21"/>
          <w:highlight w:val="none"/>
          <w:lang w:val="en-US" w:eastAsia="zh-CN"/>
        </w:rPr>
        <w:t xml:space="preserve">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本标项（否）接受联合体投标。 </w:t>
      </w:r>
    </w:p>
    <w:p>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备注：/</w:t>
      </w:r>
    </w:p>
    <w:p>
      <w:pPr>
        <w:spacing w:line="360" w:lineRule="auto"/>
        <w:ind w:firstLine="422" w:firstLineChars="200"/>
        <w:rPr>
          <w:rFonts w:hint="eastAsia" w:ascii="宋体" w:hAnsi="宋体" w:eastAsia="宋体" w:cs="Times New Roman"/>
          <w:b/>
          <w:bCs/>
          <w:color w:val="auto"/>
          <w:szCs w:val="21"/>
          <w:highlight w:val="none"/>
        </w:rPr>
      </w:pPr>
      <w:r>
        <w:rPr>
          <w:rFonts w:hint="eastAsia" w:ascii="宋体" w:hAnsi="宋体" w:eastAsia="宋体" w:cs="Times New Roman"/>
          <w:b/>
          <w:bCs/>
          <w:color w:val="auto"/>
          <w:szCs w:val="21"/>
          <w:highlight w:val="none"/>
          <w:lang w:val="en-US" w:eastAsia="zh-CN"/>
        </w:rPr>
        <w:t>标项 5：标项名称：口腔综合治疗牙椅</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数量：6 套 </w:t>
      </w:r>
    </w:p>
    <w:p>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预算金额（元）：180000.00</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简要规格描述或项目基本概况介绍、用途：具体内容详见附件：采购需求表；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最高限价：180000.00元。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合同履约期限：</w:t>
      </w:r>
      <w:r>
        <w:rPr>
          <w:rFonts w:hint="eastAsia" w:ascii="宋体" w:hAnsi="宋体"/>
          <w:color w:val="auto"/>
          <w:szCs w:val="21"/>
          <w:highlight w:val="none"/>
          <w:lang w:val="en-US" w:eastAsia="zh-CN"/>
        </w:rPr>
        <w:t>自合同签订之日起</w:t>
      </w:r>
      <w:r>
        <w:rPr>
          <w:rFonts w:hint="eastAsia" w:ascii="宋体" w:hAnsi="宋体"/>
          <w:color w:val="auto"/>
          <w:szCs w:val="21"/>
          <w:highlight w:val="none"/>
          <w:lang w:val="en-US" w:eastAsia="zh-CN"/>
        </w:rPr>
        <w:t>60日历天</w:t>
      </w:r>
      <w:r>
        <w:rPr>
          <w:rFonts w:hint="eastAsia" w:ascii="宋体" w:hAnsi="宋体"/>
          <w:color w:val="auto"/>
          <w:szCs w:val="21"/>
          <w:highlight w:val="none"/>
          <w:lang w:val="en-US" w:eastAsia="zh-CN"/>
        </w:rPr>
        <w:t>内供货并安装调试完毕。</w:t>
      </w:r>
      <w:r>
        <w:rPr>
          <w:rFonts w:hint="eastAsia" w:ascii="宋体" w:hAnsi="宋体" w:eastAsia="宋体" w:cs="Times New Roman"/>
          <w:color w:val="auto"/>
          <w:szCs w:val="21"/>
          <w:highlight w:val="none"/>
          <w:lang w:val="en-US" w:eastAsia="zh-CN"/>
        </w:rPr>
        <w:t xml:space="preserve">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本标项（否）接受联合体投标。 </w:t>
      </w:r>
    </w:p>
    <w:p>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备注：/</w:t>
      </w:r>
    </w:p>
    <w:p>
      <w:pPr>
        <w:spacing w:line="360" w:lineRule="auto"/>
        <w:ind w:firstLine="422" w:firstLineChars="200"/>
        <w:rPr>
          <w:rFonts w:hint="eastAsia" w:ascii="宋体" w:hAnsi="宋体" w:eastAsia="宋体" w:cs="Times New Roman"/>
          <w:color w:val="auto"/>
          <w:szCs w:val="21"/>
          <w:highlight w:val="none"/>
        </w:rPr>
      </w:pPr>
      <w:r>
        <w:rPr>
          <w:rFonts w:hint="eastAsia" w:ascii="宋体" w:hAnsi="宋体" w:eastAsia="宋体" w:cs="Times New Roman"/>
          <w:b/>
          <w:bCs/>
          <w:color w:val="auto"/>
          <w:szCs w:val="21"/>
          <w:highlight w:val="none"/>
          <w:lang w:val="en-US" w:eastAsia="zh-CN"/>
        </w:rPr>
        <w:t>标项 6：标项名称：内镜清洗消毒工作站、氩气高频手术系统</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数量：各1套 </w:t>
      </w:r>
    </w:p>
    <w:p>
      <w:pPr>
        <w:spacing w:line="360" w:lineRule="auto"/>
        <w:ind w:firstLine="420" w:firstLineChars="200"/>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预算金额（元）：531900.00</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简要规格描述或项目基本概况介绍、用途：具体内容详见附件：采购需求表；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最高限价：531900.00元。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合同履约期限：</w:t>
      </w:r>
      <w:r>
        <w:rPr>
          <w:rFonts w:hint="eastAsia" w:ascii="宋体" w:hAnsi="宋体"/>
          <w:color w:val="auto"/>
          <w:szCs w:val="21"/>
          <w:highlight w:val="none"/>
          <w:lang w:val="en-US" w:eastAsia="zh-CN"/>
        </w:rPr>
        <w:t>自合同签订之日起</w:t>
      </w:r>
      <w:r>
        <w:rPr>
          <w:rFonts w:hint="eastAsia" w:ascii="宋体" w:hAnsi="宋体"/>
          <w:color w:val="auto"/>
          <w:szCs w:val="21"/>
          <w:highlight w:val="none"/>
          <w:lang w:val="en-US" w:eastAsia="zh-CN"/>
        </w:rPr>
        <w:t>60日</w:t>
      </w:r>
      <w:r>
        <w:rPr>
          <w:rFonts w:hint="eastAsia" w:ascii="宋体" w:hAnsi="宋体"/>
          <w:color w:val="auto"/>
          <w:szCs w:val="21"/>
          <w:highlight w:val="none"/>
          <w:lang w:val="en-US" w:eastAsia="zh-CN"/>
        </w:rPr>
        <w:t>历天内供货并安装调试完毕。</w:t>
      </w:r>
      <w:r>
        <w:rPr>
          <w:rFonts w:hint="eastAsia" w:ascii="宋体" w:hAnsi="宋体" w:eastAsia="宋体" w:cs="Times New Roman"/>
          <w:color w:val="auto"/>
          <w:szCs w:val="21"/>
          <w:highlight w:val="none"/>
          <w:lang w:val="en-US" w:eastAsia="zh-CN"/>
        </w:rPr>
        <w:t xml:space="preserve">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本标项（否）接受联合体投标。 </w:t>
      </w:r>
    </w:p>
    <w:p>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备注：/</w:t>
      </w:r>
    </w:p>
    <w:p>
      <w:pPr>
        <w:spacing w:line="360" w:lineRule="auto"/>
        <w:ind w:firstLine="422" w:firstLineChars="200"/>
        <w:rPr>
          <w:rFonts w:hint="eastAsia" w:ascii="宋体" w:hAnsi="宋体" w:eastAsia="宋体" w:cs="Times New Roman"/>
          <w:color w:val="auto"/>
          <w:szCs w:val="21"/>
          <w:highlight w:val="none"/>
        </w:rPr>
      </w:pPr>
      <w:r>
        <w:rPr>
          <w:rFonts w:hint="eastAsia" w:ascii="宋体" w:hAnsi="宋体" w:eastAsia="宋体" w:cs="Times New Roman"/>
          <w:b/>
          <w:bCs/>
          <w:color w:val="auto"/>
          <w:szCs w:val="21"/>
          <w:highlight w:val="none"/>
          <w:lang w:val="en-US" w:eastAsia="zh-CN"/>
        </w:rPr>
        <w:t>标项 7：标项名称：全自动清洗消毒器、医用干燥柜、医用真空干燥柜、硬式内镜清洗工作站、牙科手机清洗机、绝缘检测仪、医用除锈仪、煮沸消毒器</w:t>
      </w:r>
    </w:p>
    <w:p>
      <w:pPr>
        <w:spacing w:line="360" w:lineRule="auto"/>
        <w:ind w:firstLine="420" w:firstLineChars="200"/>
        <w:rPr>
          <w:rFonts w:hint="default" w:ascii="宋体" w:hAnsi="宋体" w:eastAsia="宋体" w:cs="Times New Roman"/>
          <w:color w:val="auto"/>
          <w:szCs w:val="21"/>
          <w:highlight w:val="none"/>
          <w:lang w:val="en-US"/>
        </w:rPr>
      </w:pPr>
      <w:r>
        <w:rPr>
          <w:rFonts w:hint="eastAsia" w:ascii="宋体" w:hAnsi="宋体" w:eastAsia="宋体" w:cs="Times New Roman"/>
          <w:color w:val="auto"/>
          <w:szCs w:val="21"/>
          <w:highlight w:val="none"/>
          <w:lang w:val="en-US" w:eastAsia="zh-CN"/>
        </w:rPr>
        <w:t>数量：全自动清洗消毒器2套，其余各1套。</w:t>
      </w:r>
    </w:p>
    <w:p>
      <w:pPr>
        <w:spacing w:line="360" w:lineRule="auto"/>
        <w:ind w:firstLine="420" w:firstLineChars="200"/>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预算金额（元）：</w:t>
      </w:r>
      <w:r>
        <w:rPr>
          <w:rFonts w:hint="eastAsia" w:ascii="宋体" w:hAnsi="宋体" w:cs="Times New Roman"/>
          <w:color w:val="auto"/>
          <w:szCs w:val="21"/>
          <w:highlight w:val="none"/>
          <w:lang w:val="en-US" w:eastAsia="zh-CN"/>
        </w:rPr>
        <w:t>12</w:t>
      </w:r>
      <w:r>
        <w:rPr>
          <w:rFonts w:hint="eastAsia" w:ascii="宋体" w:hAnsi="宋体" w:eastAsia="宋体" w:cs="Times New Roman"/>
          <w:color w:val="auto"/>
          <w:szCs w:val="21"/>
          <w:highlight w:val="none"/>
          <w:lang w:val="en-US" w:eastAsia="zh-CN"/>
        </w:rPr>
        <w:t>71100.00</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简要规格描述或项目基本概况介绍、用途：具体内容详见附件：采购需求表；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最高限价：</w:t>
      </w:r>
      <w:r>
        <w:rPr>
          <w:rFonts w:hint="eastAsia" w:ascii="宋体" w:hAnsi="宋体" w:cs="Times New Roman"/>
          <w:color w:val="auto"/>
          <w:szCs w:val="21"/>
          <w:highlight w:val="none"/>
          <w:lang w:val="en-US" w:eastAsia="zh-CN"/>
        </w:rPr>
        <w:t>12</w:t>
      </w:r>
      <w:r>
        <w:rPr>
          <w:rFonts w:hint="eastAsia" w:ascii="宋体" w:hAnsi="宋体" w:eastAsia="宋体" w:cs="Times New Roman"/>
          <w:color w:val="auto"/>
          <w:szCs w:val="21"/>
          <w:highlight w:val="none"/>
          <w:lang w:val="en-US" w:eastAsia="zh-CN"/>
        </w:rPr>
        <w:t xml:space="preserve">71100.00元。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合同履约期限：</w:t>
      </w:r>
      <w:r>
        <w:rPr>
          <w:rFonts w:hint="eastAsia" w:ascii="宋体" w:hAnsi="宋体"/>
          <w:color w:val="auto"/>
          <w:szCs w:val="21"/>
          <w:highlight w:val="none"/>
          <w:lang w:val="en-US" w:eastAsia="zh-CN"/>
        </w:rPr>
        <w:t>自合同签订之日起</w:t>
      </w:r>
      <w:r>
        <w:rPr>
          <w:rFonts w:hint="eastAsia" w:ascii="宋体" w:hAnsi="宋体"/>
          <w:color w:val="auto"/>
          <w:szCs w:val="21"/>
          <w:highlight w:val="none"/>
          <w:lang w:val="en-US" w:eastAsia="zh-CN"/>
        </w:rPr>
        <w:t>60日历天</w:t>
      </w:r>
      <w:r>
        <w:rPr>
          <w:rFonts w:hint="eastAsia" w:ascii="宋体" w:hAnsi="宋体"/>
          <w:color w:val="auto"/>
          <w:szCs w:val="21"/>
          <w:highlight w:val="none"/>
          <w:lang w:val="en-US" w:eastAsia="zh-CN"/>
        </w:rPr>
        <w:t>内供货并安装调试完毕。</w:t>
      </w:r>
      <w:r>
        <w:rPr>
          <w:rFonts w:hint="eastAsia" w:ascii="宋体" w:hAnsi="宋体" w:eastAsia="宋体" w:cs="Times New Roman"/>
          <w:color w:val="auto"/>
          <w:szCs w:val="21"/>
          <w:highlight w:val="none"/>
          <w:lang w:val="en-US" w:eastAsia="zh-CN"/>
        </w:rPr>
        <w:t xml:space="preserve">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本标项（否）接受联合体投标。 </w:t>
      </w:r>
    </w:p>
    <w:p>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备注：/</w:t>
      </w:r>
    </w:p>
    <w:p>
      <w:pPr>
        <w:spacing w:line="360" w:lineRule="auto"/>
        <w:ind w:firstLine="422" w:firstLineChars="200"/>
        <w:rPr>
          <w:rFonts w:hint="eastAsia" w:ascii="宋体" w:hAnsi="宋体" w:eastAsia="宋体" w:cs="Times New Roman"/>
          <w:b/>
          <w:bCs/>
          <w:color w:val="auto"/>
          <w:szCs w:val="21"/>
          <w:highlight w:val="none"/>
          <w:lang w:val="en-US" w:eastAsia="zh-CN"/>
        </w:rPr>
      </w:pPr>
      <w:r>
        <w:rPr>
          <w:rFonts w:hint="eastAsia" w:ascii="宋体" w:hAnsi="宋体" w:eastAsia="宋体" w:cs="Times New Roman"/>
          <w:b/>
          <w:bCs/>
          <w:color w:val="auto"/>
          <w:szCs w:val="21"/>
          <w:highlight w:val="none"/>
          <w:lang w:val="en-US" w:eastAsia="zh-CN"/>
        </w:rPr>
        <w:t>标项8：标项名称：半自动轮转式切片机、通风柜、标本存放柜、取材台</w:t>
      </w:r>
    </w:p>
    <w:p>
      <w:pPr>
        <w:spacing w:line="360" w:lineRule="auto"/>
        <w:ind w:firstLine="420" w:firstLineChars="200"/>
        <w:rPr>
          <w:rFonts w:hint="default" w:ascii="宋体" w:hAnsi="宋体" w:eastAsia="宋体" w:cs="Times New Roman"/>
          <w:color w:val="auto"/>
          <w:szCs w:val="21"/>
          <w:highlight w:val="none"/>
          <w:lang w:val="en-US"/>
        </w:rPr>
      </w:pPr>
      <w:r>
        <w:rPr>
          <w:rFonts w:hint="eastAsia" w:ascii="宋体" w:hAnsi="宋体" w:eastAsia="宋体" w:cs="Times New Roman"/>
          <w:color w:val="auto"/>
          <w:szCs w:val="21"/>
          <w:highlight w:val="none"/>
          <w:lang w:val="en-US" w:eastAsia="zh-CN"/>
        </w:rPr>
        <w:t>数量：通风柜5套，其余各1套。</w:t>
      </w:r>
    </w:p>
    <w:p>
      <w:pPr>
        <w:spacing w:line="360" w:lineRule="auto"/>
        <w:ind w:firstLine="420" w:firstLineChars="200"/>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预算金额（元）：338000.00</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简要规格描述或项目基本概况介绍、用途：具体内容详见附件：采购需求表；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最高限价：338000.00元。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合同履约期限：</w:t>
      </w:r>
      <w:r>
        <w:rPr>
          <w:rFonts w:hint="eastAsia" w:ascii="宋体" w:hAnsi="宋体"/>
          <w:color w:val="auto"/>
          <w:szCs w:val="21"/>
          <w:highlight w:val="none"/>
          <w:lang w:val="en-US" w:eastAsia="zh-CN"/>
        </w:rPr>
        <w:t>自合同签订之日起</w:t>
      </w:r>
      <w:r>
        <w:rPr>
          <w:rFonts w:hint="eastAsia" w:ascii="宋体" w:hAnsi="宋体"/>
          <w:color w:val="auto"/>
          <w:szCs w:val="21"/>
          <w:highlight w:val="none"/>
          <w:lang w:val="en-US" w:eastAsia="zh-CN"/>
        </w:rPr>
        <w:t>25</w:t>
      </w:r>
      <w:r>
        <w:rPr>
          <w:rFonts w:hint="eastAsia" w:ascii="宋体" w:hAnsi="宋体"/>
          <w:color w:val="auto"/>
          <w:szCs w:val="21"/>
          <w:highlight w:val="none"/>
          <w:lang w:val="en-US" w:eastAsia="zh-CN"/>
        </w:rPr>
        <w:t>日历天内供货并安装调试完毕。</w:t>
      </w:r>
      <w:r>
        <w:rPr>
          <w:rFonts w:hint="eastAsia" w:ascii="宋体" w:hAnsi="宋体" w:eastAsia="宋体" w:cs="Times New Roman"/>
          <w:color w:val="auto"/>
          <w:szCs w:val="21"/>
          <w:highlight w:val="none"/>
          <w:lang w:val="en-US" w:eastAsia="zh-CN"/>
        </w:rPr>
        <w:t xml:space="preserve">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本标项（否）接受联合体投标。 </w:t>
      </w:r>
    </w:p>
    <w:p>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备注：/</w:t>
      </w:r>
    </w:p>
    <w:p>
      <w:pPr>
        <w:spacing w:line="360" w:lineRule="auto"/>
        <w:ind w:firstLine="422" w:firstLineChars="200"/>
        <w:rPr>
          <w:rFonts w:hint="eastAsia" w:ascii="宋体" w:hAnsi="宋体" w:eastAsia="宋体" w:cs="Times New Roman"/>
          <w:b/>
          <w:bCs/>
          <w:color w:val="auto"/>
          <w:szCs w:val="21"/>
          <w:highlight w:val="none"/>
          <w:lang w:val="en-US" w:eastAsia="zh-CN"/>
        </w:rPr>
      </w:pPr>
      <w:r>
        <w:rPr>
          <w:rFonts w:hint="eastAsia" w:ascii="宋体" w:hAnsi="宋体" w:eastAsia="宋体" w:cs="Times New Roman"/>
          <w:b/>
          <w:bCs/>
          <w:color w:val="auto"/>
          <w:szCs w:val="21"/>
          <w:highlight w:val="none"/>
          <w:lang w:val="en-US" w:eastAsia="zh-CN"/>
        </w:rPr>
        <w:t>标项9：标项名称：医用吊桥</w:t>
      </w:r>
    </w:p>
    <w:p>
      <w:pPr>
        <w:spacing w:line="360" w:lineRule="auto"/>
        <w:ind w:firstLine="420" w:firstLineChars="200"/>
        <w:rPr>
          <w:rFonts w:hint="default" w:ascii="宋体" w:hAnsi="宋体" w:eastAsia="宋体" w:cs="Times New Roman"/>
          <w:color w:val="auto"/>
          <w:szCs w:val="21"/>
          <w:highlight w:val="none"/>
          <w:lang w:val="en-US"/>
        </w:rPr>
      </w:pPr>
      <w:r>
        <w:rPr>
          <w:rFonts w:hint="eastAsia" w:ascii="宋体" w:hAnsi="宋体" w:eastAsia="宋体" w:cs="Times New Roman"/>
          <w:color w:val="auto"/>
          <w:szCs w:val="21"/>
          <w:highlight w:val="none"/>
          <w:lang w:val="en-US" w:eastAsia="zh-CN"/>
        </w:rPr>
        <w:t>数量：38套。</w:t>
      </w:r>
    </w:p>
    <w:p>
      <w:pPr>
        <w:spacing w:line="360" w:lineRule="auto"/>
        <w:ind w:firstLine="420" w:firstLineChars="200"/>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预算金额（元）：10</w:t>
      </w:r>
      <w:r>
        <w:rPr>
          <w:rFonts w:hint="eastAsia" w:ascii="宋体" w:hAnsi="宋体" w:cs="Times New Roman"/>
          <w:color w:val="auto"/>
          <w:szCs w:val="21"/>
          <w:highlight w:val="none"/>
          <w:lang w:val="en-US" w:eastAsia="zh-CN"/>
        </w:rPr>
        <w:t>0</w:t>
      </w:r>
      <w:r>
        <w:rPr>
          <w:rFonts w:hint="eastAsia" w:ascii="宋体" w:hAnsi="宋体" w:eastAsia="宋体" w:cs="Times New Roman"/>
          <w:color w:val="auto"/>
          <w:szCs w:val="21"/>
          <w:highlight w:val="none"/>
          <w:lang w:val="en-US" w:eastAsia="zh-CN"/>
        </w:rPr>
        <w:t>7000.00</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简要规格描述或项目基本概况介绍、用途：具体内容详见附件：采购需求表；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最高限价：10</w:t>
      </w:r>
      <w:r>
        <w:rPr>
          <w:rFonts w:hint="eastAsia" w:ascii="宋体" w:hAnsi="宋体" w:cs="Times New Roman"/>
          <w:color w:val="auto"/>
          <w:szCs w:val="21"/>
          <w:highlight w:val="none"/>
          <w:lang w:val="en-US" w:eastAsia="zh-CN"/>
        </w:rPr>
        <w:t>0</w:t>
      </w:r>
      <w:r>
        <w:rPr>
          <w:rFonts w:hint="eastAsia" w:ascii="宋体" w:hAnsi="宋体" w:eastAsia="宋体" w:cs="Times New Roman"/>
          <w:color w:val="auto"/>
          <w:szCs w:val="21"/>
          <w:highlight w:val="none"/>
          <w:lang w:val="en-US" w:eastAsia="zh-CN"/>
        </w:rPr>
        <w:t xml:space="preserve">7000.00元。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合同履约期限：</w:t>
      </w:r>
      <w:r>
        <w:rPr>
          <w:rFonts w:hint="eastAsia" w:ascii="宋体" w:hAnsi="宋体"/>
          <w:color w:val="auto"/>
          <w:szCs w:val="21"/>
          <w:highlight w:val="none"/>
          <w:lang w:val="en-US" w:eastAsia="zh-CN"/>
        </w:rPr>
        <w:t>自合同签订之日起</w:t>
      </w:r>
      <w:r>
        <w:rPr>
          <w:rFonts w:hint="eastAsia" w:ascii="宋体" w:hAnsi="宋体"/>
          <w:color w:val="auto"/>
          <w:szCs w:val="21"/>
          <w:highlight w:val="none"/>
          <w:lang w:val="en-US" w:eastAsia="zh-CN"/>
        </w:rPr>
        <w:t>25</w:t>
      </w:r>
      <w:r>
        <w:rPr>
          <w:rFonts w:hint="eastAsia" w:ascii="宋体" w:hAnsi="宋体"/>
          <w:color w:val="auto"/>
          <w:szCs w:val="21"/>
          <w:highlight w:val="none"/>
          <w:lang w:val="en-US" w:eastAsia="zh-CN"/>
        </w:rPr>
        <w:t>日历天内供货并安装调试完毕。</w:t>
      </w:r>
      <w:r>
        <w:rPr>
          <w:rFonts w:hint="eastAsia" w:ascii="宋体" w:hAnsi="宋体" w:eastAsia="宋体" w:cs="Times New Roman"/>
          <w:color w:val="auto"/>
          <w:szCs w:val="21"/>
          <w:highlight w:val="none"/>
          <w:lang w:val="en-US" w:eastAsia="zh-CN"/>
        </w:rPr>
        <w:t xml:space="preserve">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本标项（否）接受联合体投标。 </w:t>
      </w:r>
    </w:p>
    <w:p>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备注：/</w:t>
      </w:r>
    </w:p>
    <w:p>
      <w:pPr>
        <w:spacing w:line="360" w:lineRule="auto"/>
        <w:ind w:firstLine="422" w:firstLineChars="200"/>
        <w:rPr>
          <w:rFonts w:hint="eastAsia" w:ascii="宋体" w:hAnsi="宋体" w:eastAsia="宋体" w:cs="Times New Roman"/>
          <w:b/>
          <w:bCs/>
          <w:color w:val="auto"/>
          <w:szCs w:val="21"/>
          <w:highlight w:val="none"/>
          <w:lang w:val="en-US" w:eastAsia="zh-CN"/>
        </w:rPr>
      </w:pPr>
      <w:r>
        <w:rPr>
          <w:rFonts w:hint="eastAsia" w:ascii="宋体" w:hAnsi="宋体" w:eastAsia="宋体" w:cs="Times New Roman"/>
          <w:b/>
          <w:bCs/>
          <w:color w:val="auto"/>
          <w:szCs w:val="21"/>
          <w:highlight w:val="none"/>
          <w:lang w:val="en-US" w:eastAsia="zh-CN"/>
        </w:rPr>
        <w:t>标项10：标项名称：黄疸治疗仪、婴儿幅射保暖台、心电监护仪、空氧混合仪</w:t>
      </w:r>
    </w:p>
    <w:p>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数量：黄疸治疗仪5套、婴儿幅射保暖台3套、心电监护仪4套、空氧混合仪3套。</w:t>
      </w:r>
    </w:p>
    <w:p>
      <w:pPr>
        <w:spacing w:line="360" w:lineRule="auto"/>
        <w:ind w:firstLine="420" w:firstLineChars="200"/>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预算金额（元）：289500.00</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简要规格描述或项目基本概况介绍、用途：具体内容详见附件：采购需求表；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最高限价：289500.00元。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合同履约期限：</w:t>
      </w:r>
      <w:r>
        <w:rPr>
          <w:rFonts w:hint="eastAsia" w:ascii="宋体" w:hAnsi="宋体"/>
          <w:color w:val="auto"/>
          <w:szCs w:val="21"/>
          <w:highlight w:val="none"/>
          <w:lang w:val="en-US" w:eastAsia="zh-CN"/>
        </w:rPr>
        <w:t>自合同签订之日起</w:t>
      </w:r>
      <w:r>
        <w:rPr>
          <w:rFonts w:hint="eastAsia" w:ascii="宋体" w:hAnsi="宋体"/>
          <w:color w:val="auto"/>
          <w:szCs w:val="21"/>
          <w:highlight w:val="none"/>
          <w:lang w:val="en-US" w:eastAsia="zh-CN"/>
        </w:rPr>
        <w:t>30日历天</w:t>
      </w:r>
      <w:r>
        <w:rPr>
          <w:rFonts w:hint="eastAsia" w:ascii="宋体" w:hAnsi="宋体"/>
          <w:color w:val="auto"/>
          <w:szCs w:val="21"/>
          <w:highlight w:val="none"/>
          <w:lang w:val="en-US" w:eastAsia="zh-CN"/>
        </w:rPr>
        <w:t>内供货并安装调试完毕。</w:t>
      </w:r>
      <w:r>
        <w:rPr>
          <w:rFonts w:hint="eastAsia" w:ascii="宋体" w:hAnsi="宋体" w:eastAsia="宋体" w:cs="Times New Roman"/>
          <w:color w:val="auto"/>
          <w:szCs w:val="21"/>
          <w:highlight w:val="none"/>
          <w:lang w:val="en-US" w:eastAsia="zh-CN"/>
        </w:rPr>
        <w:t xml:space="preserve">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本标项（否）接受联合体投标。 </w:t>
      </w:r>
    </w:p>
    <w:p>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备注：/</w:t>
      </w:r>
    </w:p>
    <w:p>
      <w:pPr>
        <w:spacing w:line="360" w:lineRule="auto"/>
        <w:ind w:firstLine="422"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b/>
          <w:bCs/>
          <w:color w:val="auto"/>
          <w:szCs w:val="21"/>
          <w:highlight w:val="none"/>
          <w:lang w:val="en-US" w:eastAsia="zh-CN"/>
        </w:rPr>
        <w:t>标项11：标项名称：升温系统、电动气压止血带</w:t>
      </w:r>
    </w:p>
    <w:p>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数量：升温系统</w:t>
      </w:r>
      <w:r>
        <w:rPr>
          <w:rFonts w:hint="eastAsia" w:ascii="宋体" w:hAnsi="宋体" w:cs="Times New Roman"/>
          <w:color w:val="auto"/>
          <w:szCs w:val="21"/>
          <w:highlight w:val="none"/>
          <w:lang w:val="en-US" w:eastAsia="zh-CN"/>
        </w:rPr>
        <w:t>5套</w:t>
      </w:r>
      <w:r>
        <w:rPr>
          <w:rFonts w:hint="eastAsia" w:ascii="宋体" w:hAnsi="宋体" w:eastAsia="宋体" w:cs="Times New Roman"/>
          <w:color w:val="auto"/>
          <w:szCs w:val="21"/>
          <w:highlight w:val="none"/>
          <w:lang w:val="en-US" w:eastAsia="zh-CN"/>
        </w:rPr>
        <w:t>、电动气压止血带3套。</w:t>
      </w:r>
    </w:p>
    <w:p>
      <w:pPr>
        <w:spacing w:line="360" w:lineRule="auto"/>
        <w:ind w:firstLine="420" w:firstLineChars="200"/>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预算金额（元）：226000.00</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简要规格描述或项目基本概况介绍、用途：具体内容详见附件：采购需求表；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最高限价：226000.00元。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合同履约期限：</w:t>
      </w:r>
      <w:r>
        <w:rPr>
          <w:rFonts w:hint="eastAsia" w:ascii="宋体" w:hAnsi="宋体"/>
          <w:color w:val="auto"/>
          <w:szCs w:val="21"/>
          <w:highlight w:val="none"/>
          <w:lang w:val="en-US" w:eastAsia="zh-CN"/>
        </w:rPr>
        <w:t>自合同签订之日起</w:t>
      </w:r>
      <w:r>
        <w:rPr>
          <w:rFonts w:hint="eastAsia" w:ascii="宋体" w:hAnsi="宋体"/>
          <w:color w:val="auto"/>
          <w:szCs w:val="21"/>
          <w:highlight w:val="none"/>
          <w:lang w:val="en-US" w:eastAsia="zh-CN"/>
        </w:rPr>
        <w:t>25</w:t>
      </w:r>
      <w:r>
        <w:rPr>
          <w:rFonts w:hint="eastAsia" w:ascii="宋体" w:hAnsi="宋体"/>
          <w:color w:val="auto"/>
          <w:szCs w:val="21"/>
          <w:highlight w:val="none"/>
          <w:lang w:val="en-US" w:eastAsia="zh-CN"/>
        </w:rPr>
        <w:t>日历天内供货并安装调试完毕。</w:t>
      </w:r>
      <w:r>
        <w:rPr>
          <w:rFonts w:hint="eastAsia" w:ascii="宋体" w:hAnsi="宋体" w:eastAsia="宋体" w:cs="Times New Roman"/>
          <w:color w:val="auto"/>
          <w:szCs w:val="21"/>
          <w:highlight w:val="none"/>
          <w:lang w:val="en-US" w:eastAsia="zh-CN"/>
        </w:rPr>
        <w:t xml:space="preserve">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本标项（否）接受联合体投标。 </w:t>
      </w:r>
    </w:p>
    <w:p>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备注：/</w:t>
      </w:r>
    </w:p>
    <w:p>
      <w:pPr>
        <w:spacing w:line="360" w:lineRule="auto"/>
        <w:ind w:firstLine="422"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b/>
          <w:bCs/>
          <w:color w:val="auto"/>
          <w:szCs w:val="21"/>
          <w:highlight w:val="none"/>
          <w:lang w:val="en-US" w:eastAsia="zh-CN"/>
        </w:rPr>
        <w:t>标项12：标项名称：电动综合手术床</w:t>
      </w:r>
    </w:p>
    <w:p>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数量：5套。</w:t>
      </w:r>
    </w:p>
    <w:p>
      <w:pPr>
        <w:spacing w:line="360" w:lineRule="auto"/>
        <w:ind w:firstLine="420" w:firstLineChars="200"/>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预算金额（元）：772500.00</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简要规格描述或项目基本概况介绍、用途：具体内容详见附件：采购需求表；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最高限价：772500.00元。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合同履约期限：</w:t>
      </w:r>
      <w:r>
        <w:rPr>
          <w:rFonts w:hint="eastAsia" w:ascii="宋体" w:hAnsi="宋体"/>
          <w:color w:val="auto"/>
          <w:szCs w:val="21"/>
          <w:highlight w:val="none"/>
          <w:lang w:val="en-US" w:eastAsia="zh-CN"/>
        </w:rPr>
        <w:t>自合同签订之日起</w:t>
      </w:r>
      <w:r>
        <w:rPr>
          <w:rFonts w:hint="eastAsia" w:ascii="宋体" w:hAnsi="宋体"/>
          <w:color w:val="auto"/>
          <w:szCs w:val="21"/>
          <w:highlight w:val="none"/>
          <w:lang w:val="en-US" w:eastAsia="zh-CN"/>
        </w:rPr>
        <w:t>60日历天</w:t>
      </w:r>
      <w:r>
        <w:rPr>
          <w:rFonts w:hint="eastAsia" w:ascii="宋体" w:hAnsi="宋体"/>
          <w:color w:val="auto"/>
          <w:szCs w:val="21"/>
          <w:highlight w:val="none"/>
          <w:lang w:val="en-US" w:eastAsia="zh-CN"/>
        </w:rPr>
        <w:t>内供货并安装调试完毕。</w:t>
      </w:r>
      <w:r>
        <w:rPr>
          <w:rFonts w:hint="eastAsia" w:ascii="宋体" w:hAnsi="宋体" w:eastAsia="宋体" w:cs="Times New Roman"/>
          <w:color w:val="auto"/>
          <w:szCs w:val="21"/>
          <w:highlight w:val="none"/>
          <w:lang w:val="en-US" w:eastAsia="zh-CN"/>
        </w:rPr>
        <w:t xml:space="preserve">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本标项（否）接受联合体投标。 </w:t>
      </w:r>
    </w:p>
    <w:p>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备注：/</w:t>
      </w:r>
    </w:p>
    <w:p>
      <w:pPr>
        <w:spacing w:line="360" w:lineRule="auto"/>
        <w:ind w:firstLine="422"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b/>
          <w:bCs/>
          <w:color w:val="auto"/>
          <w:szCs w:val="21"/>
          <w:highlight w:val="none"/>
          <w:lang w:val="en-US" w:eastAsia="zh-CN"/>
        </w:rPr>
        <w:t>标项13：标项名称：LED手术无影灯(双头)</w:t>
      </w:r>
    </w:p>
    <w:p>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数量：8套。</w:t>
      </w:r>
    </w:p>
    <w:p>
      <w:pPr>
        <w:spacing w:line="360" w:lineRule="auto"/>
        <w:ind w:firstLine="420" w:firstLineChars="200"/>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预算金额（元）：638400.00</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简要规格描述或项目基本概况介绍、用途：具体内容详见附件：采购需求表；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最高限价：638400.00元。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合同履约期限：</w:t>
      </w:r>
      <w:r>
        <w:rPr>
          <w:rFonts w:hint="eastAsia" w:ascii="宋体" w:hAnsi="宋体"/>
          <w:color w:val="auto"/>
          <w:szCs w:val="21"/>
          <w:highlight w:val="none"/>
          <w:lang w:val="en-US" w:eastAsia="zh-CN"/>
        </w:rPr>
        <w:t>自合同签订之日起</w:t>
      </w:r>
      <w:r>
        <w:rPr>
          <w:rFonts w:hint="eastAsia" w:ascii="宋体" w:hAnsi="宋体"/>
          <w:color w:val="auto"/>
          <w:szCs w:val="21"/>
          <w:highlight w:val="none"/>
          <w:lang w:val="en-US" w:eastAsia="zh-CN"/>
        </w:rPr>
        <w:t>30日历天</w:t>
      </w:r>
      <w:r>
        <w:rPr>
          <w:rFonts w:hint="eastAsia" w:ascii="宋体" w:hAnsi="宋体"/>
          <w:color w:val="auto"/>
          <w:szCs w:val="21"/>
          <w:highlight w:val="none"/>
          <w:lang w:val="en-US" w:eastAsia="zh-CN"/>
        </w:rPr>
        <w:t>内供货并安装调试完毕。</w:t>
      </w:r>
      <w:r>
        <w:rPr>
          <w:rFonts w:hint="eastAsia" w:ascii="宋体" w:hAnsi="宋体" w:eastAsia="宋体" w:cs="Times New Roman"/>
          <w:color w:val="auto"/>
          <w:szCs w:val="21"/>
          <w:highlight w:val="none"/>
          <w:lang w:val="en-US" w:eastAsia="zh-CN"/>
        </w:rPr>
        <w:t xml:space="preserve">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本标项（否）接受联合体投标。 </w:t>
      </w:r>
    </w:p>
    <w:p>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备注：/</w:t>
      </w:r>
    </w:p>
    <w:p>
      <w:pPr>
        <w:spacing w:line="360" w:lineRule="auto"/>
        <w:ind w:firstLine="422" w:firstLineChars="200"/>
        <w:rPr>
          <w:rFonts w:hint="eastAsia" w:ascii="宋体" w:hAnsi="宋体" w:eastAsia="宋体" w:cs="Times New Roman"/>
          <w:b/>
          <w:bCs/>
          <w:color w:val="auto"/>
          <w:szCs w:val="21"/>
          <w:highlight w:val="none"/>
          <w:lang w:val="en-US" w:eastAsia="zh-CN"/>
        </w:rPr>
      </w:pPr>
      <w:r>
        <w:rPr>
          <w:rFonts w:hint="eastAsia" w:ascii="宋体" w:hAnsi="宋体" w:eastAsia="宋体" w:cs="Times New Roman"/>
          <w:b/>
          <w:bCs/>
          <w:color w:val="auto"/>
          <w:szCs w:val="21"/>
          <w:highlight w:val="none"/>
          <w:lang w:val="en-US" w:eastAsia="zh-CN"/>
        </w:rPr>
        <w:t>标项14：标项名称：多导睡眠呼吸监测仪（便携式）</w:t>
      </w:r>
    </w:p>
    <w:p>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数量：1套。</w:t>
      </w:r>
    </w:p>
    <w:p>
      <w:pPr>
        <w:spacing w:line="360" w:lineRule="auto"/>
        <w:ind w:firstLine="420" w:firstLineChars="200"/>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预算金额（元）：199000.00</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简要规格描述或项目基本概况介绍、用途：具体内容详见附件：采购需求表；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最高限价：199000.00元。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合同履约期限：</w:t>
      </w:r>
      <w:r>
        <w:rPr>
          <w:rFonts w:hint="eastAsia" w:ascii="宋体" w:hAnsi="宋体"/>
          <w:color w:val="auto"/>
          <w:szCs w:val="21"/>
          <w:highlight w:val="none"/>
          <w:lang w:val="en-US" w:eastAsia="zh-CN"/>
        </w:rPr>
        <w:t>自合同签订之日起</w:t>
      </w:r>
      <w:r>
        <w:rPr>
          <w:rFonts w:hint="eastAsia" w:ascii="宋体" w:hAnsi="宋体"/>
          <w:color w:val="auto"/>
          <w:szCs w:val="21"/>
          <w:highlight w:val="none"/>
          <w:lang w:val="en-US" w:eastAsia="zh-CN"/>
        </w:rPr>
        <w:t>25</w:t>
      </w:r>
      <w:r>
        <w:rPr>
          <w:rFonts w:hint="eastAsia" w:ascii="宋体" w:hAnsi="宋体"/>
          <w:color w:val="auto"/>
          <w:szCs w:val="21"/>
          <w:highlight w:val="none"/>
          <w:lang w:val="en-US" w:eastAsia="zh-CN"/>
        </w:rPr>
        <w:t>日历天内供货并安装调试完毕。</w:t>
      </w:r>
      <w:r>
        <w:rPr>
          <w:rFonts w:hint="eastAsia" w:ascii="宋体" w:hAnsi="宋体" w:eastAsia="宋体" w:cs="Times New Roman"/>
          <w:color w:val="auto"/>
          <w:szCs w:val="21"/>
          <w:highlight w:val="none"/>
          <w:lang w:val="en-US" w:eastAsia="zh-CN"/>
        </w:rPr>
        <w:t xml:space="preserve">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本标项（否）接受联合体投标。 </w:t>
      </w:r>
    </w:p>
    <w:p>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备注：/</w:t>
      </w:r>
    </w:p>
    <w:p>
      <w:pPr>
        <w:spacing w:line="360" w:lineRule="auto"/>
        <w:ind w:firstLine="422" w:firstLineChars="200"/>
        <w:rPr>
          <w:rFonts w:hint="eastAsia" w:ascii="宋体" w:hAnsi="宋体" w:eastAsia="宋体" w:cs="Times New Roman"/>
          <w:b/>
          <w:bCs/>
          <w:color w:val="auto"/>
          <w:szCs w:val="21"/>
          <w:highlight w:val="none"/>
          <w:lang w:val="en-US" w:eastAsia="zh-CN"/>
        </w:rPr>
      </w:pPr>
      <w:r>
        <w:rPr>
          <w:rFonts w:hint="eastAsia" w:ascii="宋体" w:hAnsi="宋体" w:eastAsia="宋体" w:cs="Times New Roman"/>
          <w:b/>
          <w:bCs/>
          <w:color w:val="auto"/>
          <w:szCs w:val="21"/>
          <w:highlight w:val="none"/>
          <w:lang w:val="en-US" w:eastAsia="zh-CN"/>
        </w:rPr>
        <w:t>标项15：标项名称：输液信息采集系统（6台注射泵，2台输液泵，1拖8)</w:t>
      </w:r>
    </w:p>
    <w:p>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数量：2套。</w:t>
      </w:r>
    </w:p>
    <w:p>
      <w:pPr>
        <w:spacing w:line="360" w:lineRule="auto"/>
        <w:ind w:firstLine="420" w:firstLineChars="200"/>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预算金额（元）：186000.00</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简要规格描述或项目基本概况介绍、用途：具体内容详见附件：采购需求表；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最高限价：186000.00元。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合同履约期限：</w:t>
      </w:r>
      <w:r>
        <w:rPr>
          <w:rFonts w:hint="eastAsia" w:ascii="宋体" w:hAnsi="宋体"/>
          <w:color w:val="auto"/>
          <w:szCs w:val="21"/>
          <w:highlight w:val="none"/>
          <w:lang w:val="en-US" w:eastAsia="zh-CN"/>
        </w:rPr>
        <w:t>自合同签订之日起</w:t>
      </w:r>
      <w:r>
        <w:rPr>
          <w:rFonts w:hint="eastAsia" w:ascii="宋体" w:hAnsi="宋体"/>
          <w:color w:val="auto"/>
          <w:szCs w:val="21"/>
          <w:highlight w:val="none"/>
          <w:lang w:val="en-US" w:eastAsia="zh-CN"/>
        </w:rPr>
        <w:t>25</w:t>
      </w:r>
      <w:r>
        <w:rPr>
          <w:rFonts w:hint="eastAsia" w:ascii="宋体" w:hAnsi="宋体"/>
          <w:color w:val="auto"/>
          <w:szCs w:val="21"/>
          <w:highlight w:val="none"/>
          <w:lang w:val="en-US" w:eastAsia="zh-CN"/>
        </w:rPr>
        <w:t>日历天内供货并安装调试完毕。</w:t>
      </w:r>
      <w:r>
        <w:rPr>
          <w:rFonts w:hint="eastAsia" w:ascii="宋体" w:hAnsi="宋体" w:eastAsia="宋体" w:cs="Times New Roman"/>
          <w:color w:val="auto"/>
          <w:szCs w:val="21"/>
          <w:highlight w:val="none"/>
          <w:lang w:val="en-US" w:eastAsia="zh-CN"/>
        </w:rPr>
        <w:t xml:space="preserve">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本标项（否）接受联合体投标。 </w:t>
      </w:r>
    </w:p>
    <w:p>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备注：/</w:t>
      </w:r>
    </w:p>
    <w:p>
      <w:pPr>
        <w:spacing w:line="360" w:lineRule="auto"/>
        <w:ind w:firstLine="422"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b/>
          <w:bCs/>
          <w:color w:val="auto"/>
          <w:szCs w:val="21"/>
          <w:highlight w:val="none"/>
          <w:lang w:val="en-US" w:eastAsia="zh-CN"/>
        </w:rPr>
        <w:t>标项16：标项名称：宫腔镜一体镜(2套镜子)、臭氧妇科治疗仪</w:t>
      </w:r>
    </w:p>
    <w:p>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数量：宫腔镜一体镜(2套镜子)1套、臭氧妇科治疗仪2套。</w:t>
      </w:r>
    </w:p>
    <w:p>
      <w:pPr>
        <w:spacing w:line="360" w:lineRule="auto"/>
        <w:ind w:firstLine="420" w:firstLineChars="200"/>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预算金额（元）：200000.00</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简要规格描述或项目基本概况介绍、用途：具体内容详见附件：采购需求表；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最高限价：200000.00元。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合同履约期限：</w:t>
      </w:r>
      <w:r>
        <w:rPr>
          <w:rFonts w:hint="eastAsia" w:ascii="宋体" w:hAnsi="宋体"/>
          <w:color w:val="auto"/>
          <w:szCs w:val="21"/>
          <w:highlight w:val="none"/>
          <w:lang w:val="en-US" w:eastAsia="zh-CN"/>
        </w:rPr>
        <w:t>自合同签订之日起</w:t>
      </w:r>
      <w:r>
        <w:rPr>
          <w:rFonts w:hint="eastAsia" w:ascii="宋体" w:hAnsi="宋体"/>
          <w:color w:val="auto"/>
          <w:szCs w:val="21"/>
          <w:highlight w:val="none"/>
          <w:lang w:val="en-US" w:eastAsia="zh-CN"/>
        </w:rPr>
        <w:t>25</w:t>
      </w:r>
      <w:r>
        <w:rPr>
          <w:rFonts w:hint="eastAsia" w:ascii="宋体" w:hAnsi="宋体"/>
          <w:color w:val="auto"/>
          <w:szCs w:val="21"/>
          <w:highlight w:val="none"/>
          <w:lang w:val="en-US" w:eastAsia="zh-CN"/>
        </w:rPr>
        <w:t>日历天内供货并安装调试完毕。</w:t>
      </w:r>
      <w:r>
        <w:rPr>
          <w:rFonts w:hint="eastAsia" w:ascii="宋体" w:hAnsi="宋体" w:eastAsia="宋体" w:cs="Times New Roman"/>
          <w:color w:val="auto"/>
          <w:szCs w:val="21"/>
          <w:highlight w:val="none"/>
          <w:lang w:val="en-US" w:eastAsia="zh-CN"/>
        </w:rPr>
        <w:t xml:space="preserve">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本标项（否）接受联合体投标。 </w:t>
      </w:r>
    </w:p>
    <w:p>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备注：/</w:t>
      </w:r>
    </w:p>
    <w:p>
      <w:pPr>
        <w:spacing w:line="360" w:lineRule="auto"/>
        <w:ind w:firstLine="422"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b/>
          <w:bCs/>
          <w:color w:val="auto"/>
          <w:szCs w:val="21"/>
          <w:highlight w:val="none"/>
          <w:lang w:val="en-US" w:eastAsia="zh-CN"/>
        </w:rPr>
        <w:t>标项17：标项名称：电子支气管镜、4K超高清内窥镜摄像系统</w:t>
      </w:r>
    </w:p>
    <w:p>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数量：各1套</w:t>
      </w:r>
    </w:p>
    <w:p>
      <w:pPr>
        <w:spacing w:line="360" w:lineRule="auto"/>
        <w:ind w:firstLine="420" w:firstLineChars="200"/>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预算金额（元）：820000.00</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简要规格描述或项目基本概况介绍、用途：具体内容详见附件：采购需求表；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最高限价：820000.00元。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合同履约期限：</w:t>
      </w:r>
      <w:r>
        <w:rPr>
          <w:rFonts w:hint="eastAsia" w:ascii="宋体" w:hAnsi="宋体"/>
          <w:color w:val="auto"/>
          <w:szCs w:val="21"/>
          <w:highlight w:val="none"/>
          <w:lang w:val="en-US" w:eastAsia="zh-CN"/>
        </w:rPr>
        <w:t>自合同签订之日起</w:t>
      </w:r>
      <w:r>
        <w:rPr>
          <w:rFonts w:hint="eastAsia" w:ascii="宋体" w:hAnsi="宋体"/>
          <w:color w:val="auto"/>
          <w:szCs w:val="21"/>
          <w:highlight w:val="none"/>
          <w:lang w:val="en-US" w:eastAsia="zh-CN"/>
        </w:rPr>
        <w:t>25</w:t>
      </w:r>
      <w:r>
        <w:rPr>
          <w:rFonts w:hint="eastAsia" w:ascii="宋体" w:hAnsi="宋体"/>
          <w:color w:val="auto"/>
          <w:szCs w:val="21"/>
          <w:highlight w:val="none"/>
          <w:lang w:val="en-US" w:eastAsia="zh-CN"/>
        </w:rPr>
        <w:t>日历天内供货并安装调试完毕。</w:t>
      </w:r>
      <w:r>
        <w:rPr>
          <w:rFonts w:hint="eastAsia" w:ascii="宋体" w:hAnsi="宋体" w:eastAsia="宋体" w:cs="Times New Roman"/>
          <w:color w:val="auto"/>
          <w:szCs w:val="21"/>
          <w:highlight w:val="none"/>
          <w:lang w:val="en-US" w:eastAsia="zh-CN"/>
        </w:rPr>
        <w:t xml:space="preserve">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本标项（否）接受联合体投标。 </w:t>
      </w:r>
    </w:p>
    <w:p>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备注：/</w:t>
      </w:r>
    </w:p>
    <w:p>
      <w:pPr>
        <w:spacing w:line="360" w:lineRule="auto"/>
        <w:ind w:firstLine="422"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b/>
          <w:bCs/>
          <w:color w:val="auto"/>
          <w:szCs w:val="21"/>
          <w:highlight w:val="none"/>
          <w:lang w:val="en-US" w:eastAsia="zh-CN"/>
        </w:rPr>
        <w:t>标项18：标项名称：手术动力系统</w:t>
      </w:r>
    </w:p>
    <w:p>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数量：1套</w:t>
      </w:r>
    </w:p>
    <w:p>
      <w:pPr>
        <w:spacing w:line="360" w:lineRule="auto"/>
        <w:ind w:firstLine="420" w:firstLineChars="200"/>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预算金额（元）：330000.00</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简要规格描述或项目基本概况介绍、用途：具体内容详见附件：采购需求表；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最高限价：330000.00元。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合同履约期限：</w:t>
      </w:r>
      <w:r>
        <w:rPr>
          <w:rFonts w:hint="eastAsia" w:ascii="宋体" w:hAnsi="宋体"/>
          <w:color w:val="auto"/>
          <w:szCs w:val="21"/>
          <w:highlight w:val="none"/>
          <w:lang w:val="en-US" w:eastAsia="zh-CN"/>
        </w:rPr>
        <w:t>自合同签订之日起</w:t>
      </w:r>
      <w:r>
        <w:rPr>
          <w:rFonts w:hint="eastAsia" w:ascii="宋体" w:hAnsi="宋体"/>
          <w:color w:val="auto"/>
          <w:szCs w:val="21"/>
          <w:highlight w:val="none"/>
          <w:lang w:val="en-US" w:eastAsia="zh-CN"/>
        </w:rPr>
        <w:t>25</w:t>
      </w:r>
      <w:r>
        <w:rPr>
          <w:rFonts w:hint="eastAsia" w:ascii="宋体" w:hAnsi="宋体"/>
          <w:color w:val="auto"/>
          <w:szCs w:val="21"/>
          <w:highlight w:val="none"/>
          <w:lang w:val="en-US" w:eastAsia="zh-CN"/>
        </w:rPr>
        <w:t>日历天内供货并安装调试完毕。</w:t>
      </w:r>
      <w:r>
        <w:rPr>
          <w:rFonts w:hint="eastAsia" w:ascii="宋体" w:hAnsi="宋体" w:eastAsia="宋体" w:cs="Times New Roman"/>
          <w:color w:val="auto"/>
          <w:szCs w:val="21"/>
          <w:highlight w:val="none"/>
          <w:lang w:val="en-US" w:eastAsia="zh-CN"/>
        </w:rPr>
        <w:t xml:space="preserve">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本标项（否）接受联合体投标。 </w:t>
      </w:r>
    </w:p>
    <w:p>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备注：/</w:t>
      </w:r>
    </w:p>
    <w:p>
      <w:pPr>
        <w:spacing w:line="360" w:lineRule="auto"/>
        <w:ind w:firstLine="422"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b/>
          <w:bCs/>
          <w:color w:val="auto"/>
          <w:szCs w:val="21"/>
          <w:highlight w:val="none"/>
          <w:lang w:val="en-US" w:eastAsia="zh-CN"/>
        </w:rPr>
        <w:t>标项19：标项名称：视力筛查仪、智能视力筛查建档系统、3D视觉功能训练系统</w:t>
      </w:r>
    </w:p>
    <w:p>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数量：各1套</w:t>
      </w:r>
    </w:p>
    <w:p>
      <w:pPr>
        <w:spacing w:line="360" w:lineRule="auto"/>
        <w:ind w:firstLine="420" w:firstLineChars="200"/>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预算金额（元）：191000.00</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简要规格描述或项目基本概况介绍、用途：具体内容详见附件：采购需求表；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最高限价：191000.00元。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合同履约期限：</w:t>
      </w:r>
      <w:r>
        <w:rPr>
          <w:rFonts w:hint="eastAsia" w:ascii="宋体" w:hAnsi="宋体"/>
          <w:color w:val="auto"/>
          <w:szCs w:val="21"/>
          <w:highlight w:val="none"/>
          <w:lang w:val="en-US" w:eastAsia="zh-CN"/>
        </w:rPr>
        <w:t>自合同签订之日起</w:t>
      </w:r>
      <w:r>
        <w:rPr>
          <w:rFonts w:hint="eastAsia" w:ascii="宋体" w:hAnsi="宋体"/>
          <w:color w:val="auto"/>
          <w:szCs w:val="21"/>
          <w:highlight w:val="none"/>
          <w:lang w:val="en-US" w:eastAsia="zh-CN"/>
        </w:rPr>
        <w:t>25</w:t>
      </w:r>
      <w:r>
        <w:rPr>
          <w:rFonts w:hint="eastAsia" w:ascii="宋体" w:hAnsi="宋体"/>
          <w:color w:val="auto"/>
          <w:szCs w:val="21"/>
          <w:highlight w:val="none"/>
          <w:lang w:val="en-US" w:eastAsia="zh-CN"/>
        </w:rPr>
        <w:t>日历天内供货并安装调试完毕。</w:t>
      </w:r>
      <w:r>
        <w:rPr>
          <w:rFonts w:hint="eastAsia" w:ascii="宋体" w:hAnsi="宋体" w:eastAsia="宋体" w:cs="Times New Roman"/>
          <w:color w:val="auto"/>
          <w:szCs w:val="21"/>
          <w:highlight w:val="none"/>
          <w:lang w:val="en-US" w:eastAsia="zh-CN"/>
        </w:rPr>
        <w:t xml:space="preserve"> </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 xml:space="preserve">本标项（否）接受联合体投标。 </w:t>
      </w:r>
    </w:p>
    <w:p>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备注：/</w:t>
      </w:r>
    </w:p>
    <w:p>
      <w:pPr>
        <w:spacing w:line="360" w:lineRule="auto"/>
        <w:rPr>
          <w:rFonts w:ascii="黑体" w:hAnsi="黑体" w:eastAsia="黑体"/>
          <w:b/>
          <w:bCs/>
          <w:color w:val="auto"/>
          <w:sz w:val="24"/>
          <w:highlight w:val="none"/>
        </w:rPr>
      </w:pPr>
      <w:bookmarkStart w:id="16" w:name="_Toc28359003"/>
      <w:bookmarkStart w:id="17" w:name="_Toc35393622"/>
      <w:bookmarkStart w:id="18" w:name="_Toc35393791"/>
      <w:bookmarkStart w:id="19" w:name="_Toc28359080"/>
      <w:r>
        <w:rPr>
          <w:rFonts w:hint="eastAsia" w:ascii="黑体" w:hAnsi="黑体" w:eastAsia="黑体"/>
          <w:b/>
          <w:bCs/>
          <w:color w:val="auto"/>
          <w:sz w:val="24"/>
          <w:highlight w:val="none"/>
        </w:rPr>
        <w:t>二、申请人的资格要求：</w:t>
      </w:r>
      <w:bookmarkEnd w:id="16"/>
      <w:bookmarkEnd w:id="17"/>
      <w:bookmarkEnd w:id="18"/>
      <w:bookmarkEnd w:id="19"/>
    </w:p>
    <w:p>
      <w:pPr>
        <w:spacing w:line="360" w:lineRule="auto"/>
        <w:ind w:firstLine="420" w:firstLineChars="200"/>
        <w:rPr>
          <w:rFonts w:ascii="宋体" w:hAnsi="宋体"/>
          <w:color w:val="auto"/>
          <w:szCs w:val="21"/>
          <w:highlight w:val="none"/>
        </w:rPr>
      </w:pPr>
      <w:bookmarkStart w:id="20" w:name="_Hlk51746371"/>
      <w:r>
        <w:rPr>
          <w:rFonts w:hint="eastAsia" w:ascii="宋体" w:hAnsi="宋体"/>
          <w:color w:val="auto"/>
          <w:szCs w:val="21"/>
          <w:highlight w:val="none"/>
        </w:rPr>
        <w:t>1.满足《中华人民共和国政府采购法》第二十二条规定；</w:t>
      </w:r>
    </w:p>
    <w:p>
      <w:pPr>
        <w:spacing w:line="360" w:lineRule="auto"/>
        <w:ind w:firstLine="420" w:firstLineChars="200"/>
        <w:rPr>
          <w:rFonts w:hint="eastAsia" w:ascii="宋体" w:hAnsi="宋体" w:eastAsia="宋体"/>
          <w:color w:val="auto"/>
          <w:szCs w:val="21"/>
          <w:highlight w:val="none"/>
          <w:lang w:eastAsia="zh-CN"/>
        </w:rPr>
      </w:pPr>
      <w:bookmarkStart w:id="21" w:name="_Toc28359081"/>
      <w:bookmarkStart w:id="22" w:name="_Toc28359004"/>
      <w:r>
        <w:rPr>
          <w:rFonts w:ascii="宋体" w:hAnsi="宋体"/>
          <w:color w:val="auto"/>
          <w:szCs w:val="21"/>
          <w:highlight w:val="none"/>
        </w:rPr>
        <w:t>2</w:t>
      </w:r>
      <w:r>
        <w:rPr>
          <w:rFonts w:hint="eastAsia" w:ascii="宋体" w:hAnsi="宋体"/>
          <w:color w:val="auto"/>
          <w:szCs w:val="21"/>
          <w:highlight w:val="none"/>
        </w:rPr>
        <w:t>.落实政府采购政策需满足的资格要求：</w:t>
      </w:r>
      <w:r>
        <w:rPr>
          <w:rFonts w:hint="eastAsia" w:ascii="宋体" w:hAnsi="宋体"/>
          <w:color w:val="auto"/>
          <w:szCs w:val="21"/>
          <w:highlight w:val="none"/>
          <w:u w:val="single"/>
        </w:rPr>
        <w:t>本项目</w:t>
      </w:r>
      <w:r>
        <w:rPr>
          <w:rFonts w:hint="eastAsia" w:ascii="宋体" w:hAnsi="宋体"/>
          <w:b w:val="0"/>
          <w:bCs w:val="0"/>
          <w:color w:val="auto"/>
          <w:szCs w:val="21"/>
          <w:highlight w:val="none"/>
          <w:u w:val="single"/>
        </w:rPr>
        <w:t>不属于</w:t>
      </w:r>
      <w:r>
        <w:rPr>
          <w:rFonts w:hint="eastAsia" w:ascii="宋体" w:hAnsi="宋体"/>
          <w:color w:val="auto"/>
          <w:szCs w:val="21"/>
          <w:highlight w:val="none"/>
          <w:u w:val="single"/>
        </w:rPr>
        <w:t>专门面向中小企业采购的项目</w:t>
      </w:r>
      <w:r>
        <w:rPr>
          <w:rFonts w:hint="eastAsia" w:ascii="宋体" w:hAnsi="宋体"/>
          <w:color w:val="auto"/>
          <w:szCs w:val="21"/>
          <w:highlight w:val="none"/>
          <w:lang w:eastAsia="zh-CN"/>
        </w:rPr>
        <w:t>。</w:t>
      </w:r>
    </w:p>
    <w:p>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3.本项目的特定资格要求：投标供应商按《医疗器械监督管理条例》（国务院令第 739号）医疗器械分类管理要求具备有效的医疗器械经营备案凭证或者经营许可证，且经营范围必须包含采购标的[符合《医疗器械监督管理条例》第四十一条第二款规定的除外]；或者供应商具有《医疗器械监督管理条例》第四十三条规定的注册人凭证。</w:t>
      </w:r>
    </w:p>
    <w:bookmarkEnd w:id="20"/>
    <w:p>
      <w:pPr>
        <w:spacing w:line="360" w:lineRule="auto"/>
        <w:rPr>
          <w:rFonts w:ascii="黑体" w:hAnsi="黑体" w:eastAsia="黑体"/>
          <w:b/>
          <w:bCs/>
          <w:color w:val="auto"/>
          <w:sz w:val="24"/>
          <w:highlight w:val="none"/>
        </w:rPr>
      </w:pPr>
      <w:bookmarkStart w:id="23" w:name="_Toc35393792"/>
      <w:bookmarkStart w:id="24" w:name="_Toc35393623"/>
      <w:r>
        <w:rPr>
          <w:rFonts w:hint="eastAsia" w:ascii="黑体" w:hAnsi="黑体" w:eastAsia="黑体"/>
          <w:b/>
          <w:bCs/>
          <w:color w:val="auto"/>
          <w:sz w:val="24"/>
          <w:highlight w:val="none"/>
        </w:rPr>
        <w:t>三、获取招标文件</w:t>
      </w:r>
      <w:bookmarkEnd w:id="21"/>
      <w:bookmarkEnd w:id="22"/>
      <w:bookmarkEnd w:id="23"/>
      <w:bookmarkEnd w:id="24"/>
    </w:p>
    <w:p>
      <w:pPr>
        <w:spacing w:line="360" w:lineRule="auto"/>
        <w:ind w:firstLine="540"/>
        <w:rPr>
          <w:rFonts w:hint="eastAsia" w:ascii="宋体" w:hAnsi="宋体" w:eastAsia="宋体" w:cs="宋体"/>
          <w:bCs/>
          <w:color w:val="auto"/>
          <w:kern w:val="0"/>
          <w:szCs w:val="21"/>
          <w:highlight w:val="none"/>
          <w:lang w:eastAsia="zh-CN"/>
        </w:rPr>
      </w:pPr>
      <w:r>
        <w:rPr>
          <w:rFonts w:hint="eastAsia" w:ascii="宋体" w:hAnsi="宋体" w:cs="宋体"/>
          <w:bCs/>
          <w:color w:val="auto"/>
          <w:kern w:val="0"/>
          <w:szCs w:val="21"/>
          <w:highlight w:val="none"/>
        </w:rPr>
        <w:t>时间：</w:t>
      </w:r>
      <w:r>
        <w:rPr>
          <w:rFonts w:ascii="宋体" w:hAnsi="宋体" w:cs="宋体"/>
          <w:bCs/>
          <w:color w:val="auto"/>
          <w:kern w:val="0"/>
          <w:szCs w:val="21"/>
          <w:highlight w:val="none"/>
        </w:rPr>
        <w:t xml:space="preserve"> </w:t>
      </w:r>
      <w:r>
        <w:rPr>
          <w:rFonts w:ascii="宋体" w:hAnsi="宋体" w:cs="宋体"/>
          <w:bCs/>
          <w:color w:val="auto"/>
          <w:kern w:val="0"/>
          <w:szCs w:val="21"/>
          <w:highlight w:val="none"/>
          <w:u w:val="single"/>
        </w:rPr>
        <w:t xml:space="preserve"> </w:t>
      </w:r>
      <w:r>
        <w:rPr>
          <w:rFonts w:hint="eastAsia" w:ascii="宋体" w:hAnsi="宋体" w:cs="宋体"/>
          <w:bCs/>
          <w:color w:val="auto"/>
          <w:kern w:val="0"/>
          <w:szCs w:val="21"/>
          <w:highlight w:val="none"/>
          <w:u w:val="single"/>
          <w:lang w:val="en-US" w:eastAsia="zh-CN"/>
        </w:rPr>
        <w:t>2024</w:t>
      </w:r>
      <w:r>
        <w:rPr>
          <w:rFonts w:hint="eastAsia" w:ascii="宋体" w:hAnsi="宋体" w:cs="宋体"/>
          <w:bCs/>
          <w:color w:val="auto"/>
          <w:kern w:val="0"/>
          <w:szCs w:val="21"/>
          <w:highlight w:val="none"/>
          <w:u w:val="single"/>
        </w:rPr>
        <w:t>年</w:t>
      </w:r>
      <w:r>
        <w:rPr>
          <w:rFonts w:hint="eastAsia" w:ascii="宋体" w:hAnsi="宋体" w:cs="宋体"/>
          <w:bCs/>
          <w:color w:val="auto"/>
          <w:kern w:val="0"/>
          <w:szCs w:val="21"/>
          <w:highlight w:val="none"/>
          <w:u w:val="single"/>
          <w:lang w:val="en-US" w:eastAsia="zh-CN"/>
        </w:rPr>
        <w:t>12</w:t>
      </w:r>
      <w:r>
        <w:rPr>
          <w:rFonts w:hint="eastAsia" w:ascii="宋体" w:hAnsi="宋体" w:cs="宋体"/>
          <w:bCs/>
          <w:color w:val="auto"/>
          <w:kern w:val="0"/>
          <w:szCs w:val="21"/>
          <w:highlight w:val="none"/>
          <w:u w:val="single"/>
        </w:rPr>
        <w:t>月</w:t>
      </w:r>
      <w:r>
        <w:rPr>
          <w:rFonts w:hint="eastAsia" w:ascii="宋体" w:hAnsi="宋体" w:cs="宋体"/>
          <w:bCs/>
          <w:color w:val="auto"/>
          <w:kern w:val="0"/>
          <w:szCs w:val="21"/>
          <w:highlight w:val="none"/>
          <w:u w:val="single"/>
          <w:lang w:val="en-US" w:eastAsia="zh-CN"/>
        </w:rPr>
        <w:t xml:space="preserve">   </w:t>
      </w:r>
      <w:r>
        <w:rPr>
          <w:rFonts w:hint="eastAsia" w:ascii="宋体" w:hAnsi="宋体" w:cs="宋体"/>
          <w:bCs/>
          <w:color w:val="auto"/>
          <w:kern w:val="0"/>
          <w:szCs w:val="21"/>
          <w:highlight w:val="none"/>
          <w:u w:val="single"/>
        </w:rPr>
        <w:t>日</w:t>
      </w:r>
      <w:r>
        <w:rPr>
          <w:rFonts w:hint="eastAsia" w:ascii="宋体" w:hAnsi="宋体" w:cs="宋体"/>
          <w:bCs/>
          <w:color w:val="auto"/>
          <w:kern w:val="0"/>
          <w:szCs w:val="21"/>
          <w:highlight w:val="none"/>
        </w:rPr>
        <w:t>至</w:t>
      </w:r>
      <w:r>
        <w:rPr>
          <w:rFonts w:ascii="宋体" w:hAnsi="宋体" w:cs="宋体"/>
          <w:bCs/>
          <w:color w:val="auto"/>
          <w:kern w:val="0"/>
          <w:szCs w:val="21"/>
          <w:highlight w:val="none"/>
          <w:u w:val="single"/>
        </w:rPr>
        <w:t xml:space="preserve"> </w:t>
      </w:r>
      <w:r>
        <w:rPr>
          <w:rFonts w:hint="eastAsia" w:ascii="宋体" w:hAnsi="宋体" w:cs="宋体"/>
          <w:bCs/>
          <w:color w:val="auto"/>
          <w:kern w:val="0"/>
          <w:szCs w:val="21"/>
          <w:highlight w:val="none"/>
          <w:u w:val="single"/>
          <w:lang w:val="en-US" w:eastAsia="zh-CN"/>
        </w:rPr>
        <w:t>2024</w:t>
      </w:r>
      <w:r>
        <w:rPr>
          <w:rFonts w:hint="eastAsia" w:ascii="宋体" w:hAnsi="宋体" w:cs="宋体"/>
          <w:bCs/>
          <w:color w:val="auto"/>
          <w:kern w:val="0"/>
          <w:szCs w:val="21"/>
          <w:highlight w:val="none"/>
          <w:u w:val="single"/>
        </w:rPr>
        <w:t>年</w:t>
      </w:r>
      <w:r>
        <w:rPr>
          <w:rFonts w:hint="eastAsia" w:ascii="宋体" w:hAnsi="宋体" w:cs="宋体"/>
          <w:bCs/>
          <w:color w:val="auto"/>
          <w:kern w:val="0"/>
          <w:szCs w:val="21"/>
          <w:highlight w:val="none"/>
          <w:u w:val="single"/>
          <w:lang w:val="en-US" w:eastAsia="zh-CN"/>
        </w:rPr>
        <w:t>12</w:t>
      </w:r>
      <w:r>
        <w:rPr>
          <w:rFonts w:hint="eastAsia" w:ascii="宋体" w:hAnsi="宋体" w:cs="宋体"/>
          <w:bCs/>
          <w:color w:val="auto"/>
          <w:kern w:val="0"/>
          <w:szCs w:val="21"/>
          <w:highlight w:val="none"/>
          <w:u w:val="single"/>
        </w:rPr>
        <w:t>月</w:t>
      </w:r>
      <w:r>
        <w:rPr>
          <w:rFonts w:hint="eastAsia" w:ascii="宋体" w:hAnsi="宋体" w:cs="宋体"/>
          <w:bCs/>
          <w:color w:val="auto"/>
          <w:kern w:val="0"/>
          <w:szCs w:val="21"/>
          <w:highlight w:val="none"/>
          <w:u w:val="single"/>
          <w:lang w:val="en-US" w:eastAsia="zh-CN"/>
        </w:rPr>
        <w:t xml:space="preserve">    </w:t>
      </w:r>
      <w:r>
        <w:rPr>
          <w:rFonts w:hint="eastAsia" w:ascii="宋体" w:hAnsi="宋体" w:cs="宋体"/>
          <w:bCs/>
          <w:color w:val="auto"/>
          <w:kern w:val="0"/>
          <w:szCs w:val="21"/>
          <w:highlight w:val="none"/>
          <w:u w:val="single"/>
        </w:rPr>
        <w:t>日</w:t>
      </w:r>
      <w:r>
        <w:rPr>
          <w:rFonts w:hint="eastAsia" w:ascii="宋体" w:hAnsi="宋体" w:cs="宋体"/>
          <w:bCs/>
          <w:color w:val="auto"/>
          <w:kern w:val="0"/>
          <w:szCs w:val="21"/>
          <w:highlight w:val="none"/>
          <w:u w:val="none"/>
          <w:lang w:eastAsia="zh-CN"/>
        </w:rPr>
        <w:t>，每天上午8:30—12:00，下午1</w:t>
      </w:r>
      <w:r>
        <w:rPr>
          <w:rFonts w:hint="eastAsia" w:ascii="宋体" w:hAnsi="宋体" w:cs="宋体"/>
          <w:bCs/>
          <w:color w:val="auto"/>
          <w:kern w:val="0"/>
          <w:szCs w:val="21"/>
          <w:highlight w:val="none"/>
          <w:u w:val="none"/>
          <w:lang w:val="en-US" w:eastAsia="zh-CN"/>
        </w:rPr>
        <w:t>2</w:t>
      </w:r>
      <w:r>
        <w:rPr>
          <w:rFonts w:hint="eastAsia" w:ascii="宋体" w:hAnsi="宋体" w:cs="宋体"/>
          <w:bCs/>
          <w:color w:val="auto"/>
          <w:kern w:val="0"/>
          <w:szCs w:val="21"/>
          <w:highlight w:val="none"/>
          <w:u w:val="none"/>
          <w:lang w:eastAsia="zh-CN"/>
        </w:rPr>
        <w:t>:00—</w:t>
      </w:r>
      <w:r>
        <w:rPr>
          <w:rFonts w:hint="eastAsia" w:ascii="宋体" w:hAnsi="宋体" w:cs="宋体"/>
          <w:bCs/>
          <w:color w:val="auto"/>
          <w:kern w:val="0"/>
          <w:szCs w:val="21"/>
          <w:highlight w:val="none"/>
          <w:u w:val="none"/>
          <w:lang w:val="en-US" w:eastAsia="zh-CN"/>
        </w:rPr>
        <w:t>23</w:t>
      </w:r>
      <w:r>
        <w:rPr>
          <w:rFonts w:hint="eastAsia" w:ascii="宋体" w:hAnsi="宋体" w:cs="宋体"/>
          <w:bCs/>
          <w:color w:val="auto"/>
          <w:kern w:val="0"/>
          <w:szCs w:val="21"/>
          <w:highlight w:val="none"/>
          <w:u w:val="none"/>
          <w:lang w:eastAsia="zh-CN"/>
        </w:rPr>
        <w:t>:</w:t>
      </w:r>
      <w:r>
        <w:rPr>
          <w:rFonts w:hint="eastAsia" w:ascii="宋体" w:hAnsi="宋体" w:cs="宋体"/>
          <w:bCs/>
          <w:color w:val="auto"/>
          <w:kern w:val="0"/>
          <w:szCs w:val="21"/>
          <w:highlight w:val="none"/>
          <w:u w:val="none"/>
          <w:lang w:val="en-US" w:eastAsia="zh-CN"/>
        </w:rPr>
        <w:t>59</w:t>
      </w:r>
      <w:r>
        <w:rPr>
          <w:rFonts w:hint="eastAsia" w:ascii="宋体" w:hAnsi="宋体" w:cs="宋体"/>
          <w:bCs/>
          <w:color w:val="auto"/>
          <w:kern w:val="0"/>
          <w:szCs w:val="21"/>
          <w:highlight w:val="none"/>
          <w:u w:val="none"/>
          <w:lang w:eastAsia="zh-CN"/>
        </w:rPr>
        <w:t>（北京时间，法定公休日、法定节假日除外)</w:t>
      </w:r>
    </w:p>
    <w:p>
      <w:pPr>
        <w:spacing w:line="360" w:lineRule="auto"/>
        <w:ind w:firstLine="540"/>
        <w:rPr>
          <w:rFonts w:hint="eastAsia" w:ascii="宋体" w:hAnsi="宋体" w:cs="宋体"/>
          <w:bCs/>
          <w:color w:val="auto"/>
          <w:kern w:val="0"/>
          <w:szCs w:val="21"/>
          <w:highlight w:val="none"/>
        </w:rPr>
      </w:pPr>
      <w:r>
        <w:rPr>
          <w:rFonts w:hint="eastAsia" w:ascii="宋体" w:hAnsi="宋体" w:cs="宋体"/>
          <w:bCs/>
          <w:color w:val="auto"/>
          <w:kern w:val="0"/>
          <w:szCs w:val="21"/>
          <w:highlight w:val="none"/>
        </w:rPr>
        <w:t>地点：广西政府采购云平台（https://www.gcy.zfcg.gxzf.gov.cn/）</w:t>
      </w:r>
    </w:p>
    <w:p>
      <w:pPr>
        <w:spacing w:line="360" w:lineRule="auto"/>
        <w:ind w:firstLine="540"/>
        <w:rPr>
          <w:rFonts w:ascii="宋体" w:hAnsi="宋体" w:cs="宋体"/>
          <w:bCs/>
          <w:color w:val="auto"/>
          <w:kern w:val="0"/>
          <w:szCs w:val="21"/>
          <w:highlight w:val="none"/>
        </w:rPr>
      </w:pPr>
      <w:r>
        <w:rPr>
          <w:rFonts w:hint="eastAsia" w:ascii="宋体" w:hAnsi="宋体" w:cs="宋体"/>
          <w:bCs/>
          <w:color w:val="auto"/>
          <w:kern w:val="0"/>
          <w:szCs w:val="21"/>
          <w:highlight w:val="none"/>
        </w:rPr>
        <w:t>方式：网上下载。本项目不提供纸质文件，潜在供应商需使用账号登录或者使用CA登录广西政府采购云平台（https://www.gcy.zfcg.gxzf.gov.cn/）-进入“项目采购”应用，在获取</w:t>
      </w:r>
      <w:r>
        <w:rPr>
          <w:rFonts w:hint="eastAsia" w:ascii="宋体" w:hAnsi="宋体" w:cs="宋体"/>
          <w:bCs/>
          <w:color w:val="auto"/>
          <w:kern w:val="0"/>
          <w:szCs w:val="21"/>
          <w:highlight w:val="none"/>
          <w:lang w:eastAsia="zh-CN"/>
        </w:rPr>
        <w:t>招标文件</w:t>
      </w:r>
      <w:r>
        <w:rPr>
          <w:rFonts w:hint="eastAsia" w:ascii="宋体" w:hAnsi="宋体" w:cs="宋体"/>
          <w:bCs/>
          <w:color w:val="auto"/>
          <w:kern w:val="0"/>
          <w:szCs w:val="21"/>
          <w:highlight w:val="none"/>
        </w:rPr>
        <w:t>菜单中选择项目，获取</w:t>
      </w:r>
      <w:r>
        <w:rPr>
          <w:rFonts w:hint="eastAsia" w:ascii="宋体" w:hAnsi="宋体" w:cs="宋体"/>
          <w:bCs/>
          <w:color w:val="auto"/>
          <w:kern w:val="0"/>
          <w:szCs w:val="21"/>
          <w:highlight w:val="none"/>
          <w:lang w:eastAsia="zh-CN"/>
        </w:rPr>
        <w:t>招标文件</w:t>
      </w:r>
      <w:r>
        <w:rPr>
          <w:rFonts w:hint="eastAsia" w:ascii="宋体" w:hAnsi="宋体" w:cs="宋体"/>
          <w:bCs/>
          <w:color w:val="auto"/>
          <w:kern w:val="0"/>
          <w:szCs w:val="21"/>
          <w:highlight w:val="none"/>
        </w:rPr>
        <w:t>。电子响应文件制作需要基于广西政府采购云平台（https://www.gcy.zfcg.gxzf.gov.cn/）获取的</w:t>
      </w:r>
      <w:r>
        <w:rPr>
          <w:rFonts w:hint="eastAsia" w:ascii="宋体" w:hAnsi="宋体" w:cs="宋体"/>
          <w:bCs/>
          <w:color w:val="auto"/>
          <w:kern w:val="0"/>
          <w:szCs w:val="21"/>
          <w:highlight w:val="none"/>
          <w:lang w:eastAsia="zh-CN"/>
        </w:rPr>
        <w:t>招标文件</w:t>
      </w:r>
      <w:r>
        <w:rPr>
          <w:rFonts w:hint="eastAsia" w:ascii="宋体" w:hAnsi="宋体" w:cs="宋体"/>
          <w:bCs/>
          <w:color w:val="auto"/>
          <w:kern w:val="0"/>
          <w:szCs w:val="21"/>
          <w:highlight w:val="none"/>
        </w:rPr>
        <w:t>编制，通过其他方式获取</w:t>
      </w:r>
      <w:r>
        <w:rPr>
          <w:rFonts w:hint="eastAsia" w:ascii="宋体" w:hAnsi="宋体" w:cs="宋体"/>
          <w:bCs/>
          <w:color w:val="auto"/>
          <w:kern w:val="0"/>
          <w:szCs w:val="21"/>
          <w:highlight w:val="none"/>
          <w:lang w:eastAsia="zh-CN"/>
        </w:rPr>
        <w:t>招标文件</w:t>
      </w:r>
      <w:r>
        <w:rPr>
          <w:rFonts w:hint="eastAsia" w:ascii="宋体" w:hAnsi="宋体" w:cs="宋体"/>
          <w:bCs/>
          <w:color w:val="auto"/>
          <w:kern w:val="0"/>
          <w:szCs w:val="21"/>
          <w:highlight w:val="none"/>
        </w:rPr>
        <w:t>的，将有可能导致供应商无法在广西政府采购云平台编制及上传响应文件。</w:t>
      </w:r>
    </w:p>
    <w:p>
      <w:pPr>
        <w:spacing w:line="360" w:lineRule="auto"/>
        <w:ind w:firstLine="540"/>
        <w:rPr>
          <w:rFonts w:ascii="宋体" w:hAnsi="宋体" w:cs="宋体"/>
          <w:color w:val="auto"/>
          <w:szCs w:val="21"/>
          <w:highlight w:val="none"/>
        </w:rPr>
      </w:pPr>
      <w:r>
        <w:rPr>
          <w:rFonts w:hint="eastAsia" w:ascii="宋体" w:hAnsi="宋体" w:cs="宋体"/>
          <w:bCs/>
          <w:color w:val="auto"/>
          <w:kern w:val="0"/>
          <w:szCs w:val="21"/>
          <w:highlight w:val="none"/>
        </w:rPr>
        <w:t>售价：</w:t>
      </w:r>
      <w:r>
        <w:rPr>
          <w:rFonts w:hint="eastAsia" w:ascii="宋体" w:hAnsi="宋体" w:cs="宋体"/>
          <w:bCs/>
          <w:color w:val="auto"/>
          <w:kern w:val="0"/>
          <w:szCs w:val="21"/>
          <w:highlight w:val="none"/>
          <w:lang w:val="en-US" w:eastAsia="zh-CN"/>
        </w:rPr>
        <w:t>0元。</w:t>
      </w:r>
      <w:r>
        <w:rPr>
          <w:rFonts w:hint="eastAsia" w:ascii="宋体" w:hAnsi="宋体" w:cs="宋体"/>
          <w:color w:val="auto"/>
          <w:szCs w:val="21"/>
          <w:highlight w:val="none"/>
        </w:rPr>
        <w:t xml:space="preserve">  </w:t>
      </w:r>
    </w:p>
    <w:p>
      <w:pPr>
        <w:spacing w:line="360" w:lineRule="auto"/>
        <w:rPr>
          <w:rFonts w:ascii="黑体" w:hAnsi="黑体" w:eastAsia="黑体"/>
          <w:b/>
          <w:bCs/>
          <w:color w:val="auto"/>
          <w:sz w:val="24"/>
          <w:highlight w:val="none"/>
        </w:rPr>
      </w:pPr>
      <w:bookmarkStart w:id="25" w:name="_Toc28359082"/>
      <w:bookmarkStart w:id="26" w:name="_Toc28359005"/>
      <w:bookmarkStart w:id="27" w:name="_Toc35393793"/>
      <w:bookmarkStart w:id="28" w:name="_Toc35393624"/>
      <w:r>
        <w:rPr>
          <w:rFonts w:hint="eastAsia" w:ascii="黑体" w:hAnsi="黑体" w:eastAsia="黑体"/>
          <w:b/>
          <w:bCs/>
          <w:color w:val="auto"/>
          <w:sz w:val="24"/>
          <w:highlight w:val="none"/>
        </w:rPr>
        <w:t>四、提交投标文件</w:t>
      </w:r>
      <w:bookmarkEnd w:id="25"/>
      <w:bookmarkEnd w:id="26"/>
      <w:r>
        <w:rPr>
          <w:rFonts w:hint="eastAsia" w:ascii="黑体" w:hAnsi="黑体" w:eastAsia="黑体"/>
          <w:b/>
          <w:bCs/>
          <w:color w:val="auto"/>
          <w:sz w:val="24"/>
          <w:highlight w:val="none"/>
        </w:rPr>
        <w:t>截止时间、开标时间和地点</w:t>
      </w:r>
      <w:bookmarkEnd w:id="27"/>
      <w:bookmarkEnd w:id="28"/>
    </w:p>
    <w:p>
      <w:pPr>
        <w:spacing w:line="360" w:lineRule="auto"/>
        <w:ind w:firstLine="420" w:firstLineChars="200"/>
        <w:rPr>
          <w:rFonts w:ascii="宋体" w:hAnsi="宋体" w:cs="宋体"/>
          <w:color w:val="auto"/>
          <w:szCs w:val="21"/>
          <w:highlight w:val="none"/>
          <w:u w:val="none"/>
        </w:rPr>
      </w:pPr>
      <w:bookmarkStart w:id="29" w:name="_Toc28359007"/>
      <w:bookmarkStart w:id="30" w:name="_Toc28359084"/>
      <w:bookmarkStart w:id="31" w:name="_Toc35393625"/>
      <w:bookmarkStart w:id="32" w:name="_Toc35393794"/>
      <w:r>
        <w:rPr>
          <w:rFonts w:hint="eastAsia" w:ascii="宋体" w:hAnsi="宋体" w:cs="宋体"/>
          <w:color w:val="auto"/>
          <w:szCs w:val="21"/>
          <w:highlight w:val="none"/>
          <w:u w:val="none"/>
        </w:rPr>
        <w:t>提交投标文件截止时间：</w:t>
      </w:r>
      <w:r>
        <w:rPr>
          <w:rFonts w:hint="eastAsia" w:ascii="宋体" w:hAnsi="宋体"/>
          <w:color w:val="auto"/>
          <w:szCs w:val="21"/>
          <w:highlight w:val="none"/>
          <w:u w:val="single"/>
          <w:lang w:val="en-US" w:eastAsia="zh-CN"/>
        </w:rPr>
        <w:t xml:space="preserve"> 2025年    月   日</w:t>
      </w:r>
      <w:r>
        <w:rPr>
          <w:rFonts w:hint="eastAsia" w:ascii="宋体" w:hAnsi="宋体" w:cs="宋体"/>
          <w:color w:val="auto"/>
          <w:szCs w:val="21"/>
          <w:highlight w:val="none"/>
          <w:u w:val="none"/>
        </w:rPr>
        <w:t xml:space="preserve"> 09:</w:t>
      </w:r>
      <w:r>
        <w:rPr>
          <w:rFonts w:hint="eastAsia" w:ascii="宋体" w:hAnsi="宋体" w:cs="宋体"/>
          <w:color w:val="auto"/>
          <w:szCs w:val="21"/>
          <w:highlight w:val="none"/>
          <w:u w:val="none"/>
          <w:lang w:val="en-US" w:eastAsia="zh-CN"/>
        </w:rPr>
        <w:t>3</w:t>
      </w:r>
      <w:r>
        <w:rPr>
          <w:rFonts w:hint="eastAsia" w:ascii="宋体" w:hAnsi="宋体" w:cs="宋体"/>
          <w:color w:val="auto"/>
          <w:szCs w:val="21"/>
          <w:highlight w:val="none"/>
          <w:u w:val="none"/>
        </w:rPr>
        <w:t>0（北京时间）</w:t>
      </w:r>
    </w:p>
    <w:p>
      <w:pPr>
        <w:spacing w:line="360" w:lineRule="auto"/>
        <w:ind w:firstLine="420" w:firstLineChars="200"/>
        <w:rPr>
          <w:rFonts w:hint="eastAsia" w:ascii="仿宋" w:hAnsi="仿宋" w:eastAsia="仿宋" w:cs="仿宋"/>
          <w:i w:val="0"/>
          <w:iCs w:val="0"/>
          <w:caps w:val="0"/>
          <w:color w:val="auto"/>
          <w:spacing w:val="0"/>
          <w:sz w:val="27"/>
          <w:szCs w:val="27"/>
          <w:highlight w:val="none"/>
          <w:u w:val="none"/>
        </w:rPr>
      </w:pPr>
      <w:r>
        <w:rPr>
          <w:rFonts w:hint="eastAsia" w:ascii="宋体" w:hAnsi="宋体"/>
          <w:color w:val="auto"/>
          <w:szCs w:val="21"/>
          <w:highlight w:val="none"/>
          <w:u w:val="none"/>
        </w:rPr>
        <w:t>地点：</w:t>
      </w:r>
      <w:r>
        <w:rPr>
          <w:rFonts w:hint="eastAsia" w:ascii="宋体" w:hAnsi="宋体" w:eastAsia="宋体" w:cs="宋体"/>
          <w:color w:val="auto"/>
          <w:szCs w:val="21"/>
          <w:highlight w:val="none"/>
          <w:u w:val="none"/>
        </w:rPr>
        <w:t>广西政府采购云平台（https://www.gcy.zfcg.gxzf.gov.cn/）</w:t>
      </w:r>
    </w:p>
    <w:p>
      <w:pPr>
        <w:spacing w:line="360" w:lineRule="auto"/>
        <w:ind w:firstLine="420" w:firstLineChars="200"/>
        <w:rPr>
          <w:rFonts w:hint="eastAsia"/>
          <w:color w:val="auto"/>
          <w:highlight w:val="none"/>
        </w:rPr>
      </w:pPr>
      <w:r>
        <w:rPr>
          <w:rFonts w:hint="eastAsia"/>
          <w:color w:val="auto"/>
          <w:highlight w:val="none"/>
        </w:rPr>
        <w:t>开标时间：</w:t>
      </w:r>
      <w:r>
        <w:rPr>
          <w:rFonts w:hint="eastAsia" w:ascii="宋体" w:hAnsi="宋体"/>
          <w:color w:val="auto"/>
          <w:szCs w:val="21"/>
          <w:highlight w:val="none"/>
          <w:u w:val="single"/>
          <w:lang w:val="en-US" w:eastAsia="zh-CN"/>
        </w:rPr>
        <w:t>2025年    月   日</w:t>
      </w:r>
      <w:r>
        <w:rPr>
          <w:rFonts w:hint="eastAsia"/>
          <w:color w:val="auto"/>
          <w:highlight w:val="none"/>
        </w:rPr>
        <w:t xml:space="preserve"> </w:t>
      </w:r>
      <w:r>
        <w:rPr>
          <w:rFonts w:hint="eastAsia" w:ascii="宋体" w:hAnsi="宋体" w:cs="宋体"/>
          <w:color w:val="auto"/>
          <w:szCs w:val="21"/>
          <w:highlight w:val="none"/>
          <w:u w:val="none"/>
        </w:rPr>
        <w:t xml:space="preserve"> 09:</w:t>
      </w:r>
      <w:r>
        <w:rPr>
          <w:rFonts w:hint="eastAsia" w:ascii="宋体" w:hAnsi="宋体" w:cs="宋体"/>
          <w:color w:val="auto"/>
          <w:szCs w:val="21"/>
          <w:highlight w:val="none"/>
          <w:u w:val="none"/>
          <w:lang w:val="en-US" w:eastAsia="zh-CN"/>
        </w:rPr>
        <w:t>3</w:t>
      </w:r>
      <w:r>
        <w:rPr>
          <w:rFonts w:hint="eastAsia" w:ascii="宋体" w:hAnsi="宋体" w:cs="宋体"/>
          <w:color w:val="auto"/>
          <w:szCs w:val="21"/>
          <w:highlight w:val="none"/>
          <w:u w:val="none"/>
        </w:rPr>
        <w:t>0</w:t>
      </w:r>
      <w:r>
        <w:rPr>
          <w:rFonts w:hint="eastAsia"/>
          <w:color w:val="auto"/>
          <w:highlight w:val="none"/>
        </w:rPr>
        <w:t xml:space="preserve">（北京时间） </w:t>
      </w:r>
    </w:p>
    <w:p>
      <w:pPr>
        <w:spacing w:line="360" w:lineRule="auto"/>
        <w:ind w:firstLine="420" w:firstLineChars="200"/>
        <w:rPr>
          <w:color w:val="auto"/>
          <w:highlight w:val="none"/>
        </w:rPr>
      </w:pPr>
      <w:r>
        <w:rPr>
          <w:rFonts w:hint="eastAsia"/>
          <w:color w:val="auto"/>
          <w:highlight w:val="none"/>
        </w:rPr>
        <w:t>开标地点：供应商登录“</w:t>
      </w:r>
      <w:r>
        <w:rPr>
          <w:rFonts w:hint="eastAsia" w:ascii="宋体" w:hAnsi="宋体" w:cs="宋体"/>
          <w:bCs/>
          <w:color w:val="auto"/>
          <w:kern w:val="0"/>
          <w:szCs w:val="21"/>
          <w:highlight w:val="none"/>
        </w:rPr>
        <w:t>广西政府采购云平台（https://www.gcy.zfcg.gxzf.gov.cn/）</w:t>
      </w:r>
      <w:r>
        <w:rPr>
          <w:rFonts w:hint="eastAsia"/>
          <w:color w:val="auto"/>
          <w:highlight w:val="none"/>
        </w:rPr>
        <w:t>”电子开标大厅开标。</w:t>
      </w:r>
    </w:p>
    <w:p>
      <w:pPr>
        <w:spacing w:line="360" w:lineRule="auto"/>
        <w:rPr>
          <w:rFonts w:ascii="黑体" w:hAnsi="黑体" w:eastAsia="黑体"/>
          <w:b/>
          <w:bCs/>
          <w:color w:val="auto"/>
          <w:sz w:val="24"/>
          <w:highlight w:val="none"/>
        </w:rPr>
      </w:pPr>
      <w:r>
        <w:rPr>
          <w:rFonts w:hint="eastAsia" w:ascii="黑体" w:hAnsi="黑体" w:eastAsia="黑体"/>
          <w:b/>
          <w:bCs/>
          <w:color w:val="auto"/>
          <w:sz w:val="24"/>
          <w:highlight w:val="none"/>
        </w:rPr>
        <w:t>五、公告期限</w:t>
      </w:r>
      <w:bookmarkEnd w:id="29"/>
      <w:bookmarkEnd w:id="30"/>
      <w:bookmarkEnd w:id="31"/>
      <w:bookmarkEnd w:id="32"/>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pPr>
        <w:spacing w:line="360" w:lineRule="auto"/>
        <w:rPr>
          <w:rFonts w:ascii="黑体" w:hAnsi="黑体" w:eastAsia="黑体"/>
          <w:b/>
          <w:bCs/>
          <w:color w:val="auto"/>
          <w:sz w:val="24"/>
          <w:highlight w:val="none"/>
        </w:rPr>
      </w:pPr>
      <w:bookmarkStart w:id="33" w:name="_Toc35393795"/>
      <w:bookmarkStart w:id="34" w:name="_Toc35393626"/>
      <w:r>
        <w:rPr>
          <w:rFonts w:hint="eastAsia" w:ascii="黑体" w:hAnsi="黑体" w:eastAsia="黑体"/>
          <w:b/>
          <w:bCs/>
          <w:color w:val="auto"/>
          <w:sz w:val="24"/>
          <w:highlight w:val="none"/>
        </w:rPr>
        <w:t>六、其他补充事宜</w:t>
      </w:r>
      <w:bookmarkEnd w:id="33"/>
      <w:bookmarkEnd w:id="34"/>
    </w:p>
    <w:p>
      <w:pPr>
        <w:spacing w:line="360" w:lineRule="auto"/>
        <w:ind w:firstLine="420" w:firstLineChars="200"/>
        <w:rPr>
          <w:rFonts w:hint="eastAsia" w:ascii="宋体" w:hAnsi="宋体" w:cs="宋体"/>
          <w:color w:val="auto"/>
          <w:kern w:val="0"/>
          <w:szCs w:val="21"/>
          <w:highlight w:val="none"/>
        </w:rPr>
      </w:pPr>
      <w:bookmarkStart w:id="35" w:name="_Hlk37429585"/>
      <w:bookmarkStart w:id="36" w:name="_Hlk37429595"/>
      <w:r>
        <w:rPr>
          <w:rFonts w:hint="eastAsia" w:ascii="宋体" w:hAnsi="宋体" w:cs="宋体"/>
          <w:color w:val="auto"/>
          <w:kern w:val="0"/>
          <w:szCs w:val="21"/>
          <w:highlight w:val="none"/>
        </w:rPr>
        <w:t>1.网上查询地址</w:t>
      </w:r>
      <w:bookmarkEnd w:id="35"/>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本次招标公告同时在</w:t>
      </w:r>
      <w:r>
        <w:rPr>
          <w:rFonts w:hint="eastAsia" w:ascii="宋体" w:hAnsi="宋体" w:cs="宋体"/>
          <w:color w:val="auto"/>
          <w:kern w:val="0"/>
          <w:szCs w:val="21"/>
          <w:highlight w:val="none"/>
        </w:rPr>
        <w:t>中国政府采购网（http://www.ccgp.gov.cn/）、</w:t>
      </w:r>
      <w:r>
        <w:rPr>
          <w:rStyle w:val="21"/>
          <w:rFonts w:hint="eastAsia" w:ascii="宋体" w:hAnsi="宋体" w:cs="宋体"/>
          <w:color w:val="auto"/>
          <w:kern w:val="0"/>
          <w:szCs w:val="21"/>
          <w:highlight w:val="none"/>
          <w:u w:val="none"/>
        </w:rPr>
        <w:t>广西壮族自治区政府采购网</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eastAsia="zh-CN"/>
        </w:rPr>
        <w:t>http://www.ccgp-guangxi.gov.cn/</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eastAsia="zh-CN"/>
        </w:rPr>
        <w:t>、</w:t>
      </w:r>
      <w:r>
        <w:rPr>
          <w:rFonts w:hint="eastAsia" w:ascii="宋体" w:hAnsi="宋体" w:eastAsia="宋体" w:cs="Times New Roman"/>
          <w:color w:val="auto"/>
          <w:kern w:val="2"/>
          <w:sz w:val="21"/>
          <w:szCs w:val="21"/>
          <w:highlight w:val="none"/>
          <w:lang w:val="en-US" w:eastAsia="zh-CN" w:bidi="ar-SA"/>
        </w:rPr>
        <w:t>全国公共资源交易平台（广西·百色）(http://ggzy.jgswj.gxzf.gov.cn/bsggzy/)</w:t>
      </w:r>
      <w:r>
        <w:rPr>
          <w:rFonts w:hint="eastAsia" w:ascii="宋体" w:hAnsi="宋体" w:cs="宋体"/>
          <w:color w:val="auto"/>
          <w:kern w:val="0"/>
          <w:szCs w:val="21"/>
          <w:highlight w:val="none"/>
          <w:lang w:val="en-US" w:eastAsia="zh-CN"/>
        </w:rPr>
        <w:t>发布</w:t>
      </w:r>
      <w:r>
        <w:rPr>
          <w:rFonts w:hint="eastAsia" w:ascii="宋体" w:hAnsi="宋体" w:cs="宋体"/>
          <w:color w:val="auto"/>
          <w:kern w:val="0"/>
          <w:szCs w:val="21"/>
          <w:highlight w:val="none"/>
        </w:rPr>
        <w:t>。</w:t>
      </w:r>
    </w:p>
    <w:bookmarkEnd w:id="36"/>
    <w:p>
      <w:pPr>
        <w:numPr>
          <w:ilvl w:val="0"/>
          <w:numId w:val="2"/>
        </w:numPr>
        <w:spacing w:line="360" w:lineRule="auto"/>
        <w:ind w:firstLine="424" w:firstLineChars="202"/>
        <w:rPr>
          <w:rFonts w:hint="eastAsia" w:ascii="宋体" w:hAnsi="宋体" w:eastAsia="宋体" w:cs="宋体"/>
          <w:color w:val="auto"/>
          <w:kern w:val="0"/>
          <w:sz w:val="21"/>
          <w:szCs w:val="21"/>
          <w:highlight w:val="none"/>
          <w:lang w:val="en-US" w:eastAsia="zh-CN" w:bidi="ar-SA"/>
        </w:rPr>
      </w:pPr>
      <w:bookmarkStart w:id="37" w:name="_Hlk37429674"/>
      <w:r>
        <w:rPr>
          <w:rFonts w:hint="eastAsia" w:ascii="宋体" w:hAnsi="宋体" w:cs="宋体"/>
          <w:color w:val="auto"/>
          <w:kern w:val="0"/>
          <w:szCs w:val="21"/>
          <w:highlight w:val="none"/>
        </w:rPr>
        <w:t>本项目需要落实的政府采购政策</w:t>
      </w:r>
    </w:p>
    <w:p>
      <w:pPr>
        <w:numPr>
          <w:ilvl w:val="0"/>
          <w:numId w:val="3"/>
        </w:numPr>
        <w:spacing w:line="36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政府采购促进中小企业发展。</w:t>
      </w:r>
    </w:p>
    <w:p>
      <w:pPr>
        <w:numPr>
          <w:ilvl w:val="0"/>
          <w:numId w:val="3"/>
        </w:numPr>
        <w:spacing w:line="36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政府采购支持采用本国产品的政策。</w:t>
      </w:r>
    </w:p>
    <w:p>
      <w:pPr>
        <w:numPr>
          <w:ilvl w:val="0"/>
          <w:numId w:val="3"/>
        </w:numPr>
        <w:spacing w:line="36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强制采购节能产品；优先采购节能产品、环境标志产品。</w:t>
      </w:r>
    </w:p>
    <w:p>
      <w:pPr>
        <w:numPr>
          <w:ilvl w:val="0"/>
          <w:numId w:val="3"/>
        </w:numPr>
        <w:spacing w:line="36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政府采购促进残疾人就业政策。</w:t>
      </w:r>
    </w:p>
    <w:p>
      <w:pPr>
        <w:numPr>
          <w:ilvl w:val="0"/>
          <w:numId w:val="3"/>
        </w:numPr>
        <w:spacing w:line="360" w:lineRule="auto"/>
        <w:rPr>
          <w:rFonts w:hint="eastAsia" w:ascii="宋体" w:hAnsi="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政府采购支持监狱企业发展。</w:t>
      </w:r>
    </w:p>
    <w:p>
      <w:pPr>
        <w:numPr>
          <w:ilvl w:val="0"/>
          <w:numId w:val="2"/>
        </w:numPr>
        <w:spacing w:line="360" w:lineRule="auto"/>
        <w:ind w:left="0" w:leftChars="0" w:firstLine="424" w:firstLineChars="202"/>
        <w:rPr>
          <w:rFonts w:hint="eastAsia" w:ascii="宋体" w:hAnsi="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投标保证金：本项目不收取投标保证金。</w:t>
      </w:r>
    </w:p>
    <w:p>
      <w:pPr>
        <w:numPr>
          <w:ilvl w:val="0"/>
          <w:numId w:val="2"/>
        </w:numPr>
        <w:spacing w:line="360" w:lineRule="auto"/>
        <w:ind w:left="0" w:leftChars="0" w:firstLine="424" w:firstLineChars="202"/>
        <w:rPr>
          <w:rFonts w:hint="default"/>
          <w:color w:val="auto"/>
          <w:highlight w:val="none"/>
          <w:lang w:val="en-US" w:eastAsia="zh-CN"/>
        </w:rPr>
      </w:pPr>
      <w:r>
        <w:rPr>
          <w:rFonts w:hint="eastAsia" w:ascii="宋体" w:hAnsi="宋体" w:cs="宋体"/>
          <w:color w:val="auto"/>
          <w:kern w:val="0"/>
          <w:sz w:val="21"/>
          <w:szCs w:val="21"/>
          <w:highlight w:val="none"/>
          <w:lang w:val="en-US" w:eastAsia="zh-CN" w:bidi="ar-SA"/>
        </w:rPr>
        <w:t>若对项目采购电子交易系统操作有疑问，可登录“</w:t>
      </w:r>
      <w:r>
        <w:rPr>
          <w:rFonts w:hint="eastAsia" w:ascii="宋体" w:hAnsi="宋体" w:cs="宋体"/>
          <w:color w:val="auto"/>
          <w:kern w:val="0"/>
          <w:szCs w:val="21"/>
          <w:highlight w:val="none"/>
        </w:rPr>
        <w:t>广西政府采购云平台</w:t>
      </w:r>
      <w:r>
        <w:rPr>
          <w:rFonts w:hint="eastAsia" w:ascii="宋体" w:hAnsi="宋体" w:cs="宋体"/>
          <w:color w:val="auto"/>
          <w:kern w:val="0"/>
          <w:sz w:val="21"/>
          <w:szCs w:val="21"/>
          <w:highlight w:val="none"/>
          <w:lang w:val="en-US" w:eastAsia="zh-CN" w:bidi="ar-SA"/>
        </w:rPr>
        <w:t>”平台（</w:t>
      </w:r>
      <w:r>
        <w:rPr>
          <w:rFonts w:hint="eastAsia" w:ascii="宋体" w:hAnsi="宋体" w:cs="宋体"/>
          <w:color w:val="auto"/>
          <w:kern w:val="0"/>
          <w:szCs w:val="21"/>
          <w:highlight w:val="none"/>
        </w:rPr>
        <w:t>https://www.gcy.zfcg.gxzf.gov.cn/</w:t>
      </w:r>
      <w:r>
        <w:rPr>
          <w:rFonts w:hint="eastAsia" w:ascii="宋体" w:hAnsi="宋体" w:cs="宋体"/>
          <w:color w:val="auto"/>
          <w:kern w:val="0"/>
          <w:sz w:val="21"/>
          <w:szCs w:val="21"/>
          <w:highlight w:val="none"/>
          <w:lang w:val="en-US" w:eastAsia="zh-CN" w:bidi="ar-SA"/>
        </w:rPr>
        <w:t>），点击右侧咨询小采，获取采小蜜智能服务管家帮助，或拨打政服务热线</w:t>
      </w:r>
      <w:r>
        <w:rPr>
          <w:rFonts w:hint="eastAsia" w:ascii="Times New Roman" w:hAnsi="Times New Roman" w:eastAsia="宋体" w:cs="Times New Roman"/>
          <w:color w:val="auto"/>
          <w:highlight w:val="none"/>
          <w:lang w:val="en-US" w:eastAsia="zh-CN"/>
        </w:rPr>
        <w:t>95763</w:t>
      </w:r>
      <w:r>
        <w:rPr>
          <w:rFonts w:hint="eastAsia" w:ascii="宋体" w:hAnsi="宋体" w:cs="宋体"/>
          <w:color w:val="auto"/>
          <w:kern w:val="0"/>
          <w:sz w:val="21"/>
          <w:szCs w:val="21"/>
          <w:highlight w:val="none"/>
          <w:lang w:val="en-US" w:eastAsia="zh-CN" w:bidi="ar-SA"/>
        </w:rPr>
        <w:t>获取热线服务帮助。</w:t>
      </w:r>
    </w:p>
    <w:p>
      <w:pPr>
        <w:numPr>
          <w:ilvl w:val="0"/>
          <w:numId w:val="2"/>
        </w:numPr>
        <w:spacing w:line="360" w:lineRule="auto"/>
        <w:ind w:left="0" w:leftChars="0" w:firstLine="424" w:firstLineChars="202"/>
        <w:rPr>
          <w:rFonts w:hint="default"/>
          <w:color w:val="auto"/>
          <w:highlight w:val="none"/>
          <w:lang w:val="en-US" w:eastAsia="zh-CN"/>
        </w:rPr>
      </w:pPr>
      <w:r>
        <w:rPr>
          <w:rFonts w:hint="default"/>
          <w:color w:val="auto"/>
          <w:highlight w:val="none"/>
          <w:lang w:val="en-US" w:eastAsia="zh-CN"/>
        </w:rPr>
        <w:t>在线投标响应（电子投标）说明：</w:t>
      </w:r>
    </w:p>
    <w:p>
      <w:pPr>
        <w:numPr>
          <w:ilvl w:val="0"/>
          <w:numId w:val="0"/>
        </w:numPr>
        <w:spacing w:line="360" w:lineRule="auto"/>
        <w:ind w:leftChars="20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（1）本项目通过</w:t>
      </w:r>
      <w:r>
        <w:rPr>
          <w:rFonts w:hint="eastAsia" w:ascii="Times New Roman" w:hAnsi="Times New Roman" w:eastAsia="宋体" w:cs="Times New Roman"/>
          <w:color w:val="auto"/>
          <w:highlight w:val="none"/>
          <w:lang w:val="en-US" w:eastAsia="zh-CN"/>
        </w:rPr>
        <w:t>广西政府采购云平台</w:t>
      </w:r>
      <w:r>
        <w:rPr>
          <w:rFonts w:hint="default" w:ascii="Times New Roman" w:hAnsi="Times New Roman" w:eastAsia="宋体" w:cs="Times New Roman"/>
          <w:color w:val="auto"/>
          <w:highlight w:val="none"/>
          <w:lang w:val="en-US" w:eastAsia="zh-CN"/>
        </w:rPr>
        <w:t>实行在线投标响应（电子投标），投标人需要先安装“</w:t>
      </w:r>
      <w:r>
        <w:rPr>
          <w:rFonts w:hint="eastAsia" w:ascii="Times New Roman" w:hAnsi="Times New Roman" w:eastAsia="宋体" w:cs="Times New Roman"/>
          <w:color w:val="auto"/>
          <w:highlight w:val="none"/>
          <w:lang w:val="en-US" w:eastAsia="zh-CN"/>
        </w:rPr>
        <w:t>广西政府采购云平台</w:t>
      </w:r>
      <w:r>
        <w:rPr>
          <w:rFonts w:hint="default" w:ascii="Times New Roman" w:hAnsi="Times New Roman" w:eastAsia="宋体" w:cs="Times New Roman"/>
          <w:color w:val="auto"/>
          <w:highlight w:val="none"/>
          <w:lang w:val="en-US" w:eastAsia="zh-CN"/>
        </w:rPr>
        <w:t>电子交易客户端”，并按照本招标文件和</w:t>
      </w:r>
      <w:r>
        <w:rPr>
          <w:rFonts w:hint="eastAsia" w:ascii="Times New Roman" w:hAnsi="Times New Roman" w:eastAsia="宋体" w:cs="Times New Roman"/>
          <w:color w:val="auto"/>
          <w:highlight w:val="none"/>
          <w:lang w:val="en-US" w:eastAsia="zh-CN"/>
        </w:rPr>
        <w:t>广西政府采购云平台</w:t>
      </w:r>
      <w:r>
        <w:rPr>
          <w:rFonts w:hint="default" w:ascii="Times New Roman" w:hAnsi="Times New Roman" w:eastAsia="宋体" w:cs="Times New Roman"/>
          <w:color w:val="auto"/>
          <w:highlight w:val="none"/>
          <w:lang w:val="en-US" w:eastAsia="zh-CN"/>
        </w:rPr>
        <w:t>的要求，通过“</w:t>
      </w:r>
      <w:r>
        <w:rPr>
          <w:rFonts w:hint="eastAsia" w:ascii="Times New Roman" w:hAnsi="Times New Roman" w:eastAsia="宋体" w:cs="Times New Roman"/>
          <w:color w:val="auto"/>
          <w:highlight w:val="none"/>
          <w:lang w:val="en-US" w:eastAsia="zh-CN"/>
        </w:rPr>
        <w:t>广西政府采购云平台</w:t>
      </w:r>
      <w:r>
        <w:rPr>
          <w:rFonts w:hint="default" w:ascii="Times New Roman" w:hAnsi="Times New Roman" w:eastAsia="宋体" w:cs="Times New Roman"/>
          <w:color w:val="auto"/>
          <w:highlight w:val="none"/>
          <w:lang w:val="en-US" w:eastAsia="zh-CN"/>
        </w:rPr>
        <w:t>电子交易客户端”编制并加密响应文件。投标人未按规定编制并加密的响应文件，</w:t>
      </w:r>
      <w:r>
        <w:rPr>
          <w:rFonts w:hint="eastAsia" w:ascii="Times New Roman" w:hAnsi="Times New Roman" w:eastAsia="宋体" w:cs="Times New Roman"/>
          <w:color w:val="auto"/>
          <w:highlight w:val="none"/>
          <w:lang w:val="en-US" w:eastAsia="zh-CN"/>
        </w:rPr>
        <w:t>广西政府采购云平台</w:t>
      </w:r>
      <w:r>
        <w:rPr>
          <w:rFonts w:hint="default" w:ascii="Times New Roman" w:hAnsi="Times New Roman" w:eastAsia="宋体" w:cs="Times New Roman"/>
          <w:color w:val="auto"/>
          <w:highlight w:val="none"/>
          <w:lang w:val="en-US" w:eastAsia="zh-CN"/>
        </w:rPr>
        <w:t>将予以拒收。</w:t>
      </w:r>
    </w:p>
    <w:p>
      <w:pPr>
        <w:numPr>
          <w:ilvl w:val="0"/>
          <w:numId w:val="0"/>
        </w:numPr>
        <w:spacing w:line="360" w:lineRule="auto"/>
        <w:ind w:leftChars="20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lang w:val="en-US" w:eastAsia="zh-CN"/>
        </w:rPr>
        <w:t>广西政府采购云平台</w:t>
      </w:r>
      <w:r>
        <w:rPr>
          <w:rFonts w:hint="default" w:ascii="Times New Roman" w:hAnsi="Times New Roman" w:eastAsia="宋体" w:cs="Times New Roman"/>
          <w:color w:val="auto"/>
          <w:highlight w:val="none"/>
          <w:lang w:val="en-US" w:eastAsia="zh-CN"/>
        </w:rPr>
        <w:t>电子交易客户端”请自行前往广西政府采购网下载并安装；电子投标具体操作流程参考《政府采购项目电子交易管理操作指南-投标人》；在使用政采云投标客户端时，建议使用WIN7及以上操作系统，通过</w:t>
      </w:r>
      <w:r>
        <w:rPr>
          <w:rFonts w:hint="eastAsia" w:ascii="Times New Roman" w:hAnsi="Times New Roman" w:eastAsia="宋体" w:cs="Times New Roman"/>
          <w:color w:val="auto"/>
          <w:highlight w:val="none"/>
          <w:lang w:val="en-US" w:eastAsia="zh-CN"/>
        </w:rPr>
        <w:t>广西政府采购云平台</w:t>
      </w:r>
      <w:r>
        <w:rPr>
          <w:rFonts w:hint="default" w:ascii="Times New Roman" w:hAnsi="Times New Roman" w:eastAsia="宋体" w:cs="Times New Roman"/>
          <w:color w:val="auto"/>
          <w:highlight w:val="none"/>
          <w:lang w:val="en-US" w:eastAsia="zh-CN"/>
        </w:rPr>
        <w:t>参与在线投标时如遇平台技术问题详询</w:t>
      </w:r>
      <w:r>
        <w:rPr>
          <w:rFonts w:hint="eastAsia" w:ascii="Times New Roman" w:hAnsi="Times New Roman" w:eastAsia="宋体" w:cs="Times New Roman"/>
          <w:color w:val="auto"/>
          <w:highlight w:val="none"/>
          <w:lang w:val="en-US" w:eastAsia="zh-CN"/>
        </w:rPr>
        <w:t>95763</w:t>
      </w:r>
      <w:r>
        <w:rPr>
          <w:rFonts w:hint="default" w:ascii="Times New Roman" w:hAnsi="Times New Roman" w:eastAsia="宋体" w:cs="Times New Roman"/>
          <w:color w:val="auto"/>
          <w:highlight w:val="none"/>
          <w:lang w:val="en-US" w:eastAsia="zh-CN"/>
        </w:rPr>
        <w:t>。</w:t>
      </w:r>
    </w:p>
    <w:p>
      <w:pPr>
        <w:numPr>
          <w:ilvl w:val="0"/>
          <w:numId w:val="0"/>
        </w:numPr>
        <w:spacing w:line="360" w:lineRule="auto"/>
        <w:ind w:leftChars="20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为确保网上操作合法、有效和安全，投标人应当在开标截止时间前完成在“政府采购云平台”的身份认证，确保在电子投标过程中能够对相关数据电文进行加密和使用电子签章。使用“政采云电子交易客户端”需要提前申领CA数字证书，申领流程请自行前往相关网站进行查阅（完成CA数字证书办理预计一周左右，建议投标人获取</w:t>
      </w:r>
      <w:r>
        <w:rPr>
          <w:rFonts w:hint="eastAsia" w:ascii="Times New Roman" w:hAnsi="Times New Roman" w:eastAsia="宋体" w:cs="Times New Roman"/>
          <w:color w:val="auto"/>
          <w:highlight w:val="none"/>
          <w:lang w:val="en-US" w:eastAsia="zh-CN"/>
        </w:rPr>
        <w:t>招标文件</w:t>
      </w:r>
      <w:r>
        <w:rPr>
          <w:rFonts w:hint="default" w:ascii="Times New Roman" w:hAnsi="Times New Roman" w:eastAsia="宋体" w:cs="Times New Roman"/>
          <w:color w:val="auto"/>
          <w:highlight w:val="none"/>
          <w:lang w:val="en-US" w:eastAsia="zh-CN"/>
        </w:rPr>
        <w:t>后立即办理。</w:t>
      </w:r>
    </w:p>
    <w:p>
      <w:pPr>
        <w:numPr>
          <w:ilvl w:val="0"/>
          <w:numId w:val="0"/>
        </w:numPr>
        <w:spacing w:line="360" w:lineRule="auto"/>
        <w:ind w:leftChars="20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（4）投标人应当在开标截止时间前，将生成的“电子加密响应文件”上传递交至</w:t>
      </w:r>
      <w:r>
        <w:rPr>
          <w:rFonts w:hint="eastAsia" w:ascii="Times New Roman" w:hAnsi="Times New Roman" w:eastAsia="宋体" w:cs="Times New Roman"/>
          <w:color w:val="auto"/>
          <w:highlight w:val="none"/>
          <w:lang w:val="en-US" w:eastAsia="zh-CN"/>
        </w:rPr>
        <w:t>广西政府采购云平台</w:t>
      </w:r>
      <w:r>
        <w:rPr>
          <w:rFonts w:hint="default" w:ascii="Times New Roman" w:hAnsi="Times New Roman" w:eastAsia="宋体" w:cs="Times New Roman"/>
          <w:color w:val="auto"/>
          <w:highlight w:val="none"/>
          <w:lang w:val="en-US" w:eastAsia="zh-CN"/>
        </w:rPr>
        <w:t>。响应文件递交截止时间前可以补充、修改或者撤回电子投标文件。补充或者修改电子投标文件的，应当先行撤回原文件，补充、修改后重新传输递交，开标截止时间前未完成传输的，视为撤回响应文件。</w:t>
      </w:r>
    </w:p>
    <w:p>
      <w:pPr>
        <w:numPr>
          <w:ilvl w:val="0"/>
          <w:numId w:val="0"/>
        </w:numPr>
        <w:spacing w:line="360" w:lineRule="auto"/>
        <w:ind w:leftChars="20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（5）响应文件递交截止时间后，</w:t>
      </w:r>
      <w:r>
        <w:rPr>
          <w:rFonts w:hint="eastAsia" w:ascii="Times New Roman" w:hAnsi="Times New Roman" w:eastAsia="宋体" w:cs="Times New Roman"/>
          <w:color w:val="auto"/>
          <w:highlight w:val="none"/>
          <w:lang w:val="en-US" w:eastAsia="zh-CN"/>
        </w:rPr>
        <w:t>广西政府采购云平台</w:t>
      </w:r>
      <w:r>
        <w:rPr>
          <w:rFonts w:hint="default" w:ascii="Times New Roman" w:hAnsi="Times New Roman" w:eastAsia="宋体" w:cs="Times New Roman"/>
          <w:color w:val="auto"/>
          <w:highlight w:val="none"/>
          <w:lang w:val="en-US" w:eastAsia="zh-CN"/>
        </w:rPr>
        <w:t>（电子交易平台）自动提取所有响应文件，各投标人须在提交响应文件截止后30分钟内对上传政采云的响应文件进行解密，所有投标人在规定的解密时限内解密完成或解密时限到后，采购代理机构开启响应文件；投标人超过解密时限的，系统默认自动放弃。</w:t>
      </w:r>
    </w:p>
    <w:p>
      <w:pPr>
        <w:numPr>
          <w:ilvl w:val="0"/>
          <w:numId w:val="0"/>
        </w:numPr>
        <w:spacing w:line="360" w:lineRule="auto"/>
        <w:ind w:leftChars="20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如电子加密响应文件无法按时解密时，投标人可授权采购代理机构以电子备份响应文件为依据【在接到无法解密或解密失败的通知后，投标人可根据自身实际情况按通知时要求的时间到百色市公共资源交易中心交易大厅（具体开标室以开标日当天百色市公共资源交易中心电子显示屏公布为准）现场提交或以电子邮件的形式（以通知时所告知的电子邮箱地址为准）提交电子备份响应文件】，若投标人在规定时间内无法解密或解密失败且未提供电子备份响应文件的（包含提供的电子备份文件无效或无法解密的情况），视为投标无效。</w:t>
      </w:r>
    </w:p>
    <w:p>
      <w:pPr>
        <w:numPr>
          <w:ilvl w:val="0"/>
          <w:numId w:val="0"/>
        </w:numPr>
        <w:spacing w:line="360" w:lineRule="auto"/>
        <w:ind w:leftChars="20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（7）投标人可以参与现场开标，所需在线投标响应及解密开启设备自带。</w:t>
      </w:r>
    </w:p>
    <w:p>
      <w:pPr>
        <w:numPr>
          <w:ilvl w:val="0"/>
          <w:numId w:val="0"/>
        </w:numPr>
        <w:spacing w:line="360" w:lineRule="auto"/>
        <w:ind w:leftChars="20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（8）在投标人提交了电子备份响应文件后，如通过</w:t>
      </w:r>
      <w:r>
        <w:rPr>
          <w:rFonts w:hint="eastAsia" w:ascii="Times New Roman" w:hAnsi="Times New Roman" w:eastAsia="宋体" w:cs="Times New Roman"/>
          <w:color w:val="auto"/>
          <w:highlight w:val="none"/>
          <w:lang w:val="en-US" w:eastAsia="zh-CN"/>
        </w:rPr>
        <w:t>广西政府采购云平台</w:t>
      </w:r>
      <w:r>
        <w:rPr>
          <w:rFonts w:hint="default" w:ascii="Times New Roman" w:hAnsi="Times New Roman" w:eastAsia="宋体" w:cs="Times New Roman"/>
          <w:color w:val="auto"/>
          <w:highlight w:val="none"/>
          <w:lang w:val="en-US" w:eastAsia="zh-CN"/>
        </w:rPr>
        <w:t>上传递交的电子加密响应文件无法按时解密且无法通过政采云“异常处理”端口处理的视为响应文件撤回，所造成的后果由投标人自行承担。</w:t>
      </w:r>
    </w:p>
    <w:bookmarkEnd w:id="37"/>
    <w:p>
      <w:pPr>
        <w:spacing w:line="360" w:lineRule="auto"/>
        <w:rPr>
          <w:rFonts w:ascii="黑体" w:hAnsi="黑体" w:eastAsia="黑体"/>
          <w:b/>
          <w:bCs/>
          <w:color w:val="auto"/>
          <w:sz w:val="24"/>
          <w:highlight w:val="none"/>
        </w:rPr>
      </w:pPr>
      <w:bookmarkStart w:id="38" w:name="_Toc35393796"/>
      <w:bookmarkStart w:id="39" w:name="_Toc28359008"/>
      <w:bookmarkStart w:id="40" w:name="_Toc35393627"/>
      <w:bookmarkStart w:id="41" w:name="_Toc28359085"/>
      <w:r>
        <w:rPr>
          <w:rFonts w:hint="eastAsia" w:ascii="黑体" w:hAnsi="黑体" w:eastAsia="黑体"/>
          <w:b/>
          <w:bCs/>
          <w:color w:val="auto"/>
          <w:sz w:val="24"/>
          <w:highlight w:val="none"/>
        </w:rPr>
        <w:t>七、对本次招标提出询问，请按</w:t>
      </w:r>
      <w:r>
        <w:rPr>
          <w:rFonts w:ascii="黑体" w:hAnsi="黑体" w:eastAsia="黑体"/>
          <w:b/>
          <w:bCs/>
          <w:color w:val="auto"/>
          <w:sz w:val="24"/>
          <w:highlight w:val="none"/>
        </w:rPr>
        <w:t>以下方式</w:t>
      </w:r>
      <w:r>
        <w:rPr>
          <w:rFonts w:hint="eastAsia" w:ascii="黑体" w:hAnsi="黑体" w:eastAsia="黑体"/>
          <w:b/>
          <w:bCs/>
          <w:color w:val="auto"/>
          <w:sz w:val="24"/>
          <w:highlight w:val="none"/>
        </w:rPr>
        <w:t>联系。</w:t>
      </w:r>
      <w:bookmarkEnd w:id="38"/>
      <w:bookmarkEnd w:id="39"/>
      <w:bookmarkEnd w:id="40"/>
      <w:bookmarkEnd w:id="41"/>
    </w:p>
    <w:p>
      <w:pPr>
        <w:spacing w:line="360" w:lineRule="auto"/>
        <w:ind w:firstLine="567" w:firstLineChars="270"/>
        <w:jc w:val="left"/>
        <w:rPr>
          <w:rFonts w:hint="eastAsia" w:ascii="宋体" w:hAnsi="宋体" w:cs="宋体"/>
          <w:color w:val="auto"/>
          <w:szCs w:val="21"/>
          <w:highlight w:val="none"/>
        </w:rPr>
      </w:pPr>
      <w:r>
        <w:rPr>
          <w:rFonts w:hint="eastAsia" w:ascii="宋体" w:hAnsi="宋体" w:cs="宋体"/>
          <w:color w:val="auto"/>
          <w:szCs w:val="21"/>
          <w:highlight w:val="none"/>
        </w:rPr>
        <w:t>1.采购人信息</w:t>
      </w:r>
    </w:p>
    <w:p>
      <w:pPr>
        <w:spacing w:line="360" w:lineRule="auto"/>
        <w:ind w:firstLine="567" w:firstLineChars="270"/>
        <w:jc w:val="left"/>
        <w:rPr>
          <w:rFonts w:hint="eastAsia" w:ascii="宋体" w:hAnsi="宋体" w:eastAsia="宋体"/>
          <w:color w:val="auto"/>
          <w:szCs w:val="21"/>
          <w:highlight w:val="none"/>
          <w:lang w:eastAsia="zh-CN"/>
        </w:rPr>
      </w:pPr>
      <w:r>
        <w:rPr>
          <w:rFonts w:hint="eastAsia" w:ascii="宋体" w:hAnsi="宋体"/>
          <w:color w:val="auto"/>
          <w:szCs w:val="21"/>
          <w:highlight w:val="none"/>
        </w:rPr>
        <w:t>名 称：</w:t>
      </w:r>
      <w:r>
        <w:rPr>
          <w:rFonts w:hint="eastAsia" w:ascii="宋体" w:hAnsi="宋体"/>
          <w:color w:val="auto"/>
          <w:szCs w:val="21"/>
          <w:highlight w:val="none"/>
          <w:lang w:eastAsia="zh-CN"/>
        </w:rPr>
        <w:t>靖西市人民医院</w:t>
      </w:r>
    </w:p>
    <w:p>
      <w:pPr>
        <w:spacing w:line="360" w:lineRule="auto"/>
        <w:ind w:firstLine="567" w:firstLineChars="270"/>
        <w:jc w:val="left"/>
        <w:rPr>
          <w:rFonts w:hint="eastAsia" w:ascii="宋体" w:hAnsi="宋体" w:eastAsia="宋体"/>
          <w:color w:val="auto"/>
          <w:szCs w:val="21"/>
          <w:highlight w:val="none"/>
          <w:lang w:eastAsia="zh-CN"/>
        </w:rPr>
      </w:pPr>
      <w:r>
        <w:rPr>
          <w:rFonts w:hint="eastAsia" w:ascii="宋体" w:hAnsi="宋体"/>
          <w:color w:val="auto"/>
          <w:szCs w:val="21"/>
          <w:highlight w:val="none"/>
        </w:rPr>
        <w:t xml:space="preserve">地址：靖西市新靖镇南门街45号 </w:t>
      </w:r>
    </w:p>
    <w:p>
      <w:pPr>
        <w:spacing w:line="360" w:lineRule="auto"/>
        <w:ind w:firstLine="567" w:firstLineChars="270"/>
        <w:jc w:val="left"/>
        <w:rPr>
          <w:rFonts w:hint="default" w:eastAsia="宋体"/>
          <w:color w:val="auto"/>
          <w:highlight w:val="none"/>
          <w:lang w:val="en-US" w:eastAsia="zh-CN"/>
        </w:rPr>
      </w:pPr>
      <w:r>
        <w:rPr>
          <w:rFonts w:hint="eastAsia" w:ascii="宋体" w:hAnsi="宋体"/>
          <w:color w:val="auto"/>
          <w:szCs w:val="21"/>
          <w:highlight w:val="none"/>
          <w:lang w:val="en-US" w:eastAsia="zh-CN"/>
        </w:rPr>
        <w:t>联系人：李主任</w:t>
      </w:r>
    </w:p>
    <w:p>
      <w:pPr>
        <w:spacing w:line="360" w:lineRule="auto"/>
        <w:ind w:firstLine="567" w:firstLineChars="270"/>
        <w:jc w:val="left"/>
        <w:rPr>
          <w:rFonts w:ascii="宋体" w:hAnsi="宋体"/>
          <w:color w:val="auto"/>
          <w:szCs w:val="21"/>
          <w:highlight w:val="none"/>
          <w:u w:val="single"/>
        </w:rPr>
      </w:pPr>
      <w:r>
        <w:rPr>
          <w:rFonts w:hint="eastAsia" w:ascii="宋体" w:hAnsi="宋体"/>
          <w:color w:val="auto"/>
          <w:szCs w:val="21"/>
          <w:highlight w:val="none"/>
        </w:rPr>
        <w:t>联系方式：</w:t>
      </w:r>
      <w:bookmarkStart w:id="42" w:name="_Toc28359009"/>
      <w:bookmarkStart w:id="43" w:name="_Toc28359086"/>
      <w:r>
        <w:rPr>
          <w:rFonts w:hint="eastAsia" w:ascii="宋体" w:hAnsi="宋体"/>
          <w:color w:val="auto"/>
          <w:szCs w:val="21"/>
          <w:highlight w:val="none"/>
        </w:rPr>
        <w:t>0776-3050366</w:t>
      </w:r>
    </w:p>
    <w:p>
      <w:pPr>
        <w:spacing w:line="360" w:lineRule="auto"/>
        <w:ind w:firstLine="567" w:firstLineChars="270"/>
        <w:jc w:val="left"/>
        <w:rPr>
          <w:rFonts w:ascii="宋体" w:hAnsi="宋体"/>
          <w:color w:val="auto"/>
          <w:szCs w:val="21"/>
          <w:highlight w:val="none"/>
        </w:rPr>
      </w:pPr>
      <w:r>
        <w:rPr>
          <w:rFonts w:hint="eastAsia" w:ascii="宋体" w:hAnsi="宋体" w:cs="宋体"/>
          <w:color w:val="auto"/>
          <w:szCs w:val="21"/>
          <w:highlight w:val="none"/>
        </w:rPr>
        <w:t>2.采购代理机构信息</w:t>
      </w:r>
      <w:bookmarkEnd w:id="42"/>
      <w:bookmarkEnd w:id="43"/>
    </w:p>
    <w:p>
      <w:pPr>
        <w:spacing w:line="360" w:lineRule="auto"/>
        <w:ind w:firstLine="567" w:firstLineChars="270"/>
        <w:rPr>
          <w:rFonts w:hint="eastAsia" w:ascii="宋体" w:hAnsi="宋体" w:eastAsia="宋体"/>
          <w:color w:val="auto"/>
          <w:szCs w:val="21"/>
          <w:highlight w:val="none"/>
          <w:lang w:eastAsia="zh-CN"/>
        </w:rPr>
      </w:pPr>
      <w:r>
        <w:rPr>
          <w:rFonts w:hint="eastAsia" w:ascii="宋体" w:hAnsi="宋体"/>
          <w:color w:val="auto"/>
          <w:szCs w:val="21"/>
          <w:highlight w:val="none"/>
        </w:rPr>
        <w:t>名 称：</w:t>
      </w:r>
      <w:r>
        <w:rPr>
          <w:rFonts w:hint="eastAsia" w:ascii="宋体" w:hAnsi="宋体"/>
          <w:color w:val="auto"/>
          <w:szCs w:val="21"/>
          <w:highlight w:val="none"/>
          <w:lang w:eastAsia="zh-CN"/>
        </w:rPr>
        <w:t>广西百色公共资源交易有限公司</w:t>
      </w:r>
    </w:p>
    <w:p>
      <w:pPr>
        <w:spacing w:line="360" w:lineRule="auto"/>
        <w:ind w:firstLine="567" w:firstLineChars="270"/>
        <w:rPr>
          <w:rFonts w:hint="eastAsia" w:ascii="宋体" w:hAnsi="宋体"/>
          <w:color w:val="auto"/>
          <w:szCs w:val="21"/>
          <w:highlight w:val="none"/>
        </w:rPr>
      </w:pPr>
      <w:r>
        <w:rPr>
          <w:rFonts w:hint="eastAsia" w:ascii="宋体" w:hAnsi="宋体"/>
          <w:color w:val="auto"/>
          <w:szCs w:val="21"/>
          <w:highlight w:val="none"/>
        </w:rPr>
        <w:t>地　址：百色市右江区四塘百东企业服务站三楼</w:t>
      </w:r>
    </w:p>
    <w:p>
      <w:pPr>
        <w:spacing w:line="360" w:lineRule="auto"/>
        <w:ind w:firstLine="567" w:firstLineChars="270"/>
        <w:rPr>
          <w:rFonts w:hint="default" w:eastAsia="宋体"/>
          <w:color w:val="auto"/>
          <w:highlight w:val="none"/>
          <w:lang w:val="en-US" w:eastAsia="zh-CN"/>
        </w:rPr>
      </w:pPr>
      <w:r>
        <w:rPr>
          <w:rFonts w:hint="eastAsia" w:ascii="宋体" w:hAnsi="宋体"/>
          <w:color w:val="auto"/>
          <w:szCs w:val="21"/>
          <w:highlight w:val="none"/>
          <w:lang w:val="en-US" w:eastAsia="zh-CN"/>
        </w:rPr>
        <w:t>联系人：黄海洋</w:t>
      </w:r>
    </w:p>
    <w:p>
      <w:pPr>
        <w:spacing w:line="360" w:lineRule="auto"/>
        <w:ind w:firstLine="567" w:firstLineChars="270"/>
        <w:rPr>
          <w:rFonts w:hint="default" w:ascii="宋体" w:hAnsi="宋体" w:eastAsia="宋体"/>
          <w:color w:val="auto"/>
          <w:szCs w:val="21"/>
          <w:highlight w:val="none"/>
          <w:lang w:val="en-US" w:eastAsia="zh-CN"/>
        </w:rPr>
      </w:pPr>
      <w:r>
        <w:rPr>
          <w:rFonts w:hint="eastAsia" w:ascii="宋体" w:hAnsi="宋体"/>
          <w:color w:val="auto"/>
          <w:szCs w:val="21"/>
          <w:highlight w:val="none"/>
        </w:rPr>
        <w:t>联系方式：</w:t>
      </w:r>
      <w:bookmarkStart w:id="44" w:name="_Toc28359087"/>
      <w:bookmarkStart w:id="45" w:name="_Toc28359010"/>
      <w:r>
        <w:rPr>
          <w:rFonts w:hint="eastAsia" w:ascii="宋体" w:hAnsi="宋体"/>
          <w:color w:val="auto"/>
          <w:szCs w:val="21"/>
          <w:highlight w:val="none"/>
          <w:u w:val="none"/>
          <w:lang w:val="en-US" w:eastAsia="zh-CN"/>
        </w:rPr>
        <w:t>0776-2981360</w:t>
      </w:r>
    </w:p>
    <w:bookmarkEnd w:id="44"/>
    <w:bookmarkEnd w:id="45"/>
    <w:p>
      <w:pPr>
        <w:snapToGrid w:val="0"/>
        <w:spacing w:line="320" w:lineRule="exact"/>
        <w:jc w:val="center"/>
        <w:rPr>
          <w:rFonts w:hint="eastAsia" w:ascii="仿宋_GB2312" w:hAnsi="宋体" w:eastAsia="仿宋_GB2312"/>
          <w:color w:val="auto"/>
          <w:sz w:val="24"/>
          <w:szCs w:val="20"/>
          <w:highlight w:val="none"/>
        </w:rPr>
      </w:pPr>
      <w:r>
        <w:rPr>
          <w:rFonts w:hint="eastAsia" w:ascii="宋体" w:hAnsi="宋体" w:eastAsia="宋体" w:cs="Times New Roman"/>
          <w:color w:val="auto"/>
          <w:szCs w:val="21"/>
          <w:highlight w:val="none"/>
          <w:lang w:val="en-US" w:eastAsia="zh-CN"/>
        </w:rPr>
        <w:t xml:space="preserve">                                                 </w:t>
      </w:r>
      <w:r>
        <w:rPr>
          <w:rFonts w:hint="eastAsia" w:ascii="宋体" w:hAnsi="宋体" w:cs="Times New Roman"/>
          <w:color w:val="auto"/>
          <w:szCs w:val="21"/>
          <w:highlight w:val="none"/>
          <w:lang w:val="en-US" w:eastAsia="zh-CN"/>
        </w:rPr>
        <w:t>2025</w:t>
      </w:r>
      <w:bookmarkStart w:id="168" w:name="_GoBack"/>
      <w:bookmarkEnd w:id="168"/>
      <w:r>
        <w:rPr>
          <w:rFonts w:hint="eastAsia" w:ascii="宋体" w:hAnsi="宋体" w:eastAsia="宋体" w:cs="Times New Roman"/>
          <w:color w:val="auto"/>
          <w:szCs w:val="21"/>
          <w:highlight w:val="none"/>
          <w:lang w:val="en-US" w:eastAsia="zh-CN"/>
        </w:rPr>
        <w:t>年</w:t>
      </w:r>
      <w:r>
        <w:rPr>
          <w:rFonts w:hint="eastAsia" w:ascii="宋体" w:hAnsi="宋体" w:cs="Times New Roman"/>
          <w:color w:val="auto"/>
          <w:szCs w:val="21"/>
          <w:highlight w:val="none"/>
          <w:lang w:val="en-US" w:eastAsia="zh-CN"/>
        </w:rPr>
        <w:t xml:space="preserve">  </w:t>
      </w:r>
      <w:r>
        <w:rPr>
          <w:rFonts w:hint="eastAsia" w:ascii="宋体" w:hAnsi="宋体" w:eastAsia="宋体" w:cs="Times New Roman"/>
          <w:color w:val="auto"/>
          <w:szCs w:val="21"/>
          <w:highlight w:val="none"/>
          <w:lang w:val="en-US" w:eastAsia="zh-CN"/>
        </w:rPr>
        <w:t xml:space="preserve">月 </w:t>
      </w:r>
      <w:r>
        <w:rPr>
          <w:rFonts w:hint="eastAsia" w:ascii="宋体" w:hAnsi="宋体" w:cs="Times New Roman"/>
          <w:color w:val="auto"/>
          <w:szCs w:val="21"/>
          <w:highlight w:val="none"/>
          <w:lang w:val="en-US" w:eastAsia="zh-CN"/>
        </w:rPr>
        <w:t xml:space="preserve"> </w:t>
      </w:r>
      <w:r>
        <w:rPr>
          <w:rFonts w:hint="eastAsia" w:ascii="宋体" w:hAnsi="宋体" w:eastAsia="宋体" w:cs="Times New Roman"/>
          <w:color w:val="auto"/>
          <w:szCs w:val="21"/>
          <w:highlight w:val="none"/>
          <w:lang w:val="en-US" w:eastAsia="zh-CN"/>
        </w:rPr>
        <w:t>日</w:t>
      </w:r>
      <w:r>
        <w:rPr>
          <w:rFonts w:hint="eastAsia" w:ascii="宋体" w:hAnsi="宋体" w:eastAsia="宋体" w:cs="Times New Roman"/>
          <w:color w:val="auto"/>
          <w:szCs w:val="21"/>
          <w:highlight w:val="none"/>
        </w:rPr>
        <w:br w:type="page"/>
      </w:r>
    </w:p>
    <w:p>
      <w:pPr>
        <w:pStyle w:val="2"/>
        <w:jc w:val="center"/>
        <w:rPr>
          <w:rFonts w:hint="eastAsia"/>
          <w:color w:val="auto"/>
          <w:highlight w:val="none"/>
        </w:rPr>
      </w:pPr>
      <w:bookmarkStart w:id="46" w:name="_Toc74320801"/>
      <w:r>
        <w:rPr>
          <w:rFonts w:hint="eastAsia"/>
          <w:color w:val="auto"/>
          <w:highlight w:val="none"/>
        </w:rPr>
        <w:t>第二章  采购需求</w:t>
      </w:r>
      <w:bookmarkEnd w:id="46"/>
    </w:p>
    <w:p>
      <w:pPr>
        <w:keepNext w:val="0"/>
        <w:keepLines w:val="0"/>
        <w:pageBreakBefore w:val="0"/>
        <w:widowControl w:val="0"/>
        <w:kinsoku/>
        <w:wordWrap/>
        <w:overflowPunct/>
        <w:topLinePunct w:val="0"/>
        <w:bidi w:val="0"/>
        <w:snapToGrid/>
        <w:spacing w:line="400" w:lineRule="exact"/>
        <w:jc w:val="left"/>
        <w:textAlignment w:val="auto"/>
        <w:rPr>
          <w:rFonts w:hint="eastAsia" w:ascii="宋体" w:hAnsi="宋体" w:cs="宋体"/>
          <w:color w:val="auto"/>
          <w:szCs w:val="21"/>
          <w:highlight w:val="none"/>
        </w:rPr>
      </w:pPr>
      <w:bookmarkStart w:id="47" w:name="_Toc254970490"/>
      <w:bookmarkStart w:id="48" w:name="_Toc254970631"/>
      <w:r>
        <w:rPr>
          <w:rFonts w:hint="eastAsia" w:ascii="宋体" w:hAnsi="宋体" w:cs="宋体"/>
          <w:color w:val="auto"/>
          <w:szCs w:val="21"/>
          <w:highlight w:val="none"/>
        </w:rPr>
        <w:t>说明：</w:t>
      </w:r>
    </w:p>
    <w:p>
      <w:pPr>
        <w:keepNext w:val="0"/>
        <w:keepLines w:val="0"/>
        <w:pageBreakBefore w:val="0"/>
        <w:widowControl w:val="0"/>
        <w:kinsoku/>
        <w:wordWrap/>
        <w:overflowPunct/>
        <w:topLinePunct w:val="0"/>
        <w:bidi w:val="0"/>
        <w:snapToGrid/>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本项目不专门面向中小企业预留采购。项目属专业性较强的专业设备设施,符合《政府采购促进中小企业发展管理办法》(财库(2020) 46 号)中符合下列情形的可不专门面向中小企业之(三) :按照本办法规定预留采购份额无法确保充分供应、充分竞争，或者存在可能影响政府采购目标实现的情形。</w:t>
      </w:r>
    </w:p>
    <w:p>
      <w:pPr>
        <w:keepNext w:val="0"/>
        <w:keepLines w:val="0"/>
        <w:pageBreakBefore w:val="0"/>
        <w:widowControl w:val="0"/>
        <w:kinsoku/>
        <w:wordWrap/>
        <w:overflowPunct/>
        <w:topLinePunct w:val="0"/>
        <w:bidi w:val="0"/>
        <w:snapToGrid/>
        <w:spacing w:line="400" w:lineRule="exact"/>
        <w:ind w:firstLine="420" w:firstLineChars="200"/>
        <w:jc w:val="left"/>
        <w:textAlignment w:val="auto"/>
        <w:rPr>
          <w:rFonts w:hint="eastAsia" w:ascii="宋体" w:hAnsi="宋体" w:eastAsia="宋体" w:cs="宋体"/>
          <w:color w:val="auto"/>
          <w:szCs w:val="21"/>
          <w:highlight w:val="none"/>
          <w:lang w:eastAsia="zh-CN"/>
        </w:rPr>
      </w:pPr>
      <w:r>
        <w:rPr>
          <w:rFonts w:hint="eastAsia"/>
          <w:color w:val="auto"/>
          <w:highlight w:val="none"/>
        </w:rPr>
        <w:t>1. 为落实政府采购政策需满足的要求</w:t>
      </w:r>
      <w:r>
        <w:rPr>
          <w:rFonts w:hint="eastAsia"/>
          <w:color w:val="auto"/>
          <w:highlight w:val="none"/>
          <w:lang w:eastAsia="zh-CN"/>
        </w:rPr>
        <w:t>：</w:t>
      </w:r>
    </w:p>
    <w:p>
      <w:pPr>
        <w:keepNext w:val="0"/>
        <w:keepLines w:val="0"/>
        <w:pageBreakBefore w:val="0"/>
        <w:widowControl w:val="0"/>
        <w:kinsoku/>
        <w:wordWrap/>
        <w:overflowPunct/>
        <w:topLinePunct w:val="0"/>
        <w:bidi w:val="0"/>
        <w:snapToGrid/>
        <w:spacing w:line="400" w:lineRule="exact"/>
        <w:ind w:firstLine="424" w:firstLineChars="202"/>
        <w:jc w:val="left"/>
        <w:textAlignment w:val="auto"/>
        <w:rPr>
          <w:rFonts w:hint="eastAsia" w:ascii="宋体" w:hAnsi="宋体" w:eastAsia="宋体" w:cs="Times New Roman"/>
          <w:color w:val="auto"/>
          <w:szCs w:val="21"/>
          <w:highlight w:val="none"/>
          <w:u w:val="none"/>
          <w:lang w:eastAsia="zh-CN"/>
        </w:rPr>
      </w:pPr>
      <w:r>
        <w:rPr>
          <w:rFonts w:hint="eastAsia" w:ascii="宋体" w:hAnsi="宋体" w:eastAsia="宋体" w:cs="Times New Roman"/>
          <w:color w:val="auto"/>
          <w:szCs w:val="21"/>
          <w:highlight w:val="none"/>
          <w:u w:val="none"/>
          <w:lang w:eastAsia="zh-CN"/>
        </w:rPr>
        <w:t>（</w:t>
      </w:r>
      <w:r>
        <w:rPr>
          <w:rFonts w:hint="eastAsia" w:ascii="宋体" w:hAnsi="宋体" w:eastAsia="宋体" w:cs="Times New Roman"/>
          <w:color w:val="auto"/>
          <w:szCs w:val="21"/>
          <w:highlight w:val="none"/>
          <w:u w:val="none"/>
          <w:lang w:val="en-US" w:eastAsia="zh-CN"/>
        </w:rPr>
        <w:t>1）本招标文件所称中小企业必须符合 《政府采购促进中小企业发展管理办法》（财库〔2020〕46号）的规定。</w:t>
      </w:r>
    </w:p>
    <w:p>
      <w:pPr>
        <w:keepNext w:val="0"/>
        <w:keepLines w:val="0"/>
        <w:pageBreakBefore w:val="0"/>
        <w:widowControl w:val="0"/>
        <w:kinsoku/>
        <w:wordWrap/>
        <w:overflowPunct/>
        <w:topLinePunct w:val="0"/>
        <w:bidi w:val="0"/>
        <w:snapToGrid/>
        <w:spacing w:line="400" w:lineRule="exact"/>
        <w:ind w:firstLine="424" w:firstLineChars="202"/>
        <w:jc w:val="left"/>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附件1），供应商的投标货物必须使用政府强制采购的节能产品，供应商必须在响应文件中提供所投标产品的节能产品认证证书复印件（加盖供应商电子公章），否则响应文件作无效处理。如本项目包含的货物属于品目清单内非标注“★”的产品时，应优先采购，</w:t>
      </w:r>
      <w:r>
        <w:rPr>
          <w:rFonts w:hint="eastAsia" w:ascii="宋体" w:hAnsi="宋体" w:eastAsia="宋体" w:cs="宋体"/>
          <w:color w:val="auto"/>
          <w:szCs w:val="21"/>
          <w:highlight w:val="none"/>
          <w:lang w:val="en-US" w:eastAsia="zh-CN"/>
        </w:rPr>
        <w:t xml:space="preserve">具体详见“第四章 </w:t>
      </w:r>
      <w:r>
        <w:rPr>
          <w:rFonts w:hint="eastAsia" w:ascii="宋体" w:hAnsi="宋体"/>
          <w:color w:val="auto"/>
          <w:szCs w:val="21"/>
          <w:highlight w:val="none"/>
        </w:rPr>
        <w:t>评标方法及评标标准</w:t>
      </w:r>
      <w:r>
        <w:rPr>
          <w:rFonts w:hint="eastAsia" w:ascii="宋体" w:hAnsi="宋体" w:eastAsia="宋体" w:cs="宋体"/>
          <w:color w:val="auto"/>
          <w:szCs w:val="21"/>
          <w:highlight w:val="none"/>
          <w:lang w:val="en-US" w:eastAsia="zh-CN"/>
        </w:rPr>
        <w:t>”。</w:t>
      </w:r>
    </w:p>
    <w:p>
      <w:pPr>
        <w:keepNext w:val="0"/>
        <w:keepLines w:val="0"/>
        <w:pageBreakBefore w:val="0"/>
        <w:widowControl w:val="0"/>
        <w:numPr>
          <w:ilvl w:val="0"/>
          <w:numId w:val="4"/>
        </w:numPr>
        <w:kinsoku/>
        <w:wordWrap/>
        <w:overflowPunct/>
        <w:topLinePunct w:val="0"/>
        <w:bidi w:val="0"/>
        <w:snapToGrid/>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“实质性要求”是指采购需求中带“▲”的条款</w:t>
      </w:r>
      <w:r>
        <w:rPr>
          <w:rFonts w:hint="eastAsia" w:ascii="宋体" w:hAnsi="宋体" w:cs="宋体"/>
          <w:color w:val="auto"/>
          <w:szCs w:val="21"/>
          <w:highlight w:val="none"/>
          <w:lang w:eastAsia="zh-CN"/>
        </w:rPr>
        <w:t>或者技术要求中带“★”的条款</w:t>
      </w:r>
      <w:r>
        <w:rPr>
          <w:rFonts w:hint="eastAsia" w:ascii="宋体" w:hAnsi="宋体" w:cs="宋体"/>
          <w:color w:val="auto"/>
          <w:szCs w:val="21"/>
          <w:highlight w:val="none"/>
        </w:rPr>
        <w:t>或者不能负偏离的条款或者已经指明不满足按响应文件按无效处理的条款。</w:t>
      </w:r>
    </w:p>
    <w:p>
      <w:pPr>
        <w:keepNext w:val="0"/>
        <w:keepLines w:val="0"/>
        <w:pageBreakBefore w:val="0"/>
        <w:widowControl w:val="0"/>
        <w:numPr>
          <w:ilvl w:val="0"/>
          <w:numId w:val="0"/>
        </w:numPr>
        <w:kinsoku/>
        <w:wordWrap/>
        <w:overflowPunct/>
        <w:topLinePunct w:val="0"/>
        <w:bidi w:val="0"/>
        <w:snapToGrid/>
        <w:spacing w:line="400" w:lineRule="exact"/>
        <w:ind w:firstLine="420" w:firstLineChars="200"/>
        <w:jc w:val="left"/>
        <w:textAlignment w:val="auto"/>
        <w:rPr>
          <w:rFonts w:hint="eastAsia" w:ascii="宋体" w:hAnsi="宋体" w:cs="宋体"/>
          <w:color w:val="auto"/>
          <w:szCs w:val="21"/>
          <w:highlight w:val="none"/>
        </w:rPr>
      </w:pPr>
      <w:r>
        <w:rPr>
          <w:rFonts w:hint="default" w:ascii="宋体" w:hAnsi="宋体" w:eastAsia="宋体" w:cs="宋体"/>
          <w:color w:val="auto"/>
          <w:szCs w:val="21"/>
          <w:highlight w:val="none"/>
          <w:lang w:val="en-US" w:eastAsia="zh-CN"/>
        </w:rPr>
        <w:t>本一览表的货物品牌型号、技术参数及其性能配置仅起参考作用，供应商可选用其它品牌型号替代，但这些替代的</w:t>
      </w:r>
      <w:r>
        <w:rPr>
          <w:rFonts w:hint="eastAsia" w:ascii="宋体" w:hAnsi="宋体" w:eastAsia="宋体" w:cs="宋体"/>
          <w:color w:val="auto"/>
          <w:szCs w:val="21"/>
          <w:highlight w:val="none"/>
          <w:lang w:val="en-US" w:eastAsia="zh-CN"/>
        </w:rPr>
        <w:t>品</w:t>
      </w:r>
      <w:r>
        <w:rPr>
          <w:rFonts w:hint="default" w:ascii="宋体" w:hAnsi="宋体" w:eastAsia="宋体" w:cs="宋体"/>
          <w:color w:val="auto"/>
          <w:szCs w:val="21"/>
          <w:highlight w:val="none"/>
          <w:lang w:val="en-US" w:eastAsia="zh-CN"/>
        </w:rPr>
        <w:t>牌型号要实质上相当于或优于参考品</w:t>
      </w:r>
      <w:r>
        <w:rPr>
          <w:rFonts w:hint="eastAsia" w:ascii="宋体" w:hAnsi="宋体" w:eastAsia="宋体" w:cs="宋体"/>
          <w:color w:val="auto"/>
          <w:szCs w:val="21"/>
          <w:highlight w:val="none"/>
          <w:lang w:val="en-US" w:eastAsia="zh-CN"/>
        </w:rPr>
        <w:t>牌</w:t>
      </w:r>
      <w:r>
        <w:rPr>
          <w:rFonts w:hint="default" w:ascii="宋体" w:hAnsi="宋体" w:eastAsia="宋体" w:cs="宋体"/>
          <w:color w:val="auto"/>
          <w:szCs w:val="21"/>
          <w:highlight w:val="none"/>
          <w:lang w:val="en-US" w:eastAsia="zh-CN"/>
        </w:rPr>
        <w:t>型号及其技术参数性能</w:t>
      </w:r>
      <w:r>
        <w:rPr>
          <w:rFonts w:hint="eastAsia" w:ascii="宋体" w:hAnsi="宋体" w:eastAsia="宋体" w:cs="宋体"/>
          <w:color w:val="auto"/>
          <w:szCs w:val="21"/>
          <w:highlight w:val="none"/>
          <w:lang w:val="en-US" w:eastAsia="zh-CN"/>
        </w:rPr>
        <w:t>配置</w:t>
      </w:r>
      <w:r>
        <w:rPr>
          <w:rFonts w:hint="default" w:ascii="宋体" w:hAnsi="宋体" w:eastAsia="宋体" w:cs="宋体"/>
          <w:color w:val="auto"/>
          <w:szCs w:val="21"/>
          <w:highlight w:val="none"/>
          <w:lang w:val="en-US" w:eastAsia="zh-CN"/>
        </w:rPr>
        <w:t>要求</w:t>
      </w:r>
      <w:r>
        <w:rPr>
          <w:rFonts w:hint="eastAsia" w:ascii="宋体" w:hAnsi="宋体" w:eastAsia="宋体" w:cs="宋体"/>
          <w:color w:val="auto"/>
          <w:szCs w:val="21"/>
          <w:highlight w:val="none"/>
          <w:lang w:val="en-US" w:eastAsia="zh-CN"/>
        </w:rPr>
        <w:t>；</w:t>
      </w:r>
      <w:r>
        <w:rPr>
          <w:rFonts w:hint="default" w:ascii="宋体" w:hAnsi="宋体" w:eastAsia="宋体" w:cs="宋体"/>
          <w:color w:val="auto"/>
          <w:szCs w:val="21"/>
          <w:highlight w:val="none"/>
          <w:lang w:val="en-US" w:eastAsia="zh-CN"/>
        </w:rPr>
        <w:t>本一览表中参考品</w:t>
      </w:r>
      <w:r>
        <w:rPr>
          <w:rFonts w:hint="eastAsia" w:ascii="宋体" w:hAnsi="宋体" w:eastAsia="宋体" w:cs="宋体"/>
          <w:color w:val="auto"/>
          <w:szCs w:val="21"/>
          <w:highlight w:val="none"/>
          <w:lang w:val="en-US" w:eastAsia="zh-CN"/>
        </w:rPr>
        <w:t>牌</w:t>
      </w:r>
      <w:r>
        <w:rPr>
          <w:rFonts w:hint="default" w:ascii="宋体" w:hAnsi="宋体" w:eastAsia="宋体" w:cs="宋体"/>
          <w:color w:val="auto"/>
          <w:szCs w:val="21"/>
          <w:highlight w:val="none"/>
          <w:lang w:val="en-US" w:eastAsia="zh-CN"/>
        </w:rPr>
        <w:t>规格及技术参数不明确或有误的</w:t>
      </w:r>
      <w:r>
        <w:rPr>
          <w:rFonts w:hint="eastAsia" w:ascii="宋体" w:hAnsi="宋体" w:eastAsia="宋体" w:cs="宋体"/>
          <w:color w:val="auto"/>
          <w:szCs w:val="21"/>
          <w:highlight w:val="none"/>
          <w:lang w:val="en-US" w:eastAsia="zh-CN"/>
        </w:rPr>
        <w:t>，</w:t>
      </w:r>
      <w:r>
        <w:rPr>
          <w:rFonts w:hint="default" w:ascii="宋体" w:hAnsi="宋体" w:eastAsia="宋体" w:cs="宋体"/>
          <w:color w:val="auto"/>
          <w:szCs w:val="21"/>
          <w:highlight w:val="none"/>
          <w:lang w:val="en-US" w:eastAsia="zh-CN"/>
        </w:rPr>
        <w:t>或供应商选用其它品</w:t>
      </w:r>
      <w:r>
        <w:rPr>
          <w:rFonts w:hint="eastAsia" w:ascii="宋体" w:hAnsi="宋体" w:eastAsia="宋体" w:cs="宋体"/>
          <w:color w:val="auto"/>
          <w:szCs w:val="21"/>
          <w:highlight w:val="none"/>
          <w:lang w:val="en-US" w:eastAsia="zh-CN"/>
        </w:rPr>
        <w:t>牌</w:t>
      </w:r>
      <w:r>
        <w:rPr>
          <w:rFonts w:hint="default" w:ascii="宋体" w:hAnsi="宋体" w:eastAsia="宋体" w:cs="宋体"/>
          <w:color w:val="auto"/>
          <w:szCs w:val="21"/>
          <w:highlight w:val="none"/>
          <w:lang w:val="en-US" w:eastAsia="zh-CN"/>
        </w:rPr>
        <w:t>号替代的,请以详细、正确的</w:t>
      </w:r>
      <w:r>
        <w:rPr>
          <w:rFonts w:hint="eastAsia" w:ascii="宋体" w:hAnsi="宋体" w:eastAsia="宋体" w:cs="宋体"/>
          <w:color w:val="auto"/>
          <w:szCs w:val="21"/>
          <w:highlight w:val="none"/>
          <w:lang w:val="en-US" w:eastAsia="zh-CN"/>
        </w:rPr>
        <w:t>品牌</w:t>
      </w:r>
      <w:r>
        <w:rPr>
          <w:rFonts w:hint="default" w:ascii="宋体" w:hAnsi="宋体" w:eastAsia="宋体" w:cs="宋体"/>
          <w:color w:val="auto"/>
          <w:szCs w:val="21"/>
          <w:highlight w:val="none"/>
          <w:lang w:val="en-US" w:eastAsia="zh-CN"/>
        </w:rPr>
        <w:t>型号、技术参数</w:t>
      </w:r>
      <w:r>
        <w:rPr>
          <w:rFonts w:hint="eastAsia" w:ascii="宋体" w:hAnsi="宋体" w:eastAsia="宋体" w:cs="宋体"/>
          <w:color w:val="auto"/>
          <w:szCs w:val="21"/>
          <w:highlight w:val="none"/>
          <w:lang w:val="en-US" w:eastAsia="zh-CN"/>
        </w:rPr>
        <w:t>配置</w:t>
      </w:r>
      <w:r>
        <w:rPr>
          <w:rFonts w:hint="default" w:ascii="宋体" w:hAnsi="宋体" w:eastAsia="宋体" w:cs="宋体"/>
          <w:color w:val="auto"/>
          <w:szCs w:val="21"/>
          <w:highlight w:val="none"/>
          <w:lang w:val="en-US" w:eastAsia="zh-CN"/>
        </w:rPr>
        <w:t>同时填写</w:t>
      </w:r>
      <w:r>
        <w:rPr>
          <w:rFonts w:hint="eastAsia" w:ascii="宋体" w:hAnsi="宋体" w:eastAsia="宋体" w:cs="宋体"/>
          <w:color w:val="auto"/>
          <w:szCs w:val="21"/>
          <w:highlight w:val="none"/>
          <w:lang w:val="en-US" w:eastAsia="zh-CN"/>
        </w:rPr>
        <w:t>投标</w:t>
      </w:r>
      <w:r>
        <w:rPr>
          <w:rFonts w:hint="default" w:ascii="宋体" w:hAnsi="宋体" w:eastAsia="宋体" w:cs="宋体"/>
          <w:color w:val="auto"/>
          <w:szCs w:val="21"/>
          <w:highlight w:val="none"/>
          <w:lang w:val="en-US" w:eastAsia="zh-CN"/>
        </w:rPr>
        <w:t>报价明细表和技术规格</w:t>
      </w:r>
      <w:r>
        <w:rPr>
          <w:rFonts w:hint="eastAsia" w:ascii="宋体" w:hAnsi="宋体" w:eastAsia="宋体" w:cs="宋体"/>
          <w:color w:val="auto"/>
          <w:szCs w:val="21"/>
          <w:highlight w:val="none"/>
          <w:lang w:val="en-US" w:eastAsia="zh-CN"/>
        </w:rPr>
        <w:t>响</w:t>
      </w:r>
      <w:r>
        <w:rPr>
          <w:rFonts w:hint="default" w:ascii="宋体" w:hAnsi="宋体" w:eastAsia="宋体" w:cs="宋体"/>
          <w:color w:val="auto"/>
          <w:szCs w:val="21"/>
          <w:highlight w:val="none"/>
          <w:lang w:val="en-US" w:eastAsia="zh-CN"/>
        </w:rPr>
        <w:t>应表。</w:t>
      </w:r>
    </w:p>
    <w:p>
      <w:pPr>
        <w:keepNext w:val="0"/>
        <w:keepLines w:val="0"/>
        <w:pageBreakBefore w:val="0"/>
        <w:widowControl w:val="0"/>
        <w:kinsoku/>
        <w:wordWrap/>
        <w:overflowPunct/>
        <w:topLinePunct w:val="0"/>
        <w:bidi w:val="0"/>
        <w:snapToGrid/>
        <w:spacing w:line="400" w:lineRule="exact"/>
        <w:ind w:firstLine="424" w:firstLineChars="202"/>
        <w:jc w:val="left"/>
        <w:textAlignment w:val="auto"/>
        <w:rPr>
          <w:rFonts w:hint="eastAsia"/>
          <w:color w:val="auto"/>
          <w:highlight w:val="none"/>
        </w:rPr>
      </w:pPr>
      <w:r>
        <w:rPr>
          <w:rFonts w:hint="eastAsia" w:ascii="宋体" w:hAnsi="宋体" w:cs="宋体"/>
          <w:color w:val="auto"/>
          <w:szCs w:val="21"/>
          <w:highlight w:val="none"/>
        </w:rPr>
        <w:t>▲3.供应商应根据自身实际情况如实响应</w:t>
      </w:r>
      <w:r>
        <w:rPr>
          <w:rFonts w:hint="eastAsia" w:ascii="宋体" w:hAnsi="宋体" w:cs="宋体"/>
          <w:color w:val="auto"/>
          <w:szCs w:val="21"/>
          <w:highlight w:val="none"/>
          <w:lang w:eastAsia="zh-CN"/>
        </w:rPr>
        <w:t>招标文件</w:t>
      </w:r>
      <w:r>
        <w:rPr>
          <w:rFonts w:hint="eastAsia" w:ascii="宋体" w:hAnsi="宋体"/>
          <w:color w:val="auto"/>
          <w:szCs w:val="21"/>
          <w:highlight w:val="none"/>
        </w:rPr>
        <w:t>，不得仅将</w:t>
      </w:r>
      <w:r>
        <w:rPr>
          <w:rFonts w:hint="eastAsia" w:ascii="宋体" w:hAnsi="宋体" w:cs="宋体"/>
          <w:color w:val="auto"/>
          <w:szCs w:val="21"/>
          <w:highlight w:val="none"/>
          <w:lang w:eastAsia="zh-CN"/>
        </w:rPr>
        <w:t>招标文件</w:t>
      </w:r>
      <w:r>
        <w:rPr>
          <w:rFonts w:hint="eastAsia" w:ascii="宋体" w:hAnsi="宋体"/>
          <w:color w:val="auto"/>
          <w:szCs w:val="21"/>
          <w:highlight w:val="none"/>
        </w:rPr>
        <w:t>内容简单复制粘贴作为</w:t>
      </w:r>
      <w:r>
        <w:rPr>
          <w:rFonts w:hint="eastAsia" w:ascii="宋体" w:hAnsi="宋体"/>
          <w:color w:val="auto"/>
          <w:szCs w:val="21"/>
          <w:highlight w:val="none"/>
          <w:lang w:eastAsia="zh-CN"/>
        </w:rPr>
        <w:t>投标</w:t>
      </w:r>
      <w:r>
        <w:rPr>
          <w:rFonts w:hint="eastAsia" w:ascii="宋体" w:hAnsi="宋体"/>
          <w:color w:val="auto"/>
          <w:szCs w:val="21"/>
          <w:highlight w:val="none"/>
        </w:rPr>
        <w:t>响应，还应当提供相关证明材料，否则将按无效响应处理（定制采购不适用本条款）。</w:t>
      </w:r>
      <w:r>
        <w:rPr>
          <w:rFonts w:hint="eastAsia"/>
          <w:color w:val="auto"/>
          <w:highlight w:val="none"/>
        </w:rPr>
        <w:t>对于重要技术条款或技术参数应当在响应文件中提供技术支持资料，技术支持资料以</w:t>
      </w:r>
      <w:r>
        <w:rPr>
          <w:rFonts w:hint="eastAsia"/>
          <w:color w:val="auto"/>
          <w:highlight w:val="none"/>
          <w:lang w:eastAsia="zh-CN"/>
        </w:rPr>
        <w:t>招标文件</w:t>
      </w:r>
      <w:r>
        <w:rPr>
          <w:rFonts w:hint="eastAsia"/>
          <w:color w:val="auto"/>
          <w:highlight w:val="none"/>
        </w:rPr>
        <w:t>中规定的形式为准，否则将视为无效技术支持资料。</w:t>
      </w:r>
    </w:p>
    <w:p>
      <w:pPr>
        <w:spacing w:line="360" w:lineRule="auto"/>
        <w:ind w:firstLine="310" w:firstLineChars="147"/>
        <w:jc w:val="left"/>
        <w:rPr>
          <w:rFonts w:hint="eastAsia" w:ascii="宋体" w:hAnsi="宋体"/>
          <w:b/>
          <w:bCs w:val="0"/>
          <w:color w:val="auto"/>
          <w:szCs w:val="21"/>
          <w:highlight w:val="none"/>
        </w:rPr>
      </w:pPr>
      <w:r>
        <w:rPr>
          <w:rFonts w:hint="eastAsia" w:ascii="宋体" w:hAnsi="宋体"/>
          <w:b/>
          <w:color w:val="auto"/>
          <w:szCs w:val="21"/>
          <w:highlight w:val="none"/>
          <w:lang w:val="en-US" w:eastAsia="zh-CN"/>
        </w:rPr>
        <w:t>4.</w:t>
      </w:r>
      <w:r>
        <w:rPr>
          <w:rFonts w:hint="eastAsia" w:ascii="宋体" w:hAnsi="宋体"/>
          <w:b/>
          <w:color w:val="auto"/>
          <w:szCs w:val="21"/>
          <w:highlight w:val="none"/>
        </w:rPr>
        <w:t>采购预算</w:t>
      </w:r>
      <w:r>
        <w:rPr>
          <w:rFonts w:hint="eastAsia" w:ascii="宋体" w:hAnsi="宋体"/>
          <w:b/>
          <w:bCs w:val="0"/>
          <w:color w:val="auto"/>
          <w:szCs w:val="21"/>
          <w:highlight w:val="none"/>
        </w:rPr>
        <w:t>：</w:t>
      </w:r>
    </w:p>
    <w:p>
      <w:pPr>
        <w:spacing w:line="360" w:lineRule="auto"/>
        <w:ind w:firstLine="308" w:firstLineChars="147"/>
        <w:jc w:val="left"/>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详见招标公告</w:t>
      </w:r>
    </w:p>
    <w:p>
      <w:pPr>
        <w:spacing w:line="360" w:lineRule="auto"/>
        <w:ind w:firstLine="310" w:firstLineChars="147"/>
        <w:jc w:val="left"/>
        <w:rPr>
          <w:rFonts w:hint="eastAsia" w:ascii="宋体" w:hAnsi="宋体" w:cs="Arial"/>
          <w:b/>
          <w:bCs w:val="0"/>
          <w:color w:val="auto"/>
          <w:szCs w:val="21"/>
          <w:highlight w:val="none"/>
          <w:u w:val="none"/>
          <w:lang w:eastAsia="zh-CN"/>
        </w:rPr>
      </w:pPr>
      <w:r>
        <w:rPr>
          <w:rFonts w:hint="eastAsia" w:ascii="宋体" w:hAnsi="宋体" w:cs="Arial"/>
          <w:b/>
          <w:bCs w:val="0"/>
          <w:color w:val="auto"/>
          <w:szCs w:val="21"/>
          <w:highlight w:val="none"/>
          <w:u w:val="none"/>
          <w:lang w:eastAsia="zh-CN"/>
        </w:rPr>
        <w:t xml:space="preserve">一、技术要求 </w:t>
      </w:r>
    </w:p>
    <w:p>
      <w:pPr>
        <w:spacing w:line="360" w:lineRule="auto"/>
        <w:ind w:firstLine="310" w:firstLineChars="147"/>
        <w:jc w:val="left"/>
        <w:rPr>
          <w:rFonts w:hint="eastAsia" w:ascii="宋体" w:hAnsi="宋体" w:cs="Arial"/>
          <w:b/>
          <w:bCs w:val="0"/>
          <w:color w:val="auto"/>
          <w:szCs w:val="21"/>
          <w:highlight w:val="none"/>
          <w:u w:val="none"/>
          <w:lang w:eastAsia="zh-CN"/>
        </w:rPr>
      </w:pPr>
      <w:r>
        <w:rPr>
          <w:rFonts w:hint="eastAsia" w:ascii="宋体" w:hAnsi="宋体" w:cs="Arial"/>
          <w:b/>
          <w:bCs w:val="0"/>
          <w:color w:val="auto"/>
          <w:szCs w:val="21"/>
          <w:highlight w:val="none"/>
          <w:u w:val="none"/>
          <w:lang w:eastAsia="zh-CN"/>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采取随机抽取方式确定一个投标人获得中标人推荐资格，其他同品牌投标人不作为中标候选人）。</w:t>
      </w:r>
    </w:p>
    <w:p>
      <w:pPr>
        <w:spacing w:line="360" w:lineRule="auto"/>
        <w:ind w:firstLine="310" w:firstLineChars="147"/>
        <w:jc w:val="left"/>
        <w:rPr>
          <w:rFonts w:hint="eastAsia" w:ascii="宋体" w:hAnsi="宋体" w:cs="Arial"/>
          <w:b/>
          <w:bCs w:val="0"/>
          <w:color w:val="auto"/>
          <w:szCs w:val="21"/>
          <w:highlight w:val="none"/>
          <w:u w:val="none"/>
          <w:lang w:val="en-US" w:eastAsia="zh-CN"/>
        </w:rPr>
      </w:pPr>
      <w:r>
        <w:rPr>
          <w:rFonts w:hint="eastAsia" w:ascii="宋体" w:hAnsi="宋体" w:cs="Arial"/>
          <w:b/>
          <w:bCs w:val="0"/>
          <w:color w:val="auto"/>
          <w:szCs w:val="21"/>
          <w:highlight w:val="none"/>
          <w:u w:val="none"/>
          <w:lang w:val="en-US" w:eastAsia="zh-CN"/>
        </w:rPr>
        <w:t>本项目所属行业：工业。</w:t>
      </w:r>
    </w:p>
    <w:p>
      <w:pPr>
        <w:spacing w:line="360" w:lineRule="auto"/>
        <w:ind w:firstLine="310" w:firstLineChars="147"/>
        <w:jc w:val="left"/>
        <w:rPr>
          <w:rFonts w:hint="eastAsia" w:ascii="宋体" w:hAnsi="宋体" w:cs="Arial"/>
          <w:b/>
          <w:bCs w:val="0"/>
          <w:color w:val="auto"/>
          <w:szCs w:val="21"/>
          <w:highlight w:val="none"/>
          <w:u w:val="none"/>
          <w:lang w:val="en-US" w:eastAsia="zh-CN"/>
        </w:rPr>
      </w:pPr>
      <w:r>
        <w:rPr>
          <w:rFonts w:hint="eastAsia" w:ascii="宋体" w:hAnsi="宋体" w:cs="Arial"/>
          <w:b/>
          <w:bCs w:val="0"/>
          <w:color w:val="auto"/>
          <w:szCs w:val="21"/>
          <w:highlight w:val="none"/>
          <w:u w:val="none"/>
          <w:lang w:val="en-US" w:eastAsia="zh-CN"/>
        </w:rPr>
        <w:t>产地</w:t>
      </w:r>
      <w:r>
        <w:rPr>
          <w:rFonts w:hint="eastAsia" w:ascii="宋体" w:hAnsi="宋体" w:cs="Arial"/>
          <w:b/>
          <w:bCs w:val="0"/>
          <w:color w:val="auto"/>
          <w:szCs w:val="21"/>
          <w:highlight w:val="none"/>
          <w:u w:val="none"/>
          <w:lang w:val="en-US" w:eastAsia="zh-CN"/>
        </w:rPr>
        <w:t>要求</w:t>
      </w:r>
      <w:r>
        <w:rPr>
          <w:rFonts w:hint="eastAsia" w:ascii="宋体" w:hAnsi="宋体" w:cs="Arial"/>
          <w:b/>
          <w:bCs w:val="0"/>
          <w:color w:val="auto"/>
          <w:szCs w:val="21"/>
          <w:highlight w:val="none"/>
          <w:u w:val="none"/>
          <w:lang w:val="en-US" w:eastAsia="zh-CN"/>
        </w:rPr>
        <w:t>：国产。</w:t>
      </w:r>
    </w:p>
    <w:tbl>
      <w:tblPr>
        <w:tblStyle w:val="18"/>
        <w:tblpPr w:leftFromText="180" w:rightFromText="180" w:vertAnchor="text" w:horzAnchor="page" w:tblpXSpec="center" w:tblpY="512"/>
        <w:tblOverlap w:val="never"/>
        <w:tblW w:w="9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235"/>
        <w:gridCol w:w="1231"/>
        <w:gridCol w:w="5160"/>
        <w:gridCol w:w="1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val="0"/>
                <w:color w:val="auto"/>
                <w:sz w:val="21"/>
                <w:szCs w:val="21"/>
                <w:highlight w:val="none"/>
                <w:shd w:val="clear" w:color="auto" w:fill="auto"/>
                <w:vertAlign w:val="baseline"/>
                <w:lang w:val="en-US" w:eastAsia="zh-CN"/>
              </w:rPr>
            </w:pPr>
            <w:r>
              <w:rPr>
                <w:rFonts w:hint="eastAsia" w:ascii="宋体" w:hAnsi="宋体" w:eastAsia="宋体" w:cs="宋体"/>
                <w:b/>
                <w:bCs w:val="0"/>
                <w:color w:val="auto"/>
                <w:sz w:val="21"/>
                <w:szCs w:val="21"/>
                <w:highlight w:val="none"/>
                <w:shd w:val="clear" w:color="auto" w:fill="auto"/>
                <w:vertAlign w:val="baseline"/>
                <w:lang w:val="en-US" w:eastAsia="zh-CN"/>
              </w:rPr>
              <w:t>标项</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val="0"/>
                <w:color w:val="auto"/>
                <w:sz w:val="21"/>
                <w:szCs w:val="21"/>
                <w:highlight w:val="none"/>
                <w:shd w:val="clear" w:color="auto" w:fill="auto"/>
                <w:vertAlign w:val="baseline"/>
                <w:lang w:val="en-US" w:eastAsia="zh-CN"/>
              </w:rPr>
            </w:pPr>
            <w:r>
              <w:rPr>
                <w:rFonts w:hint="eastAsia" w:ascii="宋体" w:hAnsi="宋体" w:cs="宋体"/>
                <w:b/>
                <w:bCs w:val="0"/>
                <w:color w:val="auto"/>
                <w:sz w:val="21"/>
                <w:szCs w:val="21"/>
                <w:highlight w:val="none"/>
                <w:shd w:val="clear" w:color="auto" w:fill="auto"/>
                <w:vertAlign w:val="baseline"/>
                <w:lang w:val="en-US" w:eastAsia="zh-CN"/>
              </w:rPr>
              <w:t>标项名称/</w:t>
            </w:r>
            <w:r>
              <w:rPr>
                <w:rFonts w:hint="eastAsia" w:ascii="宋体" w:hAnsi="宋体" w:eastAsia="宋体" w:cs="宋体"/>
                <w:b/>
                <w:bCs w:val="0"/>
                <w:color w:val="auto"/>
                <w:sz w:val="21"/>
                <w:szCs w:val="21"/>
                <w:highlight w:val="none"/>
                <w:shd w:val="clear" w:color="auto" w:fill="auto"/>
                <w:vertAlign w:val="baseline"/>
                <w:lang w:val="en-US" w:eastAsia="zh-CN"/>
              </w:rPr>
              <w:t>设备名称</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val="0"/>
                <w:color w:val="auto"/>
                <w:sz w:val="21"/>
                <w:szCs w:val="21"/>
                <w:highlight w:val="none"/>
                <w:shd w:val="clear" w:color="auto" w:fill="auto"/>
                <w:vertAlign w:val="baseline"/>
                <w:lang w:val="en-US" w:eastAsia="zh-CN"/>
              </w:rPr>
            </w:pPr>
            <w:r>
              <w:rPr>
                <w:rFonts w:hint="eastAsia" w:ascii="宋体" w:hAnsi="宋体" w:eastAsia="宋体" w:cs="宋体"/>
                <w:b/>
                <w:bCs w:val="0"/>
                <w:color w:val="auto"/>
                <w:sz w:val="21"/>
                <w:szCs w:val="21"/>
                <w:highlight w:val="none"/>
                <w:shd w:val="clear" w:color="auto" w:fill="auto"/>
                <w:vertAlign w:val="baseline"/>
                <w:lang w:val="en-US" w:eastAsia="zh-CN"/>
              </w:rPr>
              <w:t>需求数量</w:t>
            </w:r>
          </w:p>
        </w:tc>
        <w:tc>
          <w:tcPr>
            <w:tcW w:w="516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val="0"/>
                <w:color w:val="auto"/>
                <w:sz w:val="21"/>
                <w:szCs w:val="21"/>
                <w:highlight w:val="none"/>
                <w:shd w:val="clear" w:color="auto" w:fill="auto"/>
                <w:vertAlign w:val="baseline"/>
                <w:lang w:val="en-US" w:eastAsia="zh-CN"/>
              </w:rPr>
            </w:pPr>
            <w:r>
              <w:rPr>
                <w:rFonts w:hint="eastAsia" w:ascii="宋体" w:hAnsi="宋体" w:eastAsia="宋体" w:cs="宋体"/>
                <w:b/>
                <w:bCs w:val="0"/>
                <w:color w:val="auto"/>
                <w:sz w:val="21"/>
                <w:szCs w:val="21"/>
                <w:highlight w:val="none"/>
                <w:shd w:val="clear" w:color="auto" w:fill="auto"/>
                <w:vertAlign w:val="baseline"/>
                <w:lang w:val="en-US" w:eastAsia="zh-CN"/>
              </w:rPr>
              <w:t>技术要求</w:t>
            </w:r>
          </w:p>
        </w:tc>
        <w:tc>
          <w:tcPr>
            <w:tcW w:w="116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val="0"/>
                <w:color w:val="auto"/>
                <w:sz w:val="21"/>
                <w:szCs w:val="21"/>
                <w:highlight w:val="none"/>
                <w:shd w:val="clear" w:color="auto" w:fill="auto"/>
                <w:vertAlign w:val="baseline"/>
                <w:lang w:val="en-US" w:eastAsia="zh-CN"/>
              </w:rPr>
            </w:pPr>
            <w:r>
              <w:rPr>
                <w:rFonts w:hint="eastAsia" w:ascii="宋体" w:hAnsi="宋体" w:eastAsia="宋体" w:cs="宋体"/>
                <w:b/>
                <w:bCs w:val="0"/>
                <w:color w:val="auto"/>
                <w:sz w:val="21"/>
                <w:szCs w:val="21"/>
                <w:highlight w:val="none"/>
                <w:shd w:val="clear" w:color="auto" w:fill="auto"/>
                <w:vertAlign w:val="baseline"/>
                <w:lang w:val="en-US" w:eastAsia="zh-CN"/>
              </w:rPr>
              <w:t>预算金额合计（万元）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0"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电切内窥镜</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1套</w:t>
            </w:r>
          </w:p>
        </w:tc>
        <w:tc>
          <w:tcPr>
            <w:tcW w:w="5160" w:type="dxa"/>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1、内窥镜，30° 2.9mm×302mm高清（HD） 内窥镜,目镜与镜端采用高品质蓝宝石镜面，无腐蚀性，可高温高压消毒。</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2、被动式操作器 ，被动式，新型人体工程学被动式工作手件，前操控手柄可同时四手指抓握，从中指至小指由上至下逐渐向后倾斜，与后拇指始终形成圆弧型的自然抓握状态，可提高操控性，减少操作疲劳。</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3、外鞘， 22Fr设置进、出水通道和控制开关，始终保持进出水垂直对流。</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4、内鞘， 19Fr  可360°旋转。</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5、闭孔鞘芯，与内鞘配套使用。</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6、冲洗接头，与内鞘配套使用。</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★7、适用于司迈主机</w:t>
            </w:r>
          </w:p>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配  置  清  单</w:t>
            </w:r>
          </w:p>
          <w:tbl>
            <w:tblPr>
              <w:tblStyle w:val="17"/>
              <w:tblW w:w="47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884"/>
              <w:gridCol w:w="1158"/>
              <w:gridCol w:w="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7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val="0"/>
                    <w:snapToGrid w:val="0"/>
                    <w:spacing w:after="200" w:line="2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8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val="0"/>
                    <w:snapToGrid w:val="0"/>
                    <w:spacing w:after="200" w:line="2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产品名称</w:t>
                  </w:r>
                </w:p>
              </w:tc>
              <w:tc>
                <w:tcPr>
                  <w:tcW w:w="11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overflowPunct/>
                    <w:topLinePunct w:val="0"/>
                    <w:autoSpaceDE/>
                    <w:autoSpaceDN/>
                    <w:bidi w:val="0"/>
                    <w:adjustRightInd w:val="0"/>
                    <w:snapToGrid w:val="0"/>
                    <w:spacing w:after="200" w:line="2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94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overflowPunct/>
                    <w:topLinePunct w:val="0"/>
                    <w:autoSpaceDE/>
                    <w:autoSpaceDN/>
                    <w:bidi w:val="0"/>
                    <w:adjustRightInd w:val="0"/>
                    <w:snapToGrid w:val="0"/>
                    <w:spacing w:after="200" w:line="2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1418"/>
                    </w:tabs>
                    <w:kinsoku/>
                    <w:wordWrap w:val="0"/>
                    <w:overflowPunct/>
                    <w:topLinePunct w:val="0"/>
                    <w:autoSpaceDE/>
                    <w:autoSpaceDN/>
                    <w:bidi w:val="0"/>
                    <w:adjustRightInd w:val="0"/>
                    <w:snapToGrid w:val="0"/>
                    <w:spacing w:before="50" w:after="50" w:line="2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8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1418"/>
                    </w:tabs>
                    <w:kinsoku/>
                    <w:wordWrap w:val="0"/>
                    <w:overflowPunct/>
                    <w:topLinePunct w:val="0"/>
                    <w:autoSpaceDE/>
                    <w:autoSpaceDN/>
                    <w:bidi w:val="0"/>
                    <w:adjustRightInd w:val="0"/>
                    <w:snapToGrid w:val="0"/>
                    <w:spacing w:before="50" w:after="50" w:line="2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电切内窥镜</w:t>
                  </w:r>
                </w:p>
              </w:tc>
              <w:tc>
                <w:tcPr>
                  <w:tcW w:w="11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1418"/>
                    </w:tabs>
                    <w:kinsoku/>
                    <w:wordWrap w:val="0"/>
                    <w:overflowPunct/>
                    <w:topLinePunct w:val="0"/>
                    <w:autoSpaceDE/>
                    <w:autoSpaceDN/>
                    <w:bidi w:val="0"/>
                    <w:adjustRightInd w:val="0"/>
                    <w:snapToGrid w:val="0"/>
                    <w:spacing w:before="50" w:after="50" w:line="2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1套</w:t>
                  </w:r>
                </w:p>
              </w:tc>
              <w:tc>
                <w:tcPr>
                  <w:tcW w:w="94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overflowPunct/>
                    <w:topLinePunct w:val="0"/>
                    <w:autoSpaceDE/>
                    <w:autoSpaceDN/>
                    <w:bidi w:val="0"/>
                    <w:adjustRightInd w:val="0"/>
                    <w:snapToGrid w:val="0"/>
                    <w:spacing w:after="200" w:line="240" w:lineRule="exact"/>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1418"/>
                    </w:tabs>
                    <w:kinsoku/>
                    <w:wordWrap w:val="0"/>
                    <w:overflowPunct/>
                    <w:topLinePunct w:val="0"/>
                    <w:autoSpaceDE/>
                    <w:autoSpaceDN/>
                    <w:bidi w:val="0"/>
                    <w:adjustRightInd w:val="0"/>
                    <w:snapToGrid w:val="0"/>
                    <w:spacing w:before="50" w:after="50" w:line="24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8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1418"/>
                    </w:tabs>
                    <w:kinsoku/>
                    <w:wordWrap w:val="0"/>
                    <w:overflowPunct/>
                    <w:topLinePunct w:val="0"/>
                    <w:autoSpaceDE/>
                    <w:autoSpaceDN/>
                    <w:bidi w:val="0"/>
                    <w:adjustRightInd w:val="0"/>
                    <w:snapToGrid w:val="0"/>
                    <w:spacing w:before="50" w:after="50" w:line="2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内窥镜</w:t>
                  </w:r>
                </w:p>
              </w:tc>
              <w:tc>
                <w:tcPr>
                  <w:tcW w:w="11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1418"/>
                    </w:tabs>
                    <w:kinsoku/>
                    <w:wordWrap w:val="0"/>
                    <w:overflowPunct/>
                    <w:topLinePunct w:val="0"/>
                    <w:autoSpaceDE/>
                    <w:autoSpaceDN/>
                    <w:bidi w:val="0"/>
                    <w:adjustRightInd w:val="0"/>
                    <w:snapToGrid w:val="0"/>
                    <w:spacing w:before="50" w:after="50" w:line="2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1支</w:t>
                  </w:r>
                </w:p>
              </w:tc>
              <w:tc>
                <w:tcPr>
                  <w:tcW w:w="94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overflowPunct/>
                    <w:topLinePunct w:val="0"/>
                    <w:autoSpaceDE/>
                    <w:autoSpaceDN/>
                    <w:bidi w:val="0"/>
                    <w:adjustRightInd w:val="0"/>
                    <w:snapToGrid w:val="0"/>
                    <w:spacing w:after="200" w:line="2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1418"/>
                    </w:tabs>
                    <w:kinsoku/>
                    <w:wordWrap w:val="0"/>
                    <w:overflowPunct/>
                    <w:topLinePunct w:val="0"/>
                    <w:autoSpaceDE/>
                    <w:autoSpaceDN/>
                    <w:bidi w:val="0"/>
                    <w:adjustRightInd w:val="0"/>
                    <w:snapToGrid w:val="0"/>
                    <w:spacing w:before="50" w:after="50" w:line="24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18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1418"/>
                    </w:tabs>
                    <w:kinsoku/>
                    <w:wordWrap w:val="0"/>
                    <w:overflowPunct/>
                    <w:topLinePunct w:val="0"/>
                    <w:autoSpaceDE/>
                    <w:autoSpaceDN/>
                    <w:bidi w:val="0"/>
                    <w:adjustRightInd w:val="0"/>
                    <w:snapToGrid w:val="0"/>
                    <w:spacing w:before="50" w:after="50" w:line="2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被动式操作器</w:t>
                  </w:r>
                </w:p>
              </w:tc>
              <w:tc>
                <w:tcPr>
                  <w:tcW w:w="11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1418"/>
                    </w:tabs>
                    <w:kinsoku/>
                    <w:wordWrap w:val="0"/>
                    <w:overflowPunct/>
                    <w:topLinePunct w:val="0"/>
                    <w:autoSpaceDE/>
                    <w:autoSpaceDN/>
                    <w:bidi w:val="0"/>
                    <w:adjustRightInd w:val="0"/>
                    <w:snapToGrid w:val="0"/>
                    <w:spacing w:before="50" w:after="50" w:line="2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1把</w:t>
                  </w:r>
                </w:p>
              </w:tc>
              <w:tc>
                <w:tcPr>
                  <w:tcW w:w="94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overflowPunct/>
                    <w:topLinePunct w:val="0"/>
                    <w:autoSpaceDE/>
                    <w:autoSpaceDN/>
                    <w:bidi w:val="0"/>
                    <w:spacing w:line="240" w:lineRule="exact"/>
                    <w:jc w:val="left"/>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1418"/>
                    </w:tabs>
                    <w:kinsoku/>
                    <w:wordWrap w:val="0"/>
                    <w:overflowPunct/>
                    <w:topLinePunct w:val="0"/>
                    <w:autoSpaceDE/>
                    <w:autoSpaceDN/>
                    <w:bidi w:val="0"/>
                    <w:adjustRightInd w:val="0"/>
                    <w:snapToGrid w:val="0"/>
                    <w:spacing w:before="50" w:after="50" w:line="24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18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1418"/>
                    </w:tabs>
                    <w:kinsoku/>
                    <w:wordWrap w:val="0"/>
                    <w:overflowPunct/>
                    <w:topLinePunct w:val="0"/>
                    <w:autoSpaceDE/>
                    <w:autoSpaceDN/>
                    <w:bidi w:val="0"/>
                    <w:adjustRightInd w:val="0"/>
                    <w:snapToGrid w:val="0"/>
                    <w:spacing w:before="50" w:after="50" w:line="2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外鞘</w:t>
                  </w:r>
                </w:p>
              </w:tc>
              <w:tc>
                <w:tcPr>
                  <w:tcW w:w="11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1418"/>
                    </w:tabs>
                    <w:kinsoku/>
                    <w:wordWrap w:val="0"/>
                    <w:overflowPunct/>
                    <w:topLinePunct w:val="0"/>
                    <w:autoSpaceDE/>
                    <w:autoSpaceDN/>
                    <w:bidi w:val="0"/>
                    <w:adjustRightInd w:val="0"/>
                    <w:snapToGrid w:val="0"/>
                    <w:spacing w:before="50" w:after="50" w:line="2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1支</w:t>
                  </w:r>
                </w:p>
              </w:tc>
              <w:tc>
                <w:tcPr>
                  <w:tcW w:w="94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overflowPunct/>
                    <w:topLinePunct w:val="0"/>
                    <w:autoSpaceDE/>
                    <w:autoSpaceDN/>
                    <w:bidi w:val="0"/>
                    <w:adjustRightInd w:val="0"/>
                    <w:snapToGrid w:val="0"/>
                    <w:spacing w:after="200" w:line="240" w:lineRule="exact"/>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7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1418"/>
                    </w:tabs>
                    <w:kinsoku/>
                    <w:wordWrap w:val="0"/>
                    <w:overflowPunct/>
                    <w:topLinePunct w:val="0"/>
                    <w:autoSpaceDE/>
                    <w:autoSpaceDN/>
                    <w:bidi w:val="0"/>
                    <w:adjustRightInd w:val="0"/>
                    <w:snapToGrid w:val="0"/>
                    <w:spacing w:before="50" w:after="50" w:line="24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5</w:t>
                  </w:r>
                </w:p>
              </w:tc>
              <w:tc>
                <w:tcPr>
                  <w:tcW w:w="18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1418"/>
                    </w:tabs>
                    <w:kinsoku/>
                    <w:wordWrap w:val="0"/>
                    <w:overflowPunct/>
                    <w:topLinePunct w:val="0"/>
                    <w:autoSpaceDE/>
                    <w:autoSpaceDN/>
                    <w:bidi w:val="0"/>
                    <w:adjustRightInd w:val="0"/>
                    <w:snapToGrid w:val="0"/>
                    <w:spacing w:before="50" w:after="50" w:line="2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内鞘</w:t>
                  </w:r>
                </w:p>
              </w:tc>
              <w:tc>
                <w:tcPr>
                  <w:tcW w:w="11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1418"/>
                    </w:tabs>
                    <w:kinsoku/>
                    <w:wordWrap w:val="0"/>
                    <w:overflowPunct/>
                    <w:topLinePunct w:val="0"/>
                    <w:autoSpaceDE/>
                    <w:autoSpaceDN/>
                    <w:bidi w:val="0"/>
                    <w:adjustRightInd w:val="0"/>
                    <w:snapToGrid w:val="0"/>
                    <w:spacing w:before="50" w:after="50" w:line="2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1支</w:t>
                  </w:r>
                </w:p>
              </w:tc>
              <w:tc>
                <w:tcPr>
                  <w:tcW w:w="94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overflowPunct/>
                    <w:topLinePunct w:val="0"/>
                    <w:autoSpaceDE/>
                    <w:autoSpaceDN/>
                    <w:bidi w:val="0"/>
                    <w:adjustRightInd w:val="0"/>
                    <w:snapToGrid w:val="0"/>
                    <w:spacing w:after="200" w:line="240" w:lineRule="exact"/>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1418"/>
                    </w:tabs>
                    <w:kinsoku/>
                    <w:wordWrap w:val="0"/>
                    <w:overflowPunct/>
                    <w:topLinePunct w:val="0"/>
                    <w:autoSpaceDE/>
                    <w:autoSpaceDN/>
                    <w:bidi w:val="0"/>
                    <w:adjustRightInd w:val="0"/>
                    <w:snapToGrid w:val="0"/>
                    <w:spacing w:before="50" w:after="50" w:line="24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w:t>
                  </w:r>
                </w:p>
              </w:tc>
              <w:tc>
                <w:tcPr>
                  <w:tcW w:w="18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1418"/>
                    </w:tabs>
                    <w:kinsoku/>
                    <w:wordWrap w:val="0"/>
                    <w:overflowPunct/>
                    <w:topLinePunct w:val="0"/>
                    <w:autoSpaceDE/>
                    <w:autoSpaceDN/>
                    <w:bidi w:val="0"/>
                    <w:adjustRightInd w:val="0"/>
                    <w:snapToGrid w:val="0"/>
                    <w:spacing w:before="50" w:after="50" w:line="2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闭孔鞘芯</w:t>
                  </w:r>
                </w:p>
              </w:tc>
              <w:tc>
                <w:tcPr>
                  <w:tcW w:w="11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1418"/>
                    </w:tabs>
                    <w:kinsoku/>
                    <w:wordWrap w:val="0"/>
                    <w:overflowPunct/>
                    <w:topLinePunct w:val="0"/>
                    <w:autoSpaceDE/>
                    <w:autoSpaceDN/>
                    <w:bidi w:val="0"/>
                    <w:adjustRightInd w:val="0"/>
                    <w:snapToGrid w:val="0"/>
                    <w:spacing w:before="50" w:after="50" w:line="2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1支</w:t>
                  </w:r>
                </w:p>
              </w:tc>
              <w:tc>
                <w:tcPr>
                  <w:tcW w:w="94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overflowPunct/>
                    <w:topLinePunct w:val="0"/>
                    <w:autoSpaceDE/>
                    <w:autoSpaceDN/>
                    <w:bidi w:val="0"/>
                    <w:adjustRightInd w:val="0"/>
                    <w:snapToGrid w:val="0"/>
                    <w:spacing w:after="200" w:line="240" w:lineRule="exact"/>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1418"/>
                    </w:tabs>
                    <w:kinsoku/>
                    <w:wordWrap w:val="0"/>
                    <w:overflowPunct/>
                    <w:topLinePunct w:val="0"/>
                    <w:autoSpaceDE/>
                    <w:autoSpaceDN/>
                    <w:bidi w:val="0"/>
                    <w:adjustRightInd w:val="0"/>
                    <w:snapToGrid w:val="0"/>
                    <w:spacing w:before="50" w:after="50" w:line="24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18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1418"/>
                    </w:tabs>
                    <w:kinsoku/>
                    <w:wordWrap w:val="0"/>
                    <w:overflowPunct/>
                    <w:topLinePunct w:val="0"/>
                    <w:autoSpaceDE/>
                    <w:autoSpaceDN/>
                    <w:bidi w:val="0"/>
                    <w:adjustRightInd w:val="0"/>
                    <w:snapToGrid w:val="0"/>
                    <w:spacing w:before="50" w:after="50" w:line="2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冲洗接头</w:t>
                  </w:r>
                </w:p>
              </w:tc>
              <w:tc>
                <w:tcPr>
                  <w:tcW w:w="11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1418"/>
                    </w:tabs>
                    <w:kinsoku/>
                    <w:wordWrap w:val="0"/>
                    <w:overflowPunct/>
                    <w:topLinePunct w:val="0"/>
                    <w:autoSpaceDE/>
                    <w:autoSpaceDN/>
                    <w:bidi w:val="0"/>
                    <w:adjustRightInd w:val="0"/>
                    <w:snapToGrid w:val="0"/>
                    <w:spacing w:before="50" w:after="50" w:line="2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1个</w:t>
                  </w:r>
                </w:p>
              </w:tc>
              <w:tc>
                <w:tcPr>
                  <w:tcW w:w="94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overflowPunct/>
                    <w:topLinePunct w:val="0"/>
                    <w:autoSpaceDE/>
                    <w:autoSpaceDN/>
                    <w:bidi w:val="0"/>
                    <w:adjustRightInd w:val="0"/>
                    <w:snapToGrid w:val="0"/>
                    <w:spacing w:after="200" w:line="240" w:lineRule="exact"/>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1418"/>
                    </w:tabs>
                    <w:kinsoku/>
                    <w:wordWrap w:val="0"/>
                    <w:overflowPunct/>
                    <w:topLinePunct w:val="0"/>
                    <w:autoSpaceDE/>
                    <w:autoSpaceDN/>
                    <w:bidi w:val="0"/>
                    <w:adjustRightInd w:val="0"/>
                    <w:snapToGrid w:val="0"/>
                    <w:spacing w:before="50" w:after="50" w:line="24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8</w:t>
                  </w:r>
                </w:p>
              </w:tc>
              <w:tc>
                <w:tcPr>
                  <w:tcW w:w="18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1418"/>
                    </w:tabs>
                    <w:kinsoku/>
                    <w:wordWrap w:val="0"/>
                    <w:overflowPunct/>
                    <w:topLinePunct w:val="0"/>
                    <w:autoSpaceDE/>
                    <w:autoSpaceDN/>
                    <w:bidi w:val="0"/>
                    <w:adjustRightInd w:val="0"/>
                    <w:snapToGrid w:val="0"/>
                    <w:spacing w:before="50" w:after="50" w:line="2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冲洗器</w:t>
                  </w:r>
                </w:p>
              </w:tc>
              <w:tc>
                <w:tcPr>
                  <w:tcW w:w="11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1418"/>
                    </w:tabs>
                    <w:kinsoku/>
                    <w:wordWrap w:val="0"/>
                    <w:overflowPunct/>
                    <w:topLinePunct w:val="0"/>
                    <w:autoSpaceDE/>
                    <w:autoSpaceDN/>
                    <w:bidi w:val="0"/>
                    <w:adjustRightInd w:val="0"/>
                    <w:snapToGrid w:val="0"/>
                    <w:spacing w:before="50" w:after="50" w:line="2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1套</w:t>
                  </w:r>
                </w:p>
              </w:tc>
              <w:tc>
                <w:tcPr>
                  <w:tcW w:w="9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val="0"/>
                    <w:overflowPunct/>
                    <w:topLinePunct w:val="0"/>
                    <w:autoSpaceDE/>
                    <w:autoSpaceDN/>
                    <w:bidi w:val="0"/>
                    <w:adjustRightInd w:val="0"/>
                    <w:snapToGrid w:val="0"/>
                    <w:spacing w:after="200" w:line="2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≥350m</w:t>
                  </w:r>
                </w:p>
              </w:tc>
            </w:tr>
          </w:tbl>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b w:val="0"/>
                <w:bCs/>
                <w:color w:val="auto"/>
                <w:sz w:val="21"/>
                <w:szCs w:val="21"/>
                <w:highlight w:val="none"/>
                <w:lang w:val="en-US" w:eastAsia="zh-CN"/>
              </w:rPr>
            </w:pPr>
          </w:p>
        </w:tc>
        <w:tc>
          <w:tcPr>
            <w:tcW w:w="1165" w:type="dxa"/>
            <w:vAlign w:val="center"/>
          </w:tcPr>
          <w:p>
            <w:pPr>
              <w:keepNext w:val="0"/>
              <w:keepLines w:val="0"/>
              <w:widowControl/>
              <w:suppressLineNumbers w:val="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13.598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0" w:hRule="atLeast"/>
          <w:jc w:val="center"/>
        </w:trPr>
        <w:tc>
          <w:tcPr>
            <w:tcW w:w="55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2</w:t>
            </w:r>
          </w:p>
        </w:tc>
        <w:tc>
          <w:tcPr>
            <w:tcW w:w="12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遥测监护系统（一拖十）</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1套</w:t>
            </w:r>
          </w:p>
        </w:tc>
        <w:tc>
          <w:tcPr>
            <w:tcW w:w="5160" w:type="dxa"/>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 xml:space="preserve">1.中心监护系统支持监护仪集中监护, 同时查看多个病床的病人数据。 </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2.可设置所有参数的报警限并提供声光报警</w:t>
            </w:r>
            <w:r>
              <w:rPr>
                <w:rFonts w:hint="eastAsia" w:ascii="宋体" w:hAnsi="宋体" w:cs="宋体"/>
                <w:b w:val="0"/>
                <w:bCs/>
                <w:color w:val="auto"/>
                <w:sz w:val="21"/>
                <w:szCs w:val="21"/>
                <w:highlight w:val="none"/>
                <w:shd w:val="clear" w:color="auto" w:fill="auto"/>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3.中心监护系统支持有线、无线、遥测多元化的组网方式，中心监护网络中支持多达1200台床旁设备互连</w:t>
            </w:r>
            <w:r>
              <w:rPr>
                <w:rFonts w:hint="eastAsia" w:ascii="宋体" w:hAnsi="宋体" w:cs="宋体"/>
                <w:b w:val="0"/>
                <w:bCs/>
                <w:color w:val="auto"/>
                <w:sz w:val="21"/>
                <w:szCs w:val="21"/>
                <w:highlight w:val="none"/>
                <w:shd w:val="clear" w:color="auto" w:fill="auto"/>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4.一键式启动，不需要软件启动，纯中央机操作系统，无其他软件干扰</w:t>
            </w:r>
            <w:r>
              <w:rPr>
                <w:rFonts w:hint="eastAsia" w:ascii="宋体" w:hAnsi="宋体" w:cs="宋体"/>
                <w:b w:val="0"/>
                <w:bCs/>
                <w:color w:val="auto"/>
                <w:sz w:val="21"/>
                <w:szCs w:val="21"/>
                <w:highlight w:val="none"/>
                <w:shd w:val="clear" w:color="auto" w:fill="auto"/>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5.中心监护系统能够兼容该厂家品牌下所有的监护仪及遥测产品，除颤（MED）产品，包括早期（10年以内）提供的产品，可显示相关产品所监测的参数及波形</w:t>
            </w:r>
            <w:r>
              <w:rPr>
                <w:rFonts w:hint="eastAsia" w:ascii="宋体" w:hAnsi="宋体" w:cs="宋体"/>
                <w:b w:val="0"/>
                <w:bCs/>
                <w:color w:val="auto"/>
                <w:sz w:val="21"/>
                <w:szCs w:val="21"/>
                <w:highlight w:val="none"/>
                <w:shd w:val="clear" w:color="auto" w:fill="auto"/>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6.中心监护系统能够选配显示该厂家品牌下的输注泵产品的用药信息</w:t>
            </w:r>
            <w:r>
              <w:rPr>
                <w:rFonts w:hint="eastAsia" w:ascii="宋体" w:hAnsi="宋体" w:cs="宋体"/>
                <w:b w:val="0"/>
                <w:bCs/>
                <w:color w:val="auto"/>
                <w:sz w:val="21"/>
                <w:szCs w:val="21"/>
                <w:highlight w:val="none"/>
                <w:shd w:val="clear" w:color="auto" w:fill="auto"/>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7.中心监护系统能够选配显示该厂家品牌下的呼吸机产品上的参数及波形</w:t>
            </w:r>
            <w:r>
              <w:rPr>
                <w:rFonts w:hint="eastAsia" w:ascii="宋体" w:hAnsi="宋体" w:cs="宋体"/>
                <w:b w:val="0"/>
                <w:bCs/>
                <w:color w:val="auto"/>
                <w:sz w:val="21"/>
                <w:szCs w:val="21"/>
                <w:highlight w:val="none"/>
                <w:shd w:val="clear" w:color="auto" w:fill="auto"/>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8.中心监护系统能够选配显示该厂家品牌下的床旁超声产品的超声检查图片、视频及报告</w:t>
            </w:r>
            <w:r>
              <w:rPr>
                <w:rFonts w:hint="eastAsia" w:ascii="宋体" w:hAnsi="宋体" w:cs="宋体"/>
                <w:b w:val="0"/>
                <w:bCs/>
                <w:color w:val="auto"/>
                <w:sz w:val="21"/>
                <w:szCs w:val="21"/>
                <w:highlight w:val="none"/>
                <w:shd w:val="clear" w:color="auto" w:fill="auto"/>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9.中心监护系统支持Windows 10 中、英文操作系统</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10.中心监护系统支持≥23寸液晶屏幕显示，1280×1024高分辨率彩色液晶显示。</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11.可同时集中监护不少于60个病人，单个屏幕可≥30个病人的同时集中监护。支持不少于3个显示屏显示</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12.多床观察区域支持床标识显示，可用来区分护理组、病人组等</w:t>
            </w:r>
            <w:r>
              <w:rPr>
                <w:rFonts w:hint="eastAsia" w:ascii="宋体" w:hAnsi="宋体" w:cs="宋体"/>
                <w:b w:val="0"/>
                <w:bCs/>
                <w:color w:val="auto"/>
                <w:sz w:val="21"/>
                <w:szCs w:val="21"/>
                <w:highlight w:val="none"/>
                <w:shd w:val="clear" w:color="auto" w:fill="auto"/>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13.支持重点观察某床病人，双屏和多屏时可支持固定一个辅助屏显示重点单床观察，至少可以提供显示该病人12道波形，16个参数区</w:t>
            </w:r>
            <w:r>
              <w:rPr>
                <w:rFonts w:hint="eastAsia" w:ascii="宋体" w:hAnsi="宋体" w:cs="宋体"/>
                <w:b w:val="0"/>
                <w:bCs/>
                <w:color w:val="auto"/>
                <w:sz w:val="21"/>
                <w:szCs w:val="21"/>
                <w:highlight w:val="none"/>
                <w:shd w:val="clear" w:color="auto" w:fill="auto"/>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14.提供声、光、文字多重报警提醒功能，提供高、中、低三级报警。具有报警自动记录或打印功能。保存报警时刻前后32秒的波形</w:t>
            </w:r>
            <w:r>
              <w:rPr>
                <w:rFonts w:hint="eastAsia" w:ascii="宋体" w:hAnsi="宋体" w:cs="宋体"/>
                <w:b w:val="0"/>
                <w:bCs/>
                <w:color w:val="auto"/>
                <w:sz w:val="21"/>
                <w:szCs w:val="21"/>
                <w:highlight w:val="none"/>
                <w:shd w:val="clear" w:color="auto" w:fill="auto"/>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15.支持系统报警声音关闭功能，提供全床位最近24h的报警事件浏览功能</w:t>
            </w:r>
            <w:r>
              <w:rPr>
                <w:rFonts w:hint="eastAsia" w:ascii="宋体" w:hAnsi="宋体" w:cs="宋体"/>
                <w:b w:val="0"/>
                <w:bCs/>
                <w:color w:val="auto"/>
                <w:sz w:val="21"/>
                <w:szCs w:val="21"/>
                <w:highlight w:val="none"/>
                <w:shd w:val="clear" w:color="auto" w:fill="auto"/>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16.具有掉电存储功能</w:t>
            </w:r>
            <w:r>
              <w:rPr>
                <w:rFonts w:hint="eastAsia" w:ascii="宋体" w:hAnsi="宋体" w:cs="宋体"/>
                <w:b w:val="0"/>
                <w:bCs/>
                <w:color w:val="auto"/>
                <w:sz w:val="21"/>
                <w:szCs w:val="21"/>
                <w:highlight w:val="none"/>
                <w:shd w:val="clear" w:color="auto" w:fill="auto"/>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17.支持至少240小时长趋势回顾，至少240小时全息波形回顾，至少3000条事件回顾，事件类型应包括报警事件及手动事件。事件应存储事件发生时刻的全部参数及至少3道相关波形，波形长度至少为32秒，至少3000组NIBP测量数据回顾，至少100条呼吸氧合事件回顾</w:t>
            </w:r>
            <w:r>
              <w:rPr>
                <w:rFonts w:hint="eastAsia" w:ascii="宋体" w:hAnsi="宋体" w:cs="宋体"/>
                <w:b w:val="0"/>
                <w:bCs/>
                <w:color w:val="auto"/>
                <w:sz w:val="21"/>
                <w:szCs w:val="21"/>
                <w:highlight w:val="none"/>
                <w:shd w:val="clear" w:color="auto" w:fill="auto"/>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18.远程双向控制：控制床旁机的病人信息、启动或停止血压测量、调整自动血压测量时间。控制床旁机参数报警范围和报警级别，控制床旁监护仪进入隐私、夜间模式</w:t>
            </w:r>
            <w:r>
              <w:rPr>
                <w:rFonts w:hint="eastAsia" w:ascii="宋体" w:hAnsi="宋体" w:cs="宋体"/>
                <w:b w:val="0"/>
                <w:bCs/>
                <w:color w:val="auto"/>
                <w:sz w:val="21"/>
                <w:szCs w:val="21"/>
                <w:highlight w:val="none"/>
                <w:shd w:val="clear" w:color="auto" w:fill="auto"/>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19.具备病人生命体征参数的变化趋势、报警事件统计信息，并支持报告打印</w:t>
            </w:r>
            <w:r>
              <w:rPr>
                <w:rFonts w:hint="eastAsia" w:ascii="宋体" w:hAnsi="宋体" w:cs="宋体"/>
                <w:b w:val="0"/>
                <w:bCs/>
                <w:color w:val="auto"/>
                <w:sz w:val="21"/>
                <w:szCs w:val="21"/>
                <w:highlight w:val="none"/>
                <w:shd w:val="clear" w:color="auto" w:fill="auto"/>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20.选配病人氧合情况概览，包括血流动力学和氧合参数趋势，SpO2和报警统计，并支持报告打印</w:t>
            </w:r>
            <w:r>
              <w:rPr>
                <w:rFonts w:hint="eastAsia" w:ascii="宋体" w:hAnsi="宋体" w:cs="宋体"/>
                <w:b w:val="0"/>
                <w:bCs/>
                <w:color w:val="auto"/>
                <w:sz w:val="21"/>
                <w:szCs w:val="21"/>
                <w:highlight w:val="none"/>
                <w:shd w:val="clear" w:color="auto" w:fill="auto"/>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21.选配病人心电活动的统计结果，支持查看病人的典型心电图，并支持报告打印</w:t>
            </w:r>
            <w:r>
              <w:rPr>
                <w:rFonts w:hint="eastAsia" w:ascii="宋体" w:hAnsi="宋体" w:cs="宋体"/>
                <w:b w:val="0"/>
                <w:bCs/>
                <w:color w:val="auto"/>
                <w:sz w:val="21"/>
                <w:szCs w:val="21"/>
                <w:highlight w:val="none"/>
                <w:shd w:val="clear" w:color="auto" w:fill="auto"/>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22.选配病人室性心律失常事件和室性类心电活动的统计结果，支持查看典型心电图，并支持报告打印</w:t>
            </w:r>
            <w:r>
              <w:rPr>
                <w:rFonts w:hint="eastAsia" w:ascii="宋体" w:hAnsi="宋体" w:cs="宋体"/>
                <w:b w:val="0"/>
                <w:bCs/>
                <w:color w:val="auto"/>
                <w:sz w:val="21"/>
                <w:szCs w:val="21"/>
                <w:highlight w:val="none"/>
                <w:shd w:val="clear" w:color="auto" w:fill="auto"/>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23.选配病人的房颤事件的统计信息和生命体征参数趋势，并支持报告打印</w:t>
            </w:r>
            <w:r>
              <w:rPr>
                <w:rFonts w:hint="eastAsia" w:ascii="宋体" w:hAnsi="宋体" w:cs="宋体"/>
                <w:b w:val="0"/>
                <w:bCs/>
                <w:color w:val="auto"/>
                <w:sz w:val="21"/>
                <w:szCs w:val="21"/>
                <w:highlight w:val="none"/>
                <w:shd w:val="clear" w:color="auto" w:fill="auto"/>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w:t>
            </w:r>
            <w:r>
              <w:rPr>
                <w:rFonts w:hint="eastAsia" w:ascii="宋体" w:hAnsi="宋体" w:cs="宋体"/>
                <w:b w:val="0"/>
                <w:bCs/>
                <w:color w:val="auto"/>
                <w:sz w:val="21"/>
                <w:szCs w:val="21"/>
                <w:highlight w:val="none"/>
                <w:shd w:val="clear" w:color="auto" w:fill="auto"/>
                <w:vertAlign w:val="baseline"/>
                <w:lang w:val="en-US" w:eastAsia="zh-CN"/>
              </w:rPr>
              <w:t>24.需可连接迈瑞监护仪，并承担相关端口或接口费用。</w:t>
            </w:r>
          </w:p>
        </w:tc>
        <w:tc>
          <w:tcPr>
            <w:tcW w:w="1165" w:type="dxa"/>
            <w:vAlign w:val="center"/>
          </w:tcPr>
          <w:p>
            <w:pPr>
              <w:keepNext w:val="0"/>
              <w:keepLines w:val="0"/>
              <w:widowControl/>
              <w:suppressLineNumbers w:val="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0" w:hRule="atLeast"/>
          <w:jc w:val="center"/>
        </w:trPr>
        <w:tc>
          <w:tcPr>
            <w:tcW w:w="552"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w:t>
            </w:r>
          </w:p>
        </w:tc>
        <w:tc>
          <w:tcPr>
            <w:tcW w:w="1235"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血液透析滤过机（双泵）</w:t>
            </w:r>
          </w:p>
        </w:tc>
        <w:tc>
          <w:tcPr>
            <w:tcW w:w="1231"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10台</w:t>
            </w:r>
          </w:p>
        </w:tc>
        <w:tc>
          <w:tcPr>
            <w:tcW w:w="5160" w:type="dxa"/>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一、技术特点</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1.适用于血液透析、在线血液滤过（HF-online）、在线血液透析滤过（HDF-online）、单纯超滤等治疗模式。</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2.采用≥15英寸多角度旋转液晶触摸屏，中英文等多种语言界面。</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3.具有多种钠离子、超滤速率、碳酸氢盐、肝素流量、透析液流量、透析液温度等标准曲线和自设曲线功能，可为患者提供个性化治疗。</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4.预设多种标准透析液配制比例，亦可自设比例，适应市面上各种品牌的透析粉或浓缩液。</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5.先进的容量平衡反馈控制系统，超滤更精确。</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6.采用电极实时监测平衡系统泄漏，确保治疗安全。</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7.方便的序贯透析（透析←→单纯超滤）、高低钠序贯透析。</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8.透析液配制反馈控制系统，透析液离子浓度更准确。</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9.KT/V功能，用于评价透析治疗的充分性。</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10.醒目的红、黄、绿三级警示灯，配合多种音乐提示和报警，兼顾安全与人性化。</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11.内置后备电源，停电后可维持治疗血液回路工作40分钟以上。</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12.可使用10mL、20mL、30 mL、50mL注射器，自动检测注射器型号，完善的功能自检和报警系统，支持肝素曲线。</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13.引导式操作界面，医护人员操作更加简单、快捷。</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14.置换液自动充管，大幅度减低医护人员工作强度和降低使用成本。</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15.具有双级内毒素过滤功能（HDF-online）。</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16.具有在线无创血压监测功能，可自动监测和记录患者透析期间的心率，血压变化；</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二、技术参数:</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1.动脉压监测: -500mmHg～700mmHg，精度：±10mmHg</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2.静脉压监测: -500mmHg～700mmHg，精度: ±10mmHg</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3.★跨膜压监测: -500mmHg～700mmHg，精度: ±10mmHg</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4.★透析液流量：0，100mL/min～800mL/min</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5.透析液温度范围：33℃～40℃，精度±0.5℃</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 xml:space="preserve">6.★透析液电导率:  12.0mS/cm～18.0mS/cm，精度: ±0.1 mS/cm   </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 xml:space="preserve">7.★置换液流量：0，30～650mL/min(HDF-online) </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8.血流量： 0，30～650mL/min</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9.★超滤控制 超滤范围：0～6000mL/h</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 xml:space="preserve">10.肝素泵注入流量：0～10ml/h        </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11.气泡检测器：可监测＞0.02ML的气泡</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12.漏血监测：可监测≤0.35mL/min的漏血(HCT32%)</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13.消毒功能：具有化学剂消毒和热消毒两种，热消毒最高温度大于93℃</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14.供水条件温度：进水压0～8.0bar，进水温度 5～35℃</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color w:val="auto"/>
                <w:kern w:val="2"/>
                <w:sz w:val="21"/>
                <w:szCs w:val="21"/>
                <w:highlight w:val="none"/>
                <w:lang w:val="en-US" w:eastAsia="zh-CN" w:bidi="ar-SA"/>
              </w:rPr>
            </w:pPr>
          </w:p>
        </w:tc>
        <w:tc>
          <w:tcPr>
            <w:tcW w:w="1165" w:type="dxa"/>
            <w:vAlign w:val="center"/>
          </w:tcPr>
          <w:p>
            <w:pPr>
              <w:keepNext w:val="0"/>
              <w:keepLines w:val="0"/>
              <w:widowControl/>
              <w:suppressLineNumbers w:val="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213.5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0" w:hRule="atLeast"/>
          <w:jc w:val="center"/>
        </w:trPr>
        <w:tc>
          <w:tcPr>
            <w:tcW w:w="552"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p>
        </w:tc>
        <w:tc>
          <w:tcPr>
            <w:tcW w:w="1235"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双级反渗透水处理设备</w:t>
            </w:r>
          </w:p>
        </w:tc>
        <w:tc>
          <w:tcPr>
            <w:tcW w:w="1231"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1套</w:t>
            </w:r>
          </w:p>
        </w:tc>
        <w:tc>
          <w:tcPr>
            <w:tcW w:w="5160" w:type="dxa"/>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一、产水量：</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1.产水量：≥3600L/h（25℃）。</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2.产水水质：符合AAMI透析用水标准，符合国家YY0572-2015血液透析和相关治疗用水标准。</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★3.水质检验：细菌总数＜100CFU/mL，内毒素＜0.03EU/ml（投标文件中提供由国家认可的第三方检测机构出具的具备以上检验内容的检测报告复印件）。</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三、设备具体配置要求：</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1.全自动智能一体变频源水供水系统一套。</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2.全自动砂滤罐一套，应配备自动电子控制阀。</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3.全自动活性炭罐一套，应配备自动电子控制阀。</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4.全自动软化器一套，应配备自动电子控制阀。</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5.软水平衡装置应为筒体锥底设计，采用镜面不锈钢材质。</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★6.膜壳采用超导直流连接方式，实现反渗膜壳无死腔。（提供证明文件）</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7.微电脑控制器及人机触控界面，采用彩色触摸屏。</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8.双级反渗透主机一套，膜组采用8040型膜元件，数量不得少于7支。</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9.反渗透装置触水管件均采用不锈钢316L材质。</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★10.管路热处理消毒系统一套。</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★11.管路热消毒温度：设备出口温度≥121℃，消毒温度可调整设定；（提供证明文件）</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12.后级管路要求采用316L不锈钢管路无缝焊接。</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四、设备性能要求：</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1.智能节水节电技术：设备依据纯水电导率的高低，实现一、二级反渗水过滤系统废水的排放，要求能达到节水的目的，保证透析水的质量。具备超高回收率技术，提高水资源利用率。（提供证明文件）</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2.具有休息功能，自动用高纯度反渗水对一、二级反渗透膜组及输送管路进行大流量间隔冲洗，彻底抑制细菌/内毒素滋生。</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3.系统具有缺相、短路、接地、电机过流、过载等保护功能。</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4.设备系统要求应具有自我诊断、运行检测、状态控制、测量显示、文字提示、指示灯显示及实时报警功能。</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5.全自动控制功能，应根据设定时间机器自动启停和间隔运行，可根据用水时间进行自由设制。</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6.控制系统面板上应配以流程图形式配以指示灯，实时跟踪显示系统的运行状态，使工作人员对系统的运行了如指掌。</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7.设备可同时监测源水、一级产水、二级产水的电导率测量值。</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8.故障信息的记录和存储功能，将机器各元件的运作情况和报警记录并存储，方便操作人员查询。</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9.控制系统应由自动/手动控制系统，可一键转换。</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10.设备应具有完善的低压保护功能：系统设置了源水无水保护功能；一、二级泵低压保护功能；在制水过程全程检测，对系统进行安全保护，自动停机。</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11.设备具有全自动程控消毒功能，在该模式下，可对系统RO膜进行清洗、消毒，使被污染后的RO膜迅速恢复其性能；同时，实现对系统内部及外部管路全部清冼消毒，使以往复杂的工作变得简单易行。</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12.设备的双级系统中任一级均可单独工作，如其中任何一级系统出现故障，另一级也可继续正常工作。</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13.具备监测夜间漏水自动关断功能，对于设备的安全运行起到有效保证。</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14. 水机使用年限不得少于8年，出示设备铭牌。</w:t>
            </w:r>
          </w:p>
        </w:tc>
        <w:tc>
          <w:tcPr>
            <w:tcW w:w="1165" w:type="dxa"/>
            <w:vAlign w:val="center"/>
          </w:tcPr>
          <w:p>
            <w:pPr>
              <w:keepNext w:val="0"/>
              <w:keepLines w:val="0"/>
              <w:widowControl/>
              <w:suppressLineNumbers w:val="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8" w:hRule="atLeast"/>
          <w:jc w:val="center"/>
        </w:trPr>
        <w:tc>
          <w:tcPr>
            <w:tcW w:w="552"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1235"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口腔综合治疗牙椅</w:t>
            </w:r>
          </w:p>
        </w:tc>
        <w:tc>
          <w:tcPr>
            <w:tcW w:w="1231"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6台</w:t>
            </w:r>
          </w:p>
        </w:tc>
        <w:tc>
          <w:tcPr>
            <w:tcW w:w="5160" w:type="dxa"/>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一、工作环境</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1、环境温度5℃ - 40℃</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2、供气压力范围 0.55 - 0.75Mpa, 流量&gt;50L/min（气负压时，&gt;130L/min）</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3、水源水压范围 0.25 - 0.6Mpa, 流量10L/min</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二、患者座椅</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1、整机消耗功率≤380W</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2、配有水、气、电总开关</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3、内置式地箱，水单元与牙科椅连接，隐藏所有管道，清洁卫生</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4、升降范围：最高≥780mm；最低≤380mm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5、升降方式采用直线电动，垂直升降</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6、牙椅采用静音直流电机和无缝包皮工艺</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7、豪华型双关节折叠式头枕，可单手操作，不仅适用于普通治疗，同时适用于对儿童及残障人士的治疗</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8、配有两个预置椅位和三个可设定的程序椅位</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9、配有最后记忆治疗椅位，在吐痰位操作完成后轻松回到之前的工作椅位，节省操作时间</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★10、靠背无木质结构，靠背外壳、器械盘底部采用铸铝材料，牙科椅上下平行盖采用钢板喷粉工艺；患者座椅底部配有杆式的四向摇杆，控制牙椅升降、靠背俯仰。</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11、采用优质加厚钢材焊接电泳而成，增加了设备的稳定性</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12、配有机椅互锁系统，手机工作状态下，椅位保持锁定</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三、医生单元</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1、下挂式器械盘，器械位≥5个</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2、器械盘高度可灵活调节</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3、器械盘采用铝合金铸造工艺，器械盘手机管采用独立控制集成阀，分别控制高低速手机，即便一个阀体出现问题，另外一个仍可正常使用。</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4、控制面板可调节预置及程序椅位，口腔灯开关及亮度，水杯加水及冲痰盂功能</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5、配有气锁开关方便医生控制器械盘的定位</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四、助手单元</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1、助手架臂系统可向外旋转出90度以满足四手操作</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2、器械位≥4个</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五、水单元</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1、24V自动恒温水加热器，具有防干烧功能</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★2、不锈钢水杯加水管及冲痰水管可拆下消毒</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3、水杯加水量及冲痰时间均可设置保存</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4、痰盂可≥180度旋转、可拆卸</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5、易于拆卸及清洗的吸唾过滤系统，有效防止吸唾的堵塞</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6、配有≥1.0L净水瓶及水源转换开关</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六、口腔灯</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1、功率≥18W,光照度8000 - 25000 Lux，色温≥5000K,可进行无极变光的亮度调节</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2、具有口腔灯与座椅同步控制系统，调节椅位时口腔灯自动关闭，椅位调整完毕，口腔灯自动打开并恢复到所调定的亮度</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3、口腔灯手柄采用可拆卸设计，便于清洁</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七、配置清单</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1、医生位：</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1.1、2条四孔高速手机线</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1.2、1条四孔低速气动马达线</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1.3、1只三用喷枪</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1.4、1套器械盘</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1.5、1套医生位多功能程序控制面板</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1.6、2只45度仰角手机</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1.7、1只20：1种植手机</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1.8、2只高速气涡轮手机</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1.9、1套低速气动马达手机</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2、助手位：</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2.1、1只三用喷枪</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2.2、1只强吸</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2.3、1只弱吸</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2.4、1套助手位多功能程序控制面板</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2.5、1套助手位小器械托盘</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3、其它配置：</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3.1、1套无极调光口腔灯</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3.2、1套脚控开关</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3.3、1套陶瓷漱口盆可180度旋转、可拆卸清洗消毒</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3.4、1套蒸馏水系统</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3.5、1套漱口水加热系统</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3.6、1张医生座椅</w:t>
            </w:r>
          </w:p>
        </w:tc>
        <w:tc>
          <w:tcPr>
            <w:tcW w:w="1165" w:type="dxa"/>
            <w:vAlign w:val="center"/>
          </w:tcPr>
          <w:p>
            <w:pPr>
              <w:keepNext w:val="0"/>
              <w:keepLines w:val="0"/>
              <w:widowControl/>
              <w:suppressLineNumbers w:val="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8"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val="0"/>
                <w:bCs/>
                <w:color w:val="auto"/>
                <w:sz w:val="21"/>
                <w:szCs w:val="21"/>
                <w:highlight w:val="none"/>
                <w:shd w:val="clear" w:color="auto" w:fill="auto"/>
                <w:vertAlign w:val="baseline"/>
                <w:lang w:val="en-US" w:eastAsia="zh-CN"/>
              </w:rPr>
              <w:t>6</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val="0"/>
                <w:bCs/>
                <w:color w:val="auto"/>
                <w:sz w:val="21"/>
                <w:szCs w:val="21"/>
                <w:highlight w:val="none"/>
                <w:shd w:val="clear" w:color="auto" w:fill="auto"/>
                <w:vertAlign w:val="baseline"/>
                <w:lang w:val="en-US" w:eastAsia="zh-CN"/>
              </w:rPr>
              <w:t>内镜清洗消毒工作站</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val="0"/>
                <w:bCs/>
                <w:color w:val="auto"/>
                <w:sz w:val="21"/>
                <w:szCs w:val="21"/>
                <w:highlight w:val="none"/>
                <w:shd w:val="clear" w:color="auto" w:fill="auto"/>
                <w:vertAlign w:val="baseline"/>
                <w:lang w:val="en-US" w:eastAsia="zh-CN"/>
              </w:rPr>
              <w:t>1套</w:t>
            </w:r>
          </w:p>
        </w:tc>
        <w:tc>
          <w:tcPr>
            <w:tcW w:w="5160" w:type="dxa"/>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1、整体要求：由不同功能槽及附件组成，用于对内镜进行手动清洗，并可以使用化学消毒剂进行消毒的设备。</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内洗消主体和背板：由洗消槽、干燥台、柜体、背板四部分组成，洗消槽使用高分子复合材料（AKL）一次压铸成型，表面平整光滑，无锋角接缝，抗菌，耐酸碱腐蚀，容易清洁。可对内镜的进行全浸泡，质地柔软，能最大限度防止内镜免受硬冲击造成的损害。</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3、内镜清洗槽设计规格数量：</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单槽规格：（软镜）580mm×750mm。数量1组</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双槽规格：（软镜）1100mm×750mm，数量5组</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干燥台规格：（软镜）1800mm×750mm。数量1组</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组合式超干台：（嵌入式超声波用）580mm×750mm。数量1组</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4、清洗消毒槽柜体：</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柜体框架采用 SUS304 不锈钢材质，底部放置PVC底板，可有效防止因潮湿或溅水而引起的变形现象发生。柜门采用彩色钢化玻璃,防水溅且不易破裂。</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5、照明系统：</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采用低压照明灯，绿色环保，节约能源，光线柔和。</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6、浸泡槽盖3个：</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采用高透明PVC防弹材料吸塑成形，十米跌落不破裂。配有不同颜色的双手柄，区别污染和洁净，可清晰看到洗消、浸泡的状况。</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7、自动电子水源开关：</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自动控制工作站供水水源的开/关，有效防止无人看管下渗水、漏水现象的发生。</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8、高压清洗水枪：</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材质采用优质304#不锈钢，防止枪体腔道腐蚀，杜绝纯净空气通过枪体腔道的二</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 xml:space="preserve">次污染。至少配八个(a混合型b深锥型c尖嘴型d硅胶盖口型e粗堵型f短锥型g花洒型h细堵口型)快接式喷嘴，需在彩页中有所体现，各类喷嘴名称及用途在彩页中有文字说明，高压清洗枪与供水管连接部使用螺纹旋转接口，非快接插头，有效防止漏水现象的发生。 </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9、高压气枪：</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材质采用优质304#不锈钢，防止枪体腔道腐蚀，杜绝纯净空气通过枪体腔道的二</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 xml:space="preserve">次污染。至少配八个(a混合型b深锥型c尖嘴型d硅胶盖口型e粗堵型f短锥型g花洒型h细堵口型)快接式喷嘴，需在彩页中有所体现，各类喷嘴名称及用途在彩页中有文字说明，高压清洗枪与供水管连接部使用螺纹旋转接口，非快接插头，有效防止漏水现象的发生。 </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★10、空气过滤：空气过滤：机器内置≤0.2um孔径PET材质空气过滤系统，对吹干的空气中细菌、病毒进行有效阻隔，防止二次污染。自带放水阀门，可随时排放过滤器内的水分，延长使用寿命。</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不锈钢专用水龙头：</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主体采用USU304不锈钢材质，360度旋转式设计，表面镀烙防锈处理，抗磨损，耐酸碱，使用年限较长。</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12、医用无油空气压缩机：</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采用无油活塞式设计，保证压缩气体中无油分子，压力可在0.2Mpa-0.8Mpa之间调节,气罐一次性储气量≧25L，主机最大产气量≧115L/min。配水汽分离系统，可有效将气体中含有的水分剥离出来，使气枪喷出的气体长期保持干燥。</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★13、水质处理器：</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采用ABS材质双筒过滤器，2个过滤桶一次注塑成型，中间无管件连接，防止因管件连接造成渗水，过滤器配银离子抗菌滤芯，可有效去除水中的杂质，抑制细菌生长，过滤孔径≦5μm。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★14、酶液/消毒液管道循环灌流装置：</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酶液/消毒液管道循环灌流装置为非外挂式，主机与控制部分分离设计。平板玻璃触摸开关，液晶显示屏，可分别控制注液与注气。注液时间可控范围≦99分钟，注气时间可控范围≧99秒,灌液途中或注液完毕可进行注气或单独注气、注液。</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15、水汽灌流装置:</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主机与控制部分分离设计，平板玻璃触摸开关，蓝色液晶显示屏，可分别控制注水与注气。采用流动水灌流，注水时间≧99分钟，注气时间可≧99秒。</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★16、全管道灌流器：</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配有可与奥林巴斯、宾得、富士能品牌的送水/送气管道，活检/吸引管道，水瓶插口相连接的接口组件。一次连接，无需再次拔插。</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17、灌流器快接插头：</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配有与管道灌流器相匹配的快速接头，洗消过程中只需连接快速接头，无需将全管道灌流器拆卸，方便、快捷。</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18、管路自身消毒系统：</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使用消毒槽内有效的消毒剂对末洗的内部管路、灌注管路进行定期消毒。</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19、手套盒：</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非金属喷漆，原材料为塑料制成，拥有抽拉门，可放置大\中\小各种不同的手套盒。</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20、四位挂件钩：</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采用ABS一次注塑成型，拥有四个挂钩位，可悬挂各类型管道灌流器。</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21、内嵌式超声波清洗机：</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全不锈钢外壳，外观精美，频率40KHZ内置定时/脱气功能，内容积满足需求，带定时功能，配网栏盖子。</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22、测漏维护装置：</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使用与内镜光源相同原理的气泵做为气源，可根据不同镜种调节相应压力值，具备实时数字压力显示屏。</w:t>
            </w:r>
          </w:p>
        </w:tc>
        <w:tc>
          <w:tcPr>
            <w:tcW w:w="1165" w:type="dxa"/>
            <w:vAlign w:val="center"/>
          </w:tcPr>
          <w:p>
            <w:pPr>
              <w:keepNext w:val="0"/>
              <w:keepLines w:val="0"/>
              <w:widowControl/>
              <w:suppressLineNumbers w:val="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23.76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8"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val="0"/>
                <w:bCs/>
                <w:color w:val="auto"/>
                <w:sz w:val="21"/>
                <w:szCs w:val="21"/>
                <w:highlight w:val="none"/>
                <w:shd w:val="clear" w:color="auto" w:fill="auto"/>
                <w:vertAlign w:val="baseline"/>
                <w:lang w:val="en-US" w:eastAsia="zh-CN"/>
              </w:rPr>
              <w:t>氩气高频手术系统</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val="0"/>
                <w:bCs/>
                <w:color w:val="auto"/>
                <w:sz w:val="21"/>
                <w:szCs w:val="21"/>
                <w:highlight w:val="none"/>
                <w:shd w:val="clear" w:color="auto" w:fill="auto"/>
                <w:vertAlign w:val="baseline"/>
                <w:lang w:val="en-US" w:eastAsia="zh-CN"/>
              </w:rPr>
              <w:t>1套</w:t>
            </w:r>
          </w:p>
        </w:tc>
        <w:tc>
          <w:tcPr>
            <w:tcW w:w="5160" w:type="dxa"/>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1主机</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1.1 中文操作界面；</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★1.2最高功率＞320W；</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1.3工作电流频率≥2种；</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1.4 可实现包括内镜脉冲电切、内镜接触电凝、内镜喷凝、精细电切等功能；</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★1.5 高兼容性国际通用器械接口≧4组，其中通用单极器械接口≧2组，通用双极器械接口≧2组；</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1.6  双极接口均为多功能接口，兼容大血管闭合、双极等离子电切，无需额外转接设备；</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1.7</w:t>
            </w:r>
            <w:r>
              <w:rPr>
                <w:rFonts w:hint="eastAsia" w:ascii="宋体" w:hAnsi="宋体" w:eastAsia="宋体" w:cs="宋体"/>
                <w:b w:val="0"/>
                <w:bCs/>
                <w:color w:val="auto"/>
                <w:sz w:val="21"/>
                <w:szCs w:val="21"/>
                <w:highlight w:val="none"/>
                <w:shd w:val="clear" w:color="auto" w:fill="auto"/>
                <w:vertAlign w:val="baseline"/>
                <w:lang w:val="en-US" w:eastAsia="zh-CN"/>
              </w:rPr>
              <w:tab/>
            </w:r>
            <w:r>
              <w:rPr>
                <w:rFonts w:hint="eastAsia" w:ascii="宋体" w:hAnsi="宋体" w:eastAsia="宋体" w:cs="宋体"/>
                <w:b w:val="0"/>
                <w:bCs/>
                <w:color w:val="auto"/>
                <w:sz w:val="21"/>
                <w:szCs w:val="21"/>
                <w:highlight w:val="none"/>
                <w:shd w:val="clear" w:color="auto" w:fill="auto"/>
                <w:vertAlign w:val="baseline"/>
                <w:lang w:val="en-US" w:eastAsia="zh-CN"/>
              </w:rPr>
              <w:t>≥8.4英寸彩色液晶显示，无极旋钮调节，可在使用时进行快速参数调节；</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1.8 出厂预设数十种手术程序及推荐电流参数，99组新增自定义程序存储空间，自动记录近期使用手术程序（≥6组）并在首页快速调用；</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1.9负极板动态监控系统，时时监测负极板连接状态，并通过屏幕进度条动态预警，负极板异常，主机立即停止输出并发出声光报警；</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1.10 针对婴幼儿及电容毯使用患者，智能禁用高风险电流并限制功率输出，以保护病人安全；</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1.11</w:t>
            </w:r>
            <w:r>
              <w:rPr>
                <w:rFonts w:hint="eastAsia" w:ascii="宋体" w:hAnsi="宋体" w:eastAsia="宋体" w:cs="宋体"/>
                <w:b w:val="0"/>
                <w:bCs/>
                <w:color w:val="auto"/>
                <w:sz w:val="21"/>
                <w:szCs w:val="21"/>
                <w:highlight w:val="none"/>
                <w:shd w:val="clear" w:color="auto" w:fill="auto"/>
                <w:vertAlign w:val="baseline"/>
                <w:lang w:val="en-US" w:eastAsia="zh-CN"/>
              </w:rPr>
              <w:tab/>
            </w:r>
            <w:r>
              <w:rPr>
                <w:rFonts w:hint="eastAsia" w:ascii="宋体" w:hAnsi="宋体" w:eastAsia="宋体" w:cs="宋体"/>
                <w:b w:val="0"/>
                <w:bCs/>
                <w:color w:val="auto"/>
                <w:sz w:val="21"/>
                <w:szCs w:val="21"/>
                <w:highlight w:val="none"/>
                <w:shd w:val="clear" w:color="auto" w:fill="auto"/>
                <w:vertAlign w:val="baseline"/>
                <w:lang w:val="en-US" w:eastAsia="zh-CN"/>
              </w:rPr>
              <w:t>基本产品标准：防护等级I 级符合IEC 601-1标准，漏电流（高/低频）符合IEC 601-1标准。</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2内镜电切及电凝</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2.1 内镜电切技术遵循切割、凝血交替输出的经典脉冲技术；</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2.2 提供≥6种不同的脉冲电切电流，以说明书或技术文件为准，且可对其实现切割和凝血效果调节；</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2.3 脉冲电切基于三大经典内镜手术（息肉圈除，EMR，ERCP）调教，直接以手术名称命名（宽蒂息肉圈除，窄蒂息肉圈除，ESD切割，ERCP混切，ERCP纯切I，ERCP纯切II），快速定位不同手术应用场景，简化电流调试；</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 xml:space="preserve">2.4 提供内镜下柔凝，强凝，钳凝等不同凝血电流模式，满足差异化器械操作需要； </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2.5 提供4000Vp低压内镜专用喷凝电流，模拟内镜氩气刀效果，操作更安全，屏幕电磁干扰更低；</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 氩气功能：</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3.1 ≤4000Vp低电压内镜氩气喷凝，降低内镜操作安全性，降低屏幕电磁干扰；</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3.2氩气凝血模式≥4种；</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★3.3 最大氩气流量＞10升/分钟，可调；</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3.4 根据器械规格差异，智能匹配推荐的流量及参数设置；</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3.5 氩气气瓶余量监测，并系统首页动态显示；</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3.6 具备氩气气路阻塞报警系统及氩气低压力报警系统；</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★3.7 提供可重复使用的内镜氩气喷管，经济高效；</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3.8 提供二合一内镜氩气圈套器，一把器械完成息肉圈套及氩气喷凝操作，降低息肉复发率，且不用更换器械，节省手术时间；</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3.9 所有氩气电极均带陶瓷保护头，绝缘隔热，避免误损伤及粘连，更高安全保护。</w:t>
            </w:r>
          </w:p>
        </w:tc>
        <w:tc>
          <w:tcPr>
            <w:tcW w:w="1165" w:type="dxa"/>
            <w:vAlign w:val="center"/>
          </w:tcPr>
          <w:p>
            <w:pPr>
              <w:keepNext w:val="0"/>
              <w:keepLines w:val="0"/>
              <w:widowControl/>
              <w:suppressLineNumbers w:val="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29.43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8"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7</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全自动清洗消毒器</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2套</w:t>
            </w:r>
          </w:p>
        </w:tc>
        <w:tc>
          <w:tcPr>
            <w:tcW w:w="5160" w:type="dxa"/>
            <w:vAlign w:val="top"/>
          </w:tcPr>
          <w:tbl>
            <w:tblPr>
              <w:tblStyle w:val="17"/>
              <w:tblW w:w="48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
              <w:gridCol w:w="986"/>
              <w:gridCol w:w="3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819" w:type="dxa"/>
                  <w:gridSpan w:val="3"/>
                  <w:vAlign w:val="center"/>
                </w:tcPr>
                <w:p>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全自动清洗消毒器参数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49"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986"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w:t>
                  </w:r>
                </w:p>
              </w:tc>
              <w:tc>
                <w:tcPr>
                  <w:tcW w:w="3384"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49"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986"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适用范围</w:t>
                  </w:r>
                </w:p>
              </w:tc>
              <w:tc>
                <w:tcPr>
                  <w:tcW w:w="3384" w:type="dxa"/>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产品适用于手术器械、呼吸管、口腔器械、奶瓶、湿化瓶、玻璃器皿</w:t>
                  </w:r>
                  <w:r>
                    <w:rPr>
                      <w:rFonts w:hint="eastAsia" w:ascii="宋体" w:hAnsi="宋体" w:eastAsia="宋体" w:cs="宋体"/>
                      <w:color w:val="auto"/>
                      <w:sz w:val="21"/>
                      <w:szCs w:val="21"/>
                      <w:highlight w:val="none"/>
                      <w:lang w:eastAsia="zh-CN"/>
                    </w:rPr>
                    <w:t>、妇科器械、呼吸球囊</w:t>
                  </w:r>
                  <w:r>
                    <w:rPr>
                      <w:rFonts w:hint="eastAsia" w:ascii="宋体" w:hAnsi="宋体" w:eastAsia="宋体" w:cs="宋体"/>
                      <w:color w:val="auto"/>
                      <w:sz w:val="21"/>
                      <w:szCs w:val="21"/>
                      <w:highlight w:val="none"/>
                    </w:rPr>
                    <w:t>等进行清洗、消毒、干燥。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49"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986"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有效容积</w:t>
                  </w:r>
                </w:p>
              </w:tc>
              <w:tc>
                <w:tcPr>
                  <w:tcW w:w="3384" w:type="dxa"/>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≥550L（以注册证为准）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49"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986"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结构材料</w:t>
                  </w:r>
                </w:p>
              </w:tc>
              <w:tc>
                <w:tcPr>
                  <w:tcW w:w="3384" w:type="dxa"/>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清洗管路采用卫生级不锈钢管道，清洗机内胆采用304不锈钢，外罩以及配件采用304不锈钢，厚度为1.5mm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49"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986"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快速连接技术</w:t>
                  </w:r>
                </w:p>
              </w:tc>
              <w:tc>
                <w:tcPr>
                  <w:tcW w:w="3384" w:type="dxa"/>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清洗小车注水口位于清洗腔的侧面，清洗小车与喷臂之间能够快速无缝连接，保证了清洗水压及效果。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49"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986"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开门方式</w:t>
                  </w:r>
                </w:p>
              </w:tc>
              <w:tc>
                <w:tcPr>
                  <w:tcW w:w="3384" w:type="dxa"/>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自动下开门，前后双开门，可实现双门互锁，双层中空镀膜防爆钢化玻璃门，厚度≥50mm，隔音隔热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49"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986"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门安全控制</w:t>
                  </w:r>
                </w:p>
              </w:tc>
              <w:tc>
                <w:tcPr>
                  <w:tcW w:w="3384" w:type="dxa"/>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关门遇障碍自动返回，门打开/关闭给予语音提示，告知门动作状态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49"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986"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快速管路设计</w:t>
                  </w:r>
                </w:p>
              </w:tc>
              <w:tc>
                <w:tcPr>
                  <w:tcW w:w="3384" w:type="dxa"/>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双水箱设计，能够实现快速预热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49"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986"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干燥系统</w:t>
                  </w:r>
                </w:p>
              </w:tc>
              <w:tc>
                <w:tcPr>
                  <w:tcW w:w="3384" w:type="dxa"/>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≥3×1500W干燥系统，噪音≤65dB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49"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986"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空气过滤</w:t>
                  </w:r>
                </w:p>
              </w:tc>
              <w:tc>
                <w:tcPr>
                  <w:tcW w:w="3384" w:type="dxa"/>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过滤精度≤0.3 um，过滤等级可达到H13级（99.99%）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49"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986"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控制方式</w:t>
                  </w:r>
                </w:p>
              </w:tc>
              <w:tc>
                <w:tcPr>
                  <w:tcW w:w="3384" w:type="dxa"/>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采用非PLC智能控制系统，故障报警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49"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986"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通讯协议</w:t>
                  </w:r>
                </w:p>
              </w:tc>
              <w:tc>
                <w:tcPr>
                  <w:tcW w:w="3384" w:type="dxa"/>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设备可通过以太网、wifi、3G、USB多种方式接入互联网或PC机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49"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986"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显示屏</w:t>
                  </w:r>
                </w:p>
              </w:tc>
              <w:tc>
                <w:tcPr>
                  <w:tcW w:w="3384" w:type="dxa"/>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双屏，前后各一块LCD显示屏，能够动态显示设备运行状态及参数；故障报警；触控式操作；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49"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986"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安全保护</w:t>
                  </w:r>
                </w:p>
              </w:tc>
              <w:tc>
                <w:tcPr>
                  <w:tcW w:w="3384" w:type="dxa"/>
                  <w:vAlign w:val="center"/>
                </w:tcPr>
                <w:p>
                  <w:pPr>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门电机：设备电机过载时，过流保护开关动作，电机停止工作；</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循环风机：风压过低造成空气加热管干烧时，系统自动切断加热电源；</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循环水泵：循环水泵有故障时，自动检测，退出程序；</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酶液量、润滑油量：耗材不足时给予提示，并退出程序；</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加热器：水位低造成加热管干烧时，系统自动切断加热电源；</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门防夹手装置：门在关闭过程中遇到阻碍时，会停止关门，并且向相反方向运行；</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超温保护：双温控检测，超过设定温度，系统自动切断加热电源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49"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p>
              </w:tc>
              <w:tc>
                <w:tcPr>
                  <w:tcW w:w="986"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记录方式</w:t>
                  </w:r>
                </w:p>
              </w:tc>
              <w:tc>
                <w:tcPr>
                  <w:tcW w:w="3384" w:type="dxa"/>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可与信息管理系统及追溯系统相连，自动打印过程时间、温度等参数，自动记录AO值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49"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986"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内置程序</w:t>
                  </w:r>
                </w:p>
              </w:tc>
              <w:tc>
                <w:tcPr>
                  <w:tcW w:w="3384" w:type="dxa"/>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预置程序，用户可依据需要进行程序编辑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49"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c>
                <w:tcPr>
                  <w:tcW w:w="986"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温控系统</w:t>
                  </w:r>
                </w:p>
              </w:tc>
              <w:tc>
                <w:tcPr>
                  <w:tcW w:w="3384" w:type="dxa"/>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具有独立的预消毒舱水温控制器，预清洗舱水温控制器，清洗舱温度控制以及进风口、出风口温度控制系统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49"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w:t>
                  </w:r>
                </w:p>
              </w:tc>
              <w:tc>
                <w:tcPr>
                  <w:tcW w:w="986"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化学消毒功能</w:t>
                  </w:r>
                </w:p>
              </w:tc>
              <w:tc>
                <w:tcPr>
                  <w:tcW w:w="3384" w:type="dxa"/>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本机带单独化学消毒程序，预留化学消毒功能模块，可以根据客户需要配备化学消毒功能。提供第三方化学消毒检测报告。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49"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p>
              </w:tc>
              <w:tc>
                <w:tcPr>
                  <w:tcW w:w="986"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★清洗效果检测</w:t>
                  </w:r>
                </w:p>
              </w:tc>
              <w:tc>
                <w:tcPr>
                  <w:tcW w:w="3384" w:type="dxa"/>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设备通过具有CMA认证的第三方机构对清洗效果的检测，检测结果合格。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49"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w:t>
                  </w:r>
                </w:p>
              </w:tc>
              <w:tc>
                <w:tcPr>
                  <w:tcW w:w="986"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消毒效果检测</w:t>
                  </w:r>
                </w:p>
              </w:tc>
              <w:tc>
                <w:tcPr>
                  <w:tcW w:w="3384" w:type="dxa"/>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设备通过具有CMA认证的第三方机构对湿热消毒和化学消毒的检测，检测结果合格。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449"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p>
              </w:tc>
              <w:tc>
                <w:tcPr>
                  <w:tcW w:w="986"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远程监控</w:t>
                  </w:r>
                </w:p>
              </w:tc>
              <w:tc>
                <w:tcPr>
                  <w:tcW w:w="3384" w:type="dxa"/>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可通过3G、WIFI等有线、无线方式进行远程实时监控，提高维修的及时性。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49"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p>
              </w:tc>
              <w:tc>
                <w:tcPr>
                  <w:tcW w:w="986"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身份识别技术</w:t>
                  </w:r>
                </w:p>
              </w:tc>
              <w:tc>
                <w:tcPr>
                  <w:tcW w:w="3384" w:type="dxa"/>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用户通过自身的生理特征进入操作系统，生理特征在登录过程中具有唯一性，能实现对操作人员的操作。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49"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w:t>
                  </w:r>
                </w:p>
              </w:tc>
              <w:tc>
                <w:tcPr>
                  <w:tcW w:w="986"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数据恢复</w:t>
                  </w:r>
                </w:p>
              </w:tc>
              <w:tc>
                <w:tcPr>
                  <w:tcW w:w="3384" w:type="dxa"/>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设备具有备份防灾机制，可以实时对设备运行参数进行云存储，当设备出现故障后科室及时备份当前数据，在设备故障修复后，可以通过包括网络、设备存储等方式进行数据恢复，保障数据的安全可追溯。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49"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w:t>
                  </w:r>
                </w:p>
              </w:tc>
              <w:tc>
                <w:tcPr>
                  <w:tcW w:w="986"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教学功能</w:t>
                  </w:r>
                </w:p>
              </w:tc>
              <w:tc>
                <w:tcPr>
                  <w:tcW w:w="3384" w:type="dxa"/>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除人员现场培训、光盘等形式外的教学，设备自身能够以文件以及音像等形式进行设备操作指南、科室要求的内容的其他教学。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449"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w:t>
                  </w:r>
                </w:p>
              </w:tc>
              <w:tc>
                <w:tcPr>
                  <w:tcW w:w="986"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动态实时通知</w:t>
                  </w:r>
                </w:p>
              </w:tc>
              <w:tc>
                <w:tcPr>
                  <w:tcW w:w="3384" w:type="dxa"/>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设备的运行状态（包括运行信息、故障信息等）会第一时间通知设备相关人员，提高消毒供应中心的管理以及提高产品售后服务的实时性及准确性。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49"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986"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日志导出</w:t>
                  </w:r>
                </w:p>
              </w:tc>
              <w:tc>
                <w:tcPr>
                  <w:tcW w:w="3384" w:type="dxa"/>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设备运营的数据导出后自动生成为Excel文件格式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49" w:type="dxa"/>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6</w:t>
                  </w:r>
                </w:p>
              </w:tc>
              <w:tc>
                <w:tcPr>
                  <w:tcW w:w="986"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装载量</w:t>
                  </w:r>
                </w:p>
              </w:tc>
              <w:tc>
                <w:tcPr>
                  <w:tcW w:w="3384" w:type="dxa"/>
                  <w:vAlign w:val="center"/>
                </w:tcPr>
                <w:p>
                  <w:p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至少</w:t>
                  </w:r>
                  <w:r>
                    <w:rPr>
                      <w:rFonts w:hint="eastAsia" w:ascii="宋体" w:hAnsi="宋体" w:eastAsia="宋体" w:cs="宋体"/>
                      <w:color w:val="auto"/>
                      <w:sz w:val="21"/>
                      <w:szCs w:val="21"/>
                      <w:highlight w:val="none"/>
                    </w:rPr>
                    <w:t>5层，</w:t>
                  </w:r>
                  <w:r>
                    <w:rPr>
                      <w:rFonts w:hint="eastAsia" w:ascii="宋体" w:hAnsi="宋体" w:eastAsia="宋体" w:cs="宋体"/>
                      <w:color w:val="auto"/>
                      <w:sz w:val="21"/>
                      <w:szCs w:val="21"/>
                      <w:highlight w:val="none"/>
                      <w:lang w:val="en-US" w:eastAsia="zh-CN"/>
                    </w:rPr>
                    <w:t>含有</w:t>
                  </w:r>
                  <w:r>
                    <w:rPr>
                      <w:rFonts w:hint="eastAsia" w:ascii="宋体" w:hAnsi="宋体" w:eastAsia="宋体" w:cs="宋体"/>
                      <w:color w:val="auto"/>
                      <w:sz w:val="21"/>
                      <w:szCs w:val="21"/>
                      <w:highlight w:val="none"/>
                    </w:rPr>
                    <w:t>15个标准器械篮筐</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妇科器械清洗架和湿化瓶清洁架至少各1个。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49" w:type="dxa"/>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7</w:t>
                  </w:r>
                </w:p>
              </w:tc>
              <w:tc>
                <w:tcPr>
                  <w:tcW w:w="986"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运行时间</w:t>
                  </w:r>
                </w:p>
              </w:tc>
              <w:tc>
                <w:tcPr>
                  <w:tcW w:w="3384" w:type="dxa"/>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49" w:type="dxa"/>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8</w:t>
                  </w:r>
                </w:p>
              </w:tc>
              <w:tc>
                <w:tcPr>
                  <w:tcW w:w="986"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耗水量</w:t>
                  </w:r>
                </w:p>
              </w:tc>
              <w:tc>
                <w:tcPr>
                  <w:tcW w:w="3384" w:type="dxa"/>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≤35L/步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49" w:type="dxa"/>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29</w:t>
                  </w:r>
                </w:p>
              </w:tc>
              <w:tc>
                <w:tcPr>
                  <w:tcW w:w="986"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耗材</w:t>
                  </w:r>
                </w:p>
              </w:tc>
              <w:tc>
                <w:tcPr>
                  <w:tcW w:w="3384" w:type="dxa"/>
                  <w:vAlign w:val="center"/>
                </w:tcPr>
                <w:p>
                  <w:p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可使用非本型号或本厂家指定专用耗材。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49" w:type="dxa"/>
                  <w:vAlign w:val="center"/>
                </w:tcPr>
                <w:p>
                  <w:pPr>
                    <w:jc w:val="center"/>
                    <w:rPr>
                      <w:rFonts w:hint="eastAsia" w:ascii="宋体" w:hAnsi="宋体" w:eastAsia="宋体" w:cs="宋体"/>
                      <w:color w:val="auto"/>
                      <w:sz w:val="21"/>
                      <w:szCs w:val="21"/>
                      <w:highlight w:val="none"/>
                      <w:lang w:val="en-US" w:eastAsia="zh-CN"/>
                    </w:rPr>
                  </w:pPr>
                </w:p>
              </w:tc>
              <w:tc>
                <w:tcPr>
                  <w:tcW w:w="986" w:type="dxa"/>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系统</w:t>
                  </w:r>
                </w:p>
              </w:tc>
              <w:tc>
                <w:tcPr>
                  <w:tcW w:w="3384" w:type="dxa"/>
                  <w:vAlign w:val="center"/>
                </w:tcPr>
                <w:p>
                  <w:p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提供信息追溯系统</w:t>
                  </w:r>
                </w:p>
              </w:tc>
            </w:tr>
          </w:tbl>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b w:val="0"/>
                <w:bCs/>
                <w:color w:val="auto"/>
                <w:kern w:val="2"/>
                <w:sz w:val="21"/>
                <w:szCs w:val="21"/>
                <w:highlight w:val="none"/>
                <w:lang w:val="en-US" w:eastAsia="zh-CN" w:bidi="ar-SA"/>
              </w:rPr>
            </w:pPr>
          </w:p>
        </w:tc>
        <w:tc>
          <w:tcPr>
            <w:tcW w:w="1165" w:type="dxa"/>
            <w:vAlign w:val="center"/>
          </w:tcPr>
          <w:p>
            <w:pPr>
              <w:keepNext w:val="0"/>
              <w:keepLines w:val="0"/>
              <w:widowControl/>
              <w:suppressLineNumbers w:val="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8"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7</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医用干燥柜</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1台</w:t>
            </w:r>
          </w:p>
        </w:tc>
        <w:tc>
          <w:tcPr>
            <w:tcW w:w="5160" w:type="dxa"/>
            <w:vAlign w:val="top"/>
          </w:tcPr>
          <w:tbl>
            <w:tblPr>
              <w:tblStyle w:val="17"/>
              <w:tblW w:w="50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7"/>
              <w:gridCol w:w="1044"/>
              <w:gridCol w:w="35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006" w:type="dxa"/>
                  <w:gridSpan w:val="3"/>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医用干燥柜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47" w:type="dxa"/>
                  <w:tcBorders>
                    <w:top w:val="nil"/>
                    <w:left w:val="single" w:color="auto" w:sz="4" w:space="0"/>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序号</w:t>
                  </w:r>
                </w:p>
              </w:tc>
              <w:tc>
                <w:tcPr>
                  <w:tcW w:w="1044" w:type="dxa"/>
                  <w:tcBorders>
                    <w:top w:val="nil"/>
                    <w:left w:val="nil"/>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参数</w:t>
                  </w:r>
                </w:p>
              </w:tc>
              <w:tc>
                <w:tcPr>
                  <w:tcW w:w="3515" w:type="dxa"/>
                  <w:tcBorders>
                    <w:top w:val="nil"/>
                    <w:left w:val="nil"/>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447" w:type="dxa"/>
                  <w:tcBorders>
                    <w:top w:val="nil"/>
                    <w:left w:val="single" w:color="auto" w:sz="4" w:space="0"/>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1044" w:type="dxa"/>
                  <w:tcBorders>
                    <w:top w:val="nil"/>
                    <w:left w:val="nil"/>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适用范围</w:t>
                  </w:r>
                </w:p>
              </w:tc>
              <w:tc>
                <w:tcPr>
                  <w:tcW w:w="3515" w:type="dxa"/>
                  <w:tcBorders>
                    <w:top w:val="nil"/>
                    <w:left w:val="nil"/>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医院中心供应室、手术室和其它需要物品干燥的部门。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47" w:type="dxa"/>
                  <w:tcBorders>
                    <w:top w:val="nil"/>
                    <w:left w:val="single" w:color="auto" w:sz="4" w:space="0"/>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1044" w:type="dxa"/>
                  <w:tcBorders>
                    <w:top w:val="nil"/>
                    <w:left w:val="nil"/>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★内舱容积</w:t>
                  </w:r>
                </w:p>
              </w:tc>
              <w:tc>
                <w:tcPr>
                  <w:tcW w:w="3515" w:type="dxa"/>
                  <w:tcBorders>
                    <w:top w:val="nil"/>
                    <w:left w:val="nil"/>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有效容积≥520L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47" w:type="dxa"/>
                  <w:tcBorders>
                    <w:top w:val="nil"/>
                    <w:left w:val="single" w:color="auto" w:sz="4" w:space="0"/>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1044" w:type="dxa"/>
                  <w:tcBorders>
                    <w:top w:val="nil"/>
                    <w:left w:val="nil"/>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外观要求</w:t>
                  </w:r>
                </w:p>
              </w:tc>
              <w:tc>
                <w:tcPr>
                  <w:tcW w:w="3515" w:type="dxa"/>
                  <w:tcBorders>
                    <w:top w:val="nil"/>
                    <w:left w:val="nil"/>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整体不锈钢外观，带侧面热风风循环，有效提高了柜体中下部干燥效果；显示屏和控制面板位于侧维修门处，操作高度正对操作者，更加符合人机工程学的要求。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47" w:type="dxa"/>
                  <w:tcBorders>
                    <w:top w:val="nil"/>
                    <w:left w:val="single" w:color="auto" w:sz="4" w:space="0"/>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1044" w:type="dxa"/>
                  <w:tcBorders>
                    <w:top w:val="nil"/>
                    <w:left w:val="nil"/>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材质要求</w:t>
                  </w:r>
                </w:p>
              </w:tc>
              <w:tc>
                <w:tcPr>
                  <w:tcW w:w="3515" w:type="dxa"/>
                  <w:tcBorders>
                    <w:top w:val="nil"/>
                    <w:left w:val="nil"/>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外罩、舱体采用优质SUS304不锈钢拉丝板，板材厚度≥1.2mm，板材折边采用刨槽工艺，折边圆角≤R2，整体缝隙小、美观。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47" w:type="dxa"/>
                  <w:tcBorders>
                    <w:top w:val="nil"/>
                    <w:left w:val="single" w:color="auto" w:sz="4" w:space="0"/>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1044" w:type="dxa"/>
                  <w:tcBorders>
                    <w:top w:val="nil"/>
                    <w:left w:val="nil"/>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密封门材质</w:t>
                  </w:r>
                </w:p>
              </w:tc>
              <w:tc>
                <w:tcPr>
                  <w:tcW w:w="3515" w:type="dxa"/>
                  <w:tcBorders>
                    <w:top w:val="nil"/>
                    <w:left w:val="nil"/>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采用优质SUS304不锈钢拉丝板，板材折边采用刨槽工艺，折边圆角≤R3，整体缝隙小、美观。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47" w:type="dxa"/>
                  <w:tcBorders>
                    <w:top w:val="nil"/>
                    <w:left w:val="single" w:color="auto" w:sz="4" w:space="0"/>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1044" w:type="dxa"/>
                  <w:tcBorders>
                    <w:top w:val="nil"/>
                    <w:left w:val="nil"/>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密封门</w:t>
                  </w:r>
                </w:p>
              </w:tc>
              <w:tc>
                <w:tcPr>
                  <w:tcW w:w="3515" w:type="dxa"/>
                  <w:tcBorders>
                    <w:top w:val="nil"/>
                    <w:left w:val="nil"/>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结构门体中部采用双层中空钢化玻璃结构，通透面积≥0.59㎡，保证可视性同时，又能够有效阻隔舱体内热量损耗、降低密封门工作温度。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47" w:type="dxa"/>
                  <w:tcBorders>
                    <w:top w:val="nil"/>
                    <w:left w:val="single" w:color="auto" w:sz="4" w:space="0"/>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1044" w:type="dxa"/>
                  <w:tcBorders>
                    <w:top w:val="nil"/>
                    <w:left w:val="nil"/>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风机</w:t>
                  </w:r>
                </w:p>
              </w:tc>
              <w:tc>
                <w:tcPr>
                  <w:tcW w:w="3515" w:type="dxa"/>
                  <w:tcBorders>
                    <w:top w:val="nil"/>
                    <w:left w:val="nil"/>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采用知名品牌交流离心风机，电容感应启动外转子电动机，外框铝压铸成型，镀锌板风轮，双滚珠轴承，长效免维护，风机风量≥600m³/h，最大静压≥550Pa，噪音≤72dB，风机数量≥3个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47" w:type="dxa"/>
                  <w:tcBorders>
                    <w:top w:val="nil"/>
                    <w:left w:val="single" w:color="auto" w:sz="4" w:space="0"/>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1044" w:type="dxa"/>
                  <w:tcBorders>
                    <w:top w:val="nil"/>
                    <w:left w:val="nil"/>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过热保护</w:t>
                  </w:r>
                </w:p>
              </w:tc>
              <w:tc>
                <w:tcPr>
                  <w:tcW w:w="3515" w:type="dxa"/>
                  <w:tcBorders>
                    <w:top w:val="nil"/>
                    <w:left w:val="nil"/>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设备具有加热系统故障检测、保护、报警功能，采用知名过热保护器。保护阶段，程序停止运行，排出故障后，方可正常使用。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47" w:type="dxa"/>
                  <w:tcBorders>
                    <w:top w:val="nil"/>
                    <w:left w:val="single" w:color="auto" w:sz="4" w:space="0"/>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1044" w:type="dxa"/>
                  <w:tcBorders>
                    <w:top w:val="nil"/>
                    <w:left w:val="nil"/>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过滤器</w:t>
                  </w:r>
                </w:p>
              </w:tc>
              <w:tc>
                <w:tcPr>
                  <w:tcW w:w="3515" w:type="dxa"/>
                  <w:tcBorders>
                    <w:top w:val="nil"/>
                    <w:left w:val="nil"/>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采用HEPA高效空气过滤器，过滤精度0.3μm，过滤效率≥99.97%，滤褶方向应垂直于地面，符合高效过滤器的安装要求，有效阻隔空气中的粉尘颗粒等进入干燥舱体内。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 w:hRule="atLeast"/>
                <w:jc w:val="center"/>
              </w:trPr>
              <w:tc>
                <w:tcPr>
                  <w:tcW w:w="447" w:type="dxa"/>
                  <w:tcBorders>
                    <w:top w:val="nil"/>
                    <w:left w:val="single" w:color="auto" w:sz="4" w:space="0"/>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w:t>
                  </w:r>
                </w:p>
              </w:tc>
              <w:tc>
                <w:tcPr>
                  <w:tcW w:w="1044" w:type="dxa"/>
                  <w:tcBorders>
                    <w:top w:val="nil"/>
                    <w:left w:val="nil"/>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加热箱</w:t>
                  </w:r>
                </w:p>
              </w:tc>
              <w:tc>
                <w:tcPr>
                  <w:tcW w:w="3515" w:type="dxa"/>
                  <w:tcBorders>
                    <w:top w:val="nil"/>
                    <w:left w:val="nil"/>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用电加热方式，箱体盘型结构，减小占用空间，加热管数量≥3根，设备整体加热功率≥9kVA，加热箱加装品牌温度探头，精准测量空气温度，加热管含过热保护，避免安全隐患。加热箱外部粘贴隔热保温层，采用橡塑海绵，厚度≥10mm，闭泡式结构、防火性能好、导热系数低、绿色环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 w:hRule="atLeast"/>
                <w:jc w:val="center"/>
              </w:trPr>
              <w:tc>
                <w:tcPr>
                  <w:tcW w:w="447" w:type="dxa"/>
                  <w:tcBorders>
                    <w:top w:val="nil"/>
                    <w:left w:val="single" w:color="auto" w:sz="4" w:space="0"/>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w:t>
                  </w:r>
                </w:p>
              </w:tc>
              <w:tc>
                <w:tcPr>
                  <w:tcW w:w="1044" w:type="dxa"/>
                  <w:tcBorders>
                    <w:top w:val="nil"/>
                    <w:left w:val="nil"/>
                    <w:bottom w:val="single" w:color="auto" w:sz="4" w:space="0"/>
                    <w:right w:val="single" w:color="auto" w:sz="4" w:space="0"/>
                  </w:tcBorders>
                  <w:noWrap w:val="0"/>
                  <w:vAlign w:val="top"/>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侧加热箱</w:t>
                  </w:r>
                </w:p>
              </w:tc>
              <w:tc>
                <w:tcPr>
                  <w:tcW w:w="3515" w:type="dxa"/>
                  <w:tcBorders>
                    <w:top w:val="nil"/>
                    <w:left w:val="nil"/>
                    <w:bottom w:val="single" w:color="auto" w:sz="4" w:space="0"/>
                    <w:right w:val="single" w:color="auto" w:sz="4" w:space="0"/>
                  </w:tcBorders>
                  <w:noWrap w:val="0"/>
                  <w:vAlign w:val="top"/>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采用一体化整体加热箱结构，密闭结构，保温性能好，电加热方式，集成过热保护警报功能，避免温度异常过高，造成隐患，电热管数量≥3根，加热箱内置硅酸铝保温隔热材料，避免热量损耗和起火隐患。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jc w:val="center"/>
              </w:trPr>
              <w:tc>
                <w:tcPr>
                  <w:tcW w:w="447" w:type="dxa"/>
                  <w:tcBorders>
                    <w:top w:val="nil"/>
                    <w:left w:val="single" w:color="auto" w:sz="4" w:space="0"/>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w:t>
                  </w:r>
                </w:p>
              </w:tc>
              <w:tc>
                <w:tcPr>
                  <w:tcW w:w="1044" w:type="dxa"/>
                  <w:tcBorders>
                    <w:top w:val="nil"/>
                    <w:left w:val="nil"/>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★装载量</w:t>
                  </w:r>
                </w:p>
              </w:tc>
              <w:tc>
                <w:tcPr>
                  <w:tcW w:w="3515" w:type="dxa"/>
                  <w:tcBorders>
                    <w:top w:val="nil"/>
                    <w:left w:val="nil"/>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≥9层（≥16个篮筐 1个积水盒或者≥60根呼麻管）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47" w:type="dxa"/>
                  <w:tcBorders>
                    <w:top w:val="nil"/>
                    <w:left w:val="single" w:color="auto" w:sz="4" w:space="0"/>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w:t>
                  </w:r>
                </w:p>
              </w:tc>
              <w:tc>
                <w:tcPr>
                  <w:tcW w:w="1044" w:type="dxa"/>
                  <w:tcBorders>
                    <w:top w:val="nil"/>
                    <w:left w:val="nil"/>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智能化操作</w:t>
                  </w:r>
                </w:p>
              </w:tc>
              <w:tc>
                <w:tcPr>
                  <w:tcW w:w="3515" w:type="dxa"/>
                  <w:tcBorders>
                    <w:top w:val="nil"/>
                    <w:left w:val="nil"/>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操作程序采用智能化软件、液晶显示屏，内置针对不同器械设置的不同程序，各运行参数可调，操作灵活方便；运行过程中全自动控制、一键式操作；多种干燥方式可选择，满足医院不同器械的干燥需求。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w:t>
                  </w:r>
                </w:p>
              </w:tc>
              <w:tc>
                <w:tcPr>
                  <w:tcW w:w="1044" w:type="dxa"/>
                  <w:tcBorders>
                    <w:top w:val="single" w:color="auto" w:sz="4" w:space="0"/>
                    <w:left w:val="single" w:color="auto" w:sz="4" w:space="0"/>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打印系统</w:t>
                  </w:r>
                </w:p>
              </w:tc>
              <w:tc>
                <w:tcPr>
                  <w:tcW w:w="3515" w:type="dxa"/>
                  <w:tcBorders>
                    <w:top w:val="single" w:color="auto" w:sz="4" w:space="0"/>
                    <w:left w:val="single" w:color="auto" w:sz="4" w:space="0"/>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设备内置打印机，可以将设备运行过程的关键信息打印出来。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w:t>
                  </w:r>
                </w:p>
              </w:tc>
              <w:tc>
                <w:tcPr>
                  <w:tcW w:w="1044" w:type="dxa"/>
                  <w:tcBorders>
                    <w:top w:val="single" w:color="auto" w:sz="4" w:space="0"/>
                    <w:left w:val="single" w:color="auto" w:sz="4" w:space="0"/>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资质</w:t>
                  </w:r>
                </w:p>
              </w:tc>
              <w:tc>
                <w:tcPr>
                  <w:tcW w:w="3515" w:type="dxa"/>
                  <w:tcBorders>
                    <w:top w:val="single" w:color="auto" w:sz="4" w:space="0"/>
                    <w:left w:val="single" w:color="auto" w:sz="4" w:space="0"/>
                    <w:bottom w:val="single" w:color="auto" w:sz="4" w:space="0"/>
                    <w:right w:val="single" w:color="auto" w:sz="4" w:space="0"/>
                  </w:tcBorders>
                  <w:noWrap w:val="0"/>
                  <w:vAlign w:val="center"/>
                </w:tcPr>
                <w:p>
                  <w:pPr>
                    <w:widowControl/>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满足</w:t>
                  </w:r>
                  <w:r>
                    <w:rPr>
                      <w:rFonts w:hint="eastAsia" w:ascii="宋体" w:hAnsi="宋体" w:eastAsia="宋体" w:cs="宋体"/>
                      <w:color w:val="auto"/>
                      <w:kern w:val="0"/>
                      <w:sz w:val="21"/>
                      <w:szCs w:val="21"/>
                      <w:highlight w:val="none"/>
                    </w:rPr>
                    <w:t>采购人在后续能对产品进行个性化免费软件升级</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含质保期外</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5006" w:type="dxa"/>
                  <w:gridSpan w:val="3"/>
                  <w:tcBorders>
                    <w:top w:val="single" w:color="auto" w:sz="4" w:space="0"/>
                    <w:left w:val="single" w:color="auto" w:sz="4" w:space="0"/>
                    <w:bottom w:val="single" w:color="auto" w:sz="4" w:space="0"/>
                    <w:right w:val="single" w:color="auto" w:sz="4" w:space="0"/>
                  </w:tcBorders>
                  <w:noWrap w:val="0"/>
                  <w:vAlign w:val="center"/>
                </w:tcPr>
                <w:tbl>
                  <w:tblPr>
                    <w:tblStyle w:val="17"/>
                    <w:tblW w:w="10626" w:type="dxa"/>
                    <w:tblInd w:w="11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616"/>
                    <w:gridCol w:w="1296"/>
                    <w:gridCol w:w="972"/>
                    <w:gridCol w:w="17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616" w:type="dxa"/>
                        <w:tcBorders>
                          <w:top w:val="single" w:color="auto" w:sz="6" w:space="0"/>
                          <w:left w:val="single" w:color="auto" w:sz="6" w:space="0"/>
                          <w:bottom w:val="single" w:color="auto" w:sz="6" w:space="0"/>
                        </w:tcBorders>
                        <w:shd w:val="solid" w:color="C0C0C0" w:fill="auto"/>
                        <w:noWrap w:val="0"/>
                        <w:vAlign w:val="top"/>
                      </w:tcPr>
                      <w:p>
                        <w:pPr>
                          <w:widowControl w:val="0"/>
                          <w:autoSpaceDE w:val="0"/>
                          <w:autoSpaceDN w:val="0"/>
                          <w:rPr>
                            <w:rFonts w:hint="eastAsia" w:ascii="宋体" w:hAnsi="宋体" w:eastAsia="宋体" w:cs="宋体"/>
                            <w:b/>
                            <w:color w:val="auto"/>
                            <w:sz w:val="21"/>
                            <w:szCs w:val="21"/>
                            <w:highlight w:val="none"/>
                          </w:rPr>
                        </w:pPr>
                        <w:r>
                          <w:rPr>
                            <w:rFonts w:hint="eastAsia" w:ascii="宋体" w:hAnsi="宋体" w:eastAsia="宋体" w:cs="宋体"/>
                            <w:color w:val="auto"/>
                            <w:kern w:val="0"/>
                            <w:sz w:val="21"/>
                            <w:szCs w:val="21"/>
                            <w:highlight w:val="none"/>
                          </w:rPr>
                          <w:t>附加</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配件：有导管干燥架，湿化瓶干燥架</w:t>
                        </w:r>
                      </w:p>
                    </w:tc>
                    <w:tc>
                      <w:tcPr>
                        <w:tcW w:w="1296" w:type="dxa"/>
                        <w:tcBorders>
                          <w:top w:val="single" w:color="auto" w:sz="6" w:space="0"/>
                          <w:bottom w:val="single" w:color="auto" w:sz="6" w:space="0"/>
                        </w:tcBorders>
                        <w:shd w:val="solid" w:color="C0C0C0" w:fill="auto"/>
                        <w:noWrap w:val="0"/>
                        <w:vAlign w:val="top"/>
                      </w:tcPr>
                      <w:p>
                        <w:pPr>
                          <w:widowControl w:val="0"/>
                          <w:autoSpaceDE w:val="0"/>
                          <w:autoSpaceDN w:val="0"/>
                          <w:rPr>
                            <w:rFonts w:hint="eastAsia" w:ascii="宋体" w:hAnsi="宋体" w:eastAsia="宋体" w:cs="宋体"/>
                            <w:b/>
                            <w:color w:val="auto"/>
                            <w:sz w:val="21"/>
                            <w:szCs w:val="21"/>
                            <w:highlight w:val="none"/>
                          </w:rPr>
                        </w:pPr>
                      </w:p>
                    </w:tc>
                    <w:tc>
                      <w:tcPr>
                        <w:tcW w:w="972" w:type="dxa"/>
                        <w:tcBorders>
                          <w:top w:val="single" w:color="auto" w:sz="6" w:space="0"/>
                          <w:bottom w:val="single" w:color="auto" w:sz="6" w:space="0"/>
                        </w:tcBorders>
                        <w:shd w:val="solid" w:color="C0C0C0" w:fill="auto"/>
                        <w:noWrap w:val="0"/>
                        <w:vAlign w:val="top"/>
                      </w:tcPr>
                      <w:p>
                        <w:pPr>
                          <w:widowControl w:val="0"/>
                          <w:autoSpaceDE w:val="0"/>
                          <w:autoSpaceDN w:val="0"/>
                          <w:rPr>
                            <w:rFonts w:hint="eastAsia" w:ascii="宋体" w:hAnsi="宋体" w:eastAsia="宋体" w:cs="宋体"/>
                            <w:b/>
                            <w:color w:val="auto"/>
                            <w:sz w:val="21"/>
                            <w:szCs w:val="21"/>
                            <w:highlight w:val="none"/>
                          </w:rPr>
                        </w:pPr>
                      </w:p>
                    </w:tc>
                    <w:tc>
                      <w:tcPr>
                        <w:tcW w:w="1742" w:type="dxa"/>
                        <w:tcBorders>
                          <w:top w:val="single" w:color="auto" w:sz="6" w:space="0"/>
                          <w:bottom w:val="single" w:color="auto" w:sz="6" w:space="0"/>
                          <w:right w:val="single" w:color="auto" w:sz="6" w:space="0"/>
                        </w:tcBorders>
                        <w:shd w:val="solid" w:color="C0C0C0" w:fill="auto"/>
                        <w:noWrap w:val="0"/>
                        <w:vAlign w:val="top"/>
                      </w:tcPr>
                      <w:p>
                        <w:pPr>
                          <w:widowControl w:val="0"/>
                          <w:autoSpaceDE w:val="0"/>
                          <w:autoSpaceDN w:val="0"/>
                          <w:rPr>
                            <w:rFonts w:hint="eastAsia" w:ascii="宋体" w:hAnsi="宋体" w:eastAsia="宋体" w:cs="宋体"/>
                            <w:b/>
                            <w:color w:val="auto"/>
                            <w:sz w:val="21"/>
                            <w:szCs w:val="21"/>
                            <w:highlight w:val="none"/>
                          </w:rPr>
                        </w:pPr>
                      </w:p>
                    </w:tc>
                  </w:tr>
                </w:tbl>
                <w:p>
                  <w:pPr>
                    <w:widowControl/>
                    <w:rPr>
                      <w:rFonts w:hint="eastAsia" w:ascii="宋体" w:hAnsi="宋体" w:eastAsia="宋体" w:cs="宋体"/>
                      <w:color w:val="auto"/>
                      <w:kern w:val="0"/>
                      <w:sz w:val="21"/>
                      <w:szCs w:val="21"/>
                      <w:highlight w:val="none"/>
                    </w:rPr>
                  </w:pPr>
                </w:p>
              </w:tc>
            </w:tr>
          </w:tbl>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b w:val="0"/>
                <w:bCs/>
                <w:color w:val="auto"/>
                <w:kern w:val="2"/>
                <w:sz w:val="21"/>
                <w:szCs w:val="21"/>
                <w:highlight w:val="none"/>
                <w:lang w:val="en-US" w:eastAsia="zh-CN" w:bidi="ar-SA"/>
              </w:rPr>
            </w:pPr>
          </w:p>
        </w:tc>
        <w:tc>
          <w:tcPr>
            <w:tcW w:w="1165" w:type="dxa"/>
            <w:vAlign w:val="center"/>
          </w:tcPr>
          <w:p>
            <w:pPr>
              <w:keepNext w:val="0"/>
              <w:keepLines w:val="0"/>
              <w:widowControl/>
              <w:suppressLineNumbers w:val="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8"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7</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医用真空干燥柜</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1台</w:t>
            </w:r>
          </w:p>
        </w:tc>
        <w:tc>
          <w:tcPr>
            <w:tcW w:w="5160" w:type="dxa"/>
            <w:vAlign w:val="top"/>
          </w:tcPr>
          <w:tbl>
            <w:tblPr>
              <w:tblStyle w:val="17"/>
              <w:tblW w:w="469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6"/>
              <w:gridCol w:w="1262"/>
              <w:gridCol w:w="27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4692" w:type="dxa"/>
                  <w:gridSpan w:val="3"/>
                  <w:tcBorders>
                    <w:top w:val="single" w:color="000000" w:sz="4" w:space="0"/>
                    <w:left w:val="single" w:color="000000" w:sz="4" w:space="0"/>
                    <w:bottom w:val="single" w:color="000000" w:sz="4" w:space="0"/>
                    <w:right w:val="single" w:color="000000" w:sz="4" w:space="0"/>
                  </w:tcBorders>
                  <w:shd w:val="clear" w:color="auto" w:fill="C0C0C0"/>
                  <w:noWrap/>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一：设备参数及配置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C0C0C0"/>
                  <w:noWrap/>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3986" w:type="dxa"/>
                  <w:gridSpan w:val="2"/>
                  <w:tcBorders>
                    <w:top w:val="single" w:color="000000" w:sz="4" w:space="0"/>
                    <w:left w:val="single" w:color="000000" w:sz="4" w:space="0"/>
                    <w:bottom w:val="single" w:color="000000" w:sz="4" w:space="0"/>
                    <w:right w:val="single" w:color="000000" w:sz="4" w:space="0"/>
                  </w:tcBorders>
                  <w:shd w:val="clear" w:color="auto" w:fill="C0C0C0"/>
                  <w:noWrap/>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技术要求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7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1.1</w:t>
                  </w:r>
                </w:p>
              </w:tc>
              <w:tc>
                <w:tcPr>
                  <w:tcW w:w="3986"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主体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7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1.1.1</w:t>
                  </w:r>
                </w:p>
              </w:tc>
              <w:tc>
                <w:tcPr>
                  <w:tcW w:w="12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外观要求：</w:t>
                  </w:r>
                </w:p>
              </w:tc>
              <w:tc>
                <w:tcPr>
                  <w:tcW w:w="2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整体全不锈钢拉丝外罩外观，整洁易于清理。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1.1.2</w:t>
                  </w:r>
                </w:p>
              </w:tc>
              <w:tc>
                <w:tcPr>
                  <w:tcW w:w="12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★材质要求：</w:t>
                  </w:r>
                </w:p>
              </w:tc>
              <w:tc>
                <w:tcPr>
                  <w:tcW w:w="2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舱体采用优质铝合金防锈板拼接成型，阳极氧化处理，表面光洁，提高热辐射效率，有利于腔内温度控制，有效提高干燥性能。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1.1.3</w:t>
                  </w:r>
                </w:p>
              </w:tc>
              <w:tc>
                <w:tcPr>
                  <w:tcW w:w="12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舱体结构：</w:t>
                  </w:r>
                </w:p>
              </w:tc>
              <w:tc>
                <w:tcPr>
                  <w:tcW w:w="2724"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spacing w:after="220" w:afterAutospacing="0"/>
                    <w:jc w:val="left"/>
                    <w:textAlignment w:val="top"/>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方形舱体，上下双舱体，分开独立运行，单舱一次可装载2个标配器械托盘的器械；舱体深度≥700mm，更适合较长硬镜类负载的干燥。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7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1.1.4</w:t>
                  </w:r>
                </w:p>
              </w:tc>
              <w:tc>
                <w:tcPr>
                  <w:tcW w:w="12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加热方式：</w:t>
                  </w:r>
                </w:p>
              </w:tc>
              <w:tc>
                <w:tcPr>
                  <w:tcW w:w="2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舱体外壁包覆PTC加热膜加热，安全高效，升温均匀；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7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1.1.5</w:t>
                  </w:r>
                </w:p>
              </w:tc>
              <w:tc>
                <w:tcPr>
                  <w:tcW w:w="12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保温材料：</w:t>
                  </w:r>
                </w:p>
              </w:tc>
              <w:tc>
                <w:tcPr>
                  <w:tcW w:w="2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采用粘胶纤维保温层，厚度≥10mm，外覆绝缘布、防火性能好、有效阻止热量散失。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7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1.2</w:t>
                  </w:r>
                </w:p>
              </w:tc>
              <w:tc>
                <w:tcPr>
                  <w:tcW w:w="3986"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密封门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jc w:val="center"/>
              </w:trPr>
              <w:tc>
                <w:tcPr>
                  <w:tcW w:w="7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1.2.1</w:t>
                  </w:r>
                </w:p>
              </w:tc>
              <w:tc>
                <w:tcPr>
                  <w:tcW w:w="12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★密封门材质要求：</w:t>
                  </w:r>
                </w:p>
              </w:tc>
              <w:tc>
                <w:tcPr>
                  <w:tcW w:w="2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门框采用不锈钢板焊接成型，强度高，不变形；门罩采用不锈钢拉丝板刨槽钣金折弯成型。前后双门结构，可做通道式隔断安装。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7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1.2.2</w:t>
                  </w:r>
                </w:p>
              </w:tc>
              <w:tc>
                <w:tcPr>
                  <w:tcW w:w="12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门胶条要求：</w:t>
                  </w:r>
                </w:p>
              </w:tc>
              <w:tc>
                <w:tcPr>
                  <w:tcW w:w="2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门胶条采用白色医用硅橡胶模压而成。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7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1.2.3</w:t>
                  </w:r>
                </w:p>
              </w:tc>
              <w:tc>
                <w:tcPr>
                  <w:tcW w:w="12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门密封要求：</w:t>
                  </w:r>
                </w:p>
              </w:tc>
              <w:tc>
                <w:tcPr>
                  <w:tcW w:w="2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采用钢化玻璃密封，带有高透玻璃视窗，保证密封同时，可在运行中观察内部负载情况。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7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1.2.4</w:t>
                  </w:r>
                </w:p>
              </w:tc>
              <w:tc>
                <w:tcPr>
                  <w:tcW w:w="12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门锁装置：</w:t>
                  </w:r>
                </w:p>
              </w:tc>
              <w:tc>
                <w:tcPr>
                  <w:tcW w:w="2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电动锁，自动检测门关位，安全方便，避免手动操作引起的误操作。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7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1.3</w:t>
                  </w:r>
                </w:p>
              </w:tc>
              <w:tc>
                <w:tcPr>
                  <w:tcW w:w="3986"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管路系统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7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1.3.1</w:t>
                  </w:r>
                </w:p>
              </w:tc>
              <w:tc>
                <w:tcPr>
                  <w:tcW w:w="12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泵：</w:t>
                  </w:r>
                </w:p>
              </w:tc>
              <w:tc>
                <w:tcPr>
                  <w:tcW w:w="2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高效真空泵，运行平稳，低噪音，低震动，抽空速度快，维修保养方便。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7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1.3.2</w:t>
                  </w:r>
                </w:p>
              </w:tc>
              <w:tc>
                <w:tcPr>
                  <w:tcW w:w="12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控制阀：</w:t>
                  </w:r>
                </w:p>
              </w:tc>
              <w:tc>
                <w:tcPr>
                  <w:tcW w:w="2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抽空阀采用电动执行器控制，更安全、可靠；回空阀为电磁阀，质量稳定、寿命长。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jc w:val="center"/>
              </w:trPr>
              <w:tc>
                <w:tcPr>
                  <w:tcW w:w="7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1.3.3</w:t>
                  </w:r>
                </w:p>
              </w:tc>
              <w:tc>
                <w:tcPr>
                  <w:tcW w:w="12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过热保护：</w:t>
                  </w:r>
                </w:p>
              </w:tc>
              <w:tc>
                <w:tcPr>
                  <w:tcW w:w="2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设备具有加热系统故障检测、保护、报警功能，采用知名品牌过热保护器，。保护阶段，程序停止运行，排出故障后，方可正常使用。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7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1.3.4</w:t>
                  </w:r>
                </w:p>
              </w:tc>
              <w:tc>
                <w:tcPr>
                  <w:tcW w:w="12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过滤器要求：</w:t>
                  </w:r>
                </w:p>
              </w:tc>
              <w:tc>
                <w:tcPr>
                  <w:tcW w:w="2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进气采用高效空气过滤器过滤，过滤精度0.3μm，有效阻隔空气中的粉尘颗粒等进入舱体内。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7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1.4</w:t>
                  </w:r>
                </w:p>
              </w:tc>
              <w:tc>
                <w:tcPr>
                  <w:tcW w:w="3986"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b/>
                      <w:bCs/>
                      <w:i w:val="0"/>
                      <w:iCs w:val="0"/>
                      <w:color w:val="auto"/>
                      <w:kern w:val="0"/>
                      <w:sz w:val="21"/>
                      <w:szCs w:val="21"/>
                      <w:highlight w:val="none"/>
                      <w:u w:val="none"/>
                      <w:lang w:val="en-US" w:eastAsia="zh-CN" w:bidi="ar"/>
                    </w:rPr>
                    <w:t>控制系统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7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1.4.1</w:t>
                  </w:r>
                </w:p>
              </w:tc>
              <w:tc>
                <w:tcPr>
                  <w:tcW w:w="12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控制器要求：</w:t>
                  </w:r>
                </w:p>
              </w:tc>
              <w:tc>
                <w:tcPr>
                  <w:tcW w:w="2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具有一个以太网接口或一个RS485/RS422接口等接口满足采购人需求。</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采用彩色触摸屏作为人机操作界面，可显示温度、压力、运行时间、报警信息等参数，触摸式操作，操作方便、简单；</w:t>
                  </w:r>
                </w:p>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触摸屏自带USB接口，可接入储存U盘，可记录运行数据和报警信息。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5" w:hRule="atLeast"/>
                <w:jc w:val="center"/>
              </w:trPr>
              <w:tc>
                <w:tcPr>
                  <w:tcW w:w="7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1.4.2</w:t>
                  </w:r>
                </w:p>
              </w:tc>
              <w:tc>
                <w:tcPr>
                  <w:tcW w:w="12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程序系统：</w:t>
                  </w:r>
                </w:p>
              </w:tc>
              <w:tc>
                <w:tcPr>
                  <w:tcW w:w="2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内置至少12套程序，用户可根据需求自行调节参数；</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温度可调范围：室温～65℃；</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控制压力：0~101kPa；</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操作权限：三级权限，防止误操作；</w:t>
                  </w:r>
                </w:p>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智能模式：设备利用高精度传感器技术，智能判断腔内物品的干燥情况。物品干燥后，程序自动结束，实现一键干燥。程序运行全过程无时间限制，可对物品进行长时间干燥，对物品无任何损伤。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jc w:val="center"/>
              </w:trPr>
              <w:tc>
                <w:tcPr>
                  <w:tcW w:w="7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1.4.3</w:t>
                  </w:r>
                </w:p>
              </w:tc>
              <w:tc>
                <w:tcPr>
                  <w:tcW w:w="12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安全装置：</w:t>
                  </w:r>
                </w:p>
              </w:tc>
              <w:tc>
                <w:tcPr>
                  <w:tcW w:w="2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设备带有防过载、短路保护装置，PLC实时限温保护，超温保护，真空泵热过载保护，门电机过载保护。</w:t>
                  </w:r>
                </w:p>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紧急开门装置：设备发生故障，无法开门时，可长按紧急开门按钮 ，直到前门打开为止。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7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1.5</w:t>
                  </w:r>
                </w:p>
              </w:tc>
              <w:tc>
                <w:tcPr>
                  <w:tcW w:w="3986"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整体参数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7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1.5.1</w:t>
                  </w:r>
                </w:p>
              </w:tc>
              <w:tc>
                <w:tcPr>
                  <w:tcW w:w="12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外形尺寸</w:t>
                  </w:r>
                </w:p>
              </w:tc>
              <w:tc>
                <w:tcPr>
                  <w:tcW w:w="2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≤530（宽）×1655（高）×880（深）mm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7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1.5.2</w:t>
                  </w:r>
                </w:p>
              </w:tc>
              <w:tc>
                <w:tcPr>
                  <w:tcW w:w="12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容积</w:t>
                  </w:r>
                </w:p>
              </w:tc>
              <w:tc>
                <w:tcPr>
                  <w:tcW w:w="2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7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1.5.3</w:t>
                  </w:r>
                </w:p>
              </w:tc>
              <w:tc>
                <w:tcPr>
                  <w:tcW w:w="12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可适应性要求</w:t>
                  </w:r>
                </w:p>
              </w:tc>
              <w:tc>
                <w:tcPr>
                  <w:tcW w:w="2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工作环境温度：5℃～40℃   相对湿度：≤85%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C0C0C0"/>
                  <w:noWrap/>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3986" w:type="dxa"/>
                  <w:gridSpan w:val="2"/>
                  <w:tcBorders>
                    <w:top w:val="single" w:color="000000" w:sz="4" w:space="0"/>
                    <w:left w:val="single" w:color="000000" w:sz="4" w:space="0"/>
                    <w:bottom w:val="single" w:color="000000" w:sz="4" w:space="0"/>
                    <w:right w:val="single" w:color="000000" w:sz="4" w:space="0"/>
                  </w:tcBorders>
                  <w:shd w:val="clear" w:color="auto" w:fill="C0C0C0"/>
                  <w:noWrap/>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标准配置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7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3986"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主机 1台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7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3986"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器械托盘4个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7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3986"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积水盘 1个</w:t>
                  </w:r>
                </w:p>
              </w:tc>
            </w:tr>
          </w:tbl>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b w:val="0"/>
                <w:bCs/>
                <w:color w:val="auto"/>
                <w:kern w:val="2"/>
                <w:sz w:val="21"/>
                <w:szCs w:val="21"/>
                <w:highlight w:val="none"/>
                <w:lang w:val="en-US" w:eastAsia="zh-CN" w:bidi="ar-SA"/>
              </w:rPr>
            </w:pPr>
          </w:p>
        </w:tc>
        <w:tc>
          <w:tcPr>
            <w:tcW w:w="1165" w:type="dxa"/>
            <w:vAlign w:val="center"/>
          </w:tcPr>
          <w:p>
            <w:pPr>
              <w:keepNext w:val="0"/>
              <w:keepLines w:val="0"/>
              <w:widowControl/>
              <w:suppressLineNumbers w:val="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8"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7</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硬式内镜清洗工作站</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1套</w:t>
            </w:r>
          </w:p>
        </w:tc>
        <w:tc>
          <w:tcPr>
            <w:tcW w:w="5160" w:type="dxa"/>
            <w:vAlign w:val="top"/>
          </w:tcPr>
          <w:tbl>
            <w:tblPr>
              <w:tblStyle w:val="17"/>
              <w:tblW w:w="443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24"/>
              <w:gridCol w:w="899"/>
              <w:gridCol w:w="28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431" w:type="dxa"/>
                  <w:gridSpan w:val="3"/>
                  <w:tcBorders>
                    <w:top w:val="single" w:color="auto" w:sz="6" w:space="0"/>
                    <w:left w:val="single" w:color="auto" w:sz="6" w:space="0"/>
                    <w:bottom w:val="single" w:color="auto" w:sz="6" w:space="0"/>
                    <w:right w:val="single" w:color="auto" w:sz="6" w:space="0"/>
                    <w:tl2br w:val="nil"/>
                    <w:tr2bl w:val="nil"/>
                  </w:tcBorders>
                  <w:noWrap w:val="0"/>
                  <w:vAlign w:val="top"/>
                </w:tcPr>
                <w:p>
                  <w:pPr>
                    <w:ind w:left="-420" w:leftChars="-20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硬式内镜清洗工作站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4" w:type="dxa"/>
                  <w:tcBorders>
                    <w:top w:val="single" w:color="auto" w:sz="6" w:space="0"/>
                    <w:left w:val="single" w:color="auto" w:sz="6" w:space="0"/>
                    <w:bottom w:val="single" w:color="auto" w:sz="6" w:space="0"/>
                    <w:right w:val="single" w:color="auto" w:sz="6" w:space="0"/>
                    <w:tl2br w:val="nil"/>
                    <w:tr2bl w:val="nil"/>
                  </w:tcBorders>
                  <w:noWrap w:val="0"/>
                  <w:vAlign w:val="top"/>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899" w:type="dxa"/>
                  <w:tcBorders>
                    <w:top w:val="single" w:color="auto" w:sz="6" w:space="0"/>
                    <w:left w:val="single" w:color="auto" w:sz="6" w:space="0"/>
                    <w:bottom w:val="single" w:color="auto" w:sz="6" w:space="0"/>
                    <w:right w:val="single" w:color="auto" w:sz="6" w:space="0"/>
                    <w:tl2br w:val="nil"/>
                    <w:tr2bl w:val="nil"/>
                  </w:tcBorders>
                  <w:noWrap w:val="0"/>
                  <w:vAlign w:val="top"/>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w:t>
                  </w:r>
                </w:p>
              </w:tc>
              <w:tc>
                <w:tcPr>
                  <w:tcW w:w="2808" w:type="dxa"/>
                  <w:tcBorders>
                    <w:top w:val="single" w:color="auto" w:sz="6" w:space="0"/>
                    <w:left w:val="single" w:color="auto" w:sz="6" w:space="0"/>
                    <w:bottom w:val="single" w:color="auto" w:sz="6" w:space="0"/>
                    <w:right w:val="single" w:color="auto" w:sz="6" w:space="0"/>
                    <w:tl2br w:val="nil"/>
                    <w:tr2bl w:val="nil"/>
                  </w:tcBorders>
                  <w:noWrap w:val="0"/>
                  <w:vAlign w:val="top"/>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5" w:hRule="atLeast"/>
                <w:jc w:val="center"/>
              </w:trPr>
              <w:tc>
                <w:tcPr>
                  <w:tcW w:w="724"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899"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清洗台面</w:t>
                  </w:r>
                </w:p>
              </w:tc>
              <w:tc>
                <w:tcPr>
                  <w:tcW w:w="2808" w:type="dxa"/>
                  <w:tcBorders>
                    <w:top w:val="single" w:color="auto" w:sz="6" w:space="0"/>
                    <w:left w:val="single" w:color="auto" w:sz="6" w:space="0"/>
                    <w:bottom w:val="single" w:color="auto" w:sz="6" w:space="0"/>
                    <w:right w:val="single" w:color="auto" w:sz="6" w:space="0"/>
                    <w:tl2br w:val="nil"/>
                    <w:tr2bl w:val="nil"/>
                  </w:tcBorders>
                  <w:noWrap w:val="0"/>
                  <w:vAlign w:val="top"/>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台面主料为PMMA高分子复合材料，经数次冷热加工一次性成型；</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面层质薄而坚硬，耐摩擦耐酸碱，光亮平滑，抗菌，易清洗；</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 固层由塑料碳纤维胶合而成，起到加固台面的承重，安装固定作用；防止迸裂的作用，防止台面长期使用变形；台面支架选用全优质镜面不锈钢. </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4、尺寸可选：</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单方槽长590mm×宽750mm；</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单方槽长680mm×宽750mm；</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单方槽长750mm×宽750mm；</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单方槽长900mm×宽710mm；</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转角方槽长760mm×宽760mm；</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转角方槽长850mm×850mm；</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干燥台面，680mm，750mm,900mm,1180mm,1360mm，1500mm</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设备整体总高度1800mm。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24"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3707"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清洗槽材质强度（提供第三方权威机构出具的清洗槽检测报告）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24"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p>
              </w:tc>
              <w:tc>
                <w:tcPr>
                  <w:tcW w:w="899"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拉伸强度</w:t>
                  </w:r>
                </w:p>
              </w:tc>
              <w:tc>
                <w:tcPr>
                  <w:tcW w:w="2808" w:type="dxa"/>
                  <w:tcBorders>
                    <w:top w:val="single" w:color="auto" w:sz="6" w:space="0"/>
                    <w:left w:val="single" w:color="auto" w:sz="6" w:space="0"/>
                    <w:bottom w:val="single" w:color="auto" w:sz="6" w:space="0"/>
                    <w:right w:val="single" w:color="auto" w:sz="6" w:space="0"/>
                    <w:tl2br w:val="nil"/>
                    <w:tr2bl w:val="nil"/>
                  </w:tcBorders>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≥35Mpa    （检测标准：GB/T1040.2-2006）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24"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w:t>
                  </w:r>
                </w:p>
              </w:tc>
              <w:tc>
                <w:tcPr>
                  <w:tcW w:w="899"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断裂伸长率</w:t>
                  </w:r>
                </w:p>
              </w:tc>
              <w:tc>
                <w:tcPr>
                  <w:tcW w:w="2808" w:type="dxa"/>
                  <w:tcBorders>
                    <w:top w:val="single" w:color="auto" w:sz="6" w:space="0"/>
                    <w:left w:val="single" w:color="auto" w:sz="6" w:space="0"/>
                    <w:bottom w:val="single" w:color="auto" w:sz="6" w:space="0"/>
                    <w:right w:val="single" w:color="auto" w:sz="6" w:space="0"/>
                    <w:tl2br w:val="nil"/>
                    <w:tr2bl w:val="nil"/>
                  </w:tcBorders>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（检测标准：GB/T1040.2-2006）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24"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w:t>
                  </w:r>
                </w:p>
              </w:tc>
              <w:tc>
                <w:tcPr>
                  <w:tcW w:w="899"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弯曲强度</w:t>
                  </w:r>
                </w:p>
              </w:tc>
              <w:tc>
                <w:tcPr>
                  <w:tcW w:w="2808" w:type="dxa"/>
                  <w:tcBorders>
                    <w:top w:val="single" w:color="auto" w:sz="6" w:space="0"/>
                    <w:left w:val="single" w:color="auto" w:sz="6" w:space="0"/>
                    <w:bottom w:val="single" w:color="auto" w:sz="6" w:space="0"/>
                    <w:right w:val="single" w:color="auto" w:sz="6" w:space="0"/>
                    <w:tl2br w:val="nil"/>
                    <w:tr2bl w:val="nil"/>
                  </w:tcBorders>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≥100Mpa   （检测标准：GB/T9341-2008）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24"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w:t>
                  </w:r>
                </w:p>
              </w:tc>
              <w:tc>
                <w:tcPr>
                  <w:tcW w:w="899"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简支梁无缺口冲击强度</w:t>
                  </w:r>
                </w:p>
              </w:tc>
              <w:tc>
                <w:tcPr>
                  <w:tcW w:w="2808" w:type="dxa"/>
                  <w:tcBorders>
                    <w:top w:val="single" w:color="auto" w:sz="6" w:space="0"/>
                    <w:left w:val="single" w:color="auto" w:sz="6" w:space="0"/>
                    <w:bottom w:val="single" w:color="auto" w:sz="6" w:space="0"/>
                    <w:right w:val="single" w:color="auto" w:sz="6" w:space="0"/>
                    <w:tl2br w:val="nil"/>
                    <w:tr2bl w:val="nil"/>
                  </w:tcBorders>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≥20kJ/㎡ （检测标准：GB/T1043.1-2008）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24"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899"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压缩强度</w:t>
                  </w:r>
                </w:p>
              </w:tc>
              <w:tc>
                <w:tcPr>
                  <w:tcW w:w="2808" w:type="dxa"/>
                  <w:tcBorders>
                    <w:top w:val="single" w:color="auto" w:sz="6" w:space="0"/>
                    <w:left w:val="single" w:color="auto" w:sz="6" w:space="0"/>
                    <w:bottom w:val="single" w:color="auto" w:sz="6" w:space="0"/>
                    <w:right w:val="single" w:color="auto" w:sz="6" w:space="0"/>
                    <w:tl2br w:val="nil"/>
                    <w:tr2bl w:val="nil"/>
                  </w:tcBorders>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≥100Mpa    （检测标准：GB/T1041-2008）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24"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3707"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清洗槽材质耐腐蚀性（提供第三方权威机构出具的清洗槽检测报告）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24"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w:t>
                  </w:r>
                </w:p>
              </w:tc>
              <w:tc>
                <w:tcPr>
                  <w:tcW w:w="899"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耐碱性</w:t>
                  </w:r>
                </w:p>
              </w:tc>
              <w:tc>
                <w:tcPr>
                  <w:tcW w:w="2808" w:type="dxa"/>
                  <w:tcBorders>
                    <w:top w:val="single" w:color="auto" w:sz="6" w:space="0"/>
                    <w:left w:val="single" w:color="auto" w:sz="6" w:space="0"/>
                    <w:bottom w:val="single" w:color="auto" w:sz="6" w:space="0"/>
                    <w:right w:val="single" w:color="auto" w:sz="6" w:space="0"/>
                    <w:tl2br w:val="nil"/>
                    <w:tr2bl w:val="nil"/>
                  </w:tcBorders>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在1%Na0H溶液中浸泡48小时无可视变化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24"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w:t>
                  </w:r>
                </w:p>
              </w:tc>
              <w:tc>
                <w:tcPr>
                  <w:tcW w:w="899"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耐酸性</w:t>
                  </w:r>
                </w:p>
              </w:tc>
              <w:tc>
                <w:tcPr>
                  <w:tcW w:w="2808" w:type="dxa"/>
                  <w:tcBorders>
                    <w:top w:val="single" w:color="auto" w:sz="6" w:space="0"/>
                    <w:left w:val="single" w:color="auto" w:sz="6" w:space="0"/>
                    <w:bottom w:val="single" w:color="auto" w:sz="6" w:space="0"/>
                    <w:right w:val="single" w:color="auto" w:sz="6" w:space="0"/>
                    <w:tl2br w:val="nil"/>
                    <w:tr2bl w:val="nil"/>
                  </w:tcBorders>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在5%H2S04溶液中浸泡48小时无可视变化: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24"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3707"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清洗槽材质</w:t>
                  </w:r>
                  <w:r>
                    <w:rPr>
                      <w:rFonts w:hint="eastAsia" w:ascii="宋体" w:hAnsi="宋体" w:eastAsia="宋体" w:cs="宋体"/>
                      <w:color w:val="auto"/>
                      <w:sz w:val="21"/>
                      <w:szCs w:val="21"/>
                      <w:highlight w:val="none"/>
                    </w:rPr>
                    <w:t>含量</w:t>
                  </w:r>
                  <w:r>
                    <w:rPr>
                      <w:rFonts w:hint="eastAsia" w:ascii="宋体" w:hAnsi="宋体" w:eastAsia="宋体" w:cs="宋体"/>
                      <w:color w:val="auto"/>
                      <w:sz w:val="21"/>
                      <w:szCs w:val="21"/>
                      <w:highlight w:val="none"/>
                    </w:rPr>
                    <w:t>（提供第三方权威机构出具的清洗槽检测报告）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24"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4.2</w:t>
                  </w:r>
                </w:p>
              </w:tc>
              <w:tc>
                <w:tcPr>
                  <w:tcW w:w="899"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六种邻苯二甲酸酯（增塑剂）含量</w:t>
                  </w:r>
                </w:p>
              </w:tc>
              <w:tc>
                <w:tcPr>
                  <w:tcW w:w="2808" w:type="dxa"/>
                  <w:tcBorders>
                    <w:top w:val="single" w:color="auto" w:sz="6" w:space="0"/>
                    <w:left w:val="single" w:color="auto" w:sz="6" w:space="0"/>
                    <w:bottom w:val="single" w:color="auto" w:sz="6" w:space="0"/>
                    <w:right w:val="single" w:color="auto" w:sz="6" w:space="0"/>
                    <w:tl2br w:val="nil"/>
                    <w:tr2bl w:val="nil"/>
                  </w:tcBorders>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≤0.001%</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（邻苯二甲酸二丁酯（DBP）、邻苯二甲酸丁苄酯(BBP)、邻苯二甲酸二己酯(DEHP)、邻苯二甲酸二正辛酯(DNOP)、邻苯二甲酸二异壬酯(DINP)、邻苯二甲酸二异葵酯(DIDP)）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24"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4.3</w:t>
                  </w:r>
                </w:p>
              </w:tc>
              <w:tc>
                <w:tcPr>
                  <w:tcW w:w="899"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特定元素</w:t>
                  </w:r>
                </w:p>
              </w:tc>
              <w:tc>
                <w:tcPr>
                  <w:tcW w:w="2808" w:type="dxa"/>
                  <w:tcBorders>
                    <w:top w:val="single" w:color="auto" w:sz="6" w:space="0"/>
                    <w:left w:val="single" w:color="auto" w:sz="6" w:space="0"/>
                    <w:bottom w:val="single" w:color="auto" w:sz="6" w:space="0"/>
                    <w:right w:val="single" w:color="auto" w:sz="6" w:space="0"/>
                    <w:tl2br w:val="nil"/>
                    <w:tr2bl w:val="nil"/>
                  </w:tcBorders>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≤2mg/kg</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砷（As）、铬（Cr）、钡（Ba）、硒（Se）、锑（Sb）、镉（Cd）、汞（Hg）、铅（Pb）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24"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899"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功能背板及灯箱</w:t>
                  </w:r>
                </w:p>
              </w:tc>
              <w:tc>
                <w:tcPr>
                  <w:tcW w:w="2808" w:type="dxa"/>
                  <w:tcBorders>
                    <w:top w:val="single" w:color="auto" w:sz="6" w:space="0"/>
                    <w:left w:val="single" w:color="auto" w:sz="6" w:space="0"/>
                    <w:bottom w:val="single" w:color="auto" w:sz="6" w:space="0"/>
                    <w:right w:val="single" w:color="auto" w:sz="6" w:space="0"/>
                    <w:tl2br w:val="nil"/>
                    <w:tr2bl w:val="nil"/>
                  </w:tcBorders>
                  <w:noWrap w:val="0"/>
                  <w:vAlign w:val="top"/>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整体造型结构可按功能作用形成分体组合，便于设备的检修保养，搬迁和功能升级之用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jc w:val="center"/>
              </w:trPr>
              <w:tc>
                <w:tcPr>
                  <w:tcW w:w="724"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899"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微电脑控制器</w:t>
                  </w:r>
                </w:p>
              </w:tc>
              <w:tc>
                <w:tcPr>
                  <w:tcW w:w="2808" w:type="dxa"/>
                  <w:tcBorders>
                    <w:top w:val="single" w:color="auto" w:sz="6" w:space="0"/>
                    <w:left w:val="single" w:color="auto" w:sz="6" w:space="0"/>
                    <w:bottom w:val="single" w:color="auto" w:sz="6" w:space="0"/>
                    <w:right w:val="single" w:color="auto" w:sz="6" w:space="0"/>
                    <w:tl2br w:val="nil"/>
                    <w:tr2bl w:val="nil"/>
                  </w:tcBorders>
                  <w:noWrap w:val="0"/>
                  <w:vAlign w:val="top"/>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整体的设计简洁明快、不占用用操作空间。所有主要部件采用隐蔽方式布置，简便而功效强大。采用进口CPU中心处理芯片，液晶数码显示，多套系统供客户选择，控制系统稳定，读时准确。并具有自动时间定时启动注液,注气,排洗及过期报警等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8" w:hRule="atLeast"/>
                <w:jc w:val="center"/>
              </w:trPr>
              <w:tc>
                <w:tcPr>
                  <w:tcW w:w="724"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899"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自动注流器</w:t>
                  </w:r>
                </w:p>
              </w:tc>
              <w:tc>
                <w:tcPr>
                  <w:tcW w:w="2808" w:type="dxa"/>
                  <w:tcBorders>
                    <w:top w:val="single" w:color="auto" w:sz="6" w:space="0"/>
                    <w:left w:val="single" w:color="auto" w:sz="6" w:space="0"/>
                    <w:bottom w:val="single" w:color="auto" w:sz="6" w:space="0"/>
                    <w:right w:val="single" w:color="auto" w:sz="6" w:space="0"/>
                    <w:tl2br w:val="nil"/>
                    <w:tr2bl w:val="nil"/>
                  </w:tcBorders>
                  <w:noWrap w:val="0"/>
                  <w:vAlign w:val="top"/>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严格按国家卫生部2004年颁布的《内镜清洗消毒操作规范（2004版）》的标准，使用流动水，隐藏式设计，采用国际标准做法。</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工作表面清洁洁净，水注流系统可直接将净化后纯净水注入内镜，避免二次污染。</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能尽量使工作人员避免误操作，注流器高水压，低流量，适合不同管径内镜；脉冲冲洗提高清洗效果；清洗步骤完成可直接排出余水，故障维修简易快捷，使用成本低，真正体现人性化设计。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24"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899"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水处理器</w:t>
                  </w:r>
                </w:p>
              </w:tc>
              <w:tc>
                <w:tcPr>
                  <w:tcW w:w="2808" w:type="dxa"/>
                  <w:tcBorders>
                    <w:top w:val="single" w:color="auto" w:sz="6" w:space="0"/>
                    <w:left w:val="single" w:color="auto" w:sz="6" w:space="0"/>
                    <w:bottom w:val="single" w:color="auto" w:sz="6" w:space="0"/>
                    <w:right w:val="single" w:color="auto" w:sz="6" w:space="0"/>
                    <w:tl2br w:val="nil"/>
                    <w:tr2bl w:val="nil"/>
                  </w:tcBorders>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过滤型水处理器过滤精度为1μM，不锈钢材质，多层式渗透，净化过滤水质更保证内镜清洗安全，可采用反冲式维护清洗，无需更换滤芯，水处理量：2～5T/h可选。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24"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899"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专用空气压缩机</w:t>
                  </w:r>
                </w:p>
              </w:tc>
              <w:tc>
                <w:tcPr>
                  <w:tcW w:w="2808" w:type="dxa"/>
                  <w:tcBorders>
                    <w:top w:val="single" w:color="auto" w:sz="6" w:space="0"/>
                    <w:left w:val="single" w:color="auto" w:sz="6" w:space="0"/>
                    <w:bottom w:val="single" w:color="auto" w:sz="6" w:space="0"/>
                    <w:right w:val="single" w:color="auto" w:sz="6" w:space="0"/>
                    <w:tl2br w:val="nil"/>
                    <w:tr2bl w:val="nil"/>
                  </w:tcBorders>
                  <w:noWrap w:val="0"/>
                  <w:vAlign w:val="top"/>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采用低噪音无油气泵，带有油水分离器的功能，能分离空气中的油污，水分，提高干燥台上干燥气体的清洁度。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24"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899"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内镜烘干机</w:t>
                  </w:r>
                </w:p>
              </w:tc>
              <w:tc>
                <w:tcPr>
                  <w:tcW w:w="2808" w:type="dxa"/>
                  <w:tcBorders>
                    <w:top w:val="single" w:color="auto" w:sz="6" w:space="0"/>
                    <w:left w:val="single" w:color="auto" w:sz="6" w:space="0"/>
                    <w:bottom w:val="single" w:color="auto" w:sz="6" w:space="0"/>
                    <w:right w:val="single" w:color="auto" w:sz="6" w:space="0"/>
                    <w:tl2br w:val="nil"/>
                    <w:tr2bl w:val="nil"/>
                  </w:tcBorders>
                  <w:noWrap w:val="0"/>
                  <w:vAlign w:val="top"/>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对内窥镜管壁内水分进行干燥，可避免因与水接触受潮长菌的现象发生。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24"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899"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高压水枪</w:t>
                  </w:r>
                </w:p>
              </w:tc>
              <w:tc>
                <w:tcPr>
                  <w:tcW w:w="2808" w:type="dxa"/>
                  <w:tcBorders>
                    <w:top w:val="single" w:color="auto" w:sz="6" w:space="0"/>
                    <w:left w:val="single" w:color="auto" w:sz="6" w:space="0"/>
                    <w:bottom w:val="single" w:color="auto" w:sz="6" w:space="0"/>
                    <w:right w:val="single" w:color="auto" w:sz="6" w:space="0"/>
                    <w:tl2br w:val="nil"/>
                    <w:tr2bl w:val="nil"/>
                  </w:tcBorders>
                  <w:noWrap w:val="0"/>
                  <w:vAlign w:val="top"/>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特别针对硬镜不同径口清洗，可提供</w:t>
                  </w:r>
                  <w:r>
                    <w:rPr>
                      <w:rFonts w:hint="eastAsia" w:ascii="宋体" w:hAnsi="宋体" w:eastAsia="宋体" w:cs="宋体"/>
                      <w:color w:val="auto"/>
                      <w:sz w:val="21"/>
                      <w:szCs w:val="21"/>
                      <w:highlight w:val="none"/>
                      <w:lang w:val="en-US" w:eastAsia="zh-CN"/>
                    </w:rPr>
                    <w:t>至少</w:t>
                  </w:r>
                  <w:r>
                    <w:rPr>
                      <w:rFonts w:hint="eastAsia" w:ascii="宋体" w:hAnsi="宋体" w:eastAsia="宋体" w:cs="宋体"/>
                      <w:color w:val="auto"/>
                      <w:sz w:val="21"/>
                      <w:szCs w:val="21"/>
                      <w:highlight w:val="none"/>
                    </w:rPr>
                    <w:t>8种不同口径枪头，可调节水流量、水压、水冲力，设有专用安全防震环，避免管路不畅，高压水冲破内镜管壁。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24"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899"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高压气枪</w:t>
                  </w:r>
                </w:p>
              </w:tc>
              <w:tc>
                <w:tcPr>
                  <w:tcW w:w="2808" w:type="dxa"/>
                  <w:tcBorders>
                    <w:top w:val="single" w:color="auto" w:sz="6" w:space="0"/>
                    <w:left w:val="single" w:color="auto" w:sz="6" w:space="0"/>
                    <w:bottom w:val="single" w:color="auto" w:sz="6" w:space="0"/>
                    <w:right w:val="single" w:color="auto" w:sz="6" w:space="0"/>
                    <w:tl2br w:val="nil"/>
                    <w:tr2bl w:val="nil"/>
                  </w:tcBorders>
                  <w:noWrap w:val="0"/>
                  <w:vAlign w:val="top"/>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特别针对硬镜不同径口吹干，可提供</w:t>
                  </w:r>
                  <w:r>
                    <w:rPr>
                      <w:rFonts w:hint="eastAsia" w:ascii="宋体" w:hAnsi="宋体" w:eastAsia="宋体" w:cs="宋体"/>
                      <w:color w:val="auto"/>
                      <w:sz w:val="21"/>
                      <w:szCs w:val="21"/>
                      <w:highlight w:val="none"/>
                      <w:lang w:val="en-US" w:eastAsia="zh-CN"/>
                    </w:rPr>
                    <w:t>至少</w:t>
                  </w:r>
                  <w:r>
                    <w:rPr>
                      <w:rFonts w:hint="eastAsia" w:ascii="宋体" w:hAnsi="宋体" w:eastAsia="宋体" w:cs="宋体"/>
                      <w:color w:val="auto"/>
                      <w:sz w:val="21"/>
                      <w:szCs w:val="21"/>
                      <w:highlight w:val="none"/>
                    </w:rPr>
                    <w:t>8种不同口径枪头戓专用气枪喷头，设有专用安全防震环，避免管路不畅，气压冲破内镜管壁。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24"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p>
              </w:tc>
              <w:tc>
                <w:tcPr>
                  <w:tcW w:w="899"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专用水龙头</w:t>
                  </w:r>
                </w:p>
              </w:tc>
              <w:tc>
                <w:tcPr>
                  <w:tcW w:w="2808" w:type="dxa"/>
                  <w:tcBorders>
                    <w:top w:val="single" w:color="auto" w:sz="6" w:space="0"/>
                    <w:left w:val="single" w:color="auto" w:sz="6" w:space="0"/>
                    <w:bottom w:val="single" w:color="auto" w:sz="6" w:space="0"/>
                    <w:right w:val="single" w:color="auto" w:sz="6" w:space="0"/>
                    <w:tl2br w:val="nil"/>
                    <w:tr2bl w:val="nil"/>
                  </w:tcBorders>
                  <w:noWrap w:val="0"/>
                  <w:vAlign w:val="top"/>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通过改进款式，并进行多层防腐处理，可以承受数年高酸碱恶劣环境的考验，管路同进具有耐腐蚀功能。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24"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899"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供排水系统</w:t>
                  </w:r>
                </w:p>
              </w:tc>
              <w:tc>
                <w:tcPr>
                  <w:tcW w:w="2808" w:type="dxa"/>
                  <w:tcBorders>
                    <w:top w:val="single" w:color="auto" w:sz="6" w:space="0"/>
                    <w:left w:val="single" w:color="auto" w:sz="6" w:space="0"/>
                    <w:bottom w:val="single" w:color="auto" w:sz="6" w:space="0"/>
                    <w:right w:val="single" w:color="auto" w:sz="6" w:space="0"/>
                    <w:tl2br w:val="nil"/>
                    <w:tr2bl w:val="nil"/>
                  </w:tcBorders>
                  <w:noWrap w:val="0"/>
                  <w:vAlign w:val="top"/>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优质PP-R供、排水管路。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4"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c>
                <w:tcPr>
                  <w:tcW w:w="899"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方槽盖</w:t>
                  </w:r>
                </w:p>
              </w:tc>
              <w:tc>
                <w:tcPr>
                  <w:tcW w:w="2808" w:type="dxa"/>
                  <w:tcBorders>
                    <w:top w:val="single" w:color="auto" w:sz="6" w:space="0"/>
                    <w:left w:val="single" w:color="auto" w:sz="6" w:space="0"/>
                    <w:bottom w:val="single" w:color="auto" w:sz="6" w:space="0"/>
                    <w:right w:val="single" w:color="auto" w:sz="6" w:space="0"/>
                    <w:tl2br w:val="nil"/>
                    <w:tr2bl w:val="nil"/>
                  </w:tcBorders>
                  <w:noWrap w:val="0"/>
                  <w:vAlign w:val="top"/>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避免消毒液气体外散，减少人员刺激。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4"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w:t>
                  </w:r>
                </w:p>
              </w:tc>
              <w:tc>
                <w:tcPr>
                  <w:tcW w:w="899"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快速接头</w:t>
                  </w:r>
                </w:p>
              </w:tc>
              <w:tc>
                <w:tcPr>
                  <w:tcW w:w="2808" w:type="dxa"/>
                  <w:tcBorders>
                    <w:top w:val="single" w:color="auto" w:sz="6" w:space="0"/>
                    <w:left w:val="single" w:color="auto" w:sz="6" w:space="0"/>
                    <w:bottom w:val="single" w:color="auto" w:sz="6" w:space="0"/>
                    <w:right w:val="single" w:color="auto" w:sz="6" w:space="0"/>
                    <w:tl2br w:val="nil"/>
                    <w:tr2bl w:val="nil"/>
                  </w:tcBorders>
                  <w:noWrap w:val="0"/>
                  <w:vAlign w:val="top"/>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每槽的每个流程（注液、吸液等）均采用专用接头连接内镜的每个接口，最大化的为用户节约时间。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24"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p>
              </w:tc>
              <w:tc>
                <w:tcPr>
                  <w:tcW w:w="899"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供气管路</w:t>
                  </w:r>
                </w:p>
              </w:tc>
              <w:tc>
                <w:tcPr>
                  <w:tcW w:w="2808" w:type="dxa"/>
                  <w:tcBorders>
                    <w:top w:val="single" w:color="auto" w:sz="6" w:space="0"/>
                    <w:left w:val="single" w:color="auto" w:sz="6" w:space="0"/>
                    <w:bottom w:val="single" w:color="auto" w:sz="6" w:space="0"/>
                    <w:right w:val="single" w:color="auto" w:sz="6" w:space="0"/>
                    <w:tl2br w:val="nil"/>
                    <w:tr2bl w:val="nil"/>
                  </w:tcBorders>
                  <w:noWrap w:val="0"/>
                  <w:vAlign w:val="top"/>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采用优质的气动部件，承压强，寿命长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4"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w:t>
                  </w:r>
                </w:p>
              </w:tc>
              <w:tc>
                <w:tcPr>
                  <w:tcW w:w="899"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漏电保护</w:t>
                  </w:r>
                </w:p>
              </w:tc>
              <w:tc>
                <w:tcPr>
                  <w:tcW w:w="2808" w:type="dxa"/>
                  <w:tcBorders>
                    <w:top w:val="single" w:color="auto" w:sz="6" w:space="0"/>
                    <w:left w:val="single" w:color="auto" w:sz="6" w:space="0"/>
                    <w:bottom w:val="single" w:color="auto" w:sz="6" w:space="0"/>
                    <w:right w:val="single" w:color="auto" w:sz="6" w:space="0"/>
                    <w:tl2br w:val="nil"/>
                    <w:tr2bl w:val="nil"/>
                  </w:tcBorders>
                  <w:noWrap w:val="0"/>
                  <w:vAlign w:val="top"/>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采用降压电源，漏电保护, 为设备提供12V安全电压.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24"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p>
              </w:tc>
              <w:tc>
                <w:tcPr>
                  <w:tcW w:w="899"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嵌入式超声波</w:t>
                  </w:r>
                </w:p>
              </w:tc>
              <w:tc>
                <w:tcPr>
                  <w:tcW w:w="2808" w:type="dxa"/>
                  <w:tcBorders>
                    <w:top w:val="single" w:color="auto" w:sz="6" w:space="0"/>
                    <w:left w:val="single" w:color="auto" w:sz="6" w:space="0"/>
                    <w:bottom w:val="single" w:color="auto" w:sz="6" w:space="0"/>
                    <w:right w:val="single" w:color="auto" w:sz="6" w:space="0"/>
                    <w:tl2br w:val="nil"/>
                    <w:tr2bl w:val="nil"/>
                  </w:tcBorders>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微控型超声清洗槽为台面镶嵌式，工作频率：40～50KHz、定时、加热、温控实时数码显示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724"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p>
              </w:tc>
              <w:tc>
                <w:tcPr>
                  <w:tcW w:w="899"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产品资质</w:t>
                  </w:r>
                </w:p>
              </w:tc>
              <w:tc>
                <w:tcPr>
                  <w:tcW w:w="2808" w:type="dxa"/>
                  <w:tcBorders>
                    <w:top w:val="single" w:color="auto" w:sz="6" w:space="0"/>
                    <w:left w:val="single" w:color="auto" w:sz="6" w:space="0"/>
                    <w:bottom w:val="single" w:color="auto" w:sz="6" w:space="0"/>
                    <w:right w:val="single" w:color="auto" w:sz="6" w:space="0"/>
                    <w:tl2br w:val="nil"/>
                    <w:tr2bl w:val="nil"/>
                  </w:tcBorders>
                  <w:noWrap w:val="0"/>
                  <w:vAlign w:val="top"/>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产品具有医疗器械注册证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24"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w:t>
                  </w:r>
                </w:p>
              </w:tc>
              <w:tc>
                <w:tcPr>
                  <w:tcW w:w="899"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流程</w:t>
                  </w:r>
                </w:p>
              </w:tc>
              <w:tc>
                <w:tcPr>
                  <w:tcW w:w="2808" w:type="dxa"/>
                  <w:tcBorders>
                    <w:top w:val="single" w:color="auto" w:sz="6" w:space="0"/>
                    <w:left w:val="single" w:color="auto" w:sz="6" w:space="0"/>
                    <w:bottom w:val="single" w:color="auto" w:sz="6" w:space="0"/>
                    <w:right w:val="single" w:color="auto" w:sz="6" w:space="0"/>
                    <w:tl2br w:val="nil"/>
                    <w:tr2bl w:val="nil"/>
                  </w:tcBorders>
                  <w:noWrap w:val="0"/>
                  <w:vAlign w:val="top"/>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（初洗、酶洗）槽+漂洗槽+浸泡消毒槽+终末漂洗槽+干燥台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24"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附加</w:t>
                  </w:r>
                </w:p>
              </w:tc>
              <w:tc>
                <w:tcPr>
                  <w:tcW w:w="899" w:type="dxa"/>
                  <w:tcBorders>
                    <w:top w:val="single" w:color="auto" w:sz="6" w:space="0"/>
                    <w:left w:val="single" w:color="auto" w:sz="6" w:space="0"/>
                    <w:bottom w:val="single" w:color="auto" w:sz="6" w:space="0"/>
                    <w:right w:val="single" w:color="auto" w:sz="6" w:space="0"/>
                    <w:tl2br w:val="nil"/>
                    <w:tr2bl w:val="nil"/>
                  </w:tcBorders>
                  <w:noWrap w:val="0"/>
                  <w:vAlign w:val="center"/>
                </w:tcPr>
                <w:p>
                  <w:pPr>
                    <w:jc w:val="center"/>
                    <w:rPr>
                      <w:rFonts w:hint="eastAsia" w:ascii="宋体" w:hAnsi="宋体" w:eastAsia="宋体" w:cs="宋体"/>
                      <w:color w:val="auto"/>
                      <w:sz w:val="21"/>
                      <w:szCs w:val="21"/>
                      <w:highlight w:val="none"/>
                    </w:rPr>
                  </w:pPr>
                </w:p>
              </w:tc>
              <w:tc>
                <w:tcPr>
                  <w:tcW w:w="2808" w:type="dxa"/>
                  <w:tcBorders>
                    <w:top w:val="single" w:color="auto" w:sz="6" w:space="0"/>
                    <w:left w:val="single" w:color="auto" w:sz="6" w:space="0"/>
                    <w:bottom w:val="single" w:color="auto" w:sz="6" w:space="0"/>
                    <w:right w:val="single" w:color="auto" w:sz="6" w:space="0"/>
                    <w:tl2br w:val="nil"/>
                    <w:tr2bl w:val="nil"/>
                  </w:tcBorders>
                  <w:noWrap w:val="0"/>
                  <w:vAlign w:val="top"/>
                </w:tcPr>
                <w:p>
                  <w:pP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配管腔检测系统，自动上酶功能及自动开盖或脚踏式开盖</w:t>
                  </w:r>
                </w:p>
              </w:tc>
            </w:tr>
          </w:tbl>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b w:val="0"/>
                <w:bCs/>
                <w:color w:val="auto"/>
                <w:kern w:val="2"/>
                <w:sz w:val="21"/>
                <w:szCs w:val="21"/>
                <w:highlight w:val="none"/>
                <w:lang w:val="en-US" w:eastAsia="zh-CN" w:bidi="ar-SA"/>
              </w:rPr>
            </w:pPr>
          </w:p>
        </w:tc>
        <w:tc>
          <w:tcPr>
            <w:tcW w:w="1165" w:type="dxa"/>
            <w:vAlign w:val="center"/>
          </w:tcPr>
          <w:p>
            <w:pPr>
              <w:keepNext w:val="0"/>
              <w:keepLines w:val="0"/>
              <w:widowControl/>
              <w:suppressLineNumbers w:val="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8"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cs="宋体"/>
                <w:b w:val="0"/>
                <w:bCs/>
                <w:color w:val="auto"/>
                <w:kern w:val="2"/>
                <w:sz w:val="21"/>
                <w:szCs w:val="21"/>
                <w:highlight w:val="none"/>
                <w:shd w:val="clear" w:color="auto" w:fill="auto"/>
                <w:vertAlign w:val="baseline"/>
                <w:lang w:val="en-US" w:eastAsia="zh-CN" w:bidi="ar-SA"/>
              </w:rPr>
              <w:t>7</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牙科手机清洗机</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1台</w:t>
            </w:r>
          </w:p>
        </w:tc>
        <w:tc>
          <w:tcPr>
            <w:tcW w:w="5160" w:type="dxa"/>
            <w:vAlign w:val="top"/>
          </w:tcPr>
          <w:tbl>
            <w:tblPr>
              <w:tblStyle w:val="17"/>
              <w:tblW w:w="4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
              <w:gridCol w:w="1107"/>
              <w:gridCol w:w="2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306" w:type="dxa"/>
                  <w:gridSpan w:val="3"/>
                  <w:noWrap w:val="0"/>
                  <w:vAlign w:val="center"/>
                </w:tcPr>
                <w:p>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牙科手机清洗机技术参数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39"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107" w:type="dxa"/>
                  <w:noWrap w:val="0"/>
                  <w:vAlign w:val="center"/>
                </w:tcPr>
                <w:p>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参数</w:t>
                  </w:r>
                </w:p>
              </w:tc>
              <w:tc>
                <w:tcPr>
                  <w:tcW w:w="2760" w:type="dxa"/>
                  <w:noWrap w:val="0"/>
                  <w:vAlign w:val="center"/>
                </w:tcPr>
                <w:p>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39"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107"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适用范围</w:t>
                  </w:r>
                </w:p>
              </w:tc>
              <w:tc>
                <w:tcPr>
                  <w:tcW w:w="2760"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主要用于对医口腔器械等进行清洗、喷淋、上油。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39"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107"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外形尺寸</w:t>
                  </w:r>
                </w:p>
              </w:tc>
              <w:tc>
                <w:tcPr>
                  <w:tcW w:w="2760"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≤585mm（深）*485mm（宽）*625mm（高）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39"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107"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color w:val="auto"/>
                      <w:sz w:val="21"/>
                      <w:szCs w:val="21"/>
                      <w:highlight w:val="none"/>
                    </w:rPr>
                    <w:t>内舱容积</w:t>
                  </w:r>
                </w:p>
              </w:tc>
              <w:tc>
                <w:tcPr>
                  <w:tcW w:w="2760"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有效容积≥50L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39"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1107"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功率</w:t>
                  </w:r>
                </w:p>
              </w:tc>
              <w:tc>
                <w:tcPr>
                  <w:tcW w:w="2760"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39"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5</w:t>
                  </w:r>
                </w:p>
              </w:tc>
              <w:tc>
                <w:tcPr>
                  <w:tcW w:w="1107"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加热方式</w:t>
                  </w:r>
                </w:p>
              </w:tc>
              <w:tc>
                <w:tcPr>
                  <w:tcW w:w="2760" w:type="dxa"/>
                  <w:noWrap w:val="0"/>
                  <w:vAlign w:val="center"/>
                </w:tcPr>
                <w:p>
                  <w:p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电加热</w:t>
                  </w:r>
                  <w:r>
                    <w:rPr>
                      <w:rFonts w:hint="eastAsia" w:ascii="宋体" w:hAnsi="宋体" w:eastAsia="宋体" w:cs="宋体"/>
                      <w:color w:val="auto"/>
                      <w:sz w:val="21"/>
                      <w:szCs w:val="21"/>
                      <w:highlight w:val="none"/>
                      <w:lang w:val="en-US" w:eastAsia="zh-CN"/>
                    </w:rPr>
                    <w:t>或其他方式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39"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w:t>
                  </w:r>
                </w:p>
              </w:tc>
              <w:tc>
                <w:tcPr>
                  <w:tcW w:w="1107"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水耗量</w:t>
                  </w:r>
                </w:p>
              </w:tc>
              <w:tc>
                <w:tcPr>
                  <w:tcW w:w="2760"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≤15L/阶段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39"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1107"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清洗量</w:t>
                  </w:r>
                </w:p>
              </w:tc>
              <w:tc>
                <w:tcPr>
                  <w:tcW w:w="2760"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至少</w:t>
                  </w:r>
                  <w:r>
                    <w:rPr>
                      <w:rFonts w:hint="eastAsia" w:ascii="宋体" w:hAnsi="宋体" w:eastAsia="宋体" w:cs="宋体"/>
                      <w:color w:val="auto"/>
                      <w:sz w:val="21"/>
                      <w:szCs w:val="21"/>
                      <w:highlight w:val="none"/>
                    </w:rPr>
                    <w:t>1个清洗篮筐/18支口腔手机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39"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8</w:t>
                  </w:r>
                </w:p>
              </w:tc>
              <w:tc>
                <w:tcPr>
                  <w:tcW w:w="1107"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程序预置</w:t>
                  </w:r>
                </w:p>
              </w:tc>
              <w:tc>
                <w:tcPr>
                  <w:tcW w:w="2760"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439"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9</w:t>
                  </w:r>
                </w:p>
              </w:tc>
              <w:tc>
                <w:tcPr>
                  <w:tcW w:w="1107"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开门方式</w:t>
                  </w:r>
                </w:p>
              </w:tc>
              <w:tc>
                <w:tcPr>
                  <w:tcW w:w="2760" w:type="dxa"/>
                  <w:noWrap w:val="0"/>
                  <w:vAlign w:val="center"/>
                </w:tcPr>
                <w:p>
                  <w:p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手动开门</w:t>
                  </w:r>
                  <w:r>
                    <w:rPr>
                      <w:rFonts w:hint="eastAsia" w:ascii="宋体" w:hAnsi="宋体" w:eastAsia="宋体" w:cs="宋体"/>
                      <w:color w:val="auto"/>
                      <w:sz w:val="21"/>
                      <w:szCs w:val="21"/>
                      <w:highlight w:val="none"/>
                      <w:lang w:val="en-US" w:eastAsia="zh-CN"/>
                    </w:rPr>
                    <w:t>或自动门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439"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1107"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快速链接技术</w:t>
                  </w:r>
                </w:p>
              </w:tc>
              <w:tc>
                <w:tcPr>
                  <w:tcW w:w="2760"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快速连接装置能够将清洗舱与清洗小车快速无缝连接，降低了清洗过程中水压损耗，增强了全自动清洗机清洗水压，保证清洗效果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439"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1</w:t>
                  </w:r>
                </w:p>
              </w:tc>
              <w:tc>
                <w:tcPr>
                  <w:tcW w:w="1107"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打印系统</w:t>
                  </w:r>
                </w:p>
              </w:tc>
              <w:tc>
                <w:tcPr>
                  <w:tcW w:w="2760"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可将清洗消毒过程中的清洗时间、漂洗时间、干燥时间、清洗温度、漂洗温度、进酶量、进油量等各项参数自动打印出来。并可对打印记录进行三年以上的长时间保存，以便于医院的追溯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39"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2</w:t>
                  </w:r>
                </w:p>
              </w:tc>
              <w:tc>
                <w:tcPr>
                  <w:tcW w:w="1107"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耗材</w:t>
                  </w:r>
                </w:p>
              </w:tc>
              <w:tc>
                <w:tcPr>
                  <w:tcW w:w="2760"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可使用非本型号或本厂家专用耗材</w:t>
                  </w:r>
                </w:p>
              </w:tc>
            </w:tr>
          </w:tbl>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b w:val="0"/>
                <w:bCs/>
                <w:color w:val="auto"/>
                <w:kern w:val="2"/>
                <w:sz w:val="21"/>
                <w:szCs w:val="21"/>
                <w:highlight w:val="none"/>
                <w:lang w:val="en-US" w:eastAsia="zh-CN" w:bidi="ar-SA"/>
              </w:rPr>
            </w:pPr>
          </w:p>
        </w:tc>
        <w:tc>
          <w:tcPr>
            <w:tcW w:w="1165" w:type="dxa"/>
            <w:vAlign w:val="center"/>
          </w:tcPr>
          <w:p>
            <w:pPr>
              <w:keepNext w:val="0"/>
              <w:keepLines w:val="0"/>
              <w:widowControl/>
              <w:suppressLineNumbers w:val="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8"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7</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绝缘检测仪</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1台</w:t>
            </w:r>
          </w:p>
        </w:tc>
        <w:tc>
          <w:tcPr>
            <w:tcW w:w="5160" w:type="dxa"/>
            <w:vAlign w:val="top"/>
          </w:tcPr>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3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0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337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品名： 医用绝缘检测仪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用   途：</w:t>
                  </w:r>
                </w:p>
              </w:tc>
              <w:tc>
                <w:tcPr>
                  <w:tcW w:w="3379"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为医院消毒供应中心、手术室和内镜室</w:t>
                  </w:r>
                  <w:r>
                    <w:rPr>
                      <w:rFonts w:hint="eastAsia" w:ascii="宋体" w:hAnsi="宋体" w:eastAsia="宋体" w:cs="宋体"/>
                      <w:color w:val="auto"/>
                      <w:sz w:val="21"/>
                      <w:szCs w:val="21"/>
                      <w:highlight w:val="none"/>
                    </w:rPr>
                    <w:t>等科室现场对有源医疗器械</w:t>
                  </w:r>
                  <w:r>
                    <w:rPr>
                      <w:rFonts w:hint="eastAsia" w:ascii="宋体" w:hAnsi="宋体" w:eastAsia="宋体" w:cs="宋体"/>
                      <w:color w:val="auto"/>
                      <w:sz w:val="21"/>
                      <w:szCs w:val="21"/>
                      <w:highlight w:val="none"/>
                    </w:rPr>
                    <w:t>进行绝缘或通断检测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0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    量</w:t>
                  </w:r>
                </w:p>
              </w:tc>
              <w:tc>
                <w:tcPr>
                  <w:tcW w:w="3379"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输出电压</w:t>
                  </w:r>
                </w:p>
              </w:tc>
              <w:tc>
                <w:tcPr>
                  <w:tcW w:w="3379"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0～5000 V可调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输出电流</w:t>
                  </w:r>
                </w:p>
              </w:tc>
              <w:tc>
                <w:tcPr>
                  <w:tcW w:w="3379"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＜0.1 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工作时间</w:t>
                  </w:r>
                </w:p>
              </w:tc>
              <w:tc>
                <w:tcPr>
                  <w:tcW w:w="3379"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≥48 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重    量</w:t>
                  </w:r>
                </w:p>
              </w:tc>
              <w:tc>
                <w:tcPr>
                  <w:tcW w:w="3379"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≤0.75 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31"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设备主要技术要求/标准性能</w:t>
                  </w:r>
                </w:p>
              </w:tc>
              <w:tc>
                <w:tcPr>
                  <w:tcW w:w="337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彩色触控屏，触摸操作界面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03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 w:val="21"/>
                      <w:szCs w:val="21"/>
                      <w:highlight w:val="none"/>
                    </w:rPr>
                  </w:pPr>
                </w:p>
              </w:tc>
              <w:tc>
                <w:tcPr>
                  <w:tcW w:w="337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可预先设置</w:t>
                  </w:r>
                  <w:r>
                    <w:rPr>
                      <w:rFonts w:hint="eastAsia" w:ascii="宋体" w:hAnsi="宋体" w:eastAsia="宋体" w:cs="宋体"/>
                      <w:color w:val="auto"/>
                      <w:sz w:val="21"/>
                      <w:szCs w:val="21"/>
                      <w:highlight w:val="none"/>
                      <w:lang w:val="en-US" w:eastAsia="zh-CN"/>
                    </w:rPr>
                    <w:t>至少</w:t>
                  </w:r>
                  <w:r>
                    <w:rPr>
                      <w:rFonts w:hint="eastAsia" w:ascii="宋体" w:hAnsi="宋体" w:eastAsia="宋体" w:cs="宋体"/>
                      <w:color w:val="auto"/>
                      <w:sz w:val="21"/>
                      <w:szCs w:val="21"/>
                      <w:highlight w:val="none"/>
                    </w:rPr>
                    <w:t>4个常用测量电压模式，满足常规器械的检测需要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03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 w:val="21"/>
                      <w:szCs w:val="21"/>
                      <w:highlight w:val="none"/>
                    </w:rPr>
                  </w:pPr>
                </w:p>
              </w:tc>
              <w:tc>
                <w:tcPr>
                  <w:tcW w:w="337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具有高压测试时间设置功能，可根据实际需要在2～20秒内设置高压可持续时间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3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 w:val="21"/>
                      <w:szCs w:val="21"/>
                      <w:highlight w:val="none"/>
                    </w:rPr>
                  </w:pPr>
                </w:p>
              </w:tc>
              <w:tc>
                <w:tcPr>
                  <w:tcW w:w="337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具有高压放电时间连续2～20秒可调，可根据探测要求预置放电时间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03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 w:val="21"/>
                      <w:szCs w:val="21"/>
                      <w:highlight w:val="none"/>
                    </w:rPr>
                  </w:pPr>
                </w:p>
              </w:tc>
              <w:tc>
                <w:tcPr>
                  <w:tcW w:w="337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w:t>
                  </w:r>
                  <w:r>
                    <w:rPr>
                      <w:rFonts w:hint="eastAsia" w:ascii="宋体" w:hAnsi="宋体" w:eastAsia="宋体" w:cs="宋体"/>
                      <w:color w:val="auto"/>
                      <w:sz w:val="21"/>
                      <w:szCs w:val="21"/>
                      <w:highlight w:val="none"/>
                      <w:lang w:val="en-US" w:eastAsia="zh-CN"/>
                    </w:rPr>
                    <w:t>至少</w:t>
                  </w:r>
                  <w:r>
                    <w:rPr>
                      <w:rFonts w:hint="eastAsia" w:ascii="宋体" w:hAnsi="宋体" w:eastAsia="宋体" w:cs="宋体"/>
                      <w:color w:val="auto"/>
                      <w:sz w:val="21"/>
                      <w:szCs w:val="21"/>
                      <w:highlight w:val="none"/>
                    </w:rPr>
                    <w:t>声、光、影三种方式同时报警提示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03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 w:val="21"/>
                      <w:szCs w:val="21"/>
                      <w:highlight w:val="none"/>
                    </w:rPr>
                  </w:pPr>
                </w:p>
              </w:tc>
              <w:tc>
                <w:tcPr>
                  <w:tcW w:w="337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具有休眠功能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3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 w:val="21"/>
                      <w:szCs w:val="21"/>
                      <w:highlight w:val="none"/>
                    </w:rPr>
                  </w:pPr>
                </w:p>
              </w:tc>
              <w:tc>
                <w:tcPr>
                  <w:tcW w:w="337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配件齐全，具有十个以上的附件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03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 w:val="21"/>
                      <w:szCs w:val="21"/>
                      <w:highlight w:val="none"/>
                    </w:rPr>
                  </w:pPr>
                </w:p>
              </w:tc>
              <w:tc>
                <w:tcPr>
                  <w:tcW w:w="337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体积小，重量轻，方便携带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控制方式</w:t>
                  </w:r>
                </w:p>
              </w:tc>
              <w:tc>
                <w:tcPr>
                  <w:tcW w:w="337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触摸屏操作控制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组    成</w:t>
                  </w:r>
                </w:p>
              </w:tc>
              <w:tc>
                <w:tcPr>
                  <w:tcW w:w="337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该仪器有主机、检测用附件和铝制包装箱组成</w:t>
                  </w:r>
                </w:p>
              </w:tc>
            </w:tr>
          </w:tbl>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b w:val="0"/>
                <w:bCs/>
                <w:color w:val="auto"/>
                <w:kern w:val="2"/>
                <w:sz w:val="21"/>
                <w:szCs w:val="21"/>
                <w:highlight w:val="none"/>
                <w:lang w:val="en-US" w:eastAsia="zh-CN" w:bidi="ar-SA"/>
              </w:rPr>
            </w:pPr>
          </w:p>
        </w:tc>
        <w:tc>
          <w:tcPr>
            <w:tcW w:w="1165" w:type="dxa"/>
            <w:vAlign w:val="center"/>
          </w:tcPr>
          <w:p>
            <w:pPr>
              <w:keepNext w:val="0"/>
              <w:keepLines w:val="0"/>
              <w:widowControl/>
              <w:suppressLineNumbers w:val="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8"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7</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医用除锈仪</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1台</w:t>
            </w:r>
          </w:p>
        </w:tc>
        <w:tc>
          <w:tcPr>
            <w:tcW w:w="5160" w:type="dxa"/>
            <w:vAlign w:val="top"/>
          </w:tcPr>
          <w:tbl>
            <w:tblPr>
              <w:tblStyle w:val="17"/>
              <w:tblW w:w="46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1020"/>
              <w:gridCol w:w="3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2" w:type="dxa"/>
                  <w:gridSpan w:val="3"/>
                  <w:noWrap w:val="0"/>
                  <w:vAlign w:val="center"/>
                </w:tcPr>
                <w:p>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医用除锈仪技术参数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020"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w:t>
                  </w:r>
                </w:p>
              </w:tc>
              <w:tc>
                <w:tcPr>
                  <w:tcW w:w="3093"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020"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适用范围</w:t>
                  </w:r>
                </w:p>
              </w:tc>
              <w:tc>
                <w:tcPr>
                  <w:tcW w:w="3093"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适用于医院不锈钢器械和诊疗器械（如篮筐、器械托盘、容器、手术器械、镊子、小药杯、老虎钳等）的除锈，能够快速有效的去除器械表面的锈迹，恢复器械光亮，对物品表面无损伤。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020"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内舱容积</w:t>
                  </w:r>
                </w:p>
              </w:tc>
              <w:tc>
                <w:tcPr>
                  <w:tcW w:w="3093"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1020"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材质</w:t>
                  </w:r>
                </w:p>
              </w:tc>
              <w:tc>
                <w:tcPr>
                  <w:tcW w:w="3093"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采用不锈钢材料，产品美观，耐清洗擦拭，不易生锈。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1020"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管路材质</w:t>
                  </w:r>
                </w:p>
              </w:tc>
              <w:tc>
                <w:tcPr>
                  <w:tcW w:w="3093" w:type="dxa"/>
                  <w:noWrap w:val="0"/>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采用不锈钢材料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5</w:t>
                  </w:r>
                </w:p>
              </w:tc>
              <w:tc>
                <w:tcPr>
                  <w:tcW w:w="1020"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篮筐材质</w:t>
                  </w:r>
                </w:p>
              </w:tc>
              <w:tc>
                <w:tcPr>
                  <w:tcW w:w="3093" w:type="dxa"/>
                  <w:noWrap w:val="0"/>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采用不锈钢材料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w:t>
                  </w:r>
                </w:p>
              </w:tc>
              <w:tc>
                <w:tcPr>
                  <w:tcW w:w="1020"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开门方式</w:t>
                  </w:r>
                </w:p>
              </w:tc>
              <w:tc>
                <w:tcPr>
                  <w:tcW w:w="3093" w:type="dxa"/>
                  <w:noWrap w:val="0"/>
                  <w:vAlign w:val="center"/>
                </w:tcPr>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手动翻转门</w:t>
                  </w:r>
                  <w:r>
                    <w:rPr>
                      <w:rFonts w:hint="eastAsia" w:ascii="宋体" w:hAnsi="宋体" w:eastAsia="宋体" w:cs="宋体"/>
                      <w:color w:val="auto"/>
                      <w:sz w:val="21"/>
                      <w:szCs w:val="21"/>
                      <w:highlight w:val="none"/>
                      <w:lang w:val="en-US" w:eastAsia="zh-CN"/>
                    </w:rPr>
                    <w:t>或其他方式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1020"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快速管路设计</w:t>
                  </w:r>
                </w:p>
              </w:tc>
              <w:tc>
                <w:tcPr>
                  <w:tcW w:w="3093"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排水管路含排水泵，排水时间≤4min</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管路除配有电磁阀排污阀、循环泵、电加热管、温度传感器、水位开关外，还配有精确的进液蠕动泵，从而保证了除锈剂计量的准确。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8</w:t>
                  </w:r>
                </w:p>
              </w:tc>
              <w:tc>
                <w:tcPr>
                  <w:tcW w:w="1020"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观察窗</w:t>
                  </w:r>
                </w:p>
              </w:tc>
              <w:tc>
                <w:tcPr>
                  <w:tcW w:w="3093" w:type="dxa"/>
                  <w:noWrap w:val="0"/>
                  <w:vAlign w:val="center"/>
                </w:tcPr>
                <w:p>
                  <w:pPr>
                    <w:widowControl/>
                    <w:spacing w:line="400" w:lineRule="exact"/>
                    <w:ind w:right="-512" w:rightChars="-244"/>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上置观察窗，能够实时观察工作状态；倾斜设计，操作更方便、人性化。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9</w:t>
                  </w:r>
                </w:p>
              </w:tc>
              <w:tc>
                <w:tcPr>
                  <w:tcW w:w="1020"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触摸液晶显示屏</w:t>
                  </w:r>
                </w:p>
              </w:tc>
              <w:tc>
                <w:tcPr>
                  <w:tcW w:w="3093"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触摸控制，实现人机交互，</w:t>
                  </w:r>
                  <w:r>
                    <w:rPr>
                      <w:rFonts w:hint="eastAsia" w:ascii="宋体" w:hAnsi="宋体" w:eastAsia="宋体" w:cs="宋体"/>
                      <w:color w:val="auto"/>
                      <w:kern w:val="0"/>
                      <w:sz w:val="21"/>
                      <w:szCs w:val="21"/>
                      <w:highlight w:val="none"/>
                      <w:lang w:val="en-US" w:eastAsia="zh-CN"/>
                    </w:rPr>
                    <w:t>高清</w:t>
                  </w:r>
                  <w:r>
                    <w:rPr>
                      <w:rFonts w:hint="eastAsia" w:ascii="宋体" w:hAnsi="宋体" w:eastAsia="宋体" w:cs="宋体"/>
                      <w:color w:val="auto"/>
                      <w:kern w:val="0"/>
                      <w:sz w:val="21"/>
                      <w:szCs w:val="21"/>
                      <w:highlight w:val="none"/>
                    </w:rPr>
                    <w:t>触摸屏显示丰富的信息，运行过程动态显示，包括但不限于进水时间、排水时间、除锈时间、当前温度、过程、状态、参数等诸多信息；</w:t>
                  </w:r>
                  <w:r>
                    <w:rPr>
                      <w:rFonts w:hint="eastAsia" w:ascii="宋体" w:hAnsi="宋体" w:eastAsia="宋体" w:cs="宋体"/>
                      <w:color w:val="auto"/>
                      <w:sz w:val="21"/>
                      <w:szCs w:val="21"/>
                      <w:highlight w:val="none"/>
                    </w:rPr>
                    <w:t>具有报警信息显示功能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1020"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记忆</w:t>
                  </w:r>
                  <w:r>
                    <w:rPr>
                      <w:rFonts w:hint="eastAsia" w:ascii="宋体" w:hAnsi="宋体" w:eastAsia="宋体" w:cs="宋体"/>
                      <w:color w:val="auto"/>
                      <w:kern w:val="0"/>
                      <w:sz w:val="21"/>
                      <w:szCs w:val="21"/>
                      <w:highlight w:val="none"/>
                    </w:rPr>
                    <w:t>功能</w:t>
                  </w:r>
                </w:p>
              </w:tc>
              <w:tc>
                <w:tcPr>
                  <w:tcW w:w="3093"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自带记忆功能，参数设置完成后，无需重复设置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1</w:t>
                  </w:r>
                </w:p>
              </w:tc>
              <w:tc>
                <w:tcPr>
                  <w:tcW w:w="1020"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安全防护</w:t>
                  </w:r>
                </w:p>
              </w:tc>
              <w:tc>
                <w:tcPr>
                  <w:tcW w:w="3093" w:type="dxa"/>
                  <w:noWrap w:val="0"/>
                  <w:vAlign w:val="center"/>
                </w:tcPr>
                <w:p>
                  <w:pPr>
                    <w:widowControl/>
                    <w:spacing w:line="400" w:lineRule="exact"/>
                    <w:ind w:right="-512" w:rightChars="-244"/>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具有断电保护功能，防尘板防护，防止污物甩出、阻挡异物缠绕；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2</w:t>
                  </w:r>
                </w:p>
              </w:tc>
              <w:tc>
                <w:tcPr>
                  <w:tcW w:w="1020"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超声功率</w:t>
                  </w:r>
                </w:p>
              </w:tc>
              <w:tc>
                <w:tcPr>
                  <w:tcW w:w="3093"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功率≤600W，并在40％-100％范围内可调，能够满足不同清洗对象。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3</w:t>
                  </w:r>
                </w:p>
              </w:tc>
              <w:tc>
                <w:tcPr>
                  <w:tcW w:w="1020"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超声频率</w:t>
                  </w:r>
                </w:p>
              </w:tc>
              <w:tc>
                <w:tcPr>
                  <w:tcW w:w="3093"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rPr>
                    <w:t>含</w:t>
                  </w:r>
                  <w:r>
                    <w:rPr>
                      <w:rFonts w:hint="eastAsia" w:ascii="宋体" w:hAnsi="宋体" w:eastAsia="宋体" w:cs="宋体"/>
                      <w:color w:val="auto"/>
                      <w:kern w:val="0"/>
                      <w:sz w:val="21"/>
                      <w:szCs w:val="21"/>
                      <w:highlight w:val="none"/>
                    </w:rPr>
                    <w:t>38KHZ，频率偏移少，噪音低。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4</w:t>
                  </w:r>
                </w:p>
              </w:tc>
              <w:tc>
                <w:tcPr>
                  <w:tcW w:w="1020"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控制方式</w:t>
                  </w:r>
                </w:p>
              </w:tc>
              <w:tc>
                <w:tcPr>
                  <w:tcW w:w="3093"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工业级单片机芯片；独立的电源滤波器，抗干扰能力强；触摸屏操作，一键启动方便快捷；具有故障自动检测功能。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5</w:t>
                  </w:r>
                </w:p>
              </w:tc>
              <w:tc>
                <w:tcPr>
                  <w:tcW w:w="1020"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加热方式</w:t>
                  </w:r>
                </w:p>
              </w:tc>
              <w:tc>
                <w:tcPr>
                  <w:tcW w:w="3093" w:type="dxa"/>
                  <w:noWrap w:val="0"/>
                  <w:vAlign w:val="center"/>
                </w:tcPr>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电加热</w:t>
                  </w:r>
                  <w:r>
                    <w:rPr>
                      <w:rFonts w:hint="eastAsia" w:ascii="宋体" w:hAnsi="宋体" w:eastAsia="宋体" w:cs="宋体"/>
                      <w:color w:val="auto"/>
                      <w:sz w:val="21"/>
                      <w:szCs w:val="21"/>
                      <w:highlight w:val="none"/>
                      <w:lang w:val="en-US" w:eastAsia="zh-CN"/>
                    </w:rPr>
                    <w:t>或其他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p>
              </w:tc>
              <w:tc>
                <w:tcPr>
                  <w:tcW w:w="1020"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电动去污刷轮</w:t>
                  </w:r>
                </w:p>
              </w:tc>
              <w:tc>
                <w:tcPr>
                  <w:tcW w:w="3093"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电动去污刷轮转速≤7000rpm，能对带齿状手术器械污物有效剥离；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7</w:t>
                  </w:r>
                </w:p>
              </w:tc>
              <w:tc>
                <w:tcPr>
                  <w:tcW w:w="1020"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打印功能</w:t>
                  </w:r>
                </w:p>
              </w:tc>
              <w:tc>
                <w:tcPr>
                  <w:tcW w:w="3093"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内置打印机，支持运行结果打印输出，纸质化保存；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8</w:t>
                  </w:r>
                </w:p>
              </w:tc>
              <w:tc>
                <w:tcPr>
                  <w:tcW w:w="1020"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运行时间</w:t>
                  </w:r>
                </w:p>
              </w:tc>
              <w:tc>
                <w:tcPr>
                  <w:tcW w:w="3093"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依据运行时间0~99分钟可调</w:t>
                  </w:r>
                </w:p>
              </w:tc>
            </w:tr>
          </w:tbl>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b w:val="0"/>
                <w:bCs/>
                <w:color w:val="auto"/>
                <w:kern w:val="2"/>
                <w:sz w:val="21"/>
                <w:szCs w:val="21"/>
                <w:highlight w:val="none"/>
                <w:lang w:val="en-US" w:eastAsia="zh-CN" w:bidi="ar-SA"/>
              </w:rPr>
            </w:pPr>
          </w:p>
        </w:tc>
        <w:tc>
          <w:tcPr>
            <w:tcW w:w="1165" w:type="dxa"/>
            <w:vAlign w:val="center"/>
          </w:tcPr>
          <w:p>
            <w:pPr>
              <w:keepNext w:val="0"/>
              <w:keepLines w:val="0"/>
              <w:widowControl/>
              <w:suppressLineNumbers w:val="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8"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7</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煮沸消毒器</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1台</w:t>
            </w:r>
          </w:p>
        </w:tc>
        <w:tc>
          <w:tcPr>
            <w:tcW w:w="5160" w:type="dxa"/>
            <w:vAlign w:val="top"/>
          </w:tcPr>
          <w:tbl>
            <w:tblPr>
              <w:tblStyle w:val="17"/>
              <w:tblW w:w="48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
              <w:gridCol w:w="1224"/>
              <w:gridCol w:w="3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dxa"/>
                  <w:noWrap w:val="0"/>
                  <w:vAlign w:val="center"/>
                </w:tcPr>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序号</w:t>
                  </w:r>
                </w:p>
              </w:tc>
              <w:tc>
                <w:tcPr>
                  <w:tcW w:w="1224" w:type="dxa"/>
                  <w:noWrap w:val="0"/>
                  <w:vAlign w:val="center"/>
                </w:tcPr>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项目</w:t>
                  </w:r>
                </w:p>
              </w:tc>
              <w:tc>
                <w:tcPr>
                  <w:tcW w:w="3144" w:type="dxa"/>
                  <w:noWrap w:val="0"/>
                  <w:vAlign w:val="top"/>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dxa"/>
                  <w:noWrap w:val="0"/>
                  <w:vAlign w:val="center"/>
                </w:tcPr>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1224" w:type="dxa"/>
                  <w:noWrap w:val="0"/>
                  <w:vAlign w:val="center"/>
                </w:tcPr>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适用范围</w:t>
                  </w:r>
                </w:p>
              </w:tc>
              <w:tc>
                <w:tcPr>
                  <w:tcW w:w="3144" w:type="dxa"/>
                  <w:noWrap w:val="0"/>
                  <w:vAlign w:val="top"/>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主要适用于医院内径活检钳、手术刀、止血钳、镊子、抽吸装置、麻醉管道、输液器、瓶子、瓷制品、各种口腔科器械、测压器等污染性器械的大批量、高洁度的清洗。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dxa"/>
                  <w:noWrap w:val="0"/>
                  <w:vAlign w:val="center"/>
                </w:tcPr>
                <w:p>
                  <w:pPr>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2</w:t>
                  </w:r>
                </w:p>
              </w:tc>
              <w:tc>
                <w:tcPr>
                  <w:tcW w:w="1224" w:type="dxa"/>
                  <w:noWrap w:val="0"/>
                  <w:vAlign w:val="center"/>
                </w:tcPr>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内舱容积</w:t>
                  </w:r>
                </w:p>
              </w:tc>
              <w:tc>
                <w:tcPr>
                  <w:tcW w:w="3144" w:type="dxa"/>
                  <w:noWrap w:val="0"/>
                  <w:vAlign w:val="top"/>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dxa"/>
                  <w:noWrap w:val="0"/>
                  <w:vAlign w:val="center"/>
                </w:tcPr>
                <w:p>
                  <w:pPr>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3</w:t>
                  </w:r>
                </w:p>
              </w:tc>
              <w:tc>
                <w:tcPr>
                  <w:tcW w:w="1224" w:type="dxa"/>
                  <w:noWrap w:val="0"/>
                  <w:vAlign w:val="center"/>
                </w:tcPr>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材质</w:t>
                  </w:r>
                </w:p>
              </w:tc>
              <w:tc>
                <w:tcPr>
                  <w:tcW w:w="3144" w:type="dxa"/>
                  <w:noWrap w:val="0"/>
                  <w:vAlign w:val="top"/>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机器所有板金件采用304不锈钢材料，激光切割、数控折弯加工而成，产品美观，耐清洗擦拭，不易生锈。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dxa"/>
                  <w:noWrap w:val="0"/>
                  <w:vAlign w:val="center"/>
                </w:tcPr>
                <w:p>
                  <w:pPr>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4</w:t>
                  </w:r>
                </w:p>
              </w:tc>
              <w:tc>
                <w:tcPr>
                  <w:tcW w:w="1224" w:type="dxa"/>
                  <w:noWrap w:val="0"/>
                  <w:vAlign w:val="center"/>
                </w:tcPr>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开门方式</w:t>
                  </w:r>
                </w:p>
              </w:tc>
              <w:tc>
                <w:tcPr>
                  <w:tcW w:w="3144" w:type="dxa"/>
                  <w:noWrap w:val="0"/>
                  <w:vAlign w:val="top"/>
                </w:tcPr>
                <w:p>
                  <w:pP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手动翻转门</w:t>
                  </w:r>
                  <w:r>
                    <w:rPr>
                      <w:rFonts w:hint="eastAsia" w:ascii="宋体" w:hAnsi="宋体" w:eastAsia="宋体" w:cs="宋体"/>
                      <w:color w:val="auto"/>
                      <w:kern w:val="0"/>
                      <w:sz w:val="21"/>
                      <w:szCs w:val="21"/>
                      <w:highlight w:val="none"/>
                      <w:lang w:val="en-US" w:eastAsia="zh-CN"/>
                    </w:rPr>
                    <w:t>或其他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dxa"/>
                  <w:noWrap w:val="0"/>
                  <w:vAlign w:val="center"/>
                </w:tcPr>
                <w:p>
                  <w:pPr>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5</w:t>
                  </w:r>
                </w:p>
              </w:tc>
              <w:tc>
                <w:tcPr>
                  <w:tcW w:w="1224" w:type="dxa"/>
                  <w:noWrap w:val="0"/>
                  <w:vAlign w:val="center"/>
                </w:tcPr>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快速管路设计</w:t>
                  </w:r>
                </w:p>
              </w:tc>
              <w:tc>
                <w:tcPr>
                  <w:tcW w:w="3144" w:type="dxa"/>
                  <w:noWrap w:val="0"/>
                  <w:vAlign w:val="top"/>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排水管路含排水泵，排水时间≤4min</w:t>
                  </w:r>
                </w:p>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管路除配有电磁阀排污阀、循环泵、电加热管、温度传感器、水位开关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dxa"/>
                  <w:noWrap w:val="0"/>
                  <w:vAlign w:val="center"/>
                </w:tcPr>
                <w:p>
                  <w:pPr>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6</w:t>
                  </w:r>
                </w:p>
              </w:tc>
              <w:tc>
                <w:tcPr>
                  <w:tcW w:w="1224" w:type="dxa"/>
                  <w:noWrap w:val="0"/>
                  <w:vAlign w:val="center"/>
                </w:tcPr>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液晶显示屏</w:t>
                  </w:r>
                </w:p>
              </w:tc>
              <w:tc>
                <w:tcPr>
                  <w:tcW w:w="3144" w:type="dxa"/>
                  <w:noWrap w:val="0"/>
                  <w:vAlign w:val="top"/>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液晶屏显示丰富的信息，包括但不限于进水时间、补水时间、排水时间、清洗方式、清洗时间、当前温度、过程、状态、参数等诸多信息；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dxa"/>
                  <w:noWrap w:val="0"/>
                  <w:vAlign w:val="center"/>
                </w:tcPr>
                <w:p>
                  <w:pPr>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7</w:t>
                  </w:r>
                </w:p>
              </w:tc>
              <w:tc>
                <w:tcPr>
                  <w:tcW w:w="1224" w:type="dxa"/>
                  <w:noWrap w:val="0"/>
                  <w:vAlign w:val="center"/>
                </w:tcPr>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功能</w:t>
                  </w:r>
                </w:p>
              </w:tc>
              <w:tc>
                <w:tcPr>
                  <w:tcW w:w="3144" w:type="dxa"/>
                  <w:noWrap w:val="0"/>
                  <w:vAlign w:val="top"/>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煮沸清洗功能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dxa"/>
                  <w:noWrap w:val="0"/>
                  <w:vAlign w:val="center"/>
                </w:tcPr>
                <w:p>
                  <w:pPr>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8</w:t>
                  </w:r>
                </w:p>
              </w:tc>
              <w:tc>
                <w:tcPr>
                  <w:tcW w:w="1224" w:type="dxa"/>
                  <w:noWrap w:val="0"/>
                  <w:vAlign w:val="center"/>
                </w:tcPr>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控制方式</w:t>
                  </w:r>
                </w:p>
              </w:tc>
              <w:tc>
                <w:tcPr>
                  <w:tcW w:w="3144" w:type="dxa"/>
                  <w:noWrap w:val="0"/>
                  <w:vAlign w:val="top"/>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工业级单片机芯片；独立的电源滤波器，抗干扰能力强；面膜操作，一键启动方便快捷；具有故障自动检测功能。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42" w:type="dxa"/>
                  <w:noWrap w:val="0"/>
                  <w:vAlign w:val="center"/>
                </w:tcPr>
                <w:p>
                  <w:pPr>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9</w:t>
                  </w:r>
                </w:p>
              </w:tc>
              <w:tc>
                <w:tcPr>
                  <w:tcW w:w="1224" w:type="dxa"/>
                  <w:noWrap w:val="0"/>
                  <w:vAlign w:val="center"/>
                </w:tcPr>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加热方式</w:t>
                  </w:r>
                </w:p>
              </w:tc>
              <w:tc>
                <w:tcPr>
                  <w:tcW w:w="3144" w:type="dxa"/>
                  <w:noWrap w:val="0"/>
                  <w:vAlign w:val="top"/>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电加热，功率≥6KW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dxa"/>
                  <w:noWrap w:val="0"/>
                  <w:vAlign w:val="center"/>
                </w:tcPr>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w:t>
                  </w:r>
                </w:p>
              </w:tc>
              <w:tc>
                <w:tcPr>
                  <w:tcW w:w="1224" w:type="dxa"/>
                  <w:noWrap w:val="0"/>
                  <w:vAlign w:val="center"/>
                </w:tcPr>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清洗温度</w:t>
                  </w:r>
                </w:p>
              </w:tc>
              <w:tc>
                <w:tcPr>
                  <w:tcW w:w="3144" w:type="dxa"/>
                  <w:noWrap w:val="0"/>
                  <w:vAlign w:val="top"/>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30℃～95℃可调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dxa"/>
                  <w:noWrap w:val="0"/>
                  <w:vAlign w:val="center"/>
                </w:tcPr>
                <w:p>
                  <w:pPr>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1</w:t>
                  </w:r>
                </w:p>
              </w:tc>
              <w:tc>
                <w:tcPr>
                  <w:tcW w:w="1224" w:type="dxa"/>
                  <w:noWrap w:val="0"/>
                  <w:vAlign w:val="center"/>
                </w:tcPr>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安全保护</w:t>
                  </w:r>
                </w:p>
              </w:tc>
              <w:tc>
                <w:tcPr>
                  <w:tcW w:w="3144" w:type="dxa"/>
                  <w:noWrap w:val="0"/>
                  <w:vAlign w:val="top"/>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水位低保护功能：水位低时自动停止加热管加热和超声；</w:t>
                  </w:r>
                </w:p>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超时保护功能：进水超过设定时间，停止进水，防止水流溢出；</w:t>
                  </w:r>
                </w:p>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电机过流保护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dxa"/>
                  <w:noWrap w:val="0"/>
                  <w:vAlign w:val="center"/>
                </w:tcPr>
                <w:p>
                  <w:pPr>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2</w:t>
                  </w:r>
                </w:p>
              </w:tc>
              <w:tc>
                <w:tcPr>
                  <w:tcW w:w="1224" w:type="dxa"/>
                  <w:noWrap w:val="0"/>
                  <w:vAlign w:val="center"/>
                </w:tcPr>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运行时间</w:t>
                  </w:r>
                </w:p>
              </w:tc>
              <w:tc>
                <w:tcPr>
                  <w:tcW w:w="3144" w:type="dxa"/>
                  <w:noWrap w:val="0"/>
                  <w:vAlign w:val="top"/>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Min</w:t>
                  </w:r>
                </w:p>
              </w:tc>
            </w:tr>
          </w:tbl>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b w:val="0"/>
                <w:bCs/>
                <w:color w:val="auto"/>
                <w:kern w:val="2"/>
                <w:sz w:val="21"/>
                <w:szCs w:val="21"/>
                <w:highlight w:val="none"/>
                <w:lang w:val="en-US" w:eastAsia="zh-CN" w:bidi="ar-SA"/>
              </w:rPr>
            </w:pPr>
          </w:p>
        </w:tc>
        <w:tc>
          <w:tcPr>
            <w:tcW w:w="1165" w:type="dxa"/>
            <w:vAlign w:val="center"/>
          </w:tcPr>
          <w:p>
            <w:pPr>
              <w:keepNext w:val="0"/>
              <w:keepLines w:val="0"/>
              <w:widowControl/>
              <w:suppressLineNumbers w:val="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8"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8</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半自动轮转式切片机</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1台</w:t>
            </w:r>
          </w:p>
        </w:tc>
        <w:tc>
          <w:tcPr>
            <w:tcW w:w="5160" w:type="dxa"/>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1.切片方式：半自动轮转</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2.切片厚度：0.5-100μm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3.修块厚度：1-600µm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4.水平进样幅度：至少24mm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★5.垂直样品行程：至少70mm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6.静音样品回缩：5-100μm，可关闭</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7.粗进速度：300μm/s，800μm/s和1800μm/s</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8.两种手动切片模式：半刀和全手轮旋转模式</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9.手轮为弹簧原理平衡系统，手轮平滑，减轻用户的疲劳</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★10.二合一刀架可以同时适用于宽刀片和窄刀片</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11.最大样品尺寸（L×H×W）：≥55×50×30mm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12.独立的控制面板，图形化按钮设计有效控制所有重要操作</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13.个性化的小手轮，用户可自定义顺时针及逆时针转动方向</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14.带0位的样本定位系统，可X/Y轴调节，8度水平定位样本</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15.废屑槽可拆卸，具有抗静电功能（选配）和磁力吸附功能，方便清洁废屑</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16.具备储物盘功能，方便放置常用工具</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17.刀架带有护手，确保操作者安全</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18.具备刀架三点锁定及侧向移动功能，可充分利用刀片全长</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19.手轮至少有2个独立的安全锁定系统</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20.快速转换样本夹，可单手操作</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21.粗修时具备快速回缩和位置记忆功能，实现快速修片</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22.具开启/关闭功能的可编程样本回缩功能</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23.至少有两种小手轮运行模式：步进和连续</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24.可归零的切片以及厚度计数功能，</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25.可视信号和声音信号提示剩余进样距离</w:t>
            </w:r>
          </w:p>
        </w:tc>
        <w:tc>
          <w:tcPr>
            <w:tcW w:w="1165" w:type="dxa"/>
            <w:vAlign w:val="center"/>
          </w:tcPr>
          <w:p>
            <w:pPr>
              <w:keepNext w:val="0"/>
              <w:keepLines w:val="0"/>
              <w:widowControl/>
              <w:suppressLineNumbers w:val="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8</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通风柜</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5台</w:t>
            </w:r>
          </w:p>
        </w:tc>
        <w:tc>
          <w:tcPr>
            <w:tcW w:w="5160" w:type="dxa"/>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主要特点：</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结构：钢制结构，柜体落地式，支撑整体重量；柜体采用不小于1.0mm厚冷扎钢板，表面经：除油、除锈—水洗—中和—水洗—表调—锌系磷化—钝化—烘干—检验—静电喷涂—高温固化。表层双面磷化环氧树脂粉末静电喷涂，防腐处理，强吸附、抗酸碱。</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 xml:space="preserve">   2、内衬板：顶板、侧板、导流板等采用5mm厚耐腐蚀的高分子材料或类似材料，抗倍特板，耐稀酸碱及有机溶剂、易清洗。置于通风柜操作区内側，采用三段式导流板设计，使操作区污染气体作层流运动，无气流死角，不会产生紊流或漩涡流现象，能迅速将实验过程中产生的不同比重的有毒有害气体排出。</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 xml:space="preserve">    3、导流板固定座：底座由螺杆、螺帽组成，采用高分子复合材料模塑成型，导流板固定旋钮及蒸馏架安装孔座等，具有良好性能：（1）背板固定座及导流板固定旋钮均可由柜体正面轻易组装及拆解维护清理。（2）不含金属成分，耐腐蚀，耐用且无杂质产生影响实验；（3）承重能力每个至少10kg。</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 xml:space="preserve">   4、窗口玻璃：采用上下滑动式设计，可开启于任意高度，采用5mm厚钢化透明安全玻璃；窗框内装有硬质塑胶导轨，两侧设置缓冲垫片，避免玻璃门上下升降撞击，PVC工程材料，线接触设计，最低程度减少摩擦力。视窗把手：采用特制PVC材料，经人体工学设计，外观优美，使用方便。</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 xml:space="preserve">   5、★同步驱动齿轮升降系统：采用高强度ABS加强白色轮，黑色底座，内置全包围轴承，整体耐酸碱防腐，有效的防止有害气体的腐蚀，坚固耐用。橡胶皮带，采用宽15mm×厚3.8mm高强度橡胶带绿布同步带，聚氨酯内植8根钢丝，移门升降过程中平稳有效阻止倾斜、轻便、静音、安全（防跌落）。同步链接杆采用15×15mm不锈钢管，整合了皮带传动、链传动和齿轮传动各自优点的新型带传动本装置可使其传动平稳，结构简单，安装方便。耐酸碱、防潮防锈，不断裂，使用寿命长。</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 xml:space="preserve">   6、照明：日光灯采用实验室专用全封闭式日光灯，220V*30W，采用隔离式安装，避免和柜内气体接触。</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 xml:space="preserve">   7、操作台面：12.7mm厚实芯理化板，边缘加厚，台面性能满足：（1）耐酸碱腐蚀，化学特性包括：硫酸(98%)、 硝酸(70%)、 盐酸(55%)、乙酸(99%)、 氢氧化钠(40%) 、亚硝酸钠、磷酸(85%) 等常用试剂，检测表面无明显变化；（2）物理性能良好，抗拉强度≥74mpa、弯曲强度≥110.5mpa、抗冲击检测合格。（3）甲醛释放量检验达到国家环保E1级标准，测试方法使用气候箱法，甲醛释放量不大于0.01mg/m3；（4）重金属检测，包括铅、汞、镉、锌、铬、钡、砷等元素，检测结果合格。</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 xml:space="preserve">  8、柜体：（1）门板：1.0mm厚冷扎钢板，内外双层扣合式，所有工件经模具冲压折弯焊接而成，焊接部分打磨、抛光处理平滑过渡，焊点无毛刺及假焊，构造表面经酸洗、磷化、环氧树脂粉末静电喷涂，（烤房）180度高温固化，耐酸碱、防潮防锈，使用寿命长；（2）铰链：自闭式液压合金铰链，柜门开启105°内，自动回弹无声关闭，外形美观，无噪音，耐腐蚀，使用寿命长；；（3）滑轨：优质钢制三节静音滑轨，拉动负重25公斤，使用寿命拉动次数大于100000次；（4）拉手：拉手或门板拉手一体内凹成一字型抠手。</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 xml:space="preserve">   9、PP水杯：（1）材质：高密度PP,耐酸、碱、王水等腐蚀；（2）尺寸：外径约L200×W100×D180mm（含）以上；（3）配PP滤水提笼及塑料水盖,PP落水头堵臭装置；</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水龙头：1、主体材料：加厚国标H62铜管制造，直管管径Φ26*1.2mm，,臂管管径Φ22*1.2mm，鹅颈管管径Φ19*1.0mm，可360°旋转，固定底座直径≥55mm，底座锁母与台面中间添加齿形止退垫，使连接后不易松动稳定性强，与台面安装牢固。2、材质要求：加厚纯铜制作，高亮度环氧树脂涂层，耐腐蚀、耐热、防紫外线辐射；开关旋钮PP材质，开启为红色，关闭为绿色标识清晰醒目,平稳轻便无卡阻、不易松动稳定性强，开关寿命大于等于61万次，静态最大耐压2.5MPa。</w:t>
            </w:r>
          </w:p>
          <w:p>
            <w:pPr>
              <w:keepNext w:val="0"/>
              <w:keepLines w:val="0"/>
              <w:pageBreakBefore w:val="0"/>
              <w:widowControl w:val="0"/>
              <w:numPr>
                <w:ilvl w:val="0"/>
                <w:numId w:val="5"/>
              </w:numPr>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尺寸：1500*850*2350mm（可定制）。</w:t>
            </w:r>
          </w:p>
          <w:p>
            <w:pPr>
              <w:pStyle w:val="10"/>
              <w:numPr>
                <w:ilvl w:val="0"/>
                <w:numId w:val="0"/>
              </w:num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通风柜配置清单</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1295"/>
              <w:gridCol w:w="741"/>
              <w:gridCol w:w="1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560"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95"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p>
              </w:tc>
              <w:tc>
                <w:tcPr>
                  <w:tcW w:w="741"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044"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560"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95" w:type="dxa"/>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主机</w:t>
                  </w:r>
                </w:p>
              </w:tc>
              <w:tc>
                <w:tcPr>
                  <w:tcW w:w="741" w:type="dxa"/>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1台</w:t>
                  </w:r>
                </w:p>
              </w:tc>
              <w:tc>
                <w:tcPr>
                  <w:tcW w:w="1044" w:type="dxa"/>
                  <w:noWrap w:val="0"/>
                  <w:vAlign w:val="center"/>
                </w:tcPr>
                <w:p>
                  <w:pPr>
                    <w:jc w:val="center"/>
                    <w:rPr>
                      <w:rFonts w:hint="eastAsia" w:ascii="宋体" w:hAnsi="宋体" w:eastAsia="宋体" w:cs="宋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560"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295" w:type="dxa"/>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排气管</w:t>
                  </w:r>
                </w:p>
              </w:tc>
              <w:tc>
                <w:tcPr>
                  <w:tcW w:w="741" w:type="dxa"/>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1根</w:t>
                  </w:r>
                </w:p>
              </w:tc>
              <w:tc>
                <w:tcPr>
                  <w:tcW w:w="1044" w:type="dxa"/>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560"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295" w:type="dxa"/>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单口水龙头</w:t>
                  </w:r>
                </w:p>
              </w:tc>
              <w:tc>
                <w:tcPr>
                  <w:tcW w:w="741" w:type="dxa"/>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1个</w:t>
                  </w:r>
                </w:p>
              </w:tc>
              <w:tc>
                <w:tcPr>
                  <w:tcW w:w="1044" w:type="dxa"/>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560"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295" w:type="dxa"/>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PP水杯</w:t>
                  </w:r>
                </w:p>
              </w:tc>
              <w:tc>
                <w:tcPr>
                  <w:tcW w:w="741" w:type="dxa"/>
                  <w:noWrap w:val="0"/>
                  <w:vAlign w:val="center"/>
                </w:tcPr>
                <w:p>
                  <w:pPr>
                    <w:jc w:val="both"/>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 xml:space="preserve">   1个</w:t>
                  </w:r>
                </w:p>
              </w:tc>
              <w:tc>
                <w:tcPr>
                  <w:tcW w:w="1044" w:type="dxa"/>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560"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295"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使用说明书</w:t>
                  </w:r>
                </w:p>
              </w:tc>
              <w:tc>
                <w:tcPr>
                  <w:tcW w:w="741" w:type="dxa"/>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1份</w:t>
                  </w:r>
                </w:p>
              </w:tc>
              <w:tc>
                <w:tcPr>
                  <w:tcW w:w="1044"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随机文件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560"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295"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产品保修单</w:t>
                  </w:r>
                </w:p>
              </w:tc>
              <w:tc>
                <w:tcPr>
                  <w:tcW w:w="741"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1份</w:t>
                  </w:r>
                </w:p>
              </w:tc>
              <w:tc>
                <w:tcPr>
                  <w:tcW w:w="1044"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随机文件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560"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1295" w:type="dxa"/>
                  <w:noWrap w:val="0"/>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产品合格证</w:t>
                  </w:r>
                </w:p>
              </w:tc>
              <w:tc>
                <w:tcPr>
                  <w:tcW w:w="741" w:type="dxa"/>
                  <w:noWrap w:val="0"/>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1份</w:t>
                  </w:r>
                </w:p>
              </w:tc>
              <w:tc>
                <w:tcPr>
                  <w:tcW w:w="1044" w:type="dxa"/>
                  <w:noWrap w:val="0"/>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随机文件</w:t>
                  </w:r>
                </w:p>
              </w:tc>
            </w:tr>
          </w:tbl>
          <w:p>
            <w:pPr>
              <w:pStyle w:val="10"/>
              <w:numPr>
                <w:ilvl w:val="0"/>
                <w:numId w:val="0"/>
              </w:numPr>
              <w:ind w:left="0" w:leftChars="0" w:firstLine="0" w:firstLineChars="0"/>
              <w:rPr>
                <w:rFonts w:hint="eastAsia" w:ascii="宋体" w:hAnsi="宋体" w:eastAsia="宋体" w:cs="宋体"/>
                <w:color w:val="auto"/>
                <w:kern w:val="0"/>
                <w:sz w:val="21"/>
                <w:szCs w:val="21"/>
                <w:highlight w:val="none"/>
                <w:lang w:val="en-US" w:eastAsia="zh-CN" w:bidi="ar-SA"/>
              </w:rPr>
            </w:pPr>
          </w:p>
        </w:tc>
        <w:tc>
          <w:tcPr>
            <w:tcW w:w="1165" w:type="dxa"/>
            <w:vAlign w:val="center"/>
          </w:tcPr>
          <w:p>
            <w:pPr>
              <w:keepNext w:val="0"/>
              <w:keepLines w:val="0"/>
              <w:widowControl/>
              <w:suppressLineNumbers w:val="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8"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8</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标本存放柜</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1台</w:t>
            </w:r>
          </w:p>
        </w:tc>
        <w:tc>
          <w:tcPr>
            <w:tcW w:w="5160" w:type="dxa"/>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外观高档豪华，整体采用不锈钢制作、抗腐蚀、经久耐用、易清洁。</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2、内腔为铝制压花板。</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3、内藏板式蒸发器，换热效率高。</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4、中空玻璃门密封好、开启灵活，关闭严密，能有效防止有害气体溢出；双开门结构，强度高、且便于观察柜内标本。</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5、采用名牌压缩机，性能稳定，制冷效果好。</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6、聚氨脂高压发泡，箱体更稳固，保温性能更好。</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7、精确的微电脑液晶数字温度显示器，柜内温度一目了然。</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8、冷凝器有可拆式滤网，便于更新和维护。</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9、内置三层金属喷塑网隔板、高度可调节。承重力强、单层承约重30kg。可配专用不锈钢或塑料标本存放盒。</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10、顶部装有排风系统，可将有害气体排放出室外。</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11、排风量：95m3/h、噪音：≤34Db。</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12、外形尺寸：≥1200×640×1910mm。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13、容量：≥800L。</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14、温度：2～8℃。</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15、制冷方式：风冷。</w:t>
            </w:r>
          </w:p>
        </w:tc>
        <w:tc>
          <w:tcPr>
            <w:tcW w:w="1165" w:type="dxa"/>
            <w:vAlign w:val="center"/>
          </w:tcPr>
          <w:p>
            <w:pPr>
              <w:keepNext w:val="0"/>
              <w:keepLines w:val="0"/>
              <w:widowControl/>
              <w:suppressLineNumbers w:val="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8"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8</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取材台</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1台</w:t>
            </w:r>
          </w:p>
        </w:tc>
        <w:tc>
          <w:tcPr>
            <w:tcW w:w="5160" w:type="dxa"/>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主要特点：</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1.主体结构、工作台面采用316不锈钢材质。</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2.工作台面</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2.1左右设置玻璃挡板，避免液体飞溅；</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2.2两侧配置排水喷淋系统及多喷嘴台面冲洗系统，冲水大小可调整；</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2.3采用上下两层水气分流管道设计，高效排风排气；</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2.4配置带过滤网引流漏斗，配置刀架、搁架可存放工具；</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2.5所有吸气排风口设计在工作台面下，双电机超静音，强力排气系统，用管道排出室外，保护工作人员不受有害气体侵害。</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3.冷热水给排系统：24小时限量供应热水，冷、热水可自由调节，配置可伸缩金属软管水龙头及热风烘手机。</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4.配置紫外线杀菌装置、全封闭式LED日光照明灯、无影补光灯及取材照明专用射灯。</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5.抽风系统：低噪音、大功率，风机安装位置与取材台主体相分离。</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6.具有可调节角度的送清风补风装置。</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7.配置碎骨机，对碎骨和废弃物进行粉碎排除。</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8.配置标本摄像系统，可实现拍照保存、摄像及网络联接功能。</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9.外形尺寸：1.5×1.95×0.75m（长×高×宽）。（可定制）</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取材台</w:t>
            </w:r>
            <w:r>
              <w:rPr>
                <w:rFonts w:hint="eastAsia" w:ascii="宋体" w:hAnsi="宋体" w:eastAsia="宋体" w:cs="宋体"/>
                <w:b/>
                <w:bCs/>
                <w:color w:val="auto"/>
                <w:sz w:val="21"/>
                <w:szCs w:val="21"/>
                <w:highlight w:val="none"/>
                <w:lang w:eastAsia="zh-CN"/>
              </w:rPr>
              <w:t>配置清单</w:t>
            </w:r>
          </w:p>
          <w:tbl>
            <w:tblPr>
              <w:tblStyle w:val="17"/>
              <w:tblpPr w:leftFromText="180" w:rightFromText="180" w:vertAnchor="text" w:horzAnchor="page" w:tblpX="1" w:tblpY="680"/>
              <w:tblOverlap w:val="never"/>
              <w:tblW w:w="55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332"/>
              <w:gridCol w:w="780"/>
              <w:gridCol w:w="1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35"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2332"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p>
              </w:tc>
              <w:tc>
                <w:tcPr>
                  <w:tcW w:w="780"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699"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735"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332"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主机</w:t>
                  </w:r>
                </w:p>
              </w:tc>
              <w:tc>
                <w:tcPr>
                  <w:tcW w:w="780"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1台</w:t>
                  </w:r>
                </w:p>
              </w:tc>
              <w:tc>
                <w:tcPr>
                  <w:tcW w:w="1699" w:type="dxa"/>
                  <w:noWrap w:val="0"/>
                  <w:vAlign w:val="center"/>
                </w:tcPr>
                <w:p>
                  <w:pPr>
                    <w:jc w:val="left"/>
                    <w:rPr>
                      <w:rFonts w:hint="eastAsia" w:ascii="宋体" w:hAnsi="宋体" w:eastAsia="宋体" w:cs="宋体"/>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735"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2332"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紫外线杀菌装置</w:t>
                  </w:r>
                </w:p>
              </w:tc>
              <w:tc>
                <w:tcPr>
                  <w:tcW w:w="780"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1套</w:t>
                  </w:r>
                </w:p>
              </w:tc>
              <w:tc>
                <w:tcPr>
                  <w:tcW w:w="1699"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735" w:type="dxa"/>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2332"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全封闭式LED日光照明灯</w:t>
                  </w:r>
                </w:p>
              </w:tc>
              <w:tc>
                <w:tcPr>
                  <w:tcW w:w="780" w:type="dxa"/>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1个</w:t>
                  </w:r>
                </w:p>
              </w:tc>
              <w:tc>
                <w:tcPr>
                  <w:tcW w:w="1699"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35" w:type="dxa"/>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2332"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无影补光灯</w:t>
                  </w:r>
                </w:p>
              </w:tc>
              <w:tc>
                <w:tcPr>
                  <w:tcW w:w="780" w:type="dxa"/>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1个</w:t>
                  </w:r>
                </w:p>
              </w:tc>
              <w:tc>
                <w:tcPr>
                  <w:tcW w:w="1699"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735" w:type="dxa"/>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2332"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取材照明专用射灯</w:t>
                  </w:r>
                </w:p>
              </w:tc>
              <w:tc>
                <w:tcPr>
                  <w:tcW w:w="780" w:type="dxa"/>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1个</w:t>
                  </w:r>
                </w:p>
              </w:tc>
              <w:tc>
                <w:tcPr>
                  <w:tcW w:w="1699"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735" w:type="dxa"/>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2332"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带过滤网引流漏斗</w:t>
                  </w:r>
                </w:p>
              </w:tc>
              <w:tc>
                <w:tcPr>
                  <w:tcW w:w="780" w:type="dxa"/>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1个</w:t>
                  </w:r>
                </w:p>
              </w:tc>
              <w:tc>
                <w:tcPr>
                  <w:tcW w:w="1699"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735"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2332"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排气管</w:t>
                  </w:r>
                </w:p>
              </w:tc>
              <w:tc>
                <w:tcPr>
                  <w:tcW w:w="780"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根</w:t>
                  </w:r>
                </w:p>
              </w:tc>
              <w:tc>
                <w:tcPr>
                  <w:tcW w:w="1699"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35"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8</w:t>
                  </w:r>
                </w:p>
              </w:tc>
              <w:tc>
                <w:tcPr>
                  <w:tcW w:w="2332"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冷暖水龙头</w:t>
                  </w:r>
                </w:p>
              </w:tc>
              <w:tc>
                <w:tcPr>
                  <w:tcW w:w="780"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个</w:t>
                  </w:r>
                </w:p>
              </w:tc>
              <w:tc>
                <w:tcPr>
                  <w:tcW w:w="1699"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735" w:type="dxa"/>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2332"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可伸缩金属软管水龙头</w:t>
                  </w:r>
                </w:p>
              </w:tc>
              <w:tc>
                <w:tcPr>
                  <w:tcW w:w="780" w:type="dxa"/>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1个</w:t>
                  </w:r>
                </w:p>
              </w:tc>
              <w:tc>
                <w:tcPr>
                  <w:tcW w:w="1699"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735" w:type="dxa"/>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2332"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热风烘手机</w:t>
                  </w:r>
                </w:p>
              </w:tc>
              <w:tc>
                <w:tcPr>
                  <w:tcW w:w="780" w:type="dxa"/>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1个</w:t>
                  </w:r>
                </w:p>
              </w:tc>
              <w:tc>
                <w:tcPr>
                  <w:tcW w:w="1699"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735" w:type="dxa"/>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2332"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碎骨机</w:t>
                  </w:r>
                </w:p>
              </w:tc>
              <w:tc>
                <w:tcPr>
                  <w:tcW w:w="780" w:type="dxa"/>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1台</w:t>
                  </w:r>
                </w:p>
              </w:tc>
              <w:tc>
                <w:tcPr>
                  <w:tcW w:w="1699"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735" w:type="dxa"/>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2332"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标本摄像系统</w:t>
                  </w:r>
                </w:p>
              </w:tc>
              <w:tc>
                <w:tcPr>
                  <w:tcW w:w="780" w:type="dxa"/>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1套</w:t>
                  </w:r>
                </w:p>
              </w:tc>
              <w:tc>
                <w:tcPr>
                  <w:tcW w:w="1699"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735" w:type="dxa"/>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2332"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电源线</w:t>
                  </w:r>
                </w:p>
              </w:tc>
              <w:tc>
                <w:tcPr>
                  <w:tcW w:w="780" w:type="dxa"/>
                  <w:noWrap w:val="0"/>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1根</w:t>
                  </w:r>
                </w:p>
              </w:tc>
              <w:tc>
                <w:tcPr>
                  <w:tcW w:w="1699"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735" w:type="dxa"/>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2332"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使用说明书</w:t>
                  </w:r>
                </w:p>
              </w:tc>
              <w:tc>
                <w:tcPr>
                  <w:tcW w:w="780"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1份</w:t>
                  </w:r>
                </w:p>
              </w:tc>
              <w:tc>
                <w:tcPr>
                  <w:tcW w:w="1699"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随机文件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735" w:type="dxa"/>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c>
                <w:tcPr>
                  <w:tcW w:w="2332"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产品保修单</w:t>
                  </w:r>
                </w:p>
              </w:tc>
              <w:tc>
                <w:tcPr>
                  <w:tcW w:w="780" w:type="dxa"/>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1份</w:t>
                  </w:r>
                </w:p>
              </w:tc>
              <w:tc>
                <w:tcPr>
                  <w:tcW w:w="1699"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随机文件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35" w:type="dxa"/>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2332" w:type="dxa"/>
                  <w:noWrap w:val="0"/>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产品合格证</w:t>
                  </w:r>
                </w:p>
              </w:tc>
              <w:tc>
                <w:tcPr>
                  <w:tcW w:w="780" w:type="dxa"/>
                  <w:noWrap w:val="0"/>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1份</w:t>
                  </w:r>
                </w:p>
              </w:tc>
              <w:tc>
                <w:tcPr>
                  <w:tcW w:w="1699" w:type="dxa"/>
                  <w:noWrap w:val="0"/>
                  <w:vAlign w:val="center"/>
                </w:tcPr>
                <w:p>
                  <w:pPr>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随机文件</w:t>
                  </w:r>
                </w:p>
              </w:tc>
            </w:tr>
          </w:tbl>
          <w:p>
            <w:pPr>
              <w:pStyle w:val="10"/>
              <w:rPr>
                <w:rFonts w:hint="eastAsia" w:ascii="宋体" w:hAnsi="宋体" w:eastAsia="宋体" w:cs="宋体"/>
                <w:color w:val="auto"/>
                <w:kern w:val="0"/>
                <w:sz w:val="21"/>
                <w:szCs w:val="21"/>
                <w:highlight w:val="none"/>
                <w:lang w:val="en-US" w:eastAsia="zh-CN" w:bidi="ar-SA"/>
              </w:rPr>
            </w:pPr>
          </w:p>
        </w:tc>
        <w:tc>
          <w:tcPr>
            <w:tcW w:w="1165" w:type="dxa"/>
            <w:vAlign w:val="center"/>
          </w:tcPr>
          <w:p>
            <w:pPr>
              <w:keepNext w:val="0"/>
              <w:keepLines w:val="0"/>
              <w:widowControl/>
              <w:suppressLineNumbers w:val="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9</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医用吊桥</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38套</w:t>
            </w:r>
          </w:p>
        </w:tc>
        <w:tc>
          <w:tcPr>
            <w:tcW w:w="5160" w:type="dxa"/>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一、桥式吊塔要求：</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1.所有吊塔上承载的设备的电源线路及气源管路和塔体之间没有相对移动，所有电源线路及气源管路必须在塔体不能外露，保证吊塔在移动过程中，不会因位置的改变导致线路脱落的意外发生。</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2.桥式吊塔产品符合欧盟或中国认证标准。</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3.桥式吊塔产品符合气电分离要求，确保吊塔使用安全性。</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4.横梁长度2200mm-3300mm可供选择，最终可根据医院实际场地情况确定。</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5.气体终端要求：各种气体插座均为不同颜色和不同形状，防止误操作，具有Standby (原位待接通状态)功能。插座插头可带气维修，维修费用低廉。</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6.吊塔设备表面喷塑采用环保抗菌粉末，外观采用橘纹处理，美观时尚、更易清洁。</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7.气电箱采用上电下气模式，气体终端安装需低于电源插座，同时电源与气源同面同侧排布，一方面确保即使在漏气情况下，氧气比空气重，不会与电源发生反应，另一方面气电同面同侧方便线缆管理。</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8.所有气管为医用气体管路，医用气体正压柔性管内部直径≥5mm,负压吸引的内部管道直径≥6mm，保证负压的良好使用。</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9.为保证吊塔使用寿命，吊塔外壳应通过涂膜附着力测试。</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10.为适应医疗使用环境，吊塔外壳通过中性盐雾试验。</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二、干区配置：</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 xml:space="preserve">1.干区承重负载能力≥120Kg. </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2.气电箱长度≥800MM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3.标准气体插座至少（空气1个，负压吸引1个，氧气1个），含所有插头</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4.电源插座≥6个</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5.网络接口≥ 1个</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6.等电位住≥1个</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7.二层设备托盘，其中一层带抽屉</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三、湿区配置：</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1.湿区承重负载能力≥120Kg</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2.气电箱长度≥800MM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3.标准气体插座至少（空气1个，负压吸引1个，氧气1个），含所有插头</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4.高度可调不锈钢输液架≥1个。</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5.电源插座≥6个</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6.网络接口≥1个</w:t>
            </w:r>
          </w:p>
        </w:tc>
        <w:tc>
          <w:tcPr>
            <w:tcW w:w="1165" w:type="dxa"/>
            <w:vAlign w:val="center"/>
          </w:tcPr>
          <w:p>
            <w:pPr>
              <w:keepNext w:val="0"/>
              <w:keepLines w:val="0"/>
              <w:widowControl/>
              <w:suppressLineNumbers w:val="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100.7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8" w:hRule="atLeast"/>
          <w:jc w:val="center"/>
        </w:trPr>
        <w:tc>
          <w:tcPr>
            <w:tcW w:w="552"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w:t>
            </w:r>
          </w:p>
        </w:tc>
        <w:tc>
          <w:tcPr>
            <w:tcW w:w="1235" w:type="dxa"/>
            <w:vAlign w:val="center"/>
          </w:tcPr>
          <w:p>
            <w:pPr>
              <w:keepNext w:val="0"/>
              <w:keepLines w:val="0"/>
              <w:widowControl/>
              <w:suppressLineNumbers w:val="0"/>
              <w:jc w:val="center"/>
              <w:textAlignment w:val="center"/>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黄疸治疗仪</w:t>
            </w:r>
          </w:p>
        </w:tc>
        <w:tc>
          <w:tcPr>
            <w:tcW w:w="1231" w:type="dxa"/>
            <w:vAlign w:val="center"/>
          </w:tcPr>
          <w:p>
            <w:pPr>
              <w:keepNext w:val="0"/>
              <w:keepLines w:val="0"/>
              <w:widowControl/>
              <w:suppressLineNumbers w:val="0"/>
              <w:jc w:val="center"/>
              <w:textAlignment w:val="center"/>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5台</w:t>
            </w:r>
          </w:p>
        </w:tc>
        <w:tc>
          <w:tcPr>
            <w:tcW w:w="5160" w:type="dxa"/>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基本要求：</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通过发射主辐射光谱处于400nm至550nm范围内的可见光，来降低新生儿体内的胆红素浓度</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设备技术参数要求：</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 xml:space="preserve">1.光照有效面积：40cm×30cm </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2.★有效表面内的胆红素总辐照度最大值: 5.0mW/cm²</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3.★有效表面内的总辐照度:≥4.5mW/cm²</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4.★胆红素总辐照度平均值: ≥3.0mW/cm²</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5.有效表面内的胆红素总辐照度均匀性：＞0.4</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6.工作噪声：≤50dB(A)</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7.辐照灯箱具有平移功能，辐照角度0～60°倾斜可调</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8.★光源为LED,使用期限≥50000小时</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9.工作总计时显示范围：0～99999.9小时</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10.蓝光输出强度调节范围：0～100%</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11.配置制动脚轮</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12.产品使用期限：≥6年</w:t>
            </w:r>
          </w:p>
        </w:tc>
        <w:tc>
          <w:tcPr>
            <w:tcW w:w="1165" w:type="dxa"/>
            <w:vAlign w:val="center"/>
          </w:tcPr>
          <w:p>
            <w:pPr>
              <w:keepNext w:val="0"/>
              <w:keepLines w:val="0"/>
              <w:widowControl/>
              <w:suppressLineNumbers w:val="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8" w:hRule="atLeast"/>
          <w:jc w:val="center"/>
        </w:trPr>
        <w:tc>
          <w:tcPr>
            <w:tcW w:w="552"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w:t>
            </w:r>
          </w:p>
        </w:tc>
        <w:tc>
          <w:tcPr>
            <w:tcW w:w="1235" w:type="dxa"/>
            <w:vAlign w:val="center"/>
          </w:tcPr>
          <w:p>
            <w:pPr>
              <w:keepNext w:val="0"/>
              <w:keepLines w:val="0"/>
              <w:widowControl/>
              <w:suppressLineNumbers w:val="0"/>
              <w:jc w:val="center"/>
              <w:textAlignment w:val="center"/>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婴儿幅射保暖台</w:t>
            </w:r>
          </w:p>
        </w:tc>
        <w:tc>
          <w:tcPr>
            <w:tcW w:w="1231" w:type="dxa"/>
            <w:vAlign w:val="center"/>
          </w:tcPr>
          <w:p>
            <w:pPr>
              <w:keepNext w:val="0"/>
              <w:keepLines w:val="0"/>
              <w:widowControl/>
              <w:suppressLineNumbers w:val="0"/>
              <w:jc w:val="center"/>
              <w:textAlignment w:val="center"/>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3台</w:t>
            </w:r>
          </w:p>
        </w:tc>
        <w:tc>
          <w:tcPr>
            <w:tcW w:w="5160" w:type="dxa"/>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1、具有预热，手控、肤温等多种模式控制</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2、工作电源：～220V/ 50HZ，输入功率：≤1000VA</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3，辐射采用石英加热体材质</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4、采用带托盘底座</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★5、婴儿床倾斜角度：±12°无级可调</w:t>
            </w:r>
            <w:r>
              <w:rPr>
                <w:rFonts w:hint="eastAsia" w:ascii="宋体" w:hAnsi="宋体" w:eastAsia="宋体" w:cs="宋体"/>
                <w:b w:val="0"/>
                <w:bCs/>
                <w:color w:val="auto"/>
                <w:sz w:val="21"/>
                <w:szCs w:val="21"/>
                <w:highlight w:val="none"/>
                <w:shd w:val="clear" w:color="auto" w:fill="auto"/>
                <w:vertAlign w:val="baseline"/>
                <w:lang w:val="en-US" w:eastAsia="zh-CN"/>
              </w:rPr>
              <w:tab/>
            </w:r>
            <w:r>
              <w:rPr>
                <w:rFonts w:hint="eastAsia" w:ascii="宋体" w:hAnsi="宋体" w:eastAsia="宋体" w:cs="宋体"/>
                <w:b w:val="0"/>
                <w:bCs/>
                <w:color w:val="auto"/>
                <w:sz w:val="21"/>
                <w:szCs w:val="21"/>
                <w:highlight w:val="none"/>
                <w:shd w:val="clear" w:color="auto" w:fill="auto"/>
                <w:vertAlign w:val="baseline"/>
                <w:lang w:val="en-US" w:eastAsia="zh-CN"/>
              </w:rPr>
              <w:tab/>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★6、肤温模式下具有“模拟患儿肤温探头脱落”保护机制，功率自动下降，防止新生儿过热</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★7、手控模式安全机制“每5分钟后发出提示，如果加热功率大于50%，将自动将功率自动降至50%以下，以防止新生儿过热”</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8、具有至少三级声光提示警报系统，符合YY 0709-2009国家医用电气设备报警系统标准</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★9、辐射头水平角度：0°、30°、60°、90°双向可调</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10、肤温控温范围：25.0℃~37.0℃</w:t>
            </w:r>
            <w:r>
              <w:rPr>
                <w:rFonts w:hint="eastAsia" w:ascii="宋体" w:hAnsi="宋体" w:eastAsia="宋体" w:cs="宋体"/>
                <w:b w:val="0"/>
                <w:bCs/>
                <w:color w:val="auto"/>
                <w:sz w:val="21"/>
                <w:szCs w:val="21"/>
                <w:highlight w:val="none"/>
                <w:shd w:val="clear" w:color="auto" w:fill="auto"/>
                <w:vertAlign w:val="baseline"/>
                <w:lang w:val="en-US" w:eastAsia="zh-CN"/>
              </w:rPr>
              <w:tab/>
            </w:r>
            <w:r>
              <w:rPr>
                <w:rFonts w:hint="eastAsia" w:ascii="宋体" w:hAnsi="宋体" w:eastAsia="宋体" w:cs="宋体"/>
                <w:b w:val="0"/>
                <w:bCs/>
                <w:color w:val="auto"/>
                <w:sz w:val="21"/>
                <w:szCs w:val="21"/>
                <w:highlight w:val="none"/>
                <w:shd w:val="clear" w:color="auto" w:fill="auto"/>
                <w:vertAlign w:val="baseline"/>
                <w:lang w:val="en-US" w:eastAsia="zh-CN"/>
              </w:rPr>
              <w:tab/>
            </w:r>
            <w:r>
              <w:rPr>
                <w:rFonts w:hint="eastAsia" w:ascii="宋体" w:hAnsi="宋体" w:eastAsia="宋体" w:cs="宋体"/>
                <w:b w:val="0"/>
                <w:bCs/>
                <w:color w:val="auto"/>
                <w:sz w:val="21"/>
                <w:szCs w:val="21"/>
                <w:highlight w:val="none"/>
                <w:shd w:val="clear" w:color="auto" w:fill="auto"/>
                <w:vertAlign w:val="baseline"/>
                <w:lang w:val="en-US" w:eastAsia="zh-CN"/>
              </w:rPr>
              <w:tab/>
            </w:r>
            <w:r>
              <w:rPr>
                <w:rFonts w:hint="eastAsia" w:ascii="宋体" w:hAnsi="宋体" w:eastAsia="宋体" w:cs="宋体"/>
                <w:b w:val="0"/>
                <w:bCs/>
                <w:color w:val="auto"/>
                <w:sz w:val="21"/>
                <w:szCs w:val="21"/>
                <w:highlight w:val="none"/>
                <w:shd w:val="clear" w:color="auto" w:fill="auto"/>
                <w:vertAlign w:val="baseline"/>
                <w:lang w:val="en-US" w:eastAsia="zh-CN"/>
              </w:rPr>
              <w:tab/>
            </w:r>
            <w:r>
              <w:rPr>
                <w:rFonts w:hint="eastAsia" w:ascii="宋体" w:hAnsi="宋体" w:eastAsia="宋体" w:cs="宋体"/>
                <w:b w:val="0"/>
                <w:bCs/>
                <w:color w:val="auto"/>
                <w:sz w:val="21"/>
                <w:szCs w:val="21"/>
                <w:highlight w:val="none"/>
                <w:shd w:val="clear" w:color="auto" w:fill="auto"/>
                <w:vertAlign w:val="baseline"/>
                <w:lang w:val="en-US" w:eastAsia="zh-CN"/>
              </w:rPr>
              <w:tab/>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11、肤温显示范围：20.0℃~45.0℃</w:t>
            </w:r>
            <w:r>
              <w:rPr>
                <w:rFonts w:hint="eastAsia" w:ascii="宋体" w:hAnsi="宋体" w:eastAsia="宋体" w:cs="宋体"/>
                <w:b w:val="0"/>
                <w:bCs/>
                <w:color w:val="auto"/>
                <w:sz w:val="21"/>
                <w:szCs w:val="21"/>
                <w:highlight w:val="none"/>
                <w:shd w:val="clear" w:color="auto" w:fill="auto"/>
                <w:vertAlign w:val="baseline"/>
                <w:lang w:val="en-US" w:eastAsia="zh-CN"/>
              </w:rPr>
              <w:tab/>
            </w:r>
            <w:r>
              <w:rPr>
                <w:rFonts w:hint="eastAsia" w:ascii="宋体" w:hAnsi="宋体" w:eastAsia="宋体" w:cs="宋体"/>
                <w:b w:val="0"/>
                <w:bCs/>
                <w:color w:val="auto"/>
                <w:sz w:val="21"/>
                <w:szCs w:val="21"/>
                <w:highlight w:val="none"/>
                <w:shd w:val="clear" w:color="auto" w:fill="auto"/>
                <w:vertAlign w:val="baseline"/>
                <w:lang w:val="en-US" w:eastAsia="zh-CN"/>
              </w:rPr>
              <w:tab/>
            </w:r>
            <w:r>
              <w:rPr>
                <w:rFonts w:hint="eastAsia" w:ascii="宋体" w:hAnsi="宋体" w:eastAsia="宋体" w:cs="宋体"/>
                <w:b w:val="0"/>
                <w:bCs/>
                <w:color w:val="auto"/>
                <w:sz w:val="21"/>
                <w:szCs w:val="21"/>
                <w:highlight w:val="none"/>
                <w:shd w:val="clear" w:color="auto" w:fill="auto"/>
                <w:vertAlign w:val="baseline"/>
                <w:lang w:val="en-US" w:eastAsia="zh-CN"/>
              </w:rPr>
              <w:tab/>
            </w:r>
            <w:r>
              <w:rPr>
                <w:rFonts w:hint="eastAsia" w:ascii="宋体" w:hAnsi="宋体" w:eastAsia="宋体" w:cs="宋体"/>
                <w:b w:val="0"/>
                <w:bCs/>
                <w:color w:val="auto"/>
                <w:sz w:val="21"/>
                <w:szCs w:val="21"/>
                <w:highlight w:val="none"/>
                <w:shd w:val="clear" w:color="auto" w:fill="auto"/>
                <w:vertAlign w:val="baseline"/>
                <w:lang w:val="en-US" w:eastAsia="zh-CN"/>
              </w:rPr>
              <w:tab/>
            </w:r>
            <w:r>
              <w:rPr>
                <w:rFonts w:hint="eastAsia" w:ascii="宋体" w:hAnsi="宋体" w:eastAsia="宋体" w:cs="宋体"/>
                <w:b w:val="0"/>
                <w:bCs/>
                <w:color w:val="auto"/>
                <w:sz w:val="21"/>
                <w:szCs w:val="21"/>
                <w:highlight w:val="none"/>
                <w:shd w:val="clear" w:color="auto" w:fill="auto"/>
                <w:vertAlign w:val="baseline"/>
                <w:lang w:val="en-US" w:eastAsia="zh-CN"/>
              </w:rPr>
              <w:tab/>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12、肤温度控制精度：＜0.5℃、皮肤温度传感器精度：±0.3℃</w:t>
            </w:r>
            <w:r>
              <w:rPr>
                <w:rFonts w:hint="eastAsia" w:ascii="宋体" w:hAnsi="宋体" w:eastAsia="宋体" w:cs="宋体"/>
                <w:b w:val="0"/>
                <w:bCs/>
                <w:color w:val="auto"/>
                <w:sz w:val="21"/>
                <w:szCs w:val="21"/>
                <w:highlight w:val="none"/>
                <w:shd w:val="clear" w:color="auto" w:fill="auto"/>
                <w:vertAlign w:val="baseline"/>
                <w:lang w:val="en-US" w:eastAsia="zh-CN"/>
              </w:rPr>
              <w:tab/>
            </w:r>
            <w:r>
              <w:rPr>
                <w:rFonts w:hint="eastAsia" w:ascii="宋体" w:hAnsi="宋体" w:eastAsia="宋体" w:cs="宋体"/>
                <w:b w:val="0"/>
                <w:bCs/>
                <w:color w:val="auto"/>
                <w:sz w:val="21"/>
                <w:szCs w:val="21"/>
                <w:highlight w:val="none"/>
                <w:shd w:val="clear" w:color="auto" w:fill="auto"/>
                <w:vertAlign w:val="baseline"/>
                <w:lang w:val="en-US" w:eastAsia="zh-CN"/>
              </w:rPr>
              <w:tab/>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 xml:space="preserve">13、床面温度均匀性：≤2℃ </w:t>
            </w:r>
            <w:r>
              <w:rPr>
                <w:rFonts w:hint="eastAsia" w:ascii="宋体" w:hAnsi="宋体" w:eastAsia="宋体" w:cs="宋体"/>
                <w:b w:val="0"/>
                <w:bCs/>
                <w:color w:val="auto"/>
                <w:sz w:val="21"/>
                <w:szCs w:val="21"/>
                <w:highlight w:val="none"/>
                <w:shd w:val="clear" w:color="auto" w:fill="auto"/>
                <w:vertAlign w:val="baseline"/>
                <w:lang w:val="en-US" w:eastAsia="zh-CN"/>
              </w:rPr>
              <w:tab/>
            </w:r>
            <w:r>
              <w:rPr>
                <w:rFonts w:hint="eastAsia" w:ascii="宋体" w:hAnsi="宋体" w:eastAsia="宋体" w:cs="宋体"/>
                <w:b w:val="0"/>
                <w:bCs/>
                <w:color w:val="auto"/>
                <w:sz w:val="21"/>
                <w:szCs w:val="21"/>
                <w:highlight w:val="none"/>
                <w:shd w:val="clear" w:color="auto" w:fill="auto"/>
                <w:vertAlign w:val="baseline"/>
                <w:lang w:val="en-US" w:eastAsia="zh-CN"/>
              </w:rPr>
              <w:tab/>
            </w:r>
            <w:r>
              <w:rPr>
                <w:rFonts w:hint="eastAsia" w:ascii="宋体" w:hAnsi="宋体" w:eastAsia="宋体" w:cs="宋体"/>
                <w:b w:val="0"/>
                <w:bCs/>
                <w:color w:val="auto"/>
                <w:sz w:val="21"/>
                <w:szCs w:val="21"/>
                <w:highlight w:val="none"/>
                <w:shd w:val="clear" w:color="auto" w:fill="auto"/>
                <w:vertAlign w:val="baseline"/>
                <w:lang w:val="en-US" w:eastAsia="zh-CN"/>
              </w:rPr>
              <w:tab/>
            </w:r>
            <w:r>
              <w:rPr>
                <w:rFonts w:hint="eastAsia" w:ascii="宋体" w:hAnsi="宋体" w:eastAsia="宋体" w:cs="宋体"/>
                <w:b w:val="0"/>
                <w:bCs/>
                <w:color w:val="auto"/>
                <w:sz w:val="21"/>
                <w:szCs w:val="21"/>
                <w:highlight w:val="none"/>
                <w:shd w:val="clear" w:color="auto" w:fill="auto"/>
                <w:vertAlign w:val="baseline"/>
                <w:lang w:val="en-US" w:eastAsia="zh-CN"/>
              </w:rPr>
              <w:tab/>
            </w:r>
            <w:r>
              <w:rPr>
                <w:rFonts w:hint="eastAsia" w:ascii="宋体" w:hAnsi="宋体" w:eastAsia="宋体" w:cs="宋体"/>
                <w:b w:val="0"/>
                <w:bCs/>
                <w:color w:val="auto"/>
                <w:sz w:val="21"/>
                <w:szCs w:val="21"/>
                <w:highlight w:val="none"/>
                <w:shd w:val="clear" w:color="auto" w:fill="auto"/>
                <w:vertAlign w:val="baseline"/>
                <w:lang w:val="en-US" w:eastAsia="zh-CN"/>
              </w:rPr>
              <w:tab/>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14、具有APGAR评分计时功能</w:t>
            </w:r>
            <w:r>
              <w:rPr>
                <w:rFonts w:hint="eastAsia" w:ascii="宋体" w:hAnsi="宋体" w:eastAsia="宋体" w:cs="宋体"/>
                <w:b w:val="0"/>
                <w:bCs/>
                <w:color w:val="auto"/>
                <w:sz w:val="21"/>
                <w:szCs w:val="21"/>
                <w:highlight w:val="none"/>
                <w:shd w:val="clear" w:color="auto" w:fill="auto"/>
                <w:vertAlign w:val="baseline"/>
                <w:lang w:val="en-US" w:eastAsia="zh-CN"/>
              </w:rPr>
              <w:tab/>
            </w:r>
            <w:r>
              <w:rPr>
                <w:rFonts w:hint="eastAsia" w:ascii="宋体" w:hAnsi="宋体" w:eastAsia="宋体" w:cs="宋体"/>
                <w:b w:val="0"/>
                <w:bCs/>
                <w:color w:val="auto"/>
                <w:sz w:val="21"/>
                <w:szCs w:val="21"/>
                <w:highlight w:val="none"/>
                <w:shd w:val="clear" w:color="auto" w:fill="auto"/>
                <w:vertAlign w:val="baseline"/>
                <w:lang w:val="en-US" w:eastAsia="zh-CN"/>
              </w:rPr>
              <w:tab/>
            </w:r>
            <w:r>
              <w:rPr>
                <w:rFonts w:hint="eastAsia" w:ascii="宋体" w:hAnsi="宋体" w:eastAsia="宋体" w:cs="宋体"/>
                <w:b w:val="0"/>
                <w:bCs/>
                <w:color w:val="auto"/>
                <w:sz w:val="21"/>
                <w:szCs w:val="21"/>
                <w:highlight w:val="none"/>
                <w:shd w:val="clear" w:color="auto" w:fill="auto"/>
                <w:vertAlign w:val="baseline"/>
                <w:lang w:val="en-US" w:eastAsia="zh-CN"/>
              </w:rPr>
              <w:tab/>
            </w:r>
            <w:r>
              <w:rPr>
                <w:rFonts w:hint="eastAsia" w:ascii="宋体" w:hAnsi="宋体" w:eastAsia="宋体" w:cs="宋体"/>
                <w:b w:val="0"/>
                <w:bCs/>
                <w:color w:val="auto"/>
                <w:sz w:val="21"/>
                <w:szCs w:val="21"/>
                <w:highlight w:val="none"/>
                <w:shd w:val="clear" w:color="auto" w:fill="auto"/>
                <w:vertAlign w:val="baseline"/>
                <w:lang w:val="en-US" w:eastAsia="zh-CN"/>
              </w:rPr>
              <w:tab/>
            </w:r>
            <w:r>
              <w:rPr>
                <w:rFonts w:hint="eastAsia" w:ascii="宋体" w:hAnsi="宋体" w:eastAsia="宋体" w:cs="宋体"/>
                <w:b w:val="0"/>
                <w:bCs/>
                <w:color w:val="auto"/>
                <w:sz w:val="21"/>
                <w:szCs w:val="21"/>
                <w:highlight w:val="none"/>
                <w:shd w:val="clear" w:color="auto" w:fill="auto"/>
                <w:vertAlign w:val="baseline"/>
                <w:lang w:val="en-US" w:eastAsia="zh-CN"/>
              </w:rPr>
              <w:tab/>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15、婴儿有效床面长宽≥54cmX65CM</w:t>
            </w:r>
            <w:r>
              <w:rPr>
                <w:rFonts w:hint="eastAsia" w:ascii="宋体" w:hAnsi="宋体" w:eastAsia="宋体" w:cs="宋体"/>
                <w:b w:val="0"/>
                <w:bCs/>
                <w:color w:val="auto"/>
                <w:sz w:val="21"/>
                <w:szCs w:val="21"/>
                <w:highlight w:val="none"/>
                <w:shd w:val="clear" w:color="auto" w:fill="auto"/>
                <w:vertAlign w:val="baseline"/>
                <w:lang w:val="en-US" w:eastAsia="zh-CN"/>
              </w:rPr>
              <w:tab/>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16、婴儿床周边挡板厚度≥0.8cm，床边挡板可向下设置、拆卸，便于操作</w:t>
            </w:r>
            <w:r>
              <w:rPr>
                <w:rFonts w:hint="eastAsia" w:ascii="宋体" w:hAnsi="宋体" w:eastAsia="宋体" w:cs="宋体"/>
                <w:b w:val="0"/>
                <w:bCs/>
                <w:color w:val="auto"/>
                <w:sz w:val="21"/>
                <w:szCs w:val="21"/>
                <w:highlight w:val="none"/>
                <w:shd w:val="clear" w:color="auto" w:fill="auto"/>
                <w:vertAlign w:val="baseline"/>
                <w:lang w:val="en-US" w:eastAsia="zh-CN"/>
              </w:rPr>
              <w:tab/>
            </w:r>
            <w:r>
              <w:rPr>
                <w:rFonts w:hint="eastAsia" w:ascii="宋体" w:hAnsi="宋体" w:eastAsia="宋体" w:cs="宋体"/>
                <w:b w:val="0"/>
                <w:bCs/>
                <w:color w:val="auto"/>
                <w:sz w:val="21"/>
                <w:szCs w:val="21"/>
                <w:highlight w:val="none"/>
                <w:shd w:val="clear" w:color="auto" w:fill="auto"/>
                <w:vertAlign w:val="baseline"/>
                <w:lang w:val="en-US" w:eastAsia="zh-CN"/>
              </w:rPr>
              <w:t xml:space="preserve"> </w:t>
            </w:r>
            <w:r>
              <w:rPr>
                <w:rFonts w:hint="eastAsia" w:ascii="宋体" w:hAnsi="宋体" w:eastAsia="宋体" w:cs="宋体"/>
                <w:b w:val="0"/>
                <w:bCs/>
                <w:color w:val="auto"/>
                <w:sz w:val="21"/>
                <w:szCs w:val="21"/>
                <w:highlight w:val="none"/>
                <w:shd w:val="clear" w:color="auto" w:fill="auto"/>
                <w:vertAlign w:val="baseline"/>
                <w:lang w:val="en-US" w:eastAsia="zh-CN"/>
              </w:rPr>
              <w:tab/>
            </w:r>
            <w:r>
              <w:rPr>
                <w:rFonts w:hint="eastAsia" w:ascii="宋体" w:hAnsi="宋体" w:eastAsia="宋体" w:cs="宋体"/>
                <w:b w:val="0"/>
                <w:bCs/>
                <w:color w:val="auto"/>
                <w:sz w:val="21"/>
                <w:szCs w:val="21"/>
                <w:highlight w:val="none"/>
                <w:shd w:val="clear" w:color="auto" w:fill="auto"/>
                <w:vertAlign w:val="baseline"/>
                <w:lang w:val="en-US" w:eastAsia="zh-CN"/>
              </w:rPr>
              <w:tab/>
            </w:r>
            <w:r>
              <w:rPr>
                <w:rFonts w:hint="eastAsia" w:ascii="宋体" w:hAnsi="宋体" w:eastAsia="宋体" w:cs="宋体"/>
                <w:b w:val="0"/>
                <w:bCs/>
                <w:color w:val="auto"/>
                <w:sz w:val="21"/>
                <w:szCs w:val="21"/>
                <w:highlight w:val="none"/>
                <w:shd w:val="clear" w:color="auto" w:fill="auto"/>
                <w:vertAlign w:val="baseline"/>
                <w:lang w:val="en-US" w:eastAsia="zh-CN"/>
              </w:rPr>
              <w:tab/>
            </w:r>
            <w:r>
              <w:rPr>
                <w:rFonts w:hint="eastAsia" w:ascii="宋体" w:hAnsi="宋体" w:eastAsia="宋体" w:cs="宋体"/>
                <w:b w:val="0"/>
                <w:bCs/>
                <w:color w:val="auto"/>
                <w:sz w:val="21"/>
                <w:szCs w:val="21"/>
                <w:highlight w:val="none"/>
                <w:shd w:val="clear" w:color="auto" w:fill="auto"/>
                <w:vertAlign w:val="baseline"/>
                <w:lang w:val="en-US" w:eastAsia="zh-CN"/>
              </w:rPr>
              <w:tab/>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19、声光提示故障报警：断电、超温、温度偏差、皮肤温度传感器、手动提示、消音提示等</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20、安全性要求符合YY0455-2011、YY0669-2008、YY0636.1-2008、YY0505-2012 标准</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配置清单</w:t>
            </w:r>
          </w:p>
          <w:tbl>
            <w:tblPr>
              <w:tblStyle w:val="17"/>
              <w:tblW w:w="5019" w:type="dxa"/>
              <w:tblInd w:w="-4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9"/>
              <w:gridCol w:w="1032"/>
              <w:gridCol w:w="2328"/>
              <w:gridCol w:w="576"/>
              <w:gridCol w:w="6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序号</w:t>
                  </w:r>
                </w:p>
              </w:tc>
              <w:tc>
                <w:tcPr>
                  <w:tcW w:w="10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名称</w:t>
                  </w:r>
                </w:p>
              </w:tc>
              <w:tc>
                <w:tcPr>
                  <w:tcW w:w="23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隶属部件及主要功能</w:t>
                  </w:r>
                </w:p>
              </w:tc>
              <w:tc>
                <w:tcPr>
                  <w:tcW w:w="5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单位</w:t>
                  </w:r>
                </w:p>
              </w:tc>
              <w:tc>
                <w:tcPr>
                  <w:tcW w:w="6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 w:hRule="atLeast"/>
              </w:trPr>
              <w:tc>
                <w:tcPr>
                  <w:tcW w:w="459"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w:t>
                  </w:r>
                </w:p>
              </w:tc>
              <w:tc>
                <w:tcPr>
                  <w:tcW w:w="103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主机部分</w:t>
                  </w:r>
                </w:p>
              </w:tc>
              <w:tc>
                <w:tcPr>
                  <w:tcW w:w="23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主机</w:t>
                  </w:r>
                </w:p>
              </w:tc>
              <w:tc>
                <w:tcPr>
                  <w:tcW w:w="5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台</w:t>
                  </w:r>
                </w:p>
              </w:tc>
              <w:tc>
                <w:tcPr>
                  <w:tcW w:w="6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2" w:hRule="atLeast"/>
              </w:trPr>
              <w:tc>
                <w:tcPr>
                  <w:tcW w:w="459"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p>
              </w:tc>
              <w:tc>
                <w:tcPr>
                  <w:tcW w:w="103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p>
              </w:tc>
              <w:tc>
                <w:tcPr>
                  <w:tcW w:w="23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 xml:space="preserve">控温仪:   </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APGAR评分计时显示                                                                       40%恒定功率加温安全防护</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肤温探头脱落模拟保护</w:t>
                  </w:r>
                </w:p>
              </w:tc>
              <w:tc>
                <w:tcPr>
                  <w:tcW w:w="5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套</w:t>
                  </w:r>
                </w:p>
              </w:tc>
              <w:tc>
                <w:tcPr>
                  <w:tcW w:w="6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59"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p>
              </w:tc>
              <w:tc>
                <w:tcPr>
                  <w:tcW w:w="103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p>
              </w:tc>
              <w:tc>
                <w:tcPr>
                  <w:tcW w:w="23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有机挡板</w:t>
                  </w:r>
                </w:p>
              </w:tc>
              <w:tc>
                <w:tcPr>
                  <w:tcW w:w="5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套</w:t>
                  </w:r>
                </w:p>
              </w:tc>
              <w:tc>
                <w:tcPr>
                  <w:tcW w:w="6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59"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p>
              </w:tc>
              <w:tc>
                <w:tcPr>
                  <w:tcW w:w="103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p>
              </w:tc>
              <w:tc>
                <w:tcPr>
                  <w:tcW w:w="23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支架底座</w:t>
                  </w:r>
                </w:p>
              </w:tc>
              <w:tc>
                <w:tcPr>
                  <w:tcW w:w="5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套</w:t>
                  </w:r>
                </w:p>
              </w:tc>
              <w:tc>
                <w:tcPr>
                  <w:tcW w:w="6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59"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p>
              </w:tc>
              <w:tc>
                <w:tcPr>
                  <w:tcW w:w="103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p>
              </w:tc>
              <w:tc>
                <w:tcPr>
                  <w:tcW w:w="23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LED照明</w:t>
                  </w:r>
                </w:p>
              </w:tc>
              <w:tc>
                <w:tcPr>
                  <w:tcW w:w="5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套</w:t>
                  </w:r>
                </w:p>
              </w:tc>
              <w:tc>
                <w:tcPr>
                  <w:tcW w:w="6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459"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p>
              </w:tc>
              <w:tc>
                <w:tcPr>
                  <w:tcW w:w="103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p>
              </w:tc>
              <w:tc>
                <w:tcPr>
                  <w:tcW w:w="23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辐射头组件：</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石英管加热</w:t>
                  </w:r>
                </w:p>
              </w:tc>
              <w:tc>
                <w:tcPr>
                  <w:tcW w:w="5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套</w:t>
                  </w:r>
                </w:p>
              </w:tc>
              <w:tc>
                <w:tcPr>
                  <w:tcW w:w="6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59"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p>
              </w:tc>
              <w:tc>
                <w:tcPr>
                  <w:tcW w:w="103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p>
              </w:tc>
              <w:tc>
                <w:tcPr>
                  <w:tcW w:w="23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标准床盘</w:t>
                  </w:r>
                </w:p>
              </w:tc>
              <w:tc>
                <w:tcPr>
                  <w:tcW w:w="5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套</w:t>
                  </w:r>
                </w:p>
              </w:tc>
              <w:tc>
                <w:tcPr>
                  <w:tcW w:w="6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59"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p>
              </w:tc>
              <w:tc>
                <w:tcPr>
                  <w:tcW w:w="103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p>
              </w:tc>
              <w:tc>
                <w:tcPr>
                  <w:tcW w:w="23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上立柱</w:t>
                  </w:r>
                </w:p>
              </w:tc>
              <w:tc>
                <w:tcPr>
                  <w:tcW w:w="5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套</w:t>
                  </w:r>
                </w:p>
              </w:tc>
              <w:tc>
                <w:tcPr>
                  <w:tcW w:w="6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459"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p>
              </w:tc>
              <w:tc>
                <w:tcPr>
                  <w:tcW w:w="103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p>
              </w:tc>
              <w:tc>
                <w:tcPr>
                  <w:tcW w:w="23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床体倾斜机制</w:t>
                  </w:r>
                </w:p>
              </w:tc>
              <w:tc>
                <w:tcPr>
                  <w:tcW w:w="5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套</w:t>
                  </w:r>
                </w:p>
              </w:tc>
              <w:tc>
                <w:tcPr>
                  <w:tcW w:w="6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59"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p>
              </w:tc>
              <w:tc>
                <w:tcPr>
                  <w:tcW w:w="103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p>
              </w:tc>
              <w:tc>
                <w:tcPr>
                  <w:tcW w:w="23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预留负压吸引接口</w:t>
                  </w:r>
                </w:p>
              </w:tc>
              <w:tc>
                <w:tcPr>
                  <w:tcW w:w="5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59"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p>
              </w:tc>
              <w:tc>
                <w:tcPr>
                  <w:tcW w:w="103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p>
              </w:tc>
              <w:tc>
                <w:tcPr>
                  <w:tcW w:w="23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预留负氧气瓶架接口</w:t>
                  </w:r>
                </w:p>
              </w:tc>
              <w:tc>
                <w:tcPr>
                  <w:tcW w:w="5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w:t>
                  </w:r>
                </w:p>
              </w:tc>
              <w:tc>
                <w:tcPr>
                  <w:tcW w:w="10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肤温传感器</w:t>
                  </w:r>
                </w:p>
              </w:tc>
              <w:tc>
                <w:tcPr>
                  <w:tcW w:w="23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w:t>
                  </w:r>
                </w:p>
              </w:tc>
              <w:tc>
                <w:tcPr>
                  <w:tcW w:w="5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套</w:t>
                  </w:r>
                </w:p>
              </w:tc>
              <w:tc>
                <w:tcPr>
                  <w:tcW w:w="6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w:t>
                  </w:r>
                </w:p>
              </w:tc>
              <w:tc>
                <w:tcPr>
                  <w:tcW w:w="10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托盘组装</w:t>
                  </w:r>
                </w:p>
              </w:tc>
              <w:tc>
                <w:tcPr>
                  <w:tcW w:w="23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w:t>
                  </w:r>
                </w:p>
              </w:tc>
              <w:tc>
                <w:tcPr>
                  <w:tcW w:w="5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套</w:t>
                  </w:r>
                </w:p>
              </w:tc>
              <w:tc>
                <w:tcPr>
                  <w:tcW w:w="6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4</w:t>
                  </w:r>
                </w:p>
              </w:tc>
              <w:tc>
                <w:tcPr>
                  <w:tcW w:w="10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输液架</w:t>
                  </w:r>
                </w:p>
              </w:tc>
              <w:tc>
                <w:tcPr>
                  <w:tcW w:w="23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w:t>
                  </w:r>
                </w:p>
              </w:tc>
              <w:tc>
                <w:tcPr>
                  <w:tcW w:w="5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套</w:t>
                  </w:r>
                </w:p>
              </w:tc>
              <w:tc>
                <w:tcPr>
                  <w:tcW w:w="6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w:t>
                  </w:r>
                </w:p>
              </w:tc>
            </w:tr>
          </w:tbl>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bCs/>
                <w:i w:val="0"/>
                <w:iCs w:val="0"/>
                <w:color w:val="auto"/>
                <w:kern w:val="0"/>
                <w:sz w:val="21"/>
                <w:szCs w:val="21"/>
                <w:highlight w:val="none"/>
                <w:u w:val="none"/>
                <w:lang w:val="en-US" w:eastAsia="zh-CN" w:bidi="ar"/>
              </w:rPr>
            </w:pPr>
          </w:p>
        </w:tc>
        <w:tc>
          <w:tcPr>
            <w:tcW w:w="1165" w:type="dxa"/>
            <w:vAlign w:val="center"/>
          </w:tcPr>
          <w:p>
            <w:pPr>
              <w:keepNext w:val="0"/>
              <w:keepLines w:val="0"/>
              <w:widowControl/>
              <w:suppressLineNumbers w:val="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8" w:hRule="atLeast"/>
          <w:jc w:val="center"/>
        </w:trPr>
        <w:tc>
          <w:tcPr>
            <w:tcW w:w="552"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w:t>
            </w:r>
          </w:p>
        </w:tc>
        <w:tc>
          <w:tcPr>
            <w:tcW w:w="1235"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心电监护仪</w:t>
            </w:r>
          </w:p>
        </w:tc>
        <w:tc>
          <w:tcPr>
            <w:tcW w:w="1231"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4台</w:t>
            </w:r>
          </w:p>
        </w:tc>
        <w:tc>
          <w:tcPr>
            <w:tcW w:w="5160" w:type="dxa"/>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一．监护参数</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（ECG）、呼吸(RESP)、无创血压(NIBP)、血氧饱和度(SpO2)、脉搏(PR)、双通道体温(TEMP)、屏幕尺寸：≥8.4英寸彩色显示屏</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1.★支持同屏显示至少11道波形</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2.可根据医护人员临床观察需要自由组合4个参数和波形进行大字体显示功能，大字体界面需支持NIBP多组回顾、对比，</w:t>
            </w:r>
            <w:r>
              <w:rPr>
                <w:rFonts w:hint="eastAsia" w:ascii="宋体" w:hAnsi="宋体" w:eastAsia="宋体" w:cs="宋体"/>
                <w:b w:val="0"/>
                <w:bCs/>
                <w:color w:val="auto"/>
                <w:sz w:val="21"/>
                <w:szCs w:val="21"/>
                <w:highlight w:val="none"/>
                <w:shd w:val="clear" w:color="auto" w:fill="auto"/>
                <w:vertAlign w:val="baseline"/>
                <w:lang w:val="en" w:eastAsia="zh-CN"/>
              </w:rPr>
              <w:t>使得医护人员可以全方位、远距离清晰观察</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3.具有呼吸氧合图观察界面，同步显示心率、呼吸、血氧饱和度参数，准确反映患者三个参数间的关联反应，帮助医生准确作出判断</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4.具有短趋势共存界面显示，方便同屏查看实时数据及趋势</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5.支持待机模式、夜间模式、演示模式、隐私模式等</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数据存储、回顾</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1.单个记录信息量包含至少240小时（分辨率1分钟）的趋势图/趋势表数据、至少1200组NIBP数据、至少200组心律失常事件和至少48小时全息波形</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2.主机配备一个VGA或HDMI接口以及不少于2个USB口，可用于外接条码枪扫描枪、键盘、U盘储存等设备</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二．性能特点</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1.支持七道心电波形同屏显示、心电波形级联</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2.心电增益有：1.25mm/mv (×0.125), 2.5 mm/mv (×0.25), 5 mm/mv (×0.5),10 mm/mv (×1), 20 mm/mv (×2), 40 mm/mv (×4),自动增益，多种选择，满足临床需求</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3.★共模抑制比：弱滤波模式：&gt; 95dB；监护模式：&gt; 105dB；强滤波模式：&gt; 105dB</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4.★ST段分析功能：在强滤波、监护、弱滤波模式下，均支持进行ST段分析，保证各类病人监护安全</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5.标配一体式挂床提手，便于转运监护时挂床安装</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6.具有待机功能，暂时停止所有监护操作，节省功耗．退出该状态，就可立即进行监护</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7.具有脉搏调制音，通过心跳声音的音调变化来判断血氧饱和度的高低变化,使医护人员从听觉中获取病人生命体征</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8.选配条形码扫描枪，方便快速录入病人信息</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9.具有护士呼叫功能，能够把病人信息报警直接传递到护士站</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10.声光双重三级报警，同屏显示报警上下限</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11.★技术报警和生理报警分别有各自的报警指示灯（2个独立的报警指示灯）</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12.可配旁流/主流呼气末二氧化碳, 旁流呼吸末二氧化碳抽气速率低至50ml/min，不再需要传统的脱水瓶</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13.可配旁流/主流呼气末二氧化碳,即插即用，无需用户设置，软件自动识别和加载应用</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 xml:space="preserve">14.内含NIBP防尘阀设计，减少气路障碍，有效延长泵使用寿命，提高测量准确性 </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15.支持选配无线联网功能，实现无线/有线等混合方式联网</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16.支持选配触摸屏操作，支持锁屏功能，防止外界干扰影响监护仪的工作状态</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17.标配可拆卸充电锂电池，具有RJ-45网络口、辅助输出接口、VGA外接显示器接口、USB口、防盗锁孔、电源线卡扣（防止电源脱落）等</w:t>
            </w:r>
          </w:p>
          <w:p>
            <w:pPr>
              <w:pStyle w:val="1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18.公司通过ISO13485质量管理体系和ISO14001环境管理体系认证</w:t>
            </w:r>
          </w:p>
        </w:tc>
        <w:tc>
          <w:tcPr>
            <w:tcW w:w="1165" w:type="dxa"/>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8" w:hRule="atLeast"/>
          <w:jc w:val="center"/>
        </w:trPr>
        <w:tc>
          <w:tcPr>
            <w:tcW w:w="552"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w:t>
            </w:r>
          </w:p>
        </w:tc>
        <w:tc>
          <w:tcPr>
            <w:tcW w:w="1235"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空氧混合仪</w:t>
            </w:r>
          </w:p>
        </w:tc>
        <w:tc>
          <w:tcPr>
            <w:tcW w:w="1231" w:type="dxa"/>
            <w:vAlign w:val="center"/>
          </w:tcPr>
          <w:p>
            <w:pPr>
              <w:keepNext w:val="0"/>
              <w:keepLines w:val="0"/>
              <w:widowControl/>
              <w:suppressLineNumbers w:val="0"/>
              <w:jc w:val="center"/>
              <w:textAlignment w:val="center"/>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3台</w:t>
            </w:r>
          </w:p>
        </w:tc>
        <w:tc>
          <w:tcPr>
            <w:tcW w:w="5160" w:type="dxa"/>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空氧混合器是根据临床医护人员安全使用各种浓度氧源救助病人，预防早产儿/新生儿视网膜眼底病（ROP）的发生而设计的专用设备。产品在充分考虑不同氧浓度在临床应用中不可缺少的同时，通过氧浓度调节避免长时间用纯氧所产生的不利因素。产品安全、准确、稳定，尤其对新生儿、早产儿用氧提供安全、可靠的保证。</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产品性能特点：</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1.专用于头罩供氧、鼻导管吸氧，暖箱，新生儿T-组合复苏器、体外循环机。</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2.氧浓度21%~100%连续可调。</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3.氧浓度、流量分开调节，互不影响。</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4.表面经过阳极氧化处理。</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5.机械膜片平衡原理。</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广泛应用于：</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复苏囊用氧，头罩、面罩用氧，鼻导管、套管吸氧，暖箱供氧，NCPAP，ECMO，体外循环等。</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双流量计单输出口</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氧浓度调节范围：21%~100%</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流量调节范围：0.1LPM~1.0LPM  &amp;  1LPM~10LPM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气源故障报警：</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　  /供气压力差报警：供气气源压力差&gt;0.1MPa,声觉报警</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    /声觉报警至少60s，噪音至少57dB（A）</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/供气气压恢复正常时，报警自动停止。</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性能要求：符合YY 0893</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通用参数：</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氧气和空气压力：0.3MPa~0.4MPa</w:t>
            </w:r>
          </w:p>
        </w:tc>
        <w:tc>
          <w:tcPr>
            <w:tcW w:w="1165" w:type="dxa"/>
            <w:vAlign w:val="center"/>
          </w:tcPr>
          <w:p>
            <w:pPr>
              <w:keepNext w:val="0"/>
              <w:keepLines w:val="0"/>
              <w:widowControl/>
              <w:suppressLineNumbers w:val="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5"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11</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升温系统</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5套</w:t>
            </w:r>
          </w:p>
        </w:tc>
        <w:tc>
          <w:tcPr>
            <w:tcW w:w="5160" w:type="dxa"/>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一 、用途：用于预防和治疗低温症和减少病人因寒冷引起的不适。</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二、 技术参数：</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1.采用充气式加温方式</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2.★运行温度≥4档：室温档，低档，中档，高档</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3.风速:具备两档气流（高速≤37CFM.低速≥32CFM）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4.过滤器：高效空气过滤系统，空气过滤器≤0.2微米</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5.温度感应器≥三个，可进行连续监测系统温度，精准保证出风口处的气流温度</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6.★保温毯采用排水孔的液体处理方式，收集术中液体装置，能预防压疮。</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7.★保温毯采用中央汇管技术保证毯子热量分布均匀.</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8.多种保温毯毯型，满足不同类型手术的需求。包括全身毯，上身毯，下身毯，儿科毯，专科及心脏外科毯等，配置型号≥25种。</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9.垫毯：垫毯系列产品的独特设计不会对医护人员的操作造成任何阻碍，可提供适用于所有手术类型的毯子。有特殊设计的截石位毯型、并有无菌垫毯可用于心脏外科手术或更高级的无菌手术。</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10.升温毯不含乳胶，阻燃性符合要求I类标准，材质柔软可透X射线。</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11.加温毯独特设计：部分毯型头部位置可拆卸以便各种体位摆放；两侧配有预切线，方便病人固定。部分毯型提供至少2个加温软管通道进气，可根据临床要求随意调整设备摆放位置。垫毯提供透明布帘，用于捕集热量，提升加温效果。</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12.噪音：高速运行≤53分贝，低速运行≤48分贝</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13.具备内置计时器，准确记录使用时间并及时安排维护</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14.安全：</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14.1过热测试：使用检测包直接在前面板调节</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14.2 校准：使用检测包直接在前面板调节</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14.3安全系统：图示及报警提示音功能。</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14.4★能监测并显示加温时间，最高温度≤56℃，具备过热警示功能，能提示错误代码，可将所有这些信息都能直观的在主面板上显示。</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三、配置：包含充气式动力升温仪主机 (包括机身,软管,数据线) 一套，说明书一本、小推车一台。</w:t>
            </w:r>
          </w:p>
        </w:tc>
        <w:tc>
          <w:tcPr>
            <w:tcW w:w="1165" w:type="dxa"/>
            <w:vAlign w:val="center"/>
          </w:tcPr>
          <w:p>
            <w:pPr>
              <w:keepNext w:val="0"/>
              <w:keepLines w:val="0"/>
              <w:widowControl/>
              <w:suppressLineNumbers w:val="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3"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11</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电动气压止血带</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3套</w:t>
            </w:r>
          </w:p>
        </w:tc>
        <w:tc>
          <w:tcPr>
            <w:tcW w:w="5160" w:type="dxa"/>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主要性能指标：</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1.压力设定范围：0 KPa-100 KPa，压力误差：±5 KPa，</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2.时间设定范围：0-120分钟，初始充气时间：≤60秒，</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3.工作状态噪声：≤60dB（A）.</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4.设定建议（可调）：上肢压力：40KPa。下肢压力：80KPa.</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5.在剩余时间还有10分、5分、1分钟时或其他时间时（可设定），会有相应的蜂鸣提示。</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b w:val="0"/>
                <w:bCs/>
                <w:color w:val="auto"/>
                <w:kern w:val="2"/>
                <w:sz w:val="21"/>
                <w:szCs w:val="21"/>
                <w:highlight w:val="none"/>
                <w:lang w:val="en-US" w:eastAsia="zh-CN" w:bidi="ar-SA"/>
              </w:rPr>
            </w:pPr>
          </w:p>
        </w:tc>
        <w:tc>
          <w:tcPr>
            <w:tcW w:w="1165" w:type="dxa"/>
            <w:vAlign w:val="center"/>
          </w:tcPr>
          <w:p>
            <w:pPr>
              <w:keepNext w:val="0"/>
              <w:keepLines w:val="0"/>
              <w:widowControl/>
              <w:suppressLineNumbers w:val="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8"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12</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电动综合手术床</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5台</w:t>
            </w:r>
          </w:p>
        </w:tc>
        <w:tc>
          <w:tcPr>
            <w:tcW w:w="5160" w:type="dxa"/>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1.床面为四段式设计, 手术台升降、纵转、横转、背部、平移等动作采用电动油压系统操作，稳固、安全。</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2.床面尺寸:至少 2040mm(长)*520mm(宽) 。</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3.手术台床面升降行程不小于300mm,最低高度不高于600mm，完全符合腔镜手术及一般外科手术临床需求。</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4.手术台升降柱及底座均采用SUS304不锈钢制成,具有耐酸碱、抗污、易清洁以及不生锈的优点。</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5.采用至少8cm高密度海棉床垫 ，可释放长时间手术所造成病人躯体与床面接触所造成之压力，防止产生褥疮。</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6.T型底座设计，可方便医生站立，稳定性更佳。</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7.手术台标配头、脚板位置对调、安装功能，加大床身C型臂透视面积。</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8.手术台搭配紧急断电开关，当手术台发生紧急故障时，可以立即切断电源，符合国标安规规范。</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9.内建电动液压式肾桥，顶举高度达至少100mm。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10.床面全部采用可透视材质制成。</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11.头板、脚板关节采用快拆系统设计，方便牢固。</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12.头板及脚板板采用气压棒设计，方便操作</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13.手术台采用点式电动油压剎车，安全稳固。</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 xml:space="preserve">14.床面可双向（向头、向脚）平移≥300mm，方便手术时C型臂运用，提供X光大面积透视。 </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 xml:space="preserve">15.最大承载重量≥250Kg                                                                                                </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16.标配背光手控器、升降柱辅控器及选配脚控器等三种操作模式，安全可靠。</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17.标配铅酸蓄电池，实现刷手区无线化管理。</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18.配置要求：主机1台、头板1个、腿板1对、手臂板1对、手控器1个、床垫1套、麻醉布帘架1套、托手架1套、腰架1对、大腿架1对、身体绑带1根、手臂板绑带2根、说明书1本。</w:t>
            </w:r>
          </w:p>
        </w:tc>
        <w:tc>
          <w:tcPr>
            <w:tcW w:w="1165" w:type="dxa"/>
            <w:vAlign w:val="center"/>
          </w:tcPr>
          <w:p>
            <w:pPr>
              <w:keepNext w:val="0"/>
              <w:keepLines w:val="0"/>
              <w:widowControl/>
              <w:suppressLineNumbers w:val="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77.25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8"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13</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LED手术无影灯(双头)</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8套</w:t>
            </w:r>
          </w:p>
        </w:tc>
        <w:tc>
          <w:tcPr>
            <w:tcW w:w="5160" w:type="dxa"/>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1.采用LED冷光技术，每组LED光源都有单独的透镜聚光。</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2.灯头为风车型设计，具有良好的层流穿透效果，双灯均符合DIN1946-4现代层流手术室感控要求，扰流指数＜20%。</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3.★母灯LED灯泡≥36个，子灯LED灯泡≥36个；每个LED光源可单独更换，降低售后维护成本。</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4.灯头操作扶手与灯头一体成型，便于非洁净区人员移动手术灯位置的同时，医护人员清洁时不会留残留污染，影响洁净消毒效果。</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5.灯头采用一体化无螺钉设计，无拼接缝隙，医护人员清洁更方便，不会留残留污染而影响洁净消毒效果。</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6.手术灯灯头≥IP54防水防尘等级。</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7.母灯最大中心照度160,000lx，检测结果不低于155000lx。子灯最大中心照度160,000lx，检测结果不低于155000lx。</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8.20%光柱深度（大光斑）：1400mm。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9.60%光柱深度（大光斑）：800mm。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10.★光斑直径可以调节，母灯及子灯均满足最小光斑直径d10为140mm，最大光斑直径d10为300mm。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11.★光斑均匀性：d50/d10≥60%。</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12.双灯深腔照明率：≥100%。</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13.偏置单遮板无影率：≥76%</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14.显色指数Ra：≥99。</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15.显色指数R9：≥97。</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16.具备色温可调功能，可调范围不小于3500K-5100K，不少于5级可调。</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17.光源功率≤40W，节能环保。</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18.辐照度/中心照度≤3.5 mW/( m2·lx)</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19.★小C臂绕大C臂旋转范围：无限位，且灯头绕C臂旋转范围：无限位。</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20.★腔镜模式环境光光斑直径≥60cm，可覆盖胸腹腔；光斑均匀性不低于50%；照度不低于3000lux。</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21.无影灯采用模块化设计，安装时不需要拆卸天花且不会改变层流结构，即可于无影灯旋转体基础上升级第三臂或第四臂显示器悬挂系统。</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22.具备照度稳定技术，保证手术灯十年寿命周期内照度稳定。</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23.可选配远程控制功能，满足通过远程一键至少可预设手术灯光斑、照度等功能。</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24.可选配无线摄像，不小于8倍光学变焦</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25.无线摄像与多功能手柄无工具快速更换；多手术间共享摄像头</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HyLED C7/C7手术灯标准配/台</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1.双灯悬吊系统</w:t>
            </w:r>
            <w:r>
              <w:rPr>
                <w:rFonts w:hint="eastAsia" w:ascii="宋体" w:hAnsi="宋体" w:eastAsia="宋体" w:cs="宋体"/>
                <w:b w:val="0"/>
                <w:bCs/>
                <w:color w:val="auto"/>
                <w:sz w:val="21"/>
                <w:szCs w:val="21"/>
                <w:highlight w:val="none"/>
                <w:shd w:val="clear" w:color="auto" w:fill="auto"/>
                <w:vertAlign w:val="baseline"/>
                <w:lang w:val="en-US" w:eastAsia="zh-CN"/>
              </w:rPr>
              <w:tab/>
            </w:r>
            <w:r>
              <w:rPr>
                <w:rFonts w:hint="eastAsia" w:ascii="宋体" w:hAnsi="宋体" w:eastAsia="宋体" w:cs="宋体"/>
                <w:b w:val="0"/>
                <w:bCs/>
                <w:color w:val="auto"/>
                <w:sz w:val="21"/>
                <w:szCs w:val="21"/>
                <w:highlight w:val="none"/>
                <w:shd w:val="clear" w:color="auto" w:fill="auto"/>
                <w:vertAlign w:val="baseline"/>
                <w:lang w:val="en-US" w:eastAsia="zh-CN"/>
              </w:rPr>
              <w:t>1套</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2.C7灯头带C臂组件，关节无限位2套</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3.灭菌手柄（HyLED X）2个</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4.天花吊顶装饰组件1个</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5.LED灯标准安装及服务（全包）1次</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6.普通手柄 2个</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7.C7灯头，色温可调，按键臂控2个</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8.普通腔镜环境光（8000lux）2 套</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b w:val="0"/>
                <w:bCs/>
                <w:color w:val="auto"/>
                <w:kern w:val="2"/>
                <w:sz w:val="21"/>
                <w:szCs w:val="21"/>
                <w:highlight w:val="none"/>
                <w:lang w:val="en-US" w:eastAsia="zh-CN" w:bidi="ar-SA"/>
              </w:rPr>
            </w:pPr>
          </w:p>
        </w:tc>
        <w:tc>
          <w:tcPr>
            <w:tcW w:w="1165" w:type="dxa"/>
            <w:vAlign w:val="center"/>
          </w:tcPr>
          <w:p>
            <w:pPr>
              <w:keepNext w:val="0"/>
              <w:keepLines w:val="0"/>
              <w:widowControl/>
              <w:suppressLineNumbers w:val="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63.84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1"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14</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多导睡眠呼吸监测仪（便携式）</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1套</w:t>
            </w:r>
          </w:p>
        </w:tc>
        <w:tc>
          <w:tcPr>
            <w:tcW w:w="5160" w:type="dxa"/>
            <w:vAlign w:val="top"/>
          </w:tcPr>
          <w:tbl>
            <w:tblPr>
              <w:tblStyle w:val="17"/>
              <w:tblW w:w="48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3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w:t>
                  </w:r>
                </w:p>
              </w:tc>
              <w:tc>
                <w:tcPr>
                  <w:tcW w:w="4191"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硬件系统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jc w:val="center"/>
              </w:trPr>
              <w:tc>
                <w:tcPr>
                  <w:tcW w:w="8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★1.1</w:t>
                  </w:r>
                </w:p>
              </w:tc>
              <w:tc>
                <w:tcPr>
                  <w:tcW w:w="4191"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通道数：≥44通道</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包含至少：脑电（标配2导）、心电（2导）、下颌肌电（2导）、眼电（2导）、腿动（2导）、体位、呼吸机输出的CPAP压力(11导)、口鼻气流（热敏式和压力式可同时监测）、血氧饱和度、脉率、脉搏波、胸腹呼吸运动（2导）、鼾声（压力式、麦克式）、PT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1.2</w:t>
                  </w:r>
                </w:p>
              </w:tc>
              <w:tc>
                <w:tcPr>
                  <w:tcW w:w="4191"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共模抑制比 ≥80dB，输入阻抗≥10MΩ，采样频率≥2000HZ，实际存储率≥500HZ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1.3</w:t>
                  </w:r>
                </w:p>
              </w:tc>
              <w:tc>
                <w:tcPr>
                  <w:tcW w:w="4191"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分析软件集成分级诊疗平台模块，实现数据远程传输功能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1.4</w:t>
                  </w:r>
                </w:p>
              </w:tc>
              <w:tc>
                <w:tcPr>
                  <w:tcW w:w="4191"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主机便携式设计，记录盒小巧、轻便，可固定于呼吸带上使用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1.5</w:t>
                  </w:r>
                </w:p>
              </w:tc>
              <w:tc>
                <w:tcPr>
                  <w:tcW w:w="4191"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电池可连续工作10小时以上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★1.6</w:t>
                  </w:r>
                </w:p>
              </w:tc>
              <w:tc>
                <w:tcPr>
                  <w:tcW w:w="4191"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既可用于传统的睡眠监测室进行床旁监测，也可用于移动式监测，两种方式下通道数相同，可满足不同的临床需求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1.7</w:t>
                  </w:r>
                </w:p>
              </w:tc>
              <w:tc>
                <w:tcPr>
                  <w:tcW w:w="4191"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支持有线与无线（蓝牙、SD卡、WiFi）数据传输，无线WIFI组件为选配件。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w:t>
                  </w:r>
                </w:p>
              </w:tc>
              <w:tc>
                <w:tcPr>
                  <w:tcW w:w="4191"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软件系统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2.1</w:t>
                  </w:r>
                </w:p>
              </w:tc>
              <w:tc>
                <w:tcPr>
                  <w:tcW w:w="4191"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图形化数据采集协议，方便用户更加形象与直观的观察与选择电极配置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★2.2</w:t>
                  </w:r>
                </w:p>
              </w:tc>
              <w:tc>
                <w:tcPr>
                  <w:tcW w:w="4191"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监测主机可通过蓝牙与iPad相连接实现信号的实时无线传输，实现了更加人性化的人机交互方式，可以避免受限于计算机、显示器等床旁设备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2.3</w:t>
                  </w:r>
                </w:p>
              </w:tc>
              <w:tc>
                <w:tcPr>
                  <w:tcW w:w="4191"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智能APP可实现实时数字阻抗监测，精确可靠，更直观反映用户电极连接状态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2.4</w:t>
                  </w:r>
                </w:p>
              </w:tc>
              <w:tc>
                <w:tcPr>
                  <w:tcW w:w="4191"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智能APP具有人性化通道状态提醒功能，帮助临床更为高效的进行导联安装及检查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2.5</w:t>
                  </w:r>
                </w:p>
              </w:tc>
              <w:tc>
                <w:tcPr>
                  <w:tcW w:w="4191"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用户可自定义选择智能APP需要显示波形信号，并可快速查看所有通道的实时波形，更加方便的获取病人的实时睡眠状况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2.6</w:t>
                  </w:r>
                </w:p>
              </w:tc>
              <w:tc>
                <w:tcPr>
                  <w:tcW w:w="4191"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睡眠软件符合最新的AASM标准，可实现睡眠呼吸监测，常规多导睡眠监测、睡眠科研等多层次应用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2.7</w:t>
                  </w:r>
                </w:p>
              </w:tc>
              <w:tc>
                <w:tcPr>
                  <w:tcW w:w="4191"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分析软件具有全中文操作界面，可生成全中文分析报告，方便临床进行报告分析及制定治疗方案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2.8</w:t>
                  </w:r>
                </w:p>
              </w:tc>
              <w:tc>
                <w:tcPr>
                  <w:tcW w:w="4191"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同时具备AHI和RDI（包括AHI、RERA和气流受限等不确定呼吸事件）指标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2.9</w:t>
                  </w:r>
                </w:p>
              </w:tc>
              <w:tc>
                <w:tcPr>
                  <w:tcW w:w="4191"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高频信号（如：EEG，ECG，EMG，EOG）与低频信号（如血氧、鼻气流、体位、腿动等）可自定义信号采样率并同屏显示，便于医生直观的进行睡眠分析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2.10</w:t>
                  </w:r>
                </w:p>
              </w:tc>
              <w:tc>
                <w:tcPr>
                  <w:tcW w:w="4191"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可对不同信号自定义设置高通滤波、低通滤波、工作频率，帮助临床滤除噪声干扰，获取更加准确的信号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2.11</w:t>
                  </w:r>
                </w:p>
              </w:tc>
              <w:tc>
                <w:tcPr>
                  <w:tcW w:w="4191"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可通过设置信号开始帧与结束帧自定义自动分析的范围，满足临床不同需求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2.12</w:t>
                  </w:r>
                </w:p>
              </w:tc>
              <w:tc>
                <w:tcPr>
                  <w:tcW w:w="4191"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软件可以色标标记睡眠各期纺锤波Spindles，K复合波，Delta波，REM期的反相眼球运动等，医生可自由定义分析标准为医生进行睡眠分析提供帮助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2.13</w:t>
                  </w:r>
                </w:p>
              </w:tc>
              <w:tc>
                <w:tcPr>
                  <w:tcW w:w="4191"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专业PSG多导睡眠采集分析软件包括：睡眠分期、微觉醒事件、周期性腿动、PTT、呼吸事件、心律失常、ST段、心率变异性、氧减事件、心血管事件、睡眠微结构、体位、鼾声事件等事件分析，可全面的掌握病人整晚夜间睡眠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jc w:val="center"/>
              </w:trPr>
              <w:tc>
                <w:tcPr>
                  <w:tcW w:w="8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2.14</w:t>
                  </w:r>
                </w:p>
              </w:tc>
              <w:tc>
                <w:tcPr>
                  <w:tcW w:w="4191"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自定义腿动事件分析设置包括：灵敏度、单次腿动最短持续时间、单次腿动最长持续时间、PLMS最短时间间隔、PLMS最长时间间隔和PLMS所含最少腿动次数，全面帮助临床进行腿动事件分析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2.15</w:t>
                  </w:r>
                </w:p>
              </w:tc>
              <w:tc>
                <w:tcPr>
                  <w:tcW w:w="4191"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ECG专业心电分析功能，可完成心电数据统计及分析，包含QRS复合波的分类、心率失常的检测和分类、呼吸暂停和低通气发生时的心率失常事件统计、ST段和正常R-R间期趋势图、心率变异性分析等，可自定义设置心电事件分析包含：心动过速阈值、心动过缓阈值、宽复合波心电过速阈值、窄复合波心电过速阈值的参数，为临床全面准确分析心电事件提供重要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2.16</w:t>
                  </w:r>
                </w:p>
              </w:tc>
              <w:tc>
                <w:tcPr>
                  <w:tcW w:w="4191"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可自定义标记事件标签及颜色，便于临床观察及分析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2.17</w:t>
                  </w:r>
                </w:p>
              </w:tc>
              <w:tc>
                <w:tcPr>
                  <w:tcW w:w="4191"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配通过PSG软件进行远程全模式呼吸机压力滴定，并获取至少11个以上的呼吸机参数（CPAP、IPAP、EPAP、I SENSE、E SENSE、Rise Time、RR、E\I、Ti min/Ti max、VT、leak），方便临床制定治疗方案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2.18</w:t>
                  </w:r>
                </w:p>
              </w:tc>
              <w:tc>
                <w:tcPr>
                  <w:tcW w:w="4191"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可帮助临床进行多发小睡实验（MSLT），方便临床掌握病人夜间觉醒状态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2.19</w:t>
                  </w:r>
                </w:p>
              </w:tc>
              <w:tc>
                <w:tcPr>
                  <w:tcW w:w="4191"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采集时病人发生异常情况，如血氧过低、脉率异常等可声光报警，临床可及时获取病人在监测时的突发情况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2.20</w:t>
                  </w:r>
                </w:p>
              </w:tc>
              <w:tc>
                <w:tcPr>
                  <w:tcW w:w="4191"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可自由定义患者报告，包括语言、样式、不同事件分析、趋势图组合等，方便临床进行睡眠事件分析</w:t>
                  </w:r>
                </w:p>
              </w:tc>
            </w:tr>
          </w:tbl>
          <w:p>
            <w:pPr>
              <w:pStyle w:val="10"/>
              <w:rPr>
                <w:rFonts w:hint="eastAsia" w:ascii="宋体" w:hAnsi="宋体" w:eastAsia="宋体" w:cs="宋体"/>
                <w:color w:val="auto"/>
                <w:kern w:val="0"/>
                <w:sz w:val="21"/>
                <w:szCs w:val="21"/>
                <w:highlight w:val="none"/>
                <w:lang w:val="en-US" w:eastAsia="zh-CN" w:bidi="ar-SA"/>
              </w:rPr>
            </w:pPr>
          </w:p>
        </w:tc>
        <w:tc>
          <w:tcPr>
            <w:tcW w:w="1165" w:type="dxa"/>
            <w:vAlign w:val="center"/>
          </w:tcPr>
          <w:p>
            <w:pPr>
              <w:keepNext w:val="0"/>
              <w:keepLines w:val="0"/>
              <w:widowControl/>
              <w:suppressLineNumbers w:val="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8"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15</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输液信息采集系统（6台注射泵，2台输液泵，1拖8)</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2套</w:t>
            </w:r>
          </w:p>
        </w:tc>
        <w:tc>
          <w:tcPr>
            <w:tcW w:w="5160" w:type="dxa"/>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一、输液信息采集系统（1套）</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1.★输液信息采集系统以每2个通道或1个通道为基本单位增减，可支持至少16通道，泵即插即用，与系统数据无缝连接</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2.输液信息采集系统只需一根电源线，可为站内输液泵/注射泵模块集中供电</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3.输液信息采集系统任意输注模块之间具备联机功能，满足用户的连续输液功能需求；</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二、注射泵（6台）</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1.注射精度≤±1.8%，机械精度≤±0.5%</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2.速率范围：0.01-2300ml/h, 最小步进0.01ml/h</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3.★预置输液总量范围：0.01-9999.99ml</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4.快进流速范围：0.01-2300ml/h，具有自动和手动快进可选；</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5.可自动统计四种累计量：24h累计量、最近累计量、自定义时间段累计量、定时间隔累计量</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6.支持注射器规格：1ml、2ml、3ml、5ml、10ml、20ml、30ml、50/60ml；</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7.注射器安装后，推拉盒可自动定位并固定注射器尾夹</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8.无需额外工具或设备，可直接在注射泵上添加注射器品牌名称</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9.★至少8种注射模式：速度模式、时间模式、体重模式、梯度模式、序列模式、剂量时间模式、微量模式和间断给药模式；具备联机功能</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10.不小于3.5英寸彩色显示屏，电容触摸屏技术，支持上下左右滑动操作</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11.全中文软件操作界面</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12.锁屏功能：支持自动锁屏，自动锁屏时间可调</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13.支持药物库，可储存至少5000种药物信息</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14.支持药物色彩标识，选择不同类型药物时对应的药物色彩标识自动显示在屏幕上，支持10种以上颜色</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15.报警时可通过示意图片直观提示报警信息</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16.★在线动态压力监测，可实时显示当前压力数值；</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17.压力报警阈值至少15档可调，最低50mmHg</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18.具备阻塞前预警提示功能，当管路压力未触发阻塞报警时，泵可自动识别压力上升并在屏幕上进行提示</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19.具备阻塞后自动重启输液功能，短暂性阻塞触发报警后，泵检测到阻塞压力缓解时，无需人为干预，泵自动重新启动输液</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20.★防异物及进液等级IP33</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21.电池工作时间≥5小时@5ml/h</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三、输液泵（2台）：</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1、支持输血功能。</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2、支持临床常用输血管路，无需专用输血管路。</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3、输液精度≤±5%。</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4、预置输液总量范围：0.1～9999.99mL。</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5、快进流速范围：0.1～2300mL/h，具有自动和手动快进可选。</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6、可自动统计四种累计量：24h累计量、最近累计量、自定义时间段累计量、定时间隔累计量。</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7、全自动止液夹，安装或取出输液管时，无需任何操作，止液夹可自动关闭或打开。</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8、无需额外工具或设备，可直接在输液泵添加输液器品牌名称。</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9、9种输液模式：速度模式、时间模式、体重模式、梯度模式、序列模式、剂量时间模式、微量模式、点滴模式、和间断给药模式；具备联机功能。</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10、≥3.5英寸彩色显示屏，电容触摸屏技术，支持上下左右滑动操作。</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11、全中文软件操作界面。</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12、锁屏功能：支持自动锁屏，自动锁屏时间可调。</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13、支持药物库，可储存5000种药物信息。</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14、支持药物色彩标识，选择不同类型药物时对应的药物色彩标识自动显示在屏幕上，支持10种以上颜色。</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15、报警时可通过示意图片直观提示报警信息。</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16、在线动态压力监测，可实时显示当前压力数值。17、压力报警阈值至少14档可调，最低50mmHg。</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18、具备阻塞前预警提示功能，当管路压力未触发阻塞报警时，泵可自动识别压力上升并在屏幕上进行提示。</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19、具备阻塞后自动重启输液功能，短暂性阻塞触发报警后，泵检测到阻塞压力缓解时，无需人为干预，泵自动重新启动输液。</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20、具备双压力传感器，可检测管路上下端的压力变化。</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21、具备双超声气泡检测技术，双重保障，防止气泡漏检漏报问题。</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22、具备单个气泡和累积气泡报警功能，支持最小15μL的单个气泡报警。</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23、无需滴数传感器，泵可自动识别空瓶状态并报警。</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24、信息储存：可存储3500条的历史记录。</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25、电池工作时间≥4.9小时@25mL/h。</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26、防异物及进液等级IP33。</w:t>
            </w:r>
          </w:p>
        </w:tc>
        <w:tc>
          <w:tcPr>
            <w:tcW w:w="1165" w:type="dxa"/>
            <w:vAlign w:val="center"/>
          </w:tcPr>
          <w:p>
            <w:pPr>
              <w:keepNext w:val="0"/>
              <w:keepLines w:val="0"/>
              <w:widowControl/>
              <w:suppressLineNumbers w:val="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8"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16</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宫腔镜一体镜(2套镜子)</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1套</w:t>
            </w:r>
          </w:p>
        </w:tc>
        <w:tc>
          <w:tcPr>
            <w:tcW w:w="5160" w:type="dxa"/>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1.用于宫腔疾病的治疗，包括子宫肌瘤、息肉、粘连、畸形以及异物残留等；</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2.具有5Fr/7Fr的手术器械通道，在可视情况下手术操作；</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3.★超广角镜头，视场角90°；</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4.视向角22°、景深3mm-100mm；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5.插入部工作长度至少200mm，插入部最大宽度至少4.9mm/5.4mm，免扩宫；</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6.插入部前端为圆滑无创设计，减少对宫颈口的损伤，方便进入宫腔；</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7.可配备多种器械，包括剪刀、活检钳、异物钳等；</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8.镜鞘一体，含无创末端，与内窥镜联体设计，镜体更细，进出水更通畅；</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9.器械插入口为喇叭形，方便器械进入；</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10.密封帽内置，双层医用硅胶致密密封防漏水设计，自动闭合操作通道；</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11.★器械通道无磁片设计，避免影响输卵管疏通导丝等术中耗材通过，且与手术器械紧密包裹，杜绝气泡进入宫腔；</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12.进出水口可根据手术需求360°旋转，防止水路管缠绕。方便医生操作。避免宫颈口损伤；</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13.★可耐高温高压消毒，镜体密封性好，内镜上标有可耐压力蒸汽灭菌标识；</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14.★产品符合医疗器械国家标准GB9706.1-2020、GB/T9706.218-2021中规定的要求，设备安全性及稳定性能更优。</w:t>
            </w:r>
          </w:p>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kern w:val="2"/>
                <w:sz w:val="21"/>
                <w:szCs w:val="21"/>
                <w:highlight w:val="none"/>
                <w:lang w:val="en-US" w:eastAsia="zh-CN" w:bidi="ar-SA"/>
              </w:rPr>
              <w:t>配置清单</w:t>
            </w:r>
          </w:p>
          <w:tbl>
            <w:tblPr>
              <w:tblStyle w:val="17"/>
              <w:tblW w:w="4394" w:type="dxa"/>
              <w:jc w:val="center"/>
              <w:tblLayout w:type="fixed"/>
              <w:tblCellMar>
                <w:top w:w="0" w:type="dxa"/>
                <w:left w:w="108" w:type="dxa"/>
                <w:bottom w:w="0" w:type="dxa"/>
                <w:right w:w="108" w:type="dxa"/>
              </w:tblCellMar>
            </w:tblPr>
            <w:tblGrid>
              <w:gridCol w:w="658"/>
              <w:gridCol w:w="1980"/>
              <w:gridCol w:w="1117"/>
              <w:gridCol w:w="639"/>
            </w:tblGrid>
            <w:tr>
              <w:tblPrEx>
                <w:tblCellMar>
                  <w:top w:w="0" w:type="dxa"/>
                  <w:left w:w="108" w:type="dxa"/>
                  <w:bottom w:w="0" w:type="dxa"/>
                  <w:right w:w="108" w:type="dxa"/>
                </w:tblCellMar>
              </w:tblPrEx>
              <w:trPr>
                <w:trHeight w:val="329" w:hRule="atLeast"/>
                <w:jc w:val="center"/>
              </w:trPr>
              <w:tc>
                <w:tcPr>
                  <w:tcW w:w="658" w:type="dxa"/>
                  <w:tcBorders>
                    <w:top w:val="single" w:color="000000" w:sz="8" w:space="0"/>
                    <w:left w:val="single" w:color="000000" w:sz="8" w:space="0"/>
                    <w:bottom w:val="single" w:color="000000" w:sz="4" w:space="0"/>
                    <w:right w:val="single" w:color="000000" w:sz="4" w:space="0"/>
                  </w:tcBorders>
                  <w:shd w:val="clear" w:color="auto" w:fill="BEBEBE" w:themeFill="background1" w:themeFillShade="BF"/>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980" w:type="dxa"/>
                  <w:tcBorders>
                    <w:top w:val="single" w:color="000000" w:sz="8" w:space="0"/>
                    <w:left w:val="single" w:color="000000" w:sz="4" w:space="0"/>
                    <w:bottom w:val="single" w:color="000000" w:sz="4" w:space="0"/>
                    <w:right w:val="single" w:color="000000" w:sz="4" w:space="0"/>
                  </w:tcBorders>
                  <w:shd w:val="clear" w:color="auto" w:fill="BEBEBE" w:themeFill="background1" w:themeFillShade="BF"/>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产品名称</w:t>
                  </w:r>
                </w:p>
              </w:tc>
              <w:tc>
                <w:tcPr>
                  <w:tcW w:w="1117" w:type="dxa"/>
                  <w:tcBorders>
                    <w:top w:val="single" w:color="000000" w:sz="8" w:space="0"/>
                    <w:left w:val="single" w:color="000000" w:sz="4" w:space="0"/>
                    <w:bottom w:val="single" w:color="000000" w:sz="4" w:space="0"/>
                    <w:right w:val="single" w:color="000000" w:sz="8" w:space="0"/>
                  </w:tcBorders>
                  <w:shd w:val="clear" w:color="auto" w:fill="BEBEBE" w:themeFill="background1" w:themeFillShade="BF"/>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w:t>
                  </w:r>
                </w:p>
              </w:tc>
              <w:tc>
                <w:tcPr>
                  <w:tcW w:w="639" w:type="dxa"/>
                  <w:tcBorders>
                    <w:top w:val="single" w:color="000000" w:sz="8" w:space="0"/>
                    <w:left w:val="single" w:color="000000" w:sz="4" w:space="0"/>
                    <w:bottom w:val="single" w:color="000000" w:sz="4" w:space="0"/>
                    <w:right w:val="single" w:color="000000" w:sz="8" w:space="0"/>
                  </w:tcBorders>
                  <w:shd w:val="clear" w:color="auto" w:fill="BEBEBE" w:themeFill="background1" w:themeFillShade="BF"/>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r>
            <w:tr>
              <w:tblPrEx>
                <w:tblCellMar>
                  <w:top w:w="0" w:type="dxa"/>
                  <w:left w:w="108" w:type="dxa"/>
                  <w:bottom w:w="0" w:type="dxa"/>
                  <w:right w:w="108" w:type="dxa"/>
                </w:tblCellMar>
              </w:tblPrEx>
              <w:trPr>
                <w:trHeight w:val="314" w:hRule="atLeast"/>
                <w:jc w:val="center"/>
              </w:trPr>
              <w:tc>
                <w:tcPr>
                  <w:tcW w:w="658" w:type="dxa"/>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widowControl/>
                    <w:numPr>
                      <w:ilvl w:val="0"/>
                      <w:numId w:val="6"/>
                    </w:numPr>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宫腔镜</w:t>
                  </w:r>
                </w:p>
              </w:tc>
              <w:tc>
                <w:tcPr>
                  <w:tcW w:w="111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5Fr/22°</w:t>
                  </w:r>
                </w:p>
              </w:tc>
              <w:tc>
                <w:tcPr>
                  <w:tcW w:w="639"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r>
            <w:tr>
              <w:tblPrEx>
                <w:tblCellMar>
                  <w:top w:w="0" w:type="dxa"/>
                  <w:left w:w="108" w:type="dxa"/>
                  <w:bottom w:w="0" w:type="dxa"/>
                  <w:right w:w="108" w:type="dxa"/>
                </w:tblCellMar>
              </w:tblPrEx>
              <w:trPr>
                <w:trHeight w:val="567" w:hRule="atLeast"/>
                <w:jc w:val="center"/>
              </w:trPr>
              <w:tc>
                <w:tcPr>
                  <w:tcW w:w="658" w:type="dxa"/>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widowControl/>
                    <w:numPr>
                      <w:ilvl w:val="0"/>
                      <w:numId w:val="6"/>
                    </w:numPr>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宫腔镜配套手术器械</w:t>
                  </w:r>
                </w:p>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（剪刀）</w:t>
                  </w:r>
                </w:p>
              </w:tc>
              <w:tc>
                <w:tcPr>
                  <w:tcW w:w="111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Φ1.6*410</w:t>
                  </w:r>
                </w:p>
              </w:tc>
              <w:tc>
                <w:tcPr>
                  <w:tcW w:w="639"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r>
            <w:tr>
              <w:tblPrEx>
                <w:tblCellMar>
                  <w:top w:w="0" w:type="dxa"/>
                  <w:left w:w="108" w:type="dxa"/>
                  <w:bottom w:w="0" w:type="dxa"/>
                  <w:right w:w="108" w:type="dxa"/>
                </w:tblCellMar>
              </w:tblPrEx>
              <w:trPr>
                <w:trHeight w:val="567" w:hRule="atLeast"/>
                <w:jc w:val="center"/>
              </w:trPr>
              <w:tc>
                <w:tcPr>
                  <w:tcW w:w="658" w:type="dxa"/>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widowControl/>
                    <w:numPr>
                      <w:ilvl w:val="0"/>
                      <w:numId w:val="6"/>
                    </w:numPr>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宫腔镜配套手术器械</w:t>
                  </w:r>
                </w:p>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（异物钳）</w:t>
                  </w:r>
                </w:p>
              </w:tc>
              <w:tc>
                <w:tcPr>
                  <w:tcW w:w="111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Φ1.6*410</w:t>
                  </w:r>
                </w:p>
              </w:tc>
              <w:tc>
                <w:tcPr>
                  <w:tcW w:w="639"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r>
            <w:tr>
              <w:tblPrEx>
                <w:tblCellMar>
                  <w:top w:w="0" w:type="dxa"/>
                  <w:left w:w="108" w:type="dxa"/>
                  <w:bottom w:w="0" w:type="dxa"/>
                  <w:right w:w="108" w:type="dxa"/>
                </w:tblCellMar>
              </w:tblPrEx>
              <w:trPr>
                <w:trHeight w:val="567" w:hRule="atLeast"/>
                <w:jc w:val="center"/>
              </w:trPr>
              <w:tc>
                <w:tcPr>
                  <w:tcW w:w="658" w:type="dxa"/>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widowControl/>
                    <w:numPr>
                      <w:ilvl w:val="0"/>
                      <w:numId w:val="6"/>
                    </w:numPr>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宫腔镜配套手术器械</w:t>
                  </w:r>
                </w:p>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（活检钳）</w:t>
                  </w:r>
                </w:p>
              </w:tc>
              <w:tc>
                <w:tcPr>
                  <w:tcW w:w="111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Φ1.6*410</w:t>
                  </w:r>
                </w:p>
              </w:tc>
              <w:tc>
                <w:tcPr>
                  <w:tcW w:w="639"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r>
            <w:tr>
              <w:tblPrEx>
                <w:tblCellMar>
                  <w:top w:w="0" w:type="dxa"/>
                  <w:left w:w="108" w:type="dxa"/>
                  <w:bottom w:w="0" w:type="dxa"/>
                  <w:right w:w="108" w:type="dxa"/>
                </w:tblCellMar>
              </w:tblPrEx>
              <w:trPr>
                <w:trHeight w:val="328" w:hRule="atLeast"/>
                <w:jc w:val="center"/>
              </w:trPr>
              <w:tc>
                <w:tcPr>
                  <w:tcW w:w="658" w:type="dxa"/>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widowControl/>
                    <w:numPr>
                      <w:ilvl w:val="0"/>
                      <w:numId w:val="6"/>
                    </w:numPr>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专用内窥镜消毒盒</w:t>
                  </w:r>
                </w:p>
              </w:tc>
              <w:tc>
                <w:tcPr>
                  <w:tcW w:w="111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639"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r>
            <w:tr>
              <w:tblPrEx>
                <w:tblCellMar>
                  <w:top w:w="0" w:type="dxa"/>
                  <w:left w:w="108" w:type="dxa"/>
                  <w:bottom w:w="0" w:type="dxa"/>
                  <w:right w:w="108" w:type="dxa"/>
                </w:tblCellMar>
              </w:tblPrEx>
              <w:trPr>
                <w:trHeight w:val="388" w:hRule="atLeast"/>
                <w:jc w:val="center"/>
              </w:trPr>
              <w:tc>
                <w:tcPr>
                  <w:tcW w:w="658" w:type="dxa"/>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widowControl/>
                    <w:numPr>
                      <w:ilvl w:val="0"/>
                      <w:numId w:val="6"/>
                    </w:numPr>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宫腔镜</w:t>
                  </w:r>
                </w:p>
              </w:tc>
              <w:tc>
                <w:tcPr>
                  <w:tcW w:w="111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7Fr/22°</w:t>
                  </w:r>
                </w:p>
              </w:tc>
              <w:tc>
                <w:tcPr>
                  <w:tcW w:w="639"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r>
            <w:tr>
              <w:tblPrEx>
                <w:tblCellMar>
                  <w:top w:w="0" w:type="dxa"/>
                  <w:left w:w="108" w:type="dxa"/>
                  <w:bottom w:w="0" w:type="dxa"/>
                  <w:right w:w="108" w:type="dxa"/>
                </w:tblCellMar>
              </w:tblPrEx>
              <w:trPr>
                <w:trHeight w:val="567" w:hRule="atLeast"/>
                <w:jc w:val="center"/>
              </w:trPr>
              <w:tc>
                <w:tcPr>
                  <w:tcW w:w="658" w:type="dxa"/>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widowControl/>
                    <w:numPr>
                      <w:ilvl w:val="0"/>
                      <w:numId w:val="6"/>
                    </w:numPr>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宫腔镜配套手术器械</w:t>
                  </w:r>
                </w:p>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（剪刀）</w:t>
                  </w:r>
                </w:p>
              </w:tc>
              <w:tc>
                <w:tcPr>
                  <w:tcW w:w="111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Φ2.0*410</w:t>
                  </w:r>
                </w:p>
              </w:tc>
              <w:tc>
                <w:tcPr>
                  <w:tcW w:w="639"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r>
            <w:tr>
              <w:tblPrEx>
                <w:tblCellMar>
                  <w:top w:w="0" w:type="dxa"/>
                  <w:left w:w="108" w:type="dxa"/>
                  <w:bottom w:w="0" w:type="dxa"/>
                  <w:right w:w="108" w:type="dxa"/>
                </w:tblCellMar>
              </w:tblPrEx>
              <w:trPr>
                <w:trHeight w:val="567" w:hRule="atLeast"/>
                <w:jc w:val="center"/>
              </w:trPr>
              <w:tc>
                <w:tcPr>
                  <w:tcW w:w="658" w:type="dxa"/>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widowControl/>
                    <w:numPr>
                      <w:ilvl w:val="0"/>
                      <w:numId w:val="6"/>
                    </w:numPr>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宫腔镜配套手术器械</w:t>
                  </w:r>
                </w:p>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（异物钳）</w:t>
                  </w:r>
                </w:p>
              </w:tc>
              <w:tc>
                <w:tcPr>
                  <w:tcW w:w="111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Φ2.0*410</w:t>
                  </w:r>
                </w:p>
              </w:tc>
              <w:tc>
                <w:tcPr>
                  <w:tcW w:w="639"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r>
            <w:tr>
              <w:tblPrEx>
                <w:tblCellMar>
                  <w:top w:w="0" w:type="dxa"/>
                  <w:left w:w="108" w:type="dxa"/>
                  <w:bottom w:w="0" w:type="dxa"/>
                  <w:right w:w="108" w:type="dxa"/>
                </w:tblCellMar>
              </w:tblPrEx>
              <w:trPr>
                <w:trHeight w:val="567" w:hRule="atLeast"/>
                <w:jc w:val="center"/>
              </w:trPr>
              <w:tc>
                <w:tcPr>
                  <w:tcW w:w="658" w:type="dxa"/>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widowControl/>
                    <w:numPr>
                      <w:ilvl w:val="0"/>
                      <w:numId w:val="6"/>
                    </w:numPr>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宫腔镜配套手术器械</w:t>
                  </w:r>
                </w:p>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（活检钳）</w:t>
                  </w:r>
                </w:p>
              </w:tc>
              <w:tc>
                <w:tcPr>
                  <w:tcW w:w="111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Φ2.0*410</w:t>
                  </w:r>
                </w:p>
              </w:tc>
              <w:tc>
                <w:tcPr>
                  <w:tcW w:w="639"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r>
            <w:tr>
              <w:tblPrEx>
                <w:tblCellMar>
                  <w:top w:w="0" w:type="dxa"/>
                  <w:left w:w="108" w:type="dxa"/>
                  <w:bottom w:w="0" w:type="dxa"/>
                  <w:right w:w="108" w:type="dxa"/>
                </w:tblCellMar>
              </w:tblPrEx>
              <w:trPr>
                <w:trHeight w:val="385" w:hRule="atLeast"/>
                <w:jc w:val="center"/>
              </w:trPr>
              <w:tc>
                <w:tcPr>
                  <w:tcW w:w="658" w:type="dxa"/>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widowControl/>
                    <w:numPr>
                      <w:ilvl w:val="0"/>
                      <w:numId w:val="6"/>
                    </w:numPr>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专用内窥镜消毒盒</w:t>
                  </w:r>
                </w:p>
              </w:tc>
              <w:tc>
                <w:tcPr>
                  <w:tcW w:w="111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639"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r>
          </w:tbl>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b w:val="0"/>
                <w:bCs/>
                <w:color w:val="auto"/>
                <w:kern w:val="2"/>
                <w:sz w:val="21"/>
                <w:szCs w:val="21"/>
                <w:highlight w:val="none"/>
                <w:lang w:val="en-US" w:eastAsia="zh-CN" w:bidi="ar-SA"/>
              </w:rPr>
            </w:pPr>
          </w:p>
        </w:tc>
        <w:tc>
          <w:tcPr>
            <w:tcW w:w="1165" w:type="dxa"/>
            <w:vAlign w:val="center"/>
          </w:tcPr>
          <w:p>
            <w:pPr>
              <w:keepNext w:val="0"/>
              <w:keepLines w:val="0"/>
              <w:widowControl/>
              <w:suppressLineNumbers w:val="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8"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16</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臭氧妇科治疗仪</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kern w:val="2"/>
                <w:sz w:val="21"/>
                <w:szCs w:val="21"/>
                <w:highlight w:val="none"/>
                <w:shd w:val="clear" w:color="auto" w:fill="auto"/>
                <w:vertAlign w:val="baseli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2台</w:t>
            </w:r>
          </w:p>
        </w:tc>
        <w:tc>
          <w:tcPr>
            <w:tcW w:w="5160" w:type="dxa"/>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技术参数</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一、工作条件</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1、环境温度:5°C~40°C;</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2、相对湿度:≤80%:</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 xml:space="preserve">二、产品适用范围 </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适用于妇女念珠菌性阴道炎、滴虫性阴道炎、细菌性阴道炎、老年性阴道炎和由大肠杆菌、金黄色葡萄球菌和白色念珠菌引发的宫颈炎的治疗，对宫颈HPV的消退有辅助作用，以及经阴道手术前的阴道消毒。</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三、技术参数</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1、臭氧水浓度≥2mg/L:</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2、超声雾化臭氧浓度(5-90)mg/L，可调;</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3、臭氧气浓度(5-90)mg/L，可调;</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4、出水流量≥1000mL/min，可调</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5、超声雾化率≥250mL/h;</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6、臭氧发生率(产量)不小于 3000mg/h，可调;</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7、对大肠杆菌、金黄色葡萄球菌、白色念珠菌等杀菌率&gt;99.9%:</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8、净化后的环境臭氧浓度:&lt;0.03mg/m3;</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四、功能特点</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1、治疗仪具有单通道臭氧水溶液治疗或臭氧雾化治疗或臭氧气化治疗转换</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功能;</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2、治疗仪具有臭氧浓度连续可调功能;</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3、治疗仪具有过滤器自洁功能;</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4、治疗仪具有过温保护功能:</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5、治疗仪具有低水位提示功能;</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6、治疗仪具有定时及时间显示功能;</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7、治疔仪具有处方选择功能;</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五、产品配置</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1、主机(内置医用制氧机)</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2、除臭及排水装置</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3、电热水器</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shd w:val="clear" w:color="auto" w:fill="auto"/>
                <w:vertAlign w:val="baseline"/>
                <w:lang w:val="en-US" w:eastAsia="zh-CN"/>
              </w:rPr>
              <w:t>4、妇科床配套装置</w:t>
            </w:r>
          </w:p>
        </w:tc>
        <w:tc>
          <w:tcPr>
            <w:tcW w:w="1165" w:type="dxa"/>
            <w:vAlign w:val="center"/>
          </w:tcPr>
          <w:p>
            <w:pPr>
              <w:keepNext w:val="0"/>
              <w:keepLines w:val="0"/>
              <w:widowControl/>
              <w:suppressLineNumbers w:val="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552"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17</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电子支气管镜</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1套</w:t>
            </w:r>
          </w:p>
        </w:tc>
        <w:tc>
          <w:tcPr>
            <w:tcW w:w="5160" w:type="dxa"/>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1.供气管和支气管观察、诊断摄影、治疗用；</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2.视场角100°；</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3.视向角0°；</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4.景深3-150mm；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5.★最大插入部外径≤4.9mm；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6.工作通道≥2.4mm；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7.工作长度≥600mm；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8.弯曲角度向上≥180°/向下≥130°；</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9.★中心分辨率≥20线对/毫米，边缘分辨率≥14线对/毫米；</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10.色彩还原能力不低于4级；</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11.图像无明显几何失真；</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12.采用LED灯白光照明，亮度可调节；</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13.LED光源显色指数Ra≥80；</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14.照明光源色温≥3000K；</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15.光照度≥500lx；</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16.采用电子成像技术，工作软管不含光纤；</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17.配合图像处理器搭配外接监视器、电脑均可使用；</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bookmarkStart w:id="49" w:name="_Hlk118722599"/>
            <w:r>
              <w:rPr>
                <w:rFonts w:hint="eastAsia" w:ascii="宋体" w:hAnsi="宋体" w:eastAsia="宋体" w:cs="宋体"/>
                <w:b w:val="0"/>
                <w:bCs/>
                <w:color w:val="auto"/>
                <w:sz w:val="21"/>
                <w:szCs w:val="21"/>
                <w:highlight w:val="none"/>
                <w:shd w:val="clear" w:color="auto" w:fill="auto"/>
                <w:vertAlign w:val="baseline"/>
                <w:lang w:val="en-US" w:eastAsia="zh-CN"/>
              </w:rPr>
              <w:t>18.</w:t>
            </w:r>
            <w:bookmarkStart w:id="50" w:name="_Hlk118723103"/>
            <w:bookmarkStart w:id="51" w:name="_Hlk118722506"/>
            <w:r>
              <w:rPr>
                <w:rFonts w:hint="eastAsia" w:ascii="宋体" w:hAnsi="宋体" w:eastAsia="宋体" w:cs="宋体"/>
                <w:b w:val="0"/>
                <w:bCs/>
                <w:color w:val="auto"/>
                <w:sz w:val="21"/>
                <w:szCs w:val="21"/>
                <w:highlight w:val="none"/>
                <w:shd w:val="clear" w:color="auto" w:fill="auto"/>
                <w:vertAlign w:val="baseline"/>
                <w:lang w:val="en-US" w:eastAsia="zh-CN"/>
              </w:rPr>
              <w:t>通过视频连接线可连接手机、iPad、笔记本电脑等直接成像显示</w:t>
            </w:r>
            <w:bookmarkEnd w:id="50"/>
            <w:r>
              <w:rPr>
                <w:rFonts w:hint="eastAsia" w:ascii="宋体" w:hAnsi="宋体" w:eastAsia="宋体" w:cs="宋体"/>
                <w:b w:val="0"/>
                <w:bCs/>
                <w:color w:val="auto"/>
                <w:sz w:val="21"/>
                <w:szCs w:val="21"/>
                <w:highlight w:val="none"/>
                <w:shd w:val="clear" w:color="auto" w:fill="auto"/>
                <w:vertAlign w:val="baseline"/>
                <w:lang w:val="en-US" w:eastAsia="zh-CN"/>
              </w:rPr>
              <w:t>；</w:t>
            </w:r>
            <w:bookmarkEnd w:id="49"/>
            <w:bookmarkEnd w:id="51"/>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19.内窥镜与图像处理器采用航空插头功能，直接插拔，稳定耐用；</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bookmarkStart w:id="52" w:name="_Hlk118722381"/>
            <w:r>
              <w:rPr>
                <w:rFonts w:hint="eastAsia" w:ascii="宋体" w:hAnsi="宋体" w:eastAsia="宋体" w:cs="宋体"/>
                <w:b w:val="0"/>
                <w:bCs/>
                <w:color w:val="auto"/>
                <w:sz w:val="21"/>
                <w:szCs w:val="21"/>
                <w:highlight w:val="none"/>
                <w:shd w:val="clear" w:color="auto" w:fill="auto"/>
                <w:vertAlign w:val="baseline"/>
                <w:lang w:val="en-US" w:eastAsia="zh-CN"/>
              </w:rPr>
              <w:t>20.内窥镜支持热拔插，5秒内出图，保证图像显示稳定；</w:t>
            </w:r>
            <w:bookmarkEnd w:id="52"/>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21.具有拍照录像以及回放功能；</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22.具有图像冻结、缩放功能；</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23.支持自定义按键设置；</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24.自带光源，自动防雾，无需预热；</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25.内窥镜密封达到IPX7级，配备防水帽可进行全浸泡消毒；</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26.★内窥镜可耐受≥1000次邻苯二甲醛消毒；</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27.内窥镜可耐受低温等离子、环氧乙烷等灭菌。</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图像处理器</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1.图像处理器的显示屏为高清屏；</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2.图像处理器工作时间≥180分钟；</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3.具有自动增益调节功能；</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4.图像显示无明显几何失真；</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5.色彩还原能力不低于四级；</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6.输出分辨率至少有1280*800；</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7.数据储存为外接SD卡储存，≥32G；</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8.储存格式为图片JPG，视频MP4或其他；</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9.图像处理器输出信号为HDMI格式或其他，支持连接多个监视器，图像同步显示；</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10.提供电子内窥镜图像处理器软件系统免费升级；</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11.可兼容同公司所有系列内窥镜；</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12.内窥镜与图像处理器采用航空插头连接，稳定耐用；</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13.具有电池低电量提醒功能，当电池低时，显示器会进行电量提醒；</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14.具有拍照录像及回放功能；</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15.具有图像冻结、缩放功能；</w:t>
            </w:r>
          </w:p>
          <w:p>
            <w:pPr>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配置清单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9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产品名称</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单 位</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数 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9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SD卡</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个</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9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HDMI视频线</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条</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9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视频连接线</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条</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9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电源适配器</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条</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9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内窥镜</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条</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9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测漏器</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个</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9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恒压阀</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个</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9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管道清洗刷</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条</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9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吸引清洗接头</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条</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9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活检阀帽</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个</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9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负压吸引导管</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个</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9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消毒密封盖</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个</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w:t>
                  </w:r>
                </w:p>
              </w:tc>
            </w:tr>
          </w:tbl>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b w:val="0"/>
                <w:bCs/>
                <w:color w:val="auto"/>
                <w:sz w:val="21"/>
                <w:szCs w:val="21"/>
                <w:highlight w:val="none"/>
                <w:lang w:val="en-US" w:eastAsia="zh-CN"/>
              </w:rPr>
            </w:pPr>
          </w:p>
        </w:tc>
        <w:tc>
          <w:tcPr>
            <w:tcW w:w="1165" w:type="dxa"/>
            <w:vAlign w:val="center"/>
          </w:tcPr>
          <w:p>
            <w:pPr>
              <w:keepNext w:val="0"/>
              <w:keepLines w:val="0"/>
              <w:widowControl/>
              <w:suppressLineNumbers w:val="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552" w:type="dxa"/>
            <w:shd w:val="clear" w:color="auto" w:fill="auto"/>
            <w:vAlign w:val="center"/>
          </w:tcPr>
          <w:p>
            <w:pPr>
              <w:keepNext w:val="0"/>
              <w:keepLines w:val="0"/>
              <w:widowControl/>
              <w:suppressLineNumbers w:val="0"/>
              <w:jc w:val="center"/>
              <w:textAlignment w:val="center"/>
              <w:rPr>
                <w:rStyle w:val="23"/>
                <w:rFonts w:hint="eastAsia" w:ascii="宋体" w:hAnsi="宋体" w:eastAsia="宋体" w:cs="宋体"/>
                <w:color w:val="auto"/>
                <w:sz w:val="21"/>
                <w:szCs w:val="21"/>
                <w:highlight w:val="none"/>
                <w:lang w:val="en-US" w:eastAsia="zh-CN" w:bidi="ar"/>
              </w:rPr>
            </w:pPr>
            <w:r>
              <w:rPr>
                <w:rStyle w:val="23"/>
                <w:rFonts w:hint="eastAsia" w:ascii="宋体" w:hAnsi="宋体" w:eastAsia="宋体" w:cs="宋体"/>
                <w:color w:val="auto"/>
                <w:sz w:val="21"/>
                <w:szCs w:val="21"/>
                <w:highlight w:val="none"/>
                <w:lang w:val="en-US" w:eastAsia="zh-CN" w:bidi="ar"/>
              </w:rPr>
              <w:t>17</w:t>
            </w:r>
          </w:p>
        </w:tc>
        <w:tc>
          <w:tcPr>
            <w:tcW w:w="123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Style w:val="23"/>
                <w:rFonts w:hint="eastAsia" w:ascii="宋体" w:hAnsi="宋体" w:eastAsia="宋体" w:cs="宋体"/>
                <w:color w:val="auto"/>
                <w:sz w:val="21"/>
                <w:szCs w:val="21"/>
                <w:highlight w:val="none"/>
                <w:lang w:val="en-US" w:eastAsia="zh-CN" w:bidi="ar"/>
              </w:rPr>
              <w:t>4K</w:t>
            </w:r>
            <w:r>
              <w:rPr>
                <w:rFonts w:hint="eastAsia" w:ascii="宋体" w:hAnsi="宋体" w:eastAsia="宋体" w:cs="宋体"/>
                <w:i w:val="0"/>
                <w:iCs w:val="0"/>
                <w:color w:val="auto"/>
                <w:kern w:val="0"/>
                <w:sz w:val="21"/>
                <w:szCs w:val="21"/>
                <w:highlight w:val="none"/>
                <w:u w:val="none"/>
                <w:lang w:val="en-US" w:eastAsia="zh-CN" w:bidi="ar"/>
              </w:rPr>
              <w:t>超高清内窥镜摄像系统</w:t>
            </w:r>
          </w:p>
        </w:tc>
        <w:tc>
          <w:tcPr>
            <w:tcW w:w="1231"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1套</w:t>
            </w:r>
          </w:p>
        </w:tc>
        <w:tc>
          <w:tcPr>
            <w:tcW w:w="5160" w:type="dxa"/>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一.医用内窥镜摄像系统（4K）</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技术亮点：</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分辨率:3840(H)×2160(V)；</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顶级的高画质及高灵敏度；</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边缘增强，对比度调节，图像放大，色彩还原准确</w:t>
            </w:r>
            <w:r>
              <w:rPr>
                <w:rFonts w:hint="eastAsia" w:ascii="宋体" w:hAnsi="宋体" w:eastAsia="宋体" w:cs="宋体"/>
                <w:b w:val="0"/>
                <w:bCs/>
                <w:color w:val="auto"/>
                <w:sz w:val="21"/>
                <w:szCs w:val="21"/>
                <w:highlight w:val="none"/>
                <w:shd w:val="clear" w:color="auto" w:fill="auto"/>
                <w:vertAlign w:val="baseline"/>
                <w:lang w:val="en-US" w:eastAsia="zh-CN"/>
              </w:rPr>
              <w:fldChar w:fldCharType="begin"/>
            </w:r>
            <w:r>
              <w:rPr>
                <w:rFonts w:hint="eastAsia" w:ascii="宋体" w:hAnsi="宋体" w:eastAsia="宋体" w:cs="宋体"/>
                <w:b w:val="0"/>
                <w:bCs/>
                <w:color w:val="auto"/>
                <w:sz w:val="21"/>
                <w:szCs w:val="21"/>
                <w:highlight w:val="none"/>
                <w:shd w:val="clear" w:color="auto" w:fill="auto"/>
                <w:vertAlign w:val="baseline"/>
                <w:lang w:val="en-US" w:eastAsia="zh-CN"/>
              </w:rPr>
              <w:instrText xml:space="preserve"> HYPERLINK "https://baike.so.com/doc/3250195-3424800.html" \t "https://baike.so.com/doc/_blank" </w:instrText>
            </w:r>
            <w:r>
              <w:rPr>
                <w:rFonts w:hint="eastAsia" w:ascii="宋体" w:hAnsi="宋体" w:eastAsia="宋体" w:cs="宋体"/>
                <w:b w:val="0"/>
                <w:bCs/>
                <w:color w:val="auto"/>
                <w:sz w:val="21"/>
                <w:szCs w:val="21"/>
                <w:highlight w:val="none"/>
                <w:shd w:val="clear" w:color="auto" w:fill="auto"/>
                <w:vertAlign w:val="baseline"/>
                <w:lang w:val="en-US" w:eastAsia="zh-CN"/>
              </w:rPr>
              <w:fldChar w:fldCharType="separate"/>
            </w:r>
            <w:r>
              <w:rPr>
                <w:rFonts w:hint="eastAsia" w:ascii="宋体" w:hAnsi="宋体" w:eastAsia="宋体" w:cs="宋体"/>
                <w:b w:val="0"/>
                <w:bCs/>
                <w:color w:val="auto"/>
                <w:sz w:val="21"/>
                <w:szCs w:val="21"/>
                <w:highlight w:val="none"/>
                <w:shd w:val="clear" w:color="auto" w:fill="auto"/>
                <w:vertAlign w:val="baseline"/>
                <w:lang w:val="en-US" w:eastAsia="zh-CN"/>
              </w:rPr>
              <w:t>自然</w:t>
            </w:r>
            <w:r>
              <w:rPr>
                <w:rFonts w:hint="eastAsia" w:ascii="宋体" w:hAnsi="宋体" w:eastAsia="宋体" w:cs="宋体"/>
                <w:b w:val="0"/>
                <w:bCs/>
                <w:color w:val="auto"/>
                <w:sz w:val="21"/>
                <w:szCs w:val="21"/>
                <w:highlight w:val="none"/>
                <w:shd w:val="clear" w:color="auto" w:fill="auto"/>
                <w:vertAlign w:val="baseline"/>
                <w:lang w:val="en-US" w:eastAsia="zh-CN"/>
              </w:rPr>
              <w:fldChar w:fldCharType="end"/>
            </w:r>
            <w:r>
              <w:rPr>
                <w:rFonts w:hint="eastAsia" w:ascii="宋体" w:hAnsi="宋体" w:eastAsia="宋体" w:cs="宋体"/>
                <w:b w:val="0"/>
                <w:bCs/>
                <w:color w:val="auto"/>
                <w:sz w:val="21"/>
                <w:szCs w:val="21"/>
                <w:highlight w:val="none"/>
                <w:shd w:val="clear" w:color="auto" w:fill="auto"/>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细节层次更精准，显示更清晰、更干净细腻的超高清图像，适合不同的复杂手术场景；</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有效提升内窥镜微创手术的准确性及安全性。</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主要技术参数：</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1、摄像头有效像素:</w:t>
            </w:r>
            <w:r>
              <w:rPr>
                <w:rFonts w:hint="eastAsia" w:ascii="宋体" w:hAnsi="宋体" w:eastAsia="宋体" w:cs="宋体"/>
                <w:b w:val="0"/>
                <w:bCs/>
                <w:color w:val="auto"/>
                <w:sz w:val="21"/>
                <w:szCs w:val="21"/>
                <w:highlight w:val="none"/>
                <w:shd w:val="clear" w:color="auto" w:fill="auto"/>
                <w:vertAlign w:val="baseline"/>
                <w:lang w:val="en-US" w:eastAsia="zh-CN"/>
              </w:rPr>
              <w:tab/>
            </w:r>
            <w:r>
              <w:rPr>
                <w:rFonts w:hint="eastAsia" w:ascii="宋体" w:hAnsi="宋体" w:eastAsia="宋体" w:cs="宋体"/>
                <w:b w:val="0"/>
                <w:bCs/>
                <w:color w:val="auto"/>
                <w:sz w:val="21"/>
                <w:szCs w:val="21"/>
                <w:highlight w:val="none"/>
                <w:shd w:val="clear" w:color="auto" w:fill="auto"/>
                <w:vertAlign w:val="baseline"/>
                <w:lang w:val="en-US" w:eastAsia="zh-CN"/>
              </w:rPr>
              <w:t>摄像头垂直有效像素为2160pixel，摄像头水平有效像素为3840pixel</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2、水平分辨率和垂直分辨率:</w:t>
            </w:r>
            <w:r>
              <w:rPr>
                <w:rFonts w:hint="eastAsia" w:ascii="宋体" w:hAnsi="宋体" w:eastAsia="宋体" w:cs="宋体"/>
                <w:b w:val="0"/>
                <w:bCs/>
                <w:color w:val="auto"/>
                <w:sz w:val="21"/>
                <w:szCs w:val="21"/>
                <w:highlight w:val="none"/>
                <w:shd w:val="clear" w:color="auto" w:fill="auto"/>
                <w:vertAlign w:val="baseline"/>
                <w:lang w:val="en-US" w:eastAsia="zh-CN"/>
              </w:rPr>
              <w:tab/>
            </w:r>
            <w:r>
              <w:rPr>
                <w:rFonts w:hint="eastAsia" w:ascii="宋体" w:hAnsi="宋体" w:eastAsia="宋体" w:cs="宋体"/>
                <w:b w:val="0"/>
                <w:bCs/>
                <w:color w:val="auto"/>
                <w:sz w:val="21"/>
                <w:szCs w:val="21"/>
                <w:highlight w:val="none"/>
                <w:shd w:val="clear" w:color="auto" w:fill="auto"/>
                <w:vertAlign w:val="baseline"/>
                <w:lang w:val="en-US" w:eastAsia="zh-CN"/>
              </w:rPr>
              <w:t>摄像系统摄像头的水平分辨率为3733线，垂直分辨率为2100线</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3、信噪比:</w:t>
            </w:r>
            <w:r>
              <w:rPr>
                <w:rFonts w:hint="eastAsia" w:ascii="宋体" w:hAnsi="宋体" w:eastAsia="宋体" w:cs="宋体"/>
                <w:b w:val="0"/>
                <w:bCs/>
                <w:color w:val="auto"/>
                <w:sz w:val="21"/>
                <w:szCs w:val="21"/>
                <w:highlight w:val="none"/>
                <w:shd w:val="clear" w:color="auto" w:fill="auto"/>
                <w:vertAlign w:val="baseline"/>
                <w:lang w:val="en-US" w:eastAsia="zh-CN"/>
              </w:rPr>
              <w:tab/>
            </w:r>
            <w:r>
              <w:rPr>
                <w:rFonts w:hint="eastAsia" w:ascii="宋体" w:hAnsi="宋体" w:eastAsia="宋体" w:cs="宋体"/>
                <w:b w:val="0"/>
                <w:bCs/>
                <w:color w:val="auto"/>
                <w:sz w:val="21"/>
                <w:szCs w:val="21"/>
                <w:highlight w:val="none"/>
                <w:shd w:val="clear" w:color="auto" w:fill="auto"/>
                <w:vertAlign w:val="baseline"/>
                <w:lang w:val="en-US" w:eastAsia="zh-CN"/>
              </w:rPr>
              <w:t>摄像系统的信噪比均应为56dB</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4、内窥镜检查模式:至少具有9种内窥镜检查模式，通过触摸屏第一界面直观明了调节耳鼻喉镜，宫腔镜，腹腔镜，关节镜，泌尿镜，纤维支气管镜，椎间孔镜，输尿管肾镜和用户自定义九种模式，无需进入二级菜单，方便临床使用</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★5、图像设置:</w:t>
            </w:r>
            <w:r>
              <w:rPr>
                <w:rFonts w:hint="eastAsia" w:ascii="宋体" w:hAnsi="宋体" w:eastAsia="宋体" w:cs="宋体"/>
                <w:b w:val="0"/>
                <w:bCs/>
                <w:color w:val="auto"/>
                <w:sz w:val="21"/>
                <w:szCs w:val="21"/>
                <w:highlight w:val="none"/>
                <w:shd w:val="clear" w:color="auto" w:fill="auto"/>
                <w:vertAlign w:val="baseline"/>
                <w:lang w:val="en-US" w:eastAsia="zh-CN"/>
              </w:rPr>
              <w:tab/>
            </w:r>
            <w:r>
              <w:rPr>
                <w:rFonts w:hint="eastAsia" w:ascii="宋体" w:hAnsi="宋体" w:eastAsia="宋体" w:cs="宋体"/>
                <w:b w:val="0"/>
                <w:bCs/>
                <w:color w:val="auto"/>
                <w:sz w:val="21"/>
                <w:szCs w:val="21"/>
                <w:highlight w:val="none"/>
                <w:shd w:val="clear" w:color="auto" w:fill="auto"/>
                <w:vertAlign w:val="baseline"/>
                <w:lang w:val="en-US" w:eastAsia="zh-CN"/>
              </w:rPr>
              <w:t>摄像系统具有图像色彩、亮度、对比度、锐度、饱和度等设置功能还具有图像翻转、轮廓增强、去除摩尔纹等功能</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6、手柄按键自定义：</w:t>
            </w:r>
            <w:r>
              <w:rPr>
                <w:rFonts w:hint="eastAsia" w:ascii="宋体" w:hAnsi="宋体" w:eastAsia="宋体" w:cs="宋体"/>
                <w:b w:val="0"/>
                <w:bCs/>
                <w:color w:val="auto"/>
                <w:sz w:val="21"/>
                <w:szCs w:val="21"/>
                <w:highlight w:val="none"/>
                <w:shd w:val="clear" w:color="auto" w:fill="auto"/>
                <w:vertAlign w:val="baseline"/>
                <w:lang w:val="en-US" w:eastAsia="zh-CN"/>
              </w:rPr>
              <w:tab/>
            </w:r>
            <w:r>
              <w:rPr>
                <w:rFonts w:hint="eastAsia" w:ascii="宋体" w:hAnsi="宋体" w:eastAsia="宋体" w:cs="宋体"/>
                <w:b w:val="0"/>
                <w:bCs/>
                <w:color w:val="auto"/>
                <w:sz w:val="21"/>
                <w:szCs w:val="21"/>
                <w:highlight w:val="none"/>
                <w:shd w:val="clear" w:color="auto" w:fill="auto"/>
                <w:vertAlign w:val="baseline"/>
                <w:lang w:val="en-US" w:eastAsia="zh-CN"/>
              </w:rPr>
              <w:t>可自定义手柄按键设置为白平衡、拍照、亮度、录像四种功能。</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7、录像、拍照图像设置</w:t>
            </w:r>
            <w:r>
              <w:rPr>
                <w:rFonts w:hint="eastAsia" w:ascii="宋体" w:hAnsi="宋体" w:eastAsia="宋体" w:cs="宋体"/>
                <w:b w:val="0"/>
                <w:bCs/>
                <w:color w:val="auto"/>
                <w:sz w:val="21"/>
                <w:szCs w:val="21"/>
                <w:highlight w:val="none"/>
                <w:shd w:val="clear" w:color="auto" w:fill="auto"/>
                <w:vertAlign w:val="baseline"/>
                <w:lang w:val="en-US" w:eastAsia="zh-CN"/>
              </w:rPr>
              <w:tab/>
            </w:r>
            <w:r>
              <w:rPr>
                <w:rFonts w:hint="eastAsia" w:ascii="宋体" w:hAnsi="宋体" w:eastAsia="宋体" w:cs="宋体"/>
                <w:b w:val="0"/>
                <w:bCs/>
                <w:color w:val="auto"/>
                <w:sz w:val="21"/>
                <w:szCs w:val="21"/>
                <w:highlight w:val="none"/>
                <w:shd w:val="clear" w:color="auto" w:fill="auto"/>
                <w:vertAlign w:val="baseline"/>
                <w:lang w:val="en-US" w:eastAsia="zh-CN"/>
              </w:rPr>
              <w:t>可设置录像、拍照质量，可分为：低、中、高三个设置模式</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8、数据存储接口：通过USB接口USB3.0协议进行数据存储和数据导出，图像存储格式为BMP、视频储存格式为AVI。</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二、医用内窥镜冷光源</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1.LED冷光源具有触摸按键，使操作更人性化，简易方便；</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2.灯泡：LED灯珠；</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3.色温： 3000K～7000K；</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4.显色指数： ≥90；</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5.光通量：800lm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6.光谱范围：400~700nm；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7.噪声：  ≤60dB；</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8.输入功率：200VA</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9.亮度调节：可调，液晶面板触摸按键；</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10.灯泡寿命：≥30000小时；</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★11.具有视频输出功能</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三、监视器(4K)</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3.1显示屏：≥32寸LED显示屏</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3.2屏幕比例：16:9</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3.3可用遥控器控制开关机，菜单参数等减少手术室的污染</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3.4最大分辨率：3840×2160</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3.5色度：16.7M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3.6对比度：1300:1</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3.7亮度:1000cd/m2</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3.8可视角度:178°（H）×178°（V）</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3.9输入信号:DVI-D/3G-SDI/HDMI/DP/12G-SDI</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四、层式金属推车</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 xml:space="preserve">   医用金属四层推车，带多功能插排及抽屉，饰角颜色可选。单层承重≥25kg,整体承重≥100kg。万向轮可360°旋转，方便耐用。仪器具体尺寸可根据用户需求定制。</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1.金属立柱：整体组合，装卸自如；</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2.多层组合：层板可调，空间多重组合；</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3.安全性高：隐藏式线缆管理，安全美观；</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4.轻巧灵便：医用静音轮，移动灵活自如；</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5.空间性广：立柱两侧排孔式设计，扩展性增强；</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6.定制改装：根据主体结构，针对特殊需求，快速化定制。</w:t>
            </w:r>
          </w:p>
          <w:tbl>
            <w:tblPr>
              <w:tblStyle w:val="17"/>
              <w:tblpPr w:leftFromText="180" w:rightFromText="180" w:vertAnchor="page" w:horzAnchor="page" w:tblpX="81" w:tblpY="1654"/>
              <w:tblOverlap w:val="never"/>
              <w:tblW w:w="4363" w:type="dxa"/>
              <w:tblInd w:w="0" w:type="dxa"/>
              <w:tblLayout w:type="fixed"/>
              <w:tblCellMar>
                <w:top w:w="15" w:type="dxa"/>
                <w:left w:w="15" w:type="dxa"/>
                <w:bottom w:w="0" w:type="dxa"/>
                <w:right w:w="15" w:type="dxa"/>
              </w:tblCellMar>
            </w:tblPr>
            <w:tblGrid>
              <w:gridCol w:w="823"/>
              <w:gridCol w:w="2268"/>
              <w:gridCol w:w="1272"/>
            </w:tblGrid>
            <w:tr>
              <w:tblPrEx>
                <w:tblCellMar>
                  <w:top w:w="15" w:type="dxa"/>
                  <w:left w:w="15" w:type="dxa"/>
                  <w:bottom w:w="0" w:type="dxa"/>
                  <w:right w:w="15" w:type="dxa"/>
                </w:tblCellMar>
              </w:tblPrEx>
              <w:trPr>
                <w:trHeight w:val="700" w:hRule="atLeast"/>
              </w:trPr>
              <w:tc>
                <w:tcPr>
                  <w:tcW w:w="823"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序号</w:t>
                  </w:r>
                </w:p>
              </w:tc>
              <w:tc>
                <w:tcPr>
                  <w:tcW w:w="226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产品名称</w:t>
                  </w:r>
                </w:p>
              </w:tc>
              <w:tc>
                <w:tcPr>
                  <w:tcW w:w="1272"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数量</w:t>
                  </w:r>
                </w:p>
              </w:tc>
            </w:tr>
            <w:tr>
              <w:tblPrEx>
                <w:tblCellMar>
                  <w:top w:w="15" w:type="dxa"/>
                  <w:left w:w="15" w:type="dxa"/>
                  <w:bottom w:w="0" w:type="dxa"/>
                  <w:right w:w="15" w:type="dxa"/>
                </w:tblCellMar>
              </w:tblPrEx>
              <w:trPr>
                <w:trHeight w:val="700" w:hRule="atLeast"/>
              </w:trPr>
              <w:tc>
                <w:tcPr>
                  <w:tcW w:w="8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w:t>
                  </w:r>
                </w:p>
              </w:tc>
              <w:tc>
                <w:tcPr>
                  <w:tcW w:w="22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医用内窥镜摄像系统</w:t>
                  </w:r>
                </w:p>
              </w:tc>
              <w:tc>
                <w:tcPr>
                  <w:tcW w:w="12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1台</w:t>
                  </w:r>
                </w:p>
              </w:tc>
            </w:tr>
            <w:tr>
              <w:tblPrEx>
                <w:tblCellMar>
                  <w:top w:w="15" w:type="dxa"/>
                  <w:left w:w="15" w:type="dxa"/>
                  <w:bottom w:w="0" w:type="dxa"/>
                  <w:right w:w="15" w:type="dxa"/>
                </w:tblCellMar>
              </w:tblPrEx>
              <w:trPr>
                <w:trHeight w:val="700" w:hRule="atLeast"/>
              </w:trPr>
              <w:tc>
                <w:tcPr>
                  <w:tcW w:w="8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2</w:t>
                  </w:r>
                </w:p>
              </w:tc>
              <w:tc>
                <w:tcPr>
                  <w:tcW w:w="22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医用内窥镜冷光源</w:t>
                  </w:r>
                </w:p>
              </w:tc>
              <w:tc>
                <w:tcPr>
                  <w:tcW w:w="12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1台</w:t>
                  </w:r>
                </w:p>
              </w:tc>
            </w:tr>
            <w:tr>
              <w:tblPrEx>
                <w:tblCellMar>
                  <w:top w:w="15" w:type="dxa"/>
                  <w:left w:w="15" w:type="dxa"/>
                  <w:bottom w:w="0" w:type="dxa"/>
                  <w:right w:w="15" w:type="dxa"/>
                </w:tblCellMar>
              </w:tblPrEx>
              <w:trPr>
                <w:trHeight w:val="700" w:hRule="atLeast"/>
              </w:trPr>
              <w:tc>
                <w:tcPr>
                  <w:tcW w:w="8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3</w:t>
                  </w:r>
                </w:p>
              </w:tc>
              <w:tc>
                <w:tcPr>
                  <w:tcW w:w="22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监视器</w:t>
                  </w:r>
                </w:p>
              </w:tc>
              <w:tc>
                <w:tcPr>
                  <w:tcW w:w="12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1台</w:t>
                  </w:r>
                </w:p>
              </w:tc>
            </w:tr>
            <w:tr>
              <w:tblPrEx>
                <w:tblCellMar>
                  <w:top w:w="15" w:type="dxa"/>
                  <w:left w:w="15" w:type="dxa"/>
                  <w:bottom w:w="0" w:type="dxa"/>
                  <w:right w:w="15" w:type="dxa"/>
                </w:tblCellMar>
              </w:tblPrEx>
              <w:trPr>
                <w:trHeight w:val="700" w:hRule="atLeast"/>
              </w:trPr>
              <w:tc>
                <w:tcPr>
                  <w:tcW w:w="8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4</w:t>
                  </w:r>
                </w:p>
              </w:tc>
              <w:tc>
                <w:tcPr>
                  <w:tcW w:w="22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层式金属推车</w:t>
                  </w:r>
                </w:p>
              </w:tc>
              <w:tc>
                <w:tcPr>
                  <w:tcW w:w="12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val="0"/>
                      <w:bCs/>
                      <w:color w:val="auto"/>
                      <w:sz w:val="21"/>
                      <w:szCs w:val="21"/>
                      <w:highlight w:val="none"/>
                      <w:shd w:val="clear" w:color="auto" w:fill="auto"/>
                      <w:vertAlign w:val="baseline"/>
                      <w:lang w:val="en-US" w:eastAsia="zh-CN"/>
                    </w:rPr>
                  </w:pPr>
                  <w:r>
                    <w:rPr>
                      <w:rFonts w:hint="eastAsia" w:ascii="宋体" w:hAnsi="宋体" w:eastAsia="宋体" w:cs="宋体"/>
                      <w:b w:val="0"/>
                      <w:bCs/>
                      <w:color w:val="auto"/>
                      <w:sz w:val="21"/>
                      <w:szCs w:val="21"/>
                      <w:highlight w:val="none"/>
                      <w:shd w:val="clear" w:color="auto" w:fill="auto"/>
                      <w:vertAlign w:val="baseline"/>
                      <w:lang w:val="en-US" w:eastAsia="zh-CN"/>
                    </w:rPr>
                    <w:t>1台</w:t>
                  </w:r>
                </w:p>
              </w:tc>
            </w:tr>
          </w:tbl>
          <w:p>
            <w:pPr>
              <w:pStyle w:val="10"/>
              <w:rPr>
                <w:rFonts w:hint="eastAsia" w:ascii="宋体" w:hAnsi="宋体" w:eastAsia="宋体" w:cs="宋体"/>
                <w:color w:val="auto"/>
                <w:sz w:val="21"/>
                <w:szCs w:val="21"/>
                <w:highlight w:val="none"/>
                <w:lang w:val="en-US" w:eastAsia="zh-CN"/>
              </w:rPr>
            </w:pPr>
          </w:p>
        </w:tc>
        <w:tc>
          <w:tcPr>
            <w:tcW w:w="1165" w:type="dxa"/>
            <w:vAlign w:val="center"/>
          </w:tcPr>
          <w:p>
            <w:pPr>
              <w:keepNext w:val="0"/>
              <w:keepLines w:val="0"/>
              <w:widowControl/>
              <w:suppressLineNumbers w:val="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55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18</w:t>
            </w:r>
          </w:p>
        </w:tc>
        <w:tc>
          <w:tcPr>
            <w:tcW w:w="123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手术动力系统</w:t>
            </w:r>
          </w:p>
        </w:tc>
        <w:tc>
          <w:tcPr>
            <w:tcW w:w="1231"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1套</w:t>
            </w:r>
          </w:p>
        </w:tc>
        <w:tc>
          <w:tcPr>
            <w:tcW w:w="5160" w:type="dxa"/>
          </w:tcPr>
          <w:p>
            <w:pPr>
              <w:numPr>
                <w:ilvl w:val="0"/>
                <w:numId w:val="7"/>
              </w:numP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主机</w:t>
            </w:r>
          </w:p>
          <w:p>
            <w:pPr>
              <w:numPr>
                <w:ilvl w:val="1"/>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产品适用范围：该产品适用于骨科或其他外科手术中对人体骨组织和（或）软组织的钻削、磨削、刨削处理。可用于耳鼻喉头颈外科手术、骨科手术、神外手术、整形手术、口腔手术和面部手术等。</w:t>
            </w:r>
          </w:p>
          <w:p>
            <w:pPr>
              <w:numPr>
                <w:ilvl w:val="1"/>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工作环境要求</w:t>
            </w:r>
          </w:p>
          <w:p>
            <w:pPr>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环境温度：10℃～40℃；</w:t>
            </w:r>
          </w:p>
          <w:p>
            <w:pPr>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相对湿度：30%～75%；</w:t>
            </w:r>
          </w:p>
          <w:p>
            <w:pPr>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大气压力：700hPa～1060hPa。</w:t>
            </w:r>
          </w:p>
          <w:p>
            <w:pPr>
              <w:numPr>
                <w:ilvl w:val="1"/>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防电击类型：Ⅰ类。</w:t>
            </w:r>
          </w:p>
          <w:p>
            <w:pPr>
              <w:numPr>
                <w:ilvl w:val="1"/>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防电击的程度： BF型应用部分。</w:t>
            </w:r>
          </w:p>
          <w:p>
            <w:pPr>
              <w:numPr>
                <w:ilvl w:val="1"/>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运行模式：连续运行。</w:t>
            </w:r>
          </w:p>
          <w:p>
            <w:pPr>
              <w:numPr>
                <w:ilvl w:val="1"/>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移动式航空合金机箱，进液的防护等级IPX1。</w:t>
            </w:r>
          </w:p>
          <w:p>
            <w:pPr>
              <w:numPr>
                <w:ilvl w:val="1"/>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大尺寸高清全彩色液晶触摸屏，具有手柄型号识别与显示、转速显示、手柄运行方向的显示、泵流量显示及调节等功能。</w:t>
            </w:r>
          </w:p>
          <w:p>
            <w:pPr>
              <w:numPr>
                <w:ilvl w:val="1"/>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可通过屏幕进行转速设置、运行模式的设置、活动手柄选择、泵启停及流量调节等操作。</w:t>
            </w:r>
          </w:p>
          <w:p>
            <w:pPr>
              <w:numPr>
                <w:ilvl w:val="1"/>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系统具有多种工作状态，并能在显示屏幕上指示出当前工作状态。</w:t>
            </w:r>
          </w:p>
          <w:p>
            <w:pPr>
              <w:numPr>
                <w:ilvl w:val="1"/>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主机同一手柄接口可接不同手柄（不区分刨削手柄或高速手柄），具备接入附件识别功能，能识别连接的是否为有效附件，并能识别类型，并根据不同附件类型匹配相应的控制参数。</w:t>
            </w:r>
          </w:p>
          <w:p>
            <w:pPr>
              <w:numPr>
                <w:ilvl w:val="1"/>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动力输出可随时切换到不同的手柄（仅多手柄接口型号主机），减少手术中断时间。</w:t>
            </w:r>
          </w:p>
          <w:p>
            <w:pPr>
              <w:numPr>
                <w:ilvl w:val="1"/>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内置具有独立开关的冷却/冲洗泵，为手术提供注水冲洗和冷却功能，流量可调节。</w:t>
            </w:r>
          </w:p>
          <w:p>
            <w:pPr>
              <w:numPr>
                <w:ilvl w:val="1"/>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预置多种模式，可通过屏幕、脚踏开关、手柄按钮（仅具有手控功能的手柄）等多种方式进行选择切换。</w:t>
            </w:r>
          </w:p>
          <w:p>
            <w:pPr>
              <w:numPr>
                <w:ilvl w:val="1"/>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设定的模式和转速具有自动记忆功能，下次开机会自动跳转至记忆模式。</w:t>
            </w:r>
          </w:p>
          <w:p>
            <w:pPr>
              <w:numPr>
                <w:ilvl w:val="1"/>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系统具有自检和错误提示功能，发生故障自动停止工作并显示故障代码，方便查找故障原因，发生故障后主机自动停止工作，确保手术安全。</w:t>
            </w:r>
          </w:p>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1.19★</w:t>
            </w:r>
            <w:r>
              <w:rPr>
                <w:rFonts w:hint="eastAsia" w:ascii="宋体" w:hAnsi="宋体" w:eastAsia="宋体" w:cs="宋体"/>
                <w:color w:val="auto"/>
                <w:sz w:val="21"/>
                <w:szCs w:val="21"/>
                <w:highlight w:val="none"/>
              </w:rPr>
              <w:t>可提供用于鼻颅底手术及视神经手术的颅底钻，最高转速≥60000 rpm，具有钻头保护鞘。可用于内镜下经鼻的视神经减压，鼻泪囊吻合及前（筛）颅底手术，有灌注通道</w:t>
            </w:r>
            <w:r>
              <w:rPr>
                <w:rFonts w:hint="eastAsia" w:ascii="宋体" w:hAnsi="宋体" w:eastAsia="宋体" w:cs="宋体"/>
                <w:color w:val="auto"/>
                <w:sz w:val="21"/>
                <w:szCs w:val="21"/>
                <w:highlight w:val="none"/>
                <w:lang w:val="en-US" w:eastAsia="zh-CN"/>
              </w:rPr>
              <w:t>,精准注水冲洗冷却。</w:t>
            </w:r>
            <w:r>
              <w:rPr>
                <w:rFonts w:hint="eastAsia" w:ascii="宋体" w:hAnsi="宋体" w:eastAsia="宋体" w:cs="宋体"/>
                <w:color w:val="auto"/>
                <w:sz w:val="21"/>
                <w:szCs w:val="21"/>
                <w:highlight w:val="none"/>
              </w:rPr>
              <w:t>可高温高压灭菌。</w:t>
            </w:r>
          </w:p>
          <w:p>
            <w:pPr>
              <w:numPr>
                <w:ilvl w:val="0"/>
                <w:numId w:val="7"/>
              </w:numP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多功能脚踏开关</w:t>
            </w:r>
          </w:p>
          <w:p>
            <w:pPr>
              <w:numPr>
                <w:ilvl w:val="1"/>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全金属材质，密封型脚踏开关，线缆长度</w:t>
            </w:r>
            <w:r>
              <w:rPr>
                <w:rFonts w:hint="eastAsia" w:ascii="宋体" w:hAnsi="宋体" w:eastAsia="宋体" w:cs="宋体"/>
                <w:color w:val="auto"/>
                <w:sz w:val="21"/>
                <w:szCs w:val="21"/>
                <w:highlight w:val="none"/>
                <w:lang w:val="en-US" w:eastAsia="zh-CN"/>
              </w:rPr>
              <w:t>至少</w:t>
            </w:r>
            <w:r>
              <w:rPr>
                <w:rFonts w:hint="eastAsia" w:ascii="宋体" w:hAnsi="宋体" w:eastAsia="宋体" w:cs="宋体"/>
                <w:color w:val="auto"/>
                <w:sz w:val="21"/>
                <w:szCs w:val="21"/>
                <w:highlight w:val="none"/>
              </w:rPr>
              <w:t>3米，防水等级 IPX8。</w:t>
            </w:r>
          </w:p>
          <w:p>
            <w:pPr>
              <w:numPr>
                <w:ilvl w:val="1"/>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脚踏开关具有启停、无极调速功能。</w:t>
            </w:r>
          </w:p>
          <w:p>
            <w:pPr>
              <w:numPr>
                <w:ilvl w:val="1"/>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脚踏开关具有手柄切换功能：可通过脚踏开关快速切换当前活动手柄（仅多手柄接口型号主机）。</w:t>
            </w:r>
          </w:p>
          <w:p>
            <w:pPr>
              <w:numPr>
                <w:ilvl w:val="1"/>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脚踏开关具有模式切换功能：可在手机不同预设工作模式中进行快速切换。</w:t>
            </w:r>
          </w:p>
          <w:p>
            <w:pPr>
              <w:numPr>
                <w:ilvl w:val="1"/>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脚踏开关具有机械式防误踩装置。</w:t>
            </w:r>
          </w:p>
          <w:p>
            <w:pPr>
              <w:numPr>
                <w:ilvl w:val="0"/>
                <w:numId w:val="7"/>
              </w:numP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刨削手柄</w:t>
            </w:r>
          </w:p>
          <w:p>
            <w:pPr>
              <w:numPr>
                <w:ilvl w:val="1"/>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航空合金机身，线缆长度</w:t>
            </w:r>
            <w:r>
              <w:rPr>
                <w:rFonts w:hint="eastAsia" w:ascii="宋体" w:hAnsi="宋体" w:eastAsia="宋体" w:cs="宋体"/>
                <w:color w:val="auto"/>
                <w:sz w:val="21"/>
                <w:szCs w:val="21"/>
                <w:highlight w:val="none"/>
                <w:lang w:val="en-US" w:eastAsia="zh-CN"/>
              </w:rPr>
              <w:t>至少</w:t>
            </w:r>
            <w:r>
              <w:rPr>
                <w:rFonts w:hint="eastAsia" w:ascii="宋体" w:hAnsi="宋体" w:eastAsia="宋体" w:cs="宋体"/>
                <w:color w:val="auto"/>
                <w:sz w:val="21"/>
                <w:szCs w:val="21"/>
                <w:highlight w:val="none"/>
              </w:rPr>
              <w:t>3米，防水电缆接头，可高温高压灭菌。</w:t>
            </w:r>
          </w:p>
          <w:p>
            <w:pPr>
              <w:numPr>
                <w:ilvl w:val="1"/>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微型超轻设计，人体工程学设计，握持舒适，利于长时间手术。</w:t>
            </w:r>
          </w:p>
          <w:p>
            <w:pPr>
              <w:numPr>
                <w:ilvl w:val="1"/>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无刷电机，大扭矩，低噪音，运行稳定，振动小，经久耐用。</w:t>
            </w:r>
          </w:p>
          <w:p>
            <w:pPr>
              <w:numPr>
                <w:ilvl w:val="1"/>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支持多种旋转模式，转速可调，最大转速12000 r/min。</w:t>
            </w:r>
          </w:p>
          <w:p>
            <w:pPr>
              <w:numPr>
                <w:ilvl w:val="1"/>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往复频率可调，最大200次/min。</w:t>
            </w:r>
          </w:p>
          <w:p>
            <w:pPr>
              <w:numPr>
                <w:ilvl w:val="1"/>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手柄具有过负载保护功能。</w:t>
            </w:r>
          </w:p>
          <w:p>
            <w:pPr>
              <w:numPr>
                <w:ilvl w:val="1"/>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大流量直通式吸引通道，不易堵塞，便于清洁，具有吸引控制阀门。</w:t>
            </w:r>
          </w:p>
          <w:p>
            <w:pPr>
              <w:numPr>
                <w:ilvl w:val="1"/>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可适配多种专用刨削刀具，快速刀具夹头，刀具锁紧牢固可靠，刀具拆装快速便捷。</w:t>
            </w:r>
          </w:p>
          <w:p>
            <w:pPr>
              <w:numPr>
                <w:ilvl w:val="0"/>
                <w:numId w:val="7"/>
              </w:numP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高速手柄</w:t>
            </w:r>
          </w:p>
          <w:p>
            <w:pPr>
              <w:numPr>
                <w:ilvl w:val="1"/>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钛合金机身，线缆长度</w:t>
            </w:r>
            <w:r>
              <w:rPr>
                <w:rFonts w:hint="eastAsia" w:ascii="宋体" w:hAnsi="宋体" w:eastAsia="宋体" w:cs="宋体"/>
                <w:color w:val="auto"/>
                <w:sz w:val="21"/>
                <w:szCs w:val="21"/>
                <w:highlight w:val="none"/>
                <w:lang w:val="en-US" w:eastAsia="zh-CN"/>
              </w:rPr>
              <w:t>至少</w:t>
            </w:r>
            <w:r>
              <w:rPr>
                <w:rFonts w:hint="eastAsia" w:ascii="宋体" w:hAnsi="宋体" w:eastAsia="宋体" w:cs="宋体"/>
                <w:color w:val="auto"/>
                <w:sz w:val="21"/>
                <w:szCs w:val="21"/>
                <w:highlight w:val="none"/>
              </w:rPr>
              <w:t>3米，防水电缆接头，可高温高压灭菌。</w:t>
            </w:r>
          </w:p>
          <w:p>
            <w:pPr>
              <w:numPr>
                <w:ilvl w:val="1"/>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微型超轻设计，外形纤细，便于执笔式握持。</w:t>
            </w:r>
          </w:p>
          <w:p>
            <w:pPr>
              <w:numPr>
                <w:ilvl w:val="1"/>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进口无刷电机，大扭矩，低噪音，运行稳定，振动小，经久耐用。</w:t>
            </w:r>
          </w:p>
          <w:p>
            <w:pPr>
              <w:numPr>
                <w:ilvl w:val="1"/>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正反转模式自由切换，转速可调，最大转速80000 r/min。</w:t>
            </w:r>
          </w:p>
          <w:p>
            <w:pPr>
              <w:numPr>
                <w:ilvl w:val="1"/>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手柄具有过负载保护功能。</w:t>
            </w:r>
          </w:p>
          <w:p>
            <w:pPr>
              <w:numPr>
                <w:ilvl w:val="1"/>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循环式水冷式设计，在最高转速下连续工作可有效降低手柄温度。</w:t>
            </w:r>
          </w:p>
          <w:p>
            <w:pPr>
              <w:numPr>
                <w:ilvl w:val="1"/>
                <w:numId w:val="7"/>
              </w:numP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通用快速接口，可接直型、弯型、单向、前后往复、左右往复各式夹头，安装简便，刀具快速拆装，无需借助工具。</w:t>
            </w:r>
          </w:p>
          <w:p>
            <w:pPr>
              <w:numPr>
                <w:ilvl w:val="0"/>
                <w:numId w:val="7"/>
              </w:numP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刨削刀</w:t>
            </w:r>
          </w:p>
          <w:p>
            <w:pPr>
              <w:numPr>
                <w:ilvl w:val="1"/>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多种不同刃口形状、不同直径、角度的刨削刀具，满足不同手术需求。</w:t>
            </w:r>
          </w:p>
          <w:p>
            <w:pPr>
              <w:numPr>
                <w:ilvl w:val="1"/>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刨削刀可注水和吸引（不同规格功能有所区别）。</w:t>
            </w:r>
          </w:p>
          <w:p>
            <w:pPr>
              <w:numPr>
                <w:ilvl w:val="1"/>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精密加工的高硬度材料，转动平顺，刃口锋利，经久耐用。</w:t>
            </w:r>
          </w:p>
          <w:p>
            <w:pPr>
              <w:numPr>
                <w:ilvl w:val="0"/>
                <w:numId w:val="7"/>
              </w:numP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磨钻头</w:t>
            </w:r>
          </w:p>
          <w:p>
            <w:pPr>
              <w:numPr>
                <w:ilvl w:val="1"/>
                <w:numId w:val="7"/>
              </w:num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各种不同头型、不同材质、不同尺寸规格的磨钻头，满足不同手术需求。</w:t>
            </w:r>
          </w:p>
          <w:p>
            <w:pPr>
              <w:numPr>
                <w:ilvl w:val="1"/>
                <w:numId w:val="7"/>
              </w:num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精密加工的高硬度材料，高速转动稳定，刃口锋利，经久耐用。</w:t>
            </w:r>
          </w:p>
        </w:tc>
        <w:tc>
          <w:tcPr>
            <w:tcW w:w="1165" w:type="dxa"/>
            <w:vAlign w:val="center"/>
          </w:tcPr>
          <w:p>
            <w:pPr>
              <w:keepNext w:val="0"/>
              <w:keepLines w:val="0"/>
              <w:widowControl/>
              <w:suppressLineNumbers w:val="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55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19</w:t>
            </w:r>
          </w:p>
        </w:tc>
        <w:tc>
          <w:tcPr>
            <w:tcW w:w="123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视力筛查仪</w:t>
            </w:r>
          </w:p>
        </w:tc>
        <w:tc>
          <w:tcPr>
            <w:tcW w:w="1231"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1台</w:t>
            </w:r>
          </w:p>
        </w:tc>
        <w:tc>
          <w:tcPr>
            <w:tcW w:w="5160" w:type="dxa"/>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1.操作模式：双眼/单眼</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2.屈光检测：全自动</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★3.球面度DS：范围-7.5OD~+7.5OD，分辨率0.25D/0.01D，精度 ±0.5OD（检查范围内精度均达到±0.5D）</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★4.柱面度DC： 范围0.00D~±3.00D，分辨率0.25D/0.01D，精度±0.50D（具有两种分辨率）</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5.轴位Axis:范围0°~180°，分辨率：1°，精度：±5°</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6.瞳孔直径Pupil Size：范围4.0mm~9.0mm，分辨率：0.1mm，精度：±0.1mm</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7.瞳距Pupil Distance:范围35mm~80mm，分辨率：1mm，精度：±1mm</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★8.信号光：LED光源850nm±15nm,单个LED光源不大于25mw</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★9.固视光：LED光源565nm±15nm,单个LED光源不大于0.1mw</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10.筛查内容：屈光筛查（近视、远视、散光、屈光参差）、眼位变化、瞳孔大小及瞳间距，提示视力5.0、1.0结果</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11.选配自助筛查系统，自助筛查暗盒，提高学校筛查效率</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★12.用于小儿视力普查的便携式技术</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13.工作距离 :1m左右</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14.测量时间 :~1s</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15.数据传输：Wi-Fi,USB，蓝牙</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16.电池：可更换充电锂电池，可连续工作</w:t>
            </w:r>
            <w:r>
              <w:rPr>
                <w:rFonts w:hint="eastAsia" w:ascii="宋体" w:hAnsi="宋体" w:eastAsia="宋体" w:cs="宋体"/>
                <w:color w:val="auto"/>
                <w:sz w:val="21"/>
                <w:szCs w:val="21"/>
                <w:highlight w:val="none"/>
                <w:lang w:val="en-US" w:eastAsia="zh-CN"/>
              </w:rPr>
              <w:t>至少</w:t>
            </w:r>
            <w:r>
              <w:rPr>
                <w:rFonts w:hint="eastAsia" w:ascii="宋体" w:hAnsi="宋体" w:eastAsia="宋体" w:cs="宋体"/>
                <w:color w:val="auto"/>
                <w:sz w:val="21"/>
                <w:szCs w:val="21"/>
                <w:highlight w:val="none"/>
              </w:rPr>
              <w:t>6小时</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.显示器：≥5寸触摸显示屏</w:t>
            </w:r>
          </w:p>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.打印输出：热敏纸打印机和A4报告打印机可选</w:t>
            </w:r>
          </w:p>
        </w:tc>
        <w:tc>
          <w:tcPr>
            <w:tcW w:w="1165" w:type="dxa"/>
            <w:vAlign w:val="center"/>
          </w:tcPr>
          <w:p>
            <w:pPr>
              <w:keepNext w:val="0"/>
              <w:keepLines w:val="0"/>
              <w:widowControl/>
              <w:suppressLineNumbers w:val="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55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19</w:t>
            </w:r>
          </w:p>
        </w:tc>
        <w:tc>
          <w:tcPr>
            <w:tcW w:w="123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智能视力筛查建档系统</w:t>
            </w:r>
          </w:p>
        </w:tc>
        <w:tc>
          <w:tcPr>
            <w:tcW w:w="1231"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1套</w:t>
            </w:r>
          </w:p>
        </w:tc>
        <w:tc>
          <w:tcPr>
            <w:tcW w:w="5160" w:type="dxa"/>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1、系统包括用户及权限管理、学生信息管理、普查和筛查任务管理、统计分析、筛查数据报表等功能模块，为管理人员提供统一便捷的信息化管理手段。</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校园学生视力筛查基础项目裸眼视力、矫正视力、戴镜类型、屈光数据、眼病采集等，对视力异常学生显示视力预警及眼病标记。同时支持串镜矫正、色觉、立体位、眼位、外眼、沙眼、结膜炎、眼轴、角膜曲率、以及其它扩展的眼科检查项目等。</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3、支持在网络连接状态下自动将检查数据实时自动上传至系统平台，形成汇总及分析数据；支持在乡村等网络信号不良状态下离线筛查，并在网络信号正常状态下支持一键上传。</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4、支持多用户，多级，可配置权限的管理；满足用户的基本要求。</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5、支持视力数据批量导入国家体质健康网格式；</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6、按区、按级、按年龄，按视力级别、按学校等多维度的数据分析及报表自动生成功能；</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7、支持家长公众号查询学生视力数据，支持查看学生个体所有历史视力报告，报告内容包括裸眼视力和矫正视力、两眼屈光数据、筛查时间、以及其它扩展的眼科检查项目等；支持查看学生视力趋势图。</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（2）《液晶视力表》技术参数</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1、支持测试裸眼视力和戴镜视力，数据支持蓝牙传输及WIFI无线传输。</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2、具有裸眼视力检测模式、戴镜视力检测模式、低视力（≤4.0）检测模式,三种测试模式可自由切换；</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3、支持移动端应用程序操控检测视力，并在系统中选择学生不同戴镜类型，可相应确定视力表检测项目。</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4、满足拥挤效应,支持自定义单行视标及单个、多个视标，视标开口方向随机出现，消除因人为记忆所造成的检测误差。</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5、可根据检测距离，调整视标大小</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6、液晶屏：电容触摸屏，10点投射式电容触控技术，5毫秒快速反应；</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7、屏幕尺寸：≥15.6英寸；</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8、分辨率：≥1920×1080 ； ​</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9、视标类型：E视标、儿童视标 ；</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10、数据传输方式：蓝牙，支持蓝牙4.0，同时支持WIFI无线传输，传输距离≥7米。</w:t>
            </w:r>
          </w:p>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11、设备具有二类医疗器械资质。</w:t>
            </w:r>
          </w:p>
        </w:tc>
        <w:tc>
          <w:tcPr>
            <w:tcW w:w="1165" w:type="dxa"/>
            <w:vAlign w:val="center"/>
          </w:tcPr>
          <w:p>
            <w:pPr>
              <w:keepNext w:val="0"/>
              <w:keepLines w:val="0"/>
              <w:widowControl/>
              <w:suppressLineNumbers w:val="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552"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19</w:t>
            </w:r>
          </w:p>
        </w:tc>
        <w:tc>
          <w:tcPr>
            <w:tcW w:w="1235"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3D视觉功能训练系统</w:t>
            </w:r>
          </w:p>
        </w:tc>
        <w:tc>
          <w:tcPr>
            <w:tcW w:w="1231"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1套</w:t>
            </w:r>
          </w:p>
        </w:tc>
        <w:tc>
          <w:tcPr>
            <w:tcW w:w="5160" w:type="dxa"/>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1、结构及组成：产品预装于计算机交付，主要由精细刺激训练、视觉技巧训练和双眼视功能训练</w:t>
            </w:r>
            <w:r>
              <w:rPr>
                <w:rFonts w:hint="eastAsia" w:ascii="宋体" w:hAnsi="宋体" w:eastAsia="宋体" w:cs="宋体"/>
                <w:color w:val="auto"/>
                <w:sz w:val="21"/>
                <w:szCs w:val="21"/>
                <w:highlight w:val="none"/>
                <w:lang w:val="en-US" w:eastAsia="zh-CN"/>
              </w:rPr>
              <w:t>等</w:t>
            </w:r>
            <w:r>
              <w:rPr>
                <w:rFonts w:hint="eastAsia" w:ascii="宋体" w:hAnsi="宋体" w:eastAsia="宋体" w:cs="宋体"/>
                <w:color w:val="auto"/>
                <w:sz w:val="21"/>
                <w:szCs w:val="21"/>
                <w:highlight w:val="none"/>
              </w:rPr>
              <w:t>三个模块</w:t>
            </w:r>
            <w:r>
              <w:rPr>
                <w:rFonts w:hint="eastAsia" w:ascii="宋体" w:hAnsi="宋体" w:eastAsia="宋体" w:cs="宋体"/>
                <w:color w:val="auto"/>
                <w:sz w:val="21"/>
                <w:szCs w:val="21"/>
                <w:highlight w:val="none"/>
                <w:lang w:val="en-US" w:eastAsia="zh-CN"/>
              </w:rPr>
              <w:t>或更多模块</w:t>
            </w:r>
            <w:r>
              <w:rPr>
                <w:rFonts w:hint="eastAsia" w:ascii="宋体" w:hAnsi="宋体" w:eastAsia="宋体" w:cs="宋体"/>
                <w:color w:val="auto"/>
                <w:sz w:val="21"/>
                <w:szCs w:val="21"/>
                <w:highlight w:val="none"/>
              </w:rPr>
              <w:t>组成。</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2、适用范围：适用于儿童轻、中度弱视及融合功能不足的治疗。</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3、产品特点：能够根据患者的视力和视功能状况，因人而异制定个性化的治疗方案，能让患者进行更有效的弱视康复训练、提高视觉功能。</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4、软件运行环境要求</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a）​CPU：高通骁龙830同等或更高配置；</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b）​内存：不低于4GB；</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c）​硬盘:不低于32GB;</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d）​显示器：显示器分辨率不低于1920X1080 ；</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e）​网络连接：10M宽带或无线网络。</w:t>
            </w:r>
          </w:p>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、接口：支持HDMI接口</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支持DP接口</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支持USB扩展/充电</w:t>
            </w:r>
            <w:r>
              <w:rPr>
                <w:rFonts w:hint="eastAsia" w:ascii="宋体" w:hAnsi="宋体" w:eastAsia="宋体" w:cs="宋体"/>
                <w:color w:val="auto"/>
                <w:sz w:val="21"/>
                <w:szCs w:val="21"/>
                <w:highlight w:val="none"/>
                <w:lang w:val="en-US" w:eastAsia="zh-CN"/>
              </w:rPr>
              <w:t>等。</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、训练项目：软件训练项目不少于18个内容。</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、训练刺激模式</w:t>
            </w:r>
            <w:r>
              <w:rPr>
                <w:rFonts w:hint="eastAsia" w:ascii="宋体" w:hAnsi="宋体" w:eastAsia="宋体" w:cs="宋体"/>
                <w:color w:val="auto"/>
                <w:sz w:val="21"/>
                <w:szCs w:val="21"/>
                <w:highlight w:val="none"/>
                <w:lang w:val="en-US" w:eastAsia="zh-CN"/>
              </w:rPr>
              <w:t>至少含三种</w:t>
            </w:r>
            <w:r>
              <w:rPr>
                <w:rFonts w:hint="eastAsia" w:ascii="宋体" w:hAnsi="宋体" w:eastAsia="宋体" w:cs="宋体"/>
                <w:color w:val="auto"/>
                <w:sz w:val="21"/>
                <w:szCs w:val="21"/>
                <w:highlight w:val="none"/>
              </w:rPr>
              <w:t>刺激模式。</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资质：产品有医疗器械二类产品注册证。</w:t>
            </w:r>
          </w:p>
          <w:p>
            <w:pPr>
              <w:pStyle w:val="10"/>
              <w:rPr>
                <w:rFonts w:hint="eastAsia" w:ascii="宋体" w:hAnsi="宋体" w:eastAsia="宋体" w:cs="宋体"/>
                <w:color w:val="auto"/>
                <w:sz w:val="21"/>
                <w:szCs w:val="21"/>
                <w:highlight w:val="none"/>
                <w:lang w:val="en-US" w:eastAsia="zh-CN"/>
              </w:rPr>
            </w:pPr>
          </w:p>
        </w:tc>
        <w:tc>
          <w:tcPr>
            <w:tcW w:w="1165" w:type="dxa"/>
            <w:vAlign w:val="center"/>
          </w:tcPr>
          <w:p>
            <w:pPr>
              <w:keepNext w:val="0"/>
              <w:keepLines w:val="0"/>
              <w:widowControl/>
              <w:suppressLineNumbers w:val="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9343" w:type="dxa"/>
            <w:gridSpan w:val="5"/>
            <w:shd w:val="clear" w:color="auto" w:fill="auto"/>
            <w:vAlign w:val="center"/>
          </w:tcPr>
          <w:p>
            <w:pPr>
              <w:keepNext w:val="0"/>
              <w:keepLines w:val="0"/>
              <w:widowControl/>
              <w:suppressLineNumbers w:val="0"/>
              <w:ind w:left="630" w:hanging="630" w:hangingChars="300"/>
              <w:jc w:val="left"/>
              <w:rPr>
                <w:b w:val="0"/>
                <w:bCs w:val="0"/>
                <w:color w:val="auto"/>
                <w:szCs w:val="21"/>
                <w:highlight w:val="none"/>
              </w:rPr>
            </w:pPr>
            <w:r>
              <w:rPr>
                <w:rFonts w:hint="eastAsia" w:ascii="宋体" w:hAnsi="宋体" w:eastAsia="宋体" w:cs="宋体"/>
                <w:b w:val="0"/>
                <w:bCs w:val="0"/>
                <w:color w:val="auto"/>
                <w:kern w:val="0"/>
                <w:sz w:val="21"/>
                <w:szCs w:val="21"/>
                <w:highlight w:val="none"/>
                <w:lang w:val="en-US" w:eastAsia="zh-CN" w:bidi="ar"/>
              </w:rPr>
              <w:t xml:space="preserve">▲注：1．所有设备向采购人提供所有数据通讯、技术接口服务，开放接口的费用由本项目中标人自行承担。 </w:t>
            </w:r>
          </w:p>
          <w:p>
            <w:pPr>
              <w:keepNext w:val="0"/>
              <w:keepLines w:val="0"/>
              <w:widowControl/>
              <w:suppressLineNumbers w:val="0"/>
              <w:ind w:left="630" w:leftChars="300" w:firstLine="0" w:firstLineChars="0"/>
              <w:jc w:val="left"/>
              <w:rPr>
                <w:b w:val="0"/>
                <w:bCs w:val="0"/>
                <w:color w:val="auto"/>
                <w:szCs w:val="21"/>
                <w:highlight w:val="none"/>
              </w:rPr>
            </w:pPr>
            <w:r>
              <w:rPr>
                <w:rFonts w:hint="eastAsia" w:ascii="宋体" w:hAnsi="宋体" w:eastAsia="宋体" w:cs="宋体"/>
                <w:b w:val="0"/>
                <w:bCs w:val="0"/>
                <w:color w:val="auto"/>
                <w:kern w:val="0"/>
                <w:sz w:val="21"/>
                <w:szCs w:val="21"/>
                <w:highlight w:val="none"/>
                <w:lang w:val="en-US" w:eastAsia="zh-CN" w:bidi="ar"/>
              </w:rPr>
              <w:t xml:space="preserve">2．所有系统设备要求与医院信息网络数据互联互通，与医院信息系统连接所产生的费用由中标人自行承担。 </w:t>
            </w:r>
          </w:p>
          <w:p>
            <w:pPr>
              <w:keepNext w:val="0"/>
              <w:keepLines w:val="0"/>
              <w:widowControl/>
              <w:suppressLineNumbers w:val="0"/>
              <w:ind w:firstLine="840" w:firstLineChars="400"/>
              <w:jc w:val="left"/>
              <w:rPr>
                <w:b w:val="0"/>
                <w:bCs w:val="0"/>
                <w:color w:val="auto"/>
                <w:szCs w:val="21"/>
                <w:highlight w:val="none"/>
              </w:rPr>
            </w:pPr>
            <w:r>
              <w:rPr>
                <w:rFonts w:hint="eastAsia" w:ascii="宋体" w:hAnsi="宋体" w:eastAsia="宋体" w:cs="宋体"/>
                <w:b w:val="0"/>
                <w:bCs w:val="0"/>
                <w:color w:val="auto"/>
                <w:kern w:val="0"/>
                <w:sz w:val="21"/>
                <w:szCs w:val="21"/>
                <w:highlight w:val="none"/>
                <w:lang w:val="en-US" w:eastAsia="zh-CN" w:bidi="ar"/>
              </w:rPr>
              <w:t xml:space="preserve">3．备品备件及耗材等要求：设备安装时所需的备品备件及耗材由中标人负责提供。 </w:t>
            </w:r>
          </w:p>
          <w:p>
            <w:pPr>
              <w:keepNext w:val="0"/>
              <w:keepLines w:val="0"/>
              <w:widowControl/>
              <w:suppressLineNumbers w:val="0"/>
              <w:ind w:left="840" w:leftChars="400" w:firstLine="0" w:firstLineChars="0"/>
              <w:jc w:val="left"/>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4. 本项目验收过程中所产生的一切费用均由中标供应商承担。供应商报价时应考虑相关费用。</w:t>
            </w:r>
          </w:p>
          <w:p>
            <w:pPr>
              <w:keepNext w:val="0"/>
              <w:keepLines w:val="0"/>
              <w:widowControl/>
              <w:suppressLineNumbers w:val="0"/>
              <w:ind w:firstLine="840" w:firstLineChars="400"/>
              <w:jc w:val="left"/>
              <w:rPr>
                <w:rFonts w:hint="eastAsia" w:ascii="宋体" w:hAnsi="宋体" w:eastAsia="宋体" w:cs="宋体"/>
                <w:i w:val="0"/>
                <w:color w:val="auto"/>
                <w:kern w:val="0"/>
                <w:sz w:val="21"/>
                <w:szCs w:val="21"/>
                <w:highlight w:val="none"/>
                <w:u w:val="none"/>
                <w:lang w:val="en-US" w:eastAsia="zh-CN" w:bidi="ar"/>
              </w:rPr>
            </w:pPr>
            <w:r>
              <w:rPr>
                <w:rFonts w:hint="eastAsia" w:ascii="宋体" w:hAnsi="宋体" w:cs="宋体"/>
                <w:b w:val="0"/>
                <w:bCs w:val="0"/>
                <w:color w:val="auto"/>
                <w:kern w:val="0"/>
                <w:sz w:val="21"/>
                <w:szCs w:val="21"/>
                <w:highlight w:val="none"/>
                <w:lang w:val="en-US" w:eastAsia="zh-CN" w:bidi="ar"/>
              </w:rPr>
              <w:t>5.</w:t>
            </w:r>
            <w:r>
              <w:rPr>
                <w:rFonts w:hint="eastAsia" w:ascii="宋体" w:hAnsi="宋体" w:eastAsia="宋体" w:cs="宋体"/>
                <w:b w:val="0"/>
                <w:bCs w:val="0"/>
                <w:color w:val="auto"/>
                <w:kern w:val="0"/>
                <w:sz w:val="21"/>
                <w:szCs w:val="21"/>
                <w:highlight w:val="none"/>
                <w:lang w:val="en-US" w:eastAsia="zh-CN" w:bidi="ar"/>
              </w:rPr>
              <w:t xml:space="preserve"> 所</w:t>
            </w:r>
            <w:r>
              <w:rPr>
                <w:rFonts w:hint="eastAsia" w:ascii="宋体" w:hAnsi="宋体" w:cs="宋体"/>
                <w:b w:val="0"/>
                <w:bCs w:val="0"/>
                <w:color w:val="auto"/>
                <w:kern w:val="0"/>
                <w:sz w:val="21"/>
                <w:szCs w:val="21"/>
                <w:highlight w:val="none"/>
                <w:lang w:val="en-US" w:eastAsia="zh-CN" w:bidi="ar"/>
              </w:rPr>
              <w:t>有</w:t>
            </w:r>
            <w:r>
              <w:rPr>
                <w:rFonts w:hint="eastAsia" w:ascii="宋体" w:hAnsi="宋体" w:eastAsia="宋体" w:cs="宋体"/>
                <w:b w:val="0"/>
                <w:bCs w:val="0"/>
                <w:color w:val="auto"/>
                <w:kern w:val="0"/>
                <w:sz w:val="21"/>
                <w:szCs w:val="21"/>
                <w:highlight w:val="none"/>
                <w:lang w:val="en-US" w:eastAsia="zh-CN" w:bidi="ar"/>
              </w:rPr>
              <w:t>提供设备需为供货时近半年</w:t>
            </w:r>
            <w:r>
              <w:rPr>
                <w:rFonts w:hint="eastAsia" w:ascii="宋体" w:hAnsi="宋体" w:cs="宋体"/>
                <w:b w:val="0"/>
                <w:bCs w:val="0"/>
                <w:color w:val="auto"/>
                <w:kern w:val="0"/>
                <w:sz w:val="21"/>
                <w:szCs w:val="21"/>
                <w:highlight w:val="none"/>
                <w:lang w:val="en-US" w:eastAsia="zh-CN" w:bidi="ar"/>
              </w:rPr>
              <w:t>内</w:t>
            </w:r>
            <w:r>
              <w:rPr>
                <w:rFonts w:hint="eastAsia" w:ascii="宋体" w:hAnsi="宋体" w:eastAsia="宋体" w:cs="宋体"/>
                <w:b w:val="0"/>
                <w:bCs w:val="0"/>
                <w:color w:val="auto"/>
                <w:kern w:val="0"/>
                <w:sz w:val="21"/>
                <w:szCs w:val="21"/>
                <w:highlight w:val="none"/>
                <w:lang w:val="en-US" w:eastAsia="zh-CN" w:bidi="ar"/>
              </w:rPr>
              <w:t>生产的</w:t>
            </w:r>
            <w:r>
              <w:rPr>
                <w:rFonts w:hint="eastAsia" w:ascii="宋体" w:hAnsi="宋体" w:cs="宋体"/>
                <w:b w:val="0"/>
                <w:bCs w:val="0"/>
                <w:color w:val="auto"/>
                <w:kern w:val="0"/>
                <w:sz w:val="21"/>
                <w:szCs w:val="21"/>
                <w:highlight w:val="none"/>
                <w:lang w:val="en-US" w:eastAsia="zh-CN" w:bidi="ar"/>
              </w:rPr>
              <w:t>产品</w:t>
            </w:r>
            <w:r>
              <w:rPr>
                <w:rFonts w:hint="eastAsia" w:ascii="宋体" w:hAnsi="宋体" w:eastAsia="宋体" w:cs="宋体"/>
                <w:b w:val="0"/>
                <w:bCs w:val="0"/>
                <w:color w:val="auto"/>
                <w:kern w:val="0"/>
                <w:sz w:val="21"/>
                <w:szCs w:val="21"/>
                <w:highlight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9343" w:type="dxa"/>
            <w:gridSpan w:val="5"/>
            <w:shd w:val="clear" w:color="auto" w:fill="auto"/>
            <w:vAlign w:val="center"/>
          </w:tcPr>
          <w:p>
            <w:pPr>
              <w:keepNext w:val="0"/>
              <w:keepLines w:val="0"/>
              <w:widowControl/>
              <w:suppressLineNumbers w:val="0"/>
              <w:jc w:val="left"/>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b w:val="0"/>
                <w:bCs w:val="0"/>
                <w:color w:val="auto"/>
                <w:kern w:val="0"/>
                <w:sz w:val="21"/>
                <w:szCs w:val="21"/>
                <w:highlight w:val="none"/>
                <w:lang w:val="en-US" w:eastAsia="zh-CN" w:bidi="ar"/>
              </w:rPr>
              <w:t xml:space="preserve">以上涉及到设备性能及配置评审的相关参数均需添加到中标人的货物采购合同内，且采购人有权要求针对现场货物的部件的品牌及产地进行各种甄别方式（如第三方商检）。如甄别结果与合同内一致的，甄别的费用由采购人负责，如果甄别的结果与合同不一致的，甄别的费用由中标人负责，且中标人需赔偿采购人由此产生的所有损失，并承担相应的法律责任。 </w:t>
            </w:r>
          </w:p>
        </w:tc>
      </w:tr>
      <w:bookmarkEnd w:id="47"/>
      <w:bookmarkEnd w:id="48"/>
    </w:tbl>
    <w:tbl>
      <w:tblPr>
        <w:tblStyle w:val="17"/>
        <w:tblW w:w="935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557"/>
        <w:gridCol w:w="679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354"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b/>
                <w:bCs/>
                <w:color w:val="auto"/>
                <w:szCs w:val="21"/>
                <w:highlight w:val="none"/>
              </w:rPr>
            </w:pPr>
            <w:r>
              <w:rPr>
                <w:rFonts w:hint="eastAsia" w:ascii="宋体" w:hAnsi="宋体"/>
                <w:b/>
                <w:color w:val="auto"/>
                <w:szCs w:val="21"/>
                <w:highlight w:val="none"/>
                <w:lang w:eastAsia="zh-CN"/>
              </w:rPr>
              <w:t>二</w:t>
            </w:r>
            <w:r>
              <w:rPr>
                <w:rFonts w:hint="eastAsia" w:ascii="宋体" w:hAnsi="宋体"/>
                <w:b/>
                <w:color w:val="auto"/>
                <w:szCs w:val="21"/>
                <w:highlight w:val="none"/>
              </w:rPr>
              <w:t>、商务要求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宋体" w:hAnsi="宋体"/>
                <w:b/>
                <w:color w:val="auto"/>
                <w:szCs w:val="21"/>
                <w:highlight w:val="none"/>
              </w:rPr>
            </w:pPr>
            <w:r>
              <w:rPr>
                <w:rFonts w:hint="eastAsia" w:ascii="宋体" w:hAnsi="宋体"/>
                <w:color w:val="auto"/>
                <w:szCs w:val="21"/>
                <w:highlight w:val="none"/>
              </w:rPr>
              <w:t>▲</w:t>
            </w:r>
            <w:r>
              <w:rPr>
                <w:rFonts w:hint="eastAsia" w:ascii="宋体" w:hAnsi="宋体" w:cs="宋体"/>
                <w:color w:val="auto"/>
                <w:szCs w:val="21"/>
                <w:highlight w:val="none"/>
              </w:rPr>
              <w:t>交付的时间和地点</w:t>
            </w:r>
          </w:p>
        </w:tc>
        <w:tc>
          <w:tcPr>
            <w:tcW w:w="679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color w:val="auto"/>
                <w:highlight w:val="none"/>
                <w:lang w:val="en-US" w:eastAsia="zh-CN"/>
              </w:rPr>
            </w:pPr>
            <w:r>
              <w:rPr>
                <w:rFonts w:hint="eastAsia"/>
                <w:color w:val="auto"/>
                <w:highlight w:val="none"/>
              </w:rPr>
              <w:t>合同履行期限</w:t>
            </w:r>
            <w:r>
              <w:rPr>
                <w:rFonts w:hint="eastAsia"/>
                <w:color w:val="auto"/>
                <w:highlight w:val="none"/>
              </w:rPr>
              <w:t>：</w:t>
            </w:r>
            <w:r>
              <w:rPr>
                <w:rFonts w:hint="eastAsia"/>
                <w:color w:val="auto"/>
                <w:highlight w:val="none"/>
                <w:lang w:val="en-US" w:eastAsia="zh-CN"/>
              </w:rPr>
              <w:t>详见招标公告。</w:t>
            </w:r>
          </w:p>
          <w:p>
            <w:pPr>
              <w:spacing w:line="36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kern w:val="2"/>
                <w:sz w:val="21"/>
                <w:szCs w:val="24"/>
                <w:highlight w:val="none"/>
                <w:lang w:val="en-US" w:eastAsia="zh-CN" w:bidi="ar-SA"/>
              </w:rPr>
              <w:t>地点：采购人指定地点</w:t>
            </w:r>
            <w:r>
              <w:rPr>
                <w:rFonts w:hint="eastAsia" w:ascii="Times New Roman" w:hAnsi="Times New Roman" w:eastAsia="宋体" w:cs="Times New Roman"/>
                <w:color w:val="auto"/>
                <w:highlight w:val="none"/>
                <w:lang w:val="en-US" w:eastAsia="zh-CN"/>
              </w:rPr>
              <w:t>。</w:t>
            </w:r>
          </w:p>
          <w:p>
            <w:pPr>
              <w:spacing w:line="360" w:lineRule="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货物交接要求：安装验收合格后视为交货，在交货前的运输、仓储、装卸、搬运、保管等由中标人负责，并承担相关责任。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b/>
                <w:color w:val="auto"/>
                <w:szCs w:val="21"/>
                <w:highlight w:val="none"/>
              </w:rPr>
            </w:pPr>
            <w:r>
              <w:rPr>
                <w:rFonts w:hint="eastAsia" w:ascii="宋体" w:hAnsi="宋体"/>
                <w:color w:val="auto"/>
                <w:szCs w:val="21"/>
                <w:highlight w:val="none"/>
              </w:rPr>
              <w:t>付款条件</w:t>
            </w:r>
          </w:p>
        </w:tc>
        <w:tc>
          <w:tcPr>
            <w:tcW w:w="679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default" w:ascii="宋体" w:hAnsi="宋体" w:eastAsia="宋体"/>
                <w:b/>
                <w:color w:val="auto"/>
                <w:szCs w:val="21"/>
                <w:highlight w:val="none"/>
                <w:lang w:val="en-US" w:eastAsia="zh-CN"/>
              </w:rPr>
            </w:pPr>
            <w:r>
              <w:rPr>
                <w:rFonts w:hint="eastAsia" w:ascii="宋体" w:hAnsi="宋体"/>
                <w:b/>
                <w:color w:val="auto"/>
                <w:szCs w:val="21"/>
                <w:highlight w:val="none"/>
                <w:lang w:val="en-US" w:eastAsia="zh-CN"/>
              </w:rPr>
              <w:t>按合同条款执行。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b/>
                <w:color w:val="auto"/>
                <w:szCs w:val="21"/>
                <w:highlight w:val="none"/>
              </w:rPr>
            </w:pPr>
            <w:r>
              <w:rPr>
                <w:rFonts w:hint="eastAsia" w:ascii="宋体" w:hAnsi="宋体"/>
                <w:color w:val="auto"/>
                <w:szCs w:val="21"/>
                <w:highlight w:val="none"/>
              </w:rPr>
              <w:t>▲售后服务</w:t>
            </w:r>
          </w:p>
        </w:tc>
        <w:tc>
          <w:tcPr>
            <w:tcW w:w="679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color w:val="auto"/>
                <w:highlight w:val="none"/>
              </w:rPr>
            </w:pPr>
            <w:r>
              <w:rPr>
                <w:rFonts w:hint="eastAsia"/>
                <w:color w:val="auto"/>
                <w:highlight w:val="none"/>
              </w:rPr>
              <w:t>1.</w:t>
            </w:r>
            <w:r>
              <w:rPr>
                <w:rFonts w:hint="eastAsia"/>
                <w:color w:val="auto"/>
                <w:highlight w:val="none"/>
              </w:rPr>
              <w:t>质保期：</w:t>
            </w:r>
            <w:r>
              <w:rPr>
                <w:rFonts w:hint="eastAsia"/>
                <w:color w:val="auto"/>
                <w:highlight w:val="none"/>
                <w:lang w:val="en-US" w:eastAsia="zh-CN"/>
              </w:rPr>
              <w:t>不少于一年。</w:t>
            </w:r>
            <w:r>
              <w:rPr>
                <w:rFonts w:hint="eastAsia"/>
                <w:color w:val="auto"/>
                <w:highlight w:val="none"/>
              </w:rPr>
              <w:t>按国家有关产品“三包”规定执行“三包”，</w:t>
            </w:r>
            <w:r>
              <w:rPr>
                <w:rFonts w:hint="eastAsia"/>
                <w:color w:val="auto"/>
                <w:highlight w:val="none"/>
                <w:lang w:val="en-US" w:eastAsia="zh-CN"/>
              </w:rPr>
              <w:t>除</w:t>
            </w:r>
            <w:r>
              <w:rPr>
                <w:rFonts w:hint="eastAsia"/>
                <w:color w:val="auto"/>
                <w:highlight w:val="none"/>
              </w:rPr>
              <w:t>质保期特别注明外。质保期内负责上门服务、维修、更换配件，不得收取任何费用。保修期内，出现维修超过三次，未修好，需要第四次维修的，可要求换新机。</w:t>
            </w:r>
          </w:p>
          <w:p>
            <w:pPr>
              <w:spacing w:line="360" w:lineRule="auto"/>
              <w:rPr>
                <w:rFonts w:hint="eastAsia"/>
                <w:color w:val="auto"/>
                <w:highlight w:val="none"/>
              </w:rPr>
            </w:pPr>
            <w:r>
              <w:rPr>
                <w:rFonts w:hint="eastAsia"/>
                <w:color w:val="auto"/>
                <w:highlight w:val="none"/>
              </w:rPr>
              <w:t xml:space="preserve">2.售后服务费用包含在报价中，售后服务内容如下： </w:t>
            </w:r>
          </w:p>
          <w:p>
            <w:pPr>
              <w:spacing w:line="360" w:lineRule="auto"/>
              <w:rPr>
                <w:rFonts w:hint="eastAsia"/>
                <w:color w:val="auto"/>
                <w:highlight w:val="none"/>
              </w:rPr>
            </w:pPr>
            <w:r>
              <w:rPr>
                <w:rFonts w:hint="eastAsia"/>
                <w:color w:val="auto"/>
                <w:highlight w:val="none"/>
              </w:rPr>
              <w:t>（1）负责</w:t>
            </w:r>
            <w:r>
              <w:rPr>
                <w:rFonts w:hint="eastAsia"/>
                <w:color w:val="auto"/>
                <w:highlight w:val="none"/>
                <w:lang w:val="en-US" w:eastAsia="zh-CN"/>
              </w:rPr>
              <w:t>免费</w:t>
            </w:r>
            <w:r>
              <w:rPr>
                <w:rFonts w:hint="eastAsia"/>
                <w:color w:val="auto"/>
                <w:highlight w:val="none"/>
              </w:rPr>
              <w:t>送货上门，安装调试，培训操作人员。</w:t>
            </w:r>
          </w:p>
          <w:p>
            <w:pPr>
              <w:spacing w:line="360" w:lineRule="auto"/>
              <w:rPr>
                <w:rFonts w:hint="eastAsia"/>
                <w:color w:val="auto"/>
                <w:highlight w:val="none"/>
              </w:rPr>
            </w:pPr>
            <w:r>
              <w:rPr>
                <w:rFonts w:hint="eastAsia"/>
                <w:color w:val="auto"/>
                <w:highlight w:val="none"/>
              </w:rPr>
              <w:t>（2）不能正常使用的必须提供备用</w:t>
            </w:r>
            <w:r>
              <w:rPr>
                <w:rFonts w:hint="eastAsia"/>
                <w:color w:val="auto"/>
                <w:highlight w:val="none"/>
                <w:lang w:eastAsia="zh-CN"/>
              </w:rPr>
              <w:t>货物</w:t>
            </w:r>
            <w:r>
              <w:rPr>
                <w:rFonts w:hint="eastAsia"/>
                <w:color w:val="auto"/>
                <w:highlight w:val="none"/>
              </w:rPr>
              <w:t>。</w:t>
            </w:r>
          </w:p>
          <w:p>
            <w:pPr>
              <w:spacing w:line="360" w:lineRule="auto"/>
              <w:rPr>
                <w:rFonts w:hint="eastAsia"/>
                <w:color w:val="auto"/>
                <w:highlight w:val="none"/>
              </w:rPr>
            </w:pPr>
            <w:r>
              <w:rPr>
                <w:rFonts w:hint="eastAsia"/>
                <w:color w:val="auto"/>
                <w:highlight w:val="none"/>
              </w:rPr>
              <w:t>（3）定期回访以及对</w:t>
            </w:r>
            <w:r>
              <w:rPr>
                <w:rFonts w:hint="eastAsia"/>
                <w:color w:val="auto"/>
                <w:highlight w:val="none"/>
                <w:lang w:eastAsia="zh-CN"/>
              </w:rPr>
              <w:t>货物</w:t>
            </w:r>
            <w:r>
              <w:rPr>
                <w:rFonts w:hint="eastAsia"/>
                <w:color w:val="auto"/>
                <w:highlight w:val="none"/>
              </w:rPr>
              <w:t>维修。</w:t>
            </w:r>
          </w:p>
          <w:p>
            <w:pPr>
              <w:spacing w:line="360" w:lineRule="auto"/>
              <w:rPr>
                <w:rFonts w:hint="eastAsia"/>
                <w:color w:val="auto"/>
                <w:highlight w:val="none"/>
              </w:rPr>
            </w:pPr>
            <w:r>
              <w:rPr>
                <w:rFonts w:hint="eastAsia"/>
                <w:color w:val="auto"/>
                <w:highlight w:val="none"/>
              </w:rPr>
              <w:t>（4）其余按厂家承诺。</w:t>
            </w:r>
          </w:p>
          <w:p>
            <w:pPr>
              <w:spacing w:line="36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3.</w:t>
            </w:r>
            <w:r>
              <w:rPr>
                <w:rFonts w:hint="eastAsia" w:ascii="Times New Roman" w:hAnsi="Times New Roman" w:eastAsia="宋体" w:cs="Times New Roman"/>
                <w:color w:val="auto"/>
                <w:highlight w:val="none"/>
              </w:rPr>
              <w:t>中标人应配置专业安装、维修人员进行服务。</w:t>
            </w:r>
          </w:p>
          <w:p>
            <w:pPr>
              <w:spacing w:line="36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4.</w:t>
            </w:r>
            <w:r>
              <w:rPr>
                <w:rFonts w:hint="eastAsia" w:ascii="Times New Roman" w:hAnsi="Times New Roman" w:eastAsia="宋体" w:cs="Times New Roman"/>
                <w:color w:val="auto"/>
                <w:highlight w:val="none"/>
              </w:rPr>
              <w:t>要求中标人对采购人的服务通知，紧急故障处理：</w:t>
            </w:r>
            <w:r>
              <w:rPr>
                <w:rFonts w:hint="eastAsia" w:ascii="宋体" w:hAnsi="宋体" w:eastAsia="宋体" w:cs="宋体"/>
                <w:color w:val="auto"/>
                <w:kern w:val="0"/>
                <w:sz w:val="21"/>
                <w:szCs w:val="21"/>
                <w:highlight w:val="none"/>
                <w:lang w:val="en-US" w:eastAsia="zh-CN" w:bidi="ar"/>
              </w:rPr>
              <w:t>接到客户反馈后</w:t>
            </w:r>
            <w:r>
              <w:rPr>
                <w:rFonts w:hint="eastAsia" w:ascii="Times New Roman" w:hAnsi="Times New Roman" w:eastAsia="宋体" w:cs="Times New Roman"/>
                <w:color w:val="auto"/>
                <w:highlight w:val="none"/>
              </w:rPr>
              <w:t>必须</w:t>
            </w:r>
            <w:r>
              <w:rPr>
                <w:rFonts w:hint="eastAsia" w:ascii="宋体" w:hAnsi="宋体" w:eastAsia="宋体" w:cs="宋体"/>
                <w:color w:val="auto"/>
                <w:kern w:val="0"/>
                <w:sz w:val="21"/>
                <w:szCs w:val="21"/>
                <w:highlight w:val="none"/>
                <w:lang w:val="en-US" w:eastAsia="zh-CN" w:bidi="ar"/>
              </w:rPr>
              <w:t>半小时响应，</w:t>
            </w:r>
            <w:r>
              <w:rPr>
                <w:rFonts w:hint="eastAsia"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rPr>
              <w:t>4小时之内赴现场处理</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不需要更换备件的条件下应在12小时内解除故障，需要更换备件时应在24小时内解除故障。</w:t>
            </w:r>
          </w:p>
          <w:p>
            <w:pPr>
              <w:spacing w:line="360" w:lineRule="auto"/>
              <w:rPr>
                <w:rFonts w:hint="eastAsia" w:ascii="Times New Roman" w:hAnsi="Times New Roman"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360" w:lineRule="auto"/>
              <w:jc w:val="center"/>
              <w:textAlignment w:val="center"/>
              <w:rPr>
                <w:rFonts w:ascii="宋体" w:hAnsi="宋体"/>
                <w:b/>
                <w:color w:val="auto"/>
                <w:szCs w:val="21"/>
                <w:highlight w:val="none"/>
              </w:rPr>
            </w:pPr>
            <w:r>
              <w:rPr>
                <w:rFonts w:hint="eastAsia" w:ascii="宋体" w:hAnsi="宋体"/>
                <w:color w:val="auto"/>
                <w:sz w:val="21"/>
                <w:szCs w:val="21"/>
                <w:highlight w:val="none"/>
              </w:rPr>
              <w:t>▲</w:t>
            </w:r>
            <w:r>
              <w:rPr>
                <w:rFonts w:hint="eastAsia" w:ascii="宋体" w:hAnsi="宋体" w:cs="宋体"/>
                <w:color w:val="auto"/>
                <w:kern w:val="0"/>
                <w:sz w:val="21"/>
                <w:szCs w:val="21"/>
                <w:highlight w:val="none"/>
                <w:lang w:bidi="ar"/>
              </w:rPr>
              <w:t>质量标准</w:t>
            </w:r>
          </w:p>
        </w:tc>
        <w:tc>
          <w:tcPr>
            <w:tcW w:w="67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360" w:lineRule="auto"/>
              <w:jc w:val="left"/>
              <w:textAlignment w:val="center"/>
              <w:rPr>
                <w:rFonts w:ascii="宋体" w:hAnsi="宋体"/>
                <w:b/>
                <w:color w:val="auto"/>
                <w:szCs w:val="21"/>
                <w:highlight w:val="none"/>
              </w:rPr>
            </w:pPr>
            <w:r>
              <w:rPr>
                <w:rFonts w:hint="eastAsia" w:ascii="宋体" w:hAnsi="宋体" w:cs="宋体"/>
                <w:color w:val="auto"/>
                <w:kern w:val="0"/>
                <w:sz w:val="21"/>
                <w:szCs w:val="21"/>
                <w:highlight w:val="none"/>
                <w:lang w:bidi="ar"/>
              </w:rPr>
              <w:t>所供货物必须是全新的且按国家或国际有关质量标准制造，且能满足本项目技术指标的货物；零部件、配件及安装材料必须是全新的并符合制造国有关质量安全标准的产品。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360" w:lineRule="auto"/>
              <w:jc w:val="center"/>
              <w:textAlignment w:val="center"/>
              <w:rPr>
                <w:rFonts w:ascii="宋体" w:hAnsi="宋体"/>
                <w:b/>
                <w:color w:val="auto"/>
                <w:szCs w:val="21"/>
                <w:highlight w:val="none"/>
              </w:rPr>
            </w:pPr>
            <w:r>
              <w:rPr>
                <w:rFonts w:hint="eastAsia" w:ascii="宋体" w:hAnsi="宋体"/>
                <w:color w:val="auto"/>
                <w:sz w:val="21"/>
                <w:szCs w:val="21"/>
                <w:highlight w:val="none"/>
              </w:rPr>
              <w:t>▲</w:t>
            </w:r>
            <w:r>
              <w:rPr>
                <w:rFonts w:hint="eastAsia" w:ascii="宋体" w:hAnsi="宋体" w:cs="宋体"/>
                <w:color w:val="auto"/>
                <w:kern w:val="0"/>
                <w:sz w:val="21"/>
                <w:szCs w:val="21"/>
                <w:highlight w:val="none"/>
                <w:lang w:bidi="ar"/>
              </w:rPr>
              <w:t>规范标准</w:t>
            </w:r>
          </w:p>
        </w:tc>
        <w:tc>
          <w:tcPr>
            <w:tcW w:w="67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360" w:lineRule="auto"/>
              <w:jc w:val="left"/>
              <w:textAlignment w:val="center"/>
              <w:rPr>
                <w:rFonts w:ascii="宋体" w:hAnsi="宋体"/>
                <w:b/>
                <w:color w:val="auto"/>
                <w:szCs w:val="21"/>
                <w:highlight w:val="none"/>
              </w:rPr>
            </w:pPr>
            <w:r>
              <w:rPr>
                <w:rFonts w:hint="eastAsia" w:ascii="宋体" w:hAnsi="宋体" w:cs="宋体"/>
                <w:color w:val="auto"/>
                <w:kern w:val="0"/>
                <w:sz w:val="21"/>
                <w:szCs w:val="21"/>
                <w:highlight w:val="none"/>
                <w:lang w:bidi="ar"/>
              </w:rPr>
              <w:t>执行的国家标准、行业标准、地方标准或者其他标准、规范。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360" w:lineRule="auto"/>
              <w:jc w:val="center"/>
              <w:textAlignment w:val="center"/>
              <w:rPr>
                <w:rFonts w:ascii="宋体" w:hAnsi="宋体"/>
                <w:b/>
                <w:color w:val="auto"/>
                <w:szCs w:val="21"/>
                <w:highlight w:val="none"/>
              </w:rPr>
            </w:pPr>
            <w:r>
              <w:rPr>
                <w:rFonts w:hint="eastAsia" w:ascii="宋体" w:hAnsi="宋体"/>
                <w:color w:val="auto"/>
                <w:sz w:val="21"/>
                <w:szCs w:val="21"/>
                <w:highlight w:val="none"/>
              </w:rPr>
              <w:t>▲</w:t>
            </w:r>
            <w:r>
              <w:rPr>
                <w:rFonts w:hint="eastAsia" w:ascii="宋体" w:hAnsi="宋体" w:cs="宋体"/>
                <w:color w:val="auto"/>
                <w:kern w:val="0"/>
                <w:sz w:val="21"/>
                <w:szCs w:val="21"/>
                <w:highlight w:val="none"/>
                <w:lang w:bidi="ar"/>
              </w:rPr>
              <w:t>需满足的质量、安全、技术规格、物理特性等</w:t>
            </w:r>
          </w:p>
        </w:tc>
        <w:tc>
          <w:tcPr>
            <w:tcW w:w="67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360" w:lineRule="auto"/>
              <w:jc w:val="left"/>
              <w:textAlignment w:val="center"/>
              <w:rPr>
                <w:rFonts w:ascii="宋体" w:hAnsi="宋体"/>
                <w:b/>
                <w:color w:val="auto"/>
                <w:szCs w:val="21"/>
                <w:highlight w:val="none"/>
              </w:rPr>
            </w:pPr>
            <w:r>
              <w:rPr>
                <w:rFonts w:hint="eastAsia" w:ascii="宋体" w:hAnsi="宋体" w:cs="宋体"/>
                <w:color w:val="auto"/>
                <w:kern w:val="0"/>
                <w:sz w:val="21"/>
                <w:szCs w:val="21"/>
                <w:highlight w:val="none"/>
                <w:lang w:bidi="ar"/>
              </w:rPr>
              <w:t>见本表“</w:t>
            </w:r>
            <w:r>
              <w:rPr>
                <w:rFonts w:hint="eastAsia" w:ascii="宋体" w:hAnsi="宋体" w:eastAsia="宋体" w:cs="宋体"/>
                <w:color w:val="auto"/>
                <w:sz w:val="21"/>
                <w:szCs w:val="21"/>
                <w:highlight w:val="none"/>
              </w:rPr>
              <w:t>技术参数及性能配置要求</w:t>
            </w:r>
            <w:r>
              <w:rPr>
                <w:rFonts w:hint="eastAsia" w:ascii="宋体" w:hAnsi="宋体" w:cs="宋体"/>
                <w:color w:val="auto"/>
                <w:kern w:val="0"/>
                <w:sz w:val="21"/>
                <w:szCs w:val="21"/>
                <w:highlight w:val="none"/>
                <w:lang w:bidi="ar"/>
              </w:rPr>
              <w:t>”。投标人所投标产品不会发生任何的知识产权或经营权的纠纷。投标人需在投标文件中书面承诺采购方免受第三方提出侵犯其著作权、专利权、商标权或设计权的纠纷，当出现知识产权或者经营权侵权行为时由投标人承担所有责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354"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180"/>
                <w:tab w:val="left" w:pos="1620"/>
              </w:tabs>
              <w:spacing w:line="360" w:lineRule="auto"/>
              <w:rPr>
                <w:rFonts w:ascii="宋体" w:hAnsi="宋体" w:cs="宋体"/>
                <w:bCs/>
                <w:color w:val="auto"/>
                <w:szCs w:val="21"/>
                <w:highlight w:val="none"/>
              </w:rPr>
            </w:pPr>
            <w:r>
              <w:rPr>
                <w:rFonts w:hint="eastAsia" w:ascii="宋体" w:hAnsi="宋体"/>
                <w:b/>
                <w:color w:val="auto"/>
                <w:szCs w:val="21"/>
                <w:highlight w:val="none"/>
                <w:lang w:val="en-US" w:eastAsia="zh-CN"/>
              </w:rPr>
              <w:t>三</w:t>
            </w:r>
            <w:r>
              <w:rPr>
                <w:rFonts w:hint="eastAsia" w:ascii="宋体" w:hAnsi="宋体"/>
                <w:b/>
                <w:color w:val="auto"/>
                <w:szCs w:val="21"/>
                <w:highlight w:val="none"/>
              </w:rPr>
              <w:t>、验收标准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354"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验收过程中所产生的一切费用均由中标人承担。报价时应考虑相关费用。</w:t>
            </w:r>
          </w:p>
          <w:p>
            <w:pPr>
              <w:spacing w:line="360" w:lineRule="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1.中标人代表必须参与现场拆封、安装、调试，验货时严格按照本次招标参数进行验货。如供货时出现有货物停产的情况，中标人必须提供具备与原货物技术参数要求相同或高于原货物技术参数要求的替代产品。</w:t>
            </w:r>
          </w:p>
          <w:p>
            <w:pPr>
              <w:tabs>
                <w:tab w:val="left" w:pos="180"/>
                <w:tab w:val="left" w:pos="1620"/>
              </w:tabs>
              <w:spacing w:line="360" w:lineRule="auto"/>
              <w:rPr>
                <w:rFonts w:hint="eastAsia" w:ascii="宋体" w:hAnsi="宋体" w:cs="宋体"/>
                <w:bCs/>
                <w:color w:val="auto"/>
                <w:szCs w:val="21"/>
                <w:highlight w:val="none"/>
              </w:rPr>
            </w:pPr>
            <w:r>
              <w:rPr>
                <w:rFonts w:hint="eastAsia" w:ascii="宋体" w:hAnsi="宋体" w:eastAsia="宋体" w:cs="宋体"/>
                <w:b w:val="0"/>
                <w:bCs/>
                <w:color w:val="auto"/>
                <w:sz w:val="21"/>
                <w:szCs w:val="21"/>
                <w:highlight w:val="none"/>
                <w:lang w:eastAsia="zh-CN"/>
              </w:rPr>
              <w:t>2.中标人应当保证其所提供的产品为符合国家知识产权法律法规要求的正规正版产品，为确保投标人所提供产品参数的真实性，中标产品验收时进行现场测试，满足要求后方能进行验收。若中标人所提供的产品为不符合国家知识产权法律法规要求的非正规正版产品或属于假冒伪劣商品的，其合同无效，还将按照国家相关法律法规的规定提请有关监管部门对其进行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354"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、进口产品说明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354"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b/>
                <w:color w:val="auto"/>
                <w:szCs w:val="21"/>
                <w:highlight w:val="none"/>
              </w:rPr>
            </w:pPr>
            <w:r>
              <w:rPr>
                <w:rFonts w:hint="eastAsia" w:ascii="宋体" w:hAnsi="宋体"/>
                <w:b/>
                <w:color w:val="auto"/>
                <w:szCs w:val="21"/>
                <w:highlight w:val="none"/>
              </w:rPr>
              <w:t>本项目货物</w:t>
            </w:r>
            <w:r>
              <w:rPr>
                <w:rFonts w:hint="eastAsia" w:ascii="宋体" w:hAnsi="宋体"/>
                <w:b/>
                <w:color w:val="auto"/>
                <w:szCs w:val="21"/>
                <w:highlight w:val="none"/>
                <w:lang w:val="en-US" w:eastAsia="zh-CN"/>
              </w:rPr>
              <w:t>不</w:t>
            </w:r>
            <w:r>
              <w:rPr>
                <w:rFonts w:hint="eastAsia" w:ascii="宋体" w:hAnsi="宋体"/>
                <w:b/>
                <w:color w:val="auto"/>
                <w:szCs w:val="21"/>
                <w:highlight w:val="none"/>
              </w:rPr>
              <w:t>接受进口产品（即通过中国海关报关验放进入中国境内且产自关境外的产品）参与投标。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354" w:type="dxa"/>
            <w:gridSpan w:val="2"/>
            <w:tcBorders>
              <w:top w:val="single" w:color="auto" w:sz="4" w:space="0"/>
              <w:left w:val="single" w:color="auto" w:sz="4" w:space="0"/>
              <w:bottom w:val="single" w:color="auto" w:sz="4" w:space="0"/>
              <w:right w:val="single" w:color="auto" w:sz="4" w:space="0"/>
            </w:tcBorders>
            <w:noWrap w:val="0"/>
            <w:vAlign w:val="top"/>
          </w:tcPr>
          <w:p>
            <w:pPr>
              <w:tabs>
                <w:tab w:val="left" w:pos="180"/>
                <w:tab w:val="left" w:pos="1620"/>
              </w:tabs>
              <w:spacing w:line="360" w:lineRule="auto"/>
              <w:jc w:val="left"/>
              <w:rPr>
                <w:rFonts w:hint="eastAsia" w:ascii="宋体" w:hAnsi="宋体" w:eastAsia="宋体" w:cs="宋体"/>
                <w:b/>
                <w:bCs w:val="0"/>
                <w:color w:val="auto"/>
                <w:sz w:val="21"/>
                <w:szCs w:val="21"/>
                <w:highlight w:val="none"/>
                <w:lang w:eastAsia="zh-CN"/>
              </w:rPr>
            </w:pPr>
            <w:r>
              <w:rPr>
                <w:rFonts w:hint="eastAsia" w:ascii="宋体" w:hAnsi="宋体" w:eastAsia="宋体" w:cs="宋体"/>
                <w:b/>
                <w:bCs w:val="0"/>
                <w:color w:val="auto"/>
                <w:sz w:val="21"/>
                <w:szCs w:val="21"/>
                <w:highlight w:val="none"/>
                <w:lang w:val="en-US" w:eastAsia="zh-CN"/>
              </w:rPr>
              <w:t>五、其他要求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354" w:type="dxa"/>
            <w:gridSpan w:val="2"/>
            <w:tcBorders>
              <w:top w:val="single" w:color="auto" w:sz="4" w:space="0"/>
              <w:left w:val="single" w:color="auto" w:sz="4" w:space="0"/>
              <w:bottom w:val="single" w:color="auto" w:sz="4" w:space="0"/>
              <w:right w:val="single" w:color="auto" w:sz="4" w:space="0"/>
            </w:tcBorders>
            <w:noWrap w:val="0"/>
            <w:vAlign w:val="top"/>
          </w:tcPr>
          <w:p>
            <w:pPr>
              <w:tabs>
                <w:tab w:val="left" w:pos="180"/>
                <w:tab w:val="left" w:pos="1620"/>
              </w:tabs>
              <w:spacing w:line="360" w:lineRule="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val="en-US" w:eastAsia="zh-CN"/>
              </w:rPr>
              <w:t xml:space="preserve">1．投标人可于投标文件中自行考虑是否提供项目实施方案（可包含但不限于：对本项目系统总体要求的理解，包括：功能说明、性能指标及设备选型说明（质量、性能、价格、外观、体积等方面进行比 较和选择的理由及过程）、设备对接方案、对项目需求分析、针对本项目配备的实施团队、组织管理措施、详细的交货保证措施、安全措施、项目组织安排、建议的安装、调试、验收方法或方案等）； </w:t>
            </w:r>
          </w:p>
          <w:p>
            <w:pPr>
              <w:tabs>
                <w:tab w:val="left" w:pos="180"/>
                <w:tab w:val="left" w:pos="1620"/>
              </w:tabs>
              <w:spacing w:line="360" w:lineRule="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val="en-US" w:eastAsia="zh-CN"/>
              </w:rPr>
              <w:t xml:space="preserve">2．投标人可于投标文件中自行考虑是否提供项目应急处理预案（可包含但不限于：突发情况的人员安 排、保障解决问题、解决方案、应急组织机构、提供替代品或配件方案、有具体的解决办法和措施保障，规范及方案、进度及目标、预期达到的效果、管理、组织协调、实施细则等）； </w:t>
            </w:r>
          </w:p>
          <w:p>
            <w:pPr>
              <w:tabs>
                <w:tab w:val="left" w:pos="180"/>
                <w:tab w:val="left" w:pos="1620"/>
              </w:tabs>
              <w:spacing w:line="360" w:lineRule="auto"/>
              <w:rPr>
                <w:rFonts w:hint="eastAsia" w:ascii="宋体" w:hAnsi="宋体" w:eastAsia="宋体" w:cs="宋体"/>
                <w:b/>
                <w:bCs w:val="0"/>
                <w:color w:val="auto"/>
                <w:sz w:val="21"/>
                <w:szCs w:val="21"/>
                <w:highlight w:val="none"/>
                <w:lang w:eastAsia="zh-CN"/>
              </w:rPr>
            </w:pPr>
            <w:r>
              <w:rPr>
                <w:rFonts w:hint="eastAsia" w:ascii="宋体" w:hAnsi="宋体" w:eastAsia="宋体" w:cs="宋体"/>
                <w:b w:val="0"/>
                <w:bCs/>
                <w:color w:val="auto"/>
                <w:sz w:val="21"/>
                <w:szCs w:val="21"/>
                <w:highlight w:val="none"/>
                <w:lang w:val="en-US" w:eastAsia="zh-CN"/>
              </w:rPr>
              <w:t xml:space="preserve">3．投标人投标时投标文件中必须列出其所投产品的品牌、型号、生产厂家、产地及投标产品的详细技术参数、技术性能。 </w:t>
            </w:r>
          </w:p>
        </w:tc>
      </w:tr>
    </w:tbl>
    <w:p>
      <w:pPr>
        <w:spacing w:line="428" w:lineRule="exact"/>
        <w:ind w:left="119"/>
        <w:rPr>
          <w:rFonts w:hint="eastAsia" w:ascii="微软雅黑" w:hAnsi="微软雅黑" w:eastAsia="微软雅黑" w:cs="微软雅黑"/>
          <w:color w:val="auto"/>
          <w:sz w:val="32"/>
          <w:szCs w:val="32"/>
          <w:highlight w:val="none"/>
        </w:rPr>
      </w:pPr>
    </w:p>
    <w:p>
      <w:pPr>
        <w:rPr>
          <w:rFonts w:hint="eastAsia" w:ascii="微软雅黑" w:hAnsi="微软雅黑" w:eastAsia="微软雅黑" w:cs="微软雅黑"/>
          <w:color w:val="auto"/>
          <w:sz w:val="32"/>
          <w:szCs w:val="32"/>
          <w:highlight w:val="none"/>
          <w:lang w:val="en-US" w:eastAsia="zh-CN"/>
        </w:rPr>
      </w:pPr>
      <w:r>
        <w:rPr>
          <w:rFonts w:hint="eastAsia" w:ascii="微软雅黑" w:hAnsi="微软雅黑" w:eastAsia="微软雅黑" w:cs="微软雅黑"/>
          <w:color w:val="auto"/>
          <w:sz w:val="32"/>
          <w:szCs w:val="32"/>
          <w:highlight w:val="none"/>
          <w:lang w:val="en-US" w:eastAsia="zh-CN"/>
        </w:rPr>
        <w:br w:type="page"/>
      </w:r>
    </w:p>
    <w:p>
      <w:pPr>
        <w:spacing w:line="428" w:lineRule="exact"/>
        <w:ind w:left="119"/>
        <w:jc w:val="center"/>
        <w:rPr>
          <w:rFonts w:hint="eastAsia" w:ascii="微软雅黑" w:hAnsi="微软雅黑" w:eastAsia="微软雅黑" w:cs="微软雅黑"/>
          <w:color w:val="auto"/>
          <w:sz w:val="32"/>
          <w:szCs w:val="32"/>
          <w:highlight w:val="none"/>
          <w:lang w:val="en-US" w:eastAsia="zh-CN"/>
        </w:rPr>
      </w:pPr>
      <w:r>
        <w:rPr>
          <w:rFonts w:hint="eastAsia" w:ascii="微软雅黑" w:hAnsi="微软雅黑" w:eastAsia="微软雅黑" w:cs="微软雅黑"/>
          <w:color w:val="auto"/>
          <w:sz w:val="32"/>
          <w:szCs w:val="32"/>
          <w:highlight w:val="none"/>
          <w:lang w:val="en-US" w:eastAsia="zh-CN"/>
        </w:rPr>
        <w:t>预算清单</w:t>
      </w:r>
    </w:p>
    <w:tbl>
      <w:tblPr>
        <w:tblStyle w:val="17"/>
        <w:tblW w:w="946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21"/>
        <w:gridCol w:w="2669"/>
        <w:gridCol w:w="1080"/>
        <w:gridCol w:w="1095"/>
        <w:gridCol w:w="1410"/>
        <w:gridCol w:w="1080"/>
        <w:gridCol w:w="14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序号</w:t>
            </w:r>
          </w:p>
        </w:tc>
        <w:tc>
          <w:tcPr>
            <w:tcW w:w="2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设备名称</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数量</w:t>
            </w:r>
          </w:p>
        </w:tc>
        <w:tc>
          <w:tcPr>
            <w:tcW w:w="25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预算金额（万元）</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分标</w:t>
            </w:r>
          </w:p>
        </w:tc>
        <w:tc>
          <w:tcPr>
            <w:tcW w:w="14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r>
              <w:rPr>
                <w:rFonts w:hint="eastAsia" w:ascii="仿宋" w:hAnsi="仿宋" w:eastAsia="仿宋" w:cs="仿宋"/>
                <w:b/>
                <w:bCs/>
                <w:i w:val="0"/>
                <w:iCs w:val="0"/>
                <w:color w:val="auto"/>
                <w:kern w:val="0"/>
                <w:sz w:val="21"/>
                <w:szCs w:val="21"/>
                <w:highlight w:val="none"/>
                <w:u w:val="none"/>
                <w:lang w:val="en-US" w:eastAsia="zh-CN" w:bidi="ar"/>
              </w:rPr>
              <w:t>预算金额</w:t>
            </w:r>
          </w:p>
          <w:p>
            <w:pPr>
              <w:keepNext w:val="0"/>
              <w:keepLines w:val="0"/>
              <w:widowControl/>
              <w:suppressLineNumbers w:val="0"/>
              <w:spacing w:line="240" w:lineRule="auto"/>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i w:val="0"/>
                <w:iCs w:val="0"/>
                <w:color w:val="auto"/>
                <w:sz w:val="21"/>
                <w:szCs w:val="21"/>
                <w:highlight w:val="none"/>
                <w:u w:val="none"/>
              </w:rPr>
            </w:pPr>
          </w:p>
        </w:tc>
        <w:tc>
          <w:tcPr>
            <w:tcW w:w="2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i w:val="0"/>
                <w:iCs w:val="0"/>
                <w:color w:val="auto"/>
                <w:sz w:val="21"/>
                <w:szCs w:val="21"/>
                <w:highlight w:val="none"/>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i w:val="0"/>
                <w:iCs w:val="0"/>
                <w:color w:val="auto"/>
                <w:sz w:val="21"/>
                <w:szCs w:val="21"/>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单价</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合计</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i w:val="0"/>
                <w:iCs w:val="0"/>
                <w:color w:val="auto"/>
                <w:sz w:val="21"/>
                <w:szCs w:val="21"/>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电切内窥镜</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13.598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13.598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13.598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遥测监护系统（一拖十）</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血液透析滤过机（双泵）</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21.35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213.5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双级反渗透水处理设备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口腔综合治疗牙椅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内镜清洗消毒工作站</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23.76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23.76</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4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53.19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氩气高频手术系统</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29.43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29.43</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i w:val="0"/>
                <w:iCs w:val="0"/>
                <w:color w:val="auto"/>
                <w:sz w:val="21"/>
                <w:szCs w:val="21"/>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全自动清洗消毒器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76</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w:t>
            </w:r>
          </w:p>
        </w:tc>
        <w:tc>
          <w:tcPr>
            <w:tcW w:w="14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127.11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医用干燥柜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i w:val="0"/>
                <w:iCs w:val="0"/>
                <w:color w:val="auto"/>
                <w:sz w:val="21"/>
                <w:szCs w:val="21"/>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医用真空干燥柜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i w:val="0"/>
                <w:iCs w:val="0"/>
                <w:color w:val="auto"/>
                <w:sz w:val="21"/>
                <w:szCs w:val="21"/>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硬式内镜清洗工作站</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i w:val="0"/>
                <w:iCs w:val="0"/>
                <w:color w:val="auto"/>
                <w:sz w:val="21"/>
                <w:szCs w:val="21"/>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牙科手机清洗机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5.66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5.66</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i w:val="0"/>
                <w:iCs w:val="0"/>
                <w:color w:val="auto"/>
                <w:sz w:val="21"/>
                <w:szCs w:val="21"/>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绝缘检测仪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3.45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3.45</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i w:val="0"/>
                <w:iCs w:val="0"/>
                <w:color w:val="auto"/>
                <w:sz w:val="21"/>
                <w:szCs w:val="21"/>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医用除锈仪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i w:val="0"/>
                <w:iCs w:val="0"/>
                <w:color w:val="auto"/>
                <w:sz w:val="21"/>
                <w:szCs w:val="21"/>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煮沸消毒器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i w:val="0"/>
                <w:iCs w:val="0"/>
                <w:color w:val="auto"/>
                <w:sz w:val="21"/>
                <w:szCs w:val="21"/>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半自动轮转式切片机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12.8</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14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通风柜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12.5</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i w:val="0"/>
                <w:iCs w:val="0"/>
                <w:color w:val="auto"/>
                <w:sz w:val="21"/>
                <w:szCs w:val="21"/>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标本存放柜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i w:val="0"/>
                <w:iCs w:val="0"/>
                <w:color w:val="auto"/>
                <w:sz w:val="21"/>
                <w:szCs w:val="21"/>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取材台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i w:val="0"/>
                <w:iCs w:val="0"/>
                <w:color w:val="auto"/>
                <w:sz w:val="21"/>
                <w:szCs w:val="21"/>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医用吊桥</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2.65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100.7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黄疸治疗仪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6.5</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14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28.95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婴儿幅射保暖台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7.35</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i w:val="0"/>
                <w:iCs w:val="0"/>
                <w:color w:val="auto"/>
                <w:sz w:val="21"/>
                <w:szCs w:val="21"/>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心电监护仪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7.6</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i w:val="0"/>
                <w:iCs w:val="0"/>
                <w:color w:val="auto"/>
                <w:sz w:val="21"/>
                <w:szCs w:val="21"/>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空氧混合仪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7.5</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i w:val="0"/>
                <w:iCs w:val="0"/>
                <w:color w:val="auto"/>
                <w:sz w:val="21"/>
                <w:szCs w:val="21"/>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25</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升温系统</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w:t>
            </w:r>
          </w:p>
        </w:tc>
        <w:tc>
          <w:tcPr>
            <w:tcW w:w="14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26</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电动气压止血带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3.6</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i w:val="0"/>
                <w:iCs w:val="0"/>
                <w:color w:val="auto"/>
                <w:sz w:val="21"/>
                <w:szCs w:val="21"/>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27</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电动综合手术床</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15.45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77.25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77.25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28</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LED手术无影灯(双头)</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7.98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63.84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63.84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多导睡眠呼吸监测仪（便携式）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输液信息采集系统（6台注射泵，2台输液泵，1拖8)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31</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宫腔镜一体镜(2套镜子)</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w:t>
            </w:r>
          </w:p>
        </w:tc>
        <w:tc>
          <w:tcPr>
            <w:tcW w:w="14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32</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臭氧妇科治疗仪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i w:val="0"/>
                <w:iCs w:val="0"/>
                <w:color w:val="auto"/>
                <w:sz w:val="21"/>
                <w:szCs w:val="21"/>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33</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电子支气管镜</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w:t>
            </w:r>
          </w:p>
        </w:tc>
        <w:tc>
          <w:tcPr>
            <w:tcW w:w="14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34</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4K超高清内窥镜摄像系统</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68</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i w:val="0"/>
                <w:iCs w:val="0"/>
                <w:color w:val="auto"/>
                <w:sz w:val="21"/>
                <w:szCs w:val="21"/>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35</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手术动力系统</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36</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视力筛查仪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7.5</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w:t>
            </w:r>
          </w:p>
        </w:tc>
        <w:tc>
          <w:tcPr>
            <w:tcW w:w="14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37</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智能视力筛查建档系统</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i w:val="0"/>
                <w:iCs w:val="0"/>
                <w:color w:val="auto"/>
                <w:sz w:val="21"/>
                <w:szCs w:val="21"/>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38</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3D视觉功能训练系统</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9.8</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i w:val="0"/>
                <w:iCs w:val="0"/>
                <w:color w:val="auto"/>
                <w:sz w:val="21"/>
                <w:szCs w:val="21"/>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1008.138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1008.138</w:t>
            </w:r>
          </w:p>
        </w:tc>
      </w:tr>
    </w:tbl>
    <w:p>
      <w:pPr>
        <w:spacing w:line="428" w:lineRule="exact"/>
        <w:ind w:left="119"/>
        <w:rPr>
          <w:rFonts w:hint="default" w:ascii="微软雅黑" w:hAnsi="微软雅黑" w:eastAsia="微软雅黑" w:cs="微软雅黑"/>
          <w:color w:val="auto"/>
          <w:sz w:val="32"/>
          <w:szCs w:val="32"/>
          <w:highlight w:val="none"/>
          <w:lang w:val="en-US" w:eastAsia="zh-CN"/>
        </w:rPr>
      </w:pPr>
    </w:p>
    <w:p>
      <w:pPr>
        <w:spacing w:line="428" w:lineRule="exact"/>
        <w:ind w:left="119"/>
        <w:rPr>
          <w:rFonts w:hint="eastAsia" w:ascii="微软雅黑" w:hAnsi="微软雅黑" w:eastAsia="微软雅黑" w:cs="微软雅黑"/>
          <w:color w:val="auto"/>
          <w:sz w:val="32"/>
          <w:szCs w:val="32"/>
          <w:highlight w:val="none"/>
        </w:rPr>
      </w:pPr>
    </w:p>
    <w:p>
      <w:pPr>
        <w:spacing w:line="428" w:lineRule="exact"/>
        <w:ind w:left="119"/>
        <w:rPr>
          <w:rFonts w:hint="eastAsia" w:ascii="微软雅黑" w:hAnsi="微软雅黑" w:eastAsia="微软雅黑" w:cs="微软雅黑"/>
          <w:color w:val="auto"/>
          <w:sz w:val="32"/>
          <w:szCs w:val="32"/>
          <w:highlight w:val="none"/>
        </w:rPr>
      </w:pPr>
    </w:p>
    <w:p>
      <w:pPr>
        <w:spacing w:line="428" w:lineRule="exact"/>
        <w:ind w:left="119"/>
        <w:rPr>
          <w:rFonts w:hint="eastAsia" w:ascii="微软雅黑" w:hAnsi="微软雅黑" w:eastAsia="微软雅黑" w:cs="微软雅黑"/>
          <w:color w:val="auto"/>
          <w:sz w:val="32"/>
          <w:szCs w:val="32"/>
          <w:highlight w:val="none"/>
        </w:rPr>
      </w:pPr>
    </w:p>
    <w:p>
      <w:pPr>
        <w:spacing w:line="428" w:lineRule="exact"/>
        <w:ind w:left="119"/>
        <w:rPr>
          <w:rFonts w:hint="eastAsia" w:ascii="微软雅黑" w:hAnsi="微软雅黑" w:eastAsia="微软雅黑" w:cs="微软雅黑"/>
          <w:color w:val="auto"/>
          <w:sz w:val="32"/>
          <w:szCs w:val="32"/>
          <w:highlight w:val="none"/>
        </w:rPr>
      </w:pPr>
    </w:p>
    <w:p>
      <w:pPr>
        <w:spacing w:line="428" w:lineRule="exact"/>
        <w:ind w:left="119"/>
        <w:rPr>
          <w:rFonts w:hint="eastAsia" w:ascii="微软雅黑" w:hAnsi="微软雅黑" w:eastAsia="微软雅黑" w:cs="微软雅黑"/>
          <w:color w:val="auto"/>
          <w:sz w:val="32"/>
          <w:szCs w:val="32"/>
          <w:highlight w:val="none"/>
        </w:rPr>
      </w:pPr>
    </w:p>
    <w:p>
      <w:pPr>
        <w:spacing w:line="428" w:lineRule="exact"/>
        <w:ind w:left="119"/>
        <w:rPr>
          <w:rFonts w:hint="eastAsia" w:ascii="微软雅黑" w:hAnsi="微软雅黑" w:eastAsia="微软雅黑" w:cs="微软雅黑"/>
          <w:color w:val="auto"/>
          <w:sz w:val="32"/>
          <w:szCs w:val="32"/>
          <w:highlight w:val="none"/>
        </w:rPr>
      </w:pPr>
    </w:p>
    <w:p>
      <w:pPr>
        <w:spacing w:line="428" w:lineRule="exact"/>
        <w:ind w:left="119"/>
        <w:rPr>
          <w:rFonts w:hint="eastAsia" w:ascii="微软雅黑" w:hAnsi="微软雅黑" w:eastAsia="微软雅黑" w:cs="微软雅黑"/>
          <w:color w:val="auto"/>
          <w:sz w:val="32"/>
          <w:szCs w:val="32"/>
          <w:highlight w:val="none"/>
        </w:rPr>
      </w:pPr>
    </w:p>
    <w:p>
      <w:pPr>
        <w:rPr>
          <w:rFonts w:hint="eastAsia" w:ascii="微软雅黑" w:hAnsi="微软雅黑" w:eastAsia="微软雅黑" w:cs="微软雅黑"/>
          <w:color w:val="auto"/>
          <w:sz w:val="32"/>
          <w:szCs w:val="32"/>
          <w:highlight w:val="none"/>
        </w:rPr>
      </w:pPr>
      <w:r>
        <w:rPr>
          <w:rFonts w:hint="eastAsia" w:ascii="微软雅黑" w:hAnsi="微软雅黑" w:eastAsia="微软雅黑" w:cs="微软雅黑"/>
          <w:color w:val="auto"/>
          <w:sz w:val="32"/>
          <w:szCs w:val="32"/>
          <w:highlight w:val="none"/>
        </w:rPr>
        <w:br w:type="page"/>
      </w:r>
    </w:p>
    <w:p>
      <w:pPr>
        <w:spacing w:line="428" w:lineRule="exact"/>
        <w:ind w:left="119"/>
        <w:rPr>
          <w:rFonts w:hint="eastAsia" w:ascii="Arial Unicode MS" w:hAnsi="Arial Unicode MS" w:eastAsia="Arial Unicode MS" w:cs="Arial Unicode MS"/>
          <w:color w:val="auto"/>
          <w:sz w:val="32"/>
          <w:szCs w:val="32"/>
          <w:highlight w:val="none"/>
        </w:rPr>
      </w:pPr>
      <w:r>
        <w:rPr>
          <w:rFonts w:hint="eastAsia" w:ascii="微软雅黑" w:hAnsi="微软雅黑" w:eastAsia="微软雅黑" w:cs="微软雅黑"/>
          <w:color w:val="auto"/>
          <w:sz w:val="32"/>
          <w:szCs w:val="32"/>
          <w:highlight w:val="none"/>
        </w:rPr>
        <w:t>附件</w:t>
      </w:r>
      <w:r>
        <w:rPr>
          <w:rFonts w:ascii="Arial Unicode MS" w:hAnsi="Arial Unicode MS" w:eastAsia="Arial Unicode MS" w:cs="Arial Unicode MS"/>
          <w:color w:val="auto"/>
          <w:sz w:val="32"/>
          <w:szCs w:val="32"/>
          <w:highlight w:val="none"/>
        </w:rPr>
        <w:t>1</w:t>
      </w:r>
      <w:r>
        <w:rPr>
          <w:rFonts w:hint="eastAsia" w:ascii="微软雅黑" w:hAnsi="微软雅黑" w:eastAsia="微软雅黑" w:cs="微软雅黑"/>
          <w:color w:val="auto"/>
          <w:sz w:val="32"/>
          <w:szCs w:val="32"/>
          <w:highlight w:val="none"/>
        </w:rPr>
        <w:t>：</w:t>
      </w:r>
    </w:p>
    <w:p>
      <w:pPr>
        <w:spacing w:before="7"/>
        <w:rPr>
          <w:rFonts w:ascii="Arial Unicode MS" w:hAnsi="Arial Unicode MS" w:eastAsia="Arial Unicode MS" w:cs="Arial Unicode MS"/>
          <w:color w:val="auto"/>
          <w:sz w:val="17"/>
          <w:szCs w:val="17"/>
          <w:highlight w:val="none"/>
        </w:rPr>
      </w:pPr>
    </w:p>
    <w:p>
      <w:pPr>
        <w:spacing w:line="528" w:lineRule="exact"/>
        <w:ind w:left="1871"/>
        <w:rPr>
          <w:rFonts w:ascii="Arial Unicode MS" w:hAnsi="Arial Unicode MS" w:eastAsia="Arial Unicode MS" w:cs="Arial Unicode MS"/>
          <w:color w:val="auto"/>
          <w:sz w:val="40"/>
          <w:szCs w:val="40"/>
          <w:highlight w:val="none"/>
        </w:rPr>
      </w:pPr>
      <w:r>
        <w:rPr>
          <w:rFonts w:hint="eastAsia" w:ascii="微软雅黑" w:hAnsi="微软雅黑" w:eastAsia="微软雅黑" w:cs="微软雅黑"/>
          <w:color w:val="auto"/>
          <w:sz w:val="40"/>
          <w:szCs w:val="40"/>
          <w:highlight w:val="none"/>
        </w:rPr>
        <w:t>节能产品政府采购品目清单</w:t>
      </w:r>
    </w:p>
    <w:tbl>
      <w:tblPr>
        <w:tblStyle w:val="17"/>
        <w:tblW w:w="9220" w:type="dxa"/>
        <w:tblInd w:w="93" w:type="dxa"/>
        <w:tblLayout w:type="autofit"/>
        <w:tblCellMar>
          <w:top w:w="0" w:type="dxa"/>
          <w:left w:w="108" w:type="dxa"/>
          <w:bottom w:w="0" w:type="dxa"/>
          <w:right w:w="108" w:type="dxa"/>
        </w:tblCellMar>
      </w:tblPr>
      <w:tblGrid>
        <w:gridCol w:w="631"/>
        <w:gridCol w:w="1161"/>
        <w:gridCol w:w="1581"/>
        <w:gridCol w:w="1615"/>
        <w:gridCol w:w="4232"/>
      </w:tblGrid>
      <w:tr>
        <w:tblPrEx>
          <w:tblCellMar>
            <w:top w:w="0" w:type="dxa"/>
            <w:left w:w="108" w:type="dxa"/>
            <w:bottom w:w="0" w:type="dxa"/>
            <w:right w:w="108" w:type="dxa"/>
          </w:tblCellMar>
        </w:tblPrEx>
        <w:trPr>
          <w:trHeight w:val="555" w:hRule="atLeast"/>
        </w:trPr>
        <w:tc>
          <w:tcPr>
            <w:tcW w:w="660" w:type="dxa"/>
            <w:tcBorders>
              <w:top w:val="single" w:color="000000" w:sz="8" w:space="0"/>
              <w:left w:val="single" w:color="000000" w:sz="8" w:space="0"/>
              <w:bottom w:val="single" w:color="000000" w:sz="8" w:space="0"/>
              <w:right w:val="single" w:color="000000" w:sz="8" w:space="0"/>
            </w:tcBorders>
            <w:noWrap w:val="0"/>
            <w:vAlign w:val="top"/>
          </w:tcPr>
          <w:p>
            <w:pPr>
              <w:widowControl/>
              <w:jc w:val="center"/>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品目序号</w:t>
            </w:r>
          </w:p>
        </w:tc>
        <w:tc>
          <w:tcPr>
            <w:tcW w:w="4020" w:type="dxa"/>
            <w:gridSpan w:val="3"/>
            <w:tcBorders>
              <w:top w:val="single" w:color="000000" w:sz="8" w:space="0"/>
              <w:left w:val="nil"/>
              <w:bottom w:val="single" w:color="000000" w:sz="8" w:space="0"/>
              <w:right w:val="single" w:color="000000" w:sz="8" w:space="0"/>
            </w:tcBorders>
            <w:noWrap w:val="0"/>
            <w:vAlign w:val="center"/>
          </w:tcPr>
          <w:p>
            <w:pPr>
              <w:widowControl/>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名称</w:t>
            </w:r>
          </w:p>
        </w:tc>
        <w:tc>
          <w:tcPr>
            <w:tcW w:w="4540" w:type="dxa"/>
            <w:tcBorders>
              <w:top w:val="single" w:color="000000" w:sz="8" w:space="0"/>
              <w:left w:val="nil"/>
              <w:bottom w:val="single" w:color="000000" w:sz="8" w:space="0"/>
              <w:right w:val="single" w:color="000000" w:sz="8" w:space="0"/>
            </w:tcBorders>
            <w:noWrap w:val="0"/>
            <w:vAlign w:val="center"/>
          </w:tcPr>
          <w:p>
            <w:pPr>
              <w:widowControl/>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依据的标准</w:t>
            </w:r>
          </w:p>
        </w:tc>
      </w:tr>
      <w:tr>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w:t>
            </w:r>
          </w:p>
        </w:tc>
        <w:tc>
          <w:tcPr>
            <w:tcW w:w="1080"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A020101计算机设备</w:t>
            </w:r>
          </w:p>
        </w:tc>
        <w:tc>
          <w:tcPr>
            <w:tcW w:w="13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★A02010104台式计算机</w:t>
            </w:r>
          </w:p>
        </w:tc>
        <w:tc>
          <w:tcPr>
            <w:tcW w:w="16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540" w:type="dxa"/>
            <w:tcBorders>
              <w:top w:val="nil"/>
              <w:left w:val="nil"/>
              <w:bottom w:val="single" w:color="000000" w:sz="8" w:space="0"/>
              <w:right w:val="single" w:color="000000" w:sz="8" w:space="0"/>
            </w:tcBorders>
            <w:noWrap w:val="0"/>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《微型计算机能效限定值及能效等级》（GB28380）</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13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★A02010105便携式计算机</w:t>
            </w:r>
          </w:p>
        </w:tc>
        <w:tc>
          <w:tcPr>
            <w:tcW w:w="16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540" w:type="dxa"/>
            <w:tcBorders>
              <w:top w:val="nil"/>
              <w:left w:val="nil"/>
              <w:bottom w:val="single" w:color="000000" w:sz="8" w:space="0"/>
              <w:right w:val="single" w:color="000000" w:sz="8" w:space="0"/>
            </w:tcBorders>
            <w:noWrap w:val="0"/>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《微型计算机能效限定值及能效等级》（GB28380）</w:t>
            </w:r>
          </w:p>
        </w:tc>
      </w:tr>
      <w:tr>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13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★A02010107平板式微型计算机</w:t>
            </w:r>
          </w:p>
        </w:tc>
        <w:tc>
          <w:tcPr>
            <w:tcW w:w="16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540" w:type="dxa"/>
            <w:tcBorders>
              <w:top w:val="nil"/>
              <w:left w:val="nil"/>
              <w:bottom w:val="single" w:color="000000" w:sz="8" w:space="0"/>
              <w:right w:val="single" w:color="000000" w:sz="8" w:space="0"/>
            </w:tcBorders>
            <w:noWrap w:val="0"/>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《微型计算机能效限定值及能效等级》（GB28380）</w:t>
            </w:r>
          </w:p>
        </w:tc>
      </w:tr>
      <w:tr>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w:t>
            </w:r>
          </w:p>
        </w:tc>
        <w:tc>
          <w:tcPr>
            <w:tcW w:w="1080"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A020106输入输出设备</w:t>
            </w:r>
          </w:p>
        </w:tc>
        <w:tc>
          <w:tcPr>
            <w:tcW w:w="1320"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A02010601打印设备</w:t>
            </w:r>
          </w:p>
        </w:tc>
        <w:tc>
          <w:tcPr>
            <w:tcW w:w="16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A0201060101喷墨打印机</w:t>
            </w:r>
          </w:p>
        </w:tc>
        <w:tc>
          <w:tcPr>
            <w:tcW w:w="4540" w:type="dxa"/>
            <w:tcBorders>
              <w:top w:val="nil"/>
              <w:left w:val="nil"/>
              <w:bottom w:val="single" w:color="000000" w:sz="8" w:space="0"/>
              <w:right w:val="single" w:color="000000" w:sz="8" w:space="0"/>
            </w:tcBorders>
            <w:noWrap w:val="0"/>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《复印机、打印机和传真机能效限定值及能效等级》（GB21521）</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16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★A0201060102激光打印机</w:t>
            </w:r>
          </w:p>
        </w:tc>
        <w:tc>
          <w:tcPr>
            <w:tcW w:w="4540" w:type="dxa"/>
            <w:tcBorders>
              <w:top w:val="nil"/>
              <w:left w:val="nil"/>
              <w:bottom w:val="single" w:color="000000" w:sz="8" w:space="0"/>
              <w:right w:val="single" w:color="000000" w:sz="8" w:space="0"/>
            </w:tcBorders>
            <w:noWrap w:val="0"/>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《复印机、打印机和传真机能效限定值及能效等级》（GB21521）</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16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★A0201060104针式打印机</w:t>
            </w:r>
          </w:p>
        </w:tc>
        <w:tc>
          <w:tcPr>
            <w:tcW w:w="4540" w:type="dxa"/>
            <w:tcBorders>
              <w:top w:val="nil"/>
              <w:left w:val="nil"/>
              <w:bottom w:val="single" w:color="000000" w:sz="8" w:space="0"/>
              <w:right w:val="single" w:color="000000" w:sz="8" w:space="0"/>
            </w:tcBorders>
            <w:noWrap w:val="0"/>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《复印机、打印机和传真机能效限定值及能效等级》（GB21521）</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13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A02010604显示设备</w:t>
            </w:r>
          </w:p>
        </w:tc>
        <w:tc>
          <w:tcPr>
            <w:tcW w:w="16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★A0201060401液晶显示器</w:t>
            </w:r>
          </w:p>
        </w:tc>
        <w:tc>
          <w:tcPr>
            <w:tcW w:w="4540" w:type="dxa"/>
            <w:tcBorders>
              <w:top w:val="nil"/>
              <w:left w:val="nil"/>
              <w:bottom w:val="single" w:color="000000" w:sz="8" w:space="0"/>
              <w:right w:val="single" w:color="000000" w:sz="8" w:space="0"/>
            </w:tcBorders>
            <w:noWrap w:val="0"/>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《计算机显示器能效限定值及能效等级》（GB21520）</w:t>
            </w:r>
          </w:p>
        </w:tc>
      </w:tr>
      <w:tr>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13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A02010609图形图像输入设备</w:t>
            </w:r>
          </w:p>
        </w:tc>
        <w:tc>
          <w:tcPr>
            <w:tcW w:w="16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A0201060901扫描仪</w:t>
            </w:r>
          </w:p>
        </w:tc>
        <w:tc>
          <w:tcPr>
            <w:tcW w:w="4540" w:type="dxa"/>
            <w:tcBorders>
              <w:top w:val="nil"/>
              <w:left w:val="nil"/>
              <w:bottom w:val="single" w:color="000000" w:sz="8" w:space="0"/>
              <w:right w:val="single" w:color="000000" w:sz="8" w:space="0"/>
            </w:tcBorders>
            <w:noWrap w:val="0"/>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参照《复印机、打印机和传真机能效限定值及能效等级》（GB21521中打印速度为15页/分的针式打印机相关要求中打印速度为15页/分的针式打印机相关要求</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w:t>
            </w:r>
          </w:p>
        </w:tc>
        <w:tc>
          <w:tcPr>
            <w:tcW w:w="108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A020202投影仪</w:t>
            </w:r>
          </w:p>
        </w:tc>
        <w:tc>
          <w:tcPr>
            <w:tcW w:w="13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16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540" w:type="dxa"/>
            <w:tcBorders>
              <w:top w:val="nil"/>
              <w:left w:val="nil"/>
              <w:bottom w:val="single" w:color="000000" w:sz="8" w:space="0"/>
              <w:right w:val="single" w:color="000000" w:sz="8" w:space="0"/>
            </w:tcBorders>
            <w:noWrap w:val="0"/>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《投影机能效限定值及能效等级》（GB32028）</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w:t>
            </w:r>
          </w:p>
        </w:tc>
        <w:tc>
          <w:tcPr>
            <w:tcW w:w="108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A020204多功能一体机</w:t>
            </w:r>
          </w:p>
        </w:tc>
        <w:tc>
          <w:tcPr>
            <w:tcW w:w="13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16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540" w:type="dxa"/>
            <w:tcBorders>
              <w:top w:val="nil"/>
              <w:left w:val="nil"/>
              <w:bottom w:val="single" w:color="000000" w:sz="8" w:space="0"/>
              <w:right w:val="single" w:color="000000" w:sz="8" w:space="0"/>
            </w:tcBorders>
            <w:noWrap w:val="0"/>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《复印机、打印机和传真机能效限定值及能效等级》（GB21521）</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5</w:t>
            </w:r>
          </w:p>
        </w:tc>
        <w:tc>
          <w:tcPr>
            <w:tcW w:w="108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A020519泵</w:t>
            </w:r>
          </w:p>
        </w:tc>
        <w:tc>
          <w:tcPr>
            <w:tcW w:w="13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A02051901离心泵</w:t>
            </w:r>
          </w:p>
        </w:tc>
        <w:tc>
          <w:tcPr>
            <w:tcW w:w="16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540" w:type="dxa"/>
            <w:tcBorders>
              <w:top w:val="nil"/>
              <w:left w:val="nil"/>
              <w:bottom w:val="single" w:color="000000" w:sz="8" w:space="0"/>
              <w:right w:val="single" w:color="000000" w:sz="8" w:space="0"/>
            </w:tcBorders>
            <w:noWrap w:val="0"/>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《清水离心泵能效限定值及节能评价值》（GB19762）</w:t>
            </w:r>
          </w:p>
        </w:tc>
      </w:tr>
      <w:tr>
        <w:tblPrEx>
          <w:tblCellMar>
            <w:top w:w="0" w:type="dxa"/>
            <w:left w:w="108" w:type="dxa"/>
            <w:bottom w:w="0" w:type="dxa"/>
            <w:right w:w="108" w:type="dxa"/>
          </w:tblCellMar>
        </w:tblPrEx>
        <w:trPr>
          <w:trHeight w:val="73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6</w:t>
            </w:r>
          </w:p>
        </w:tc>
        <w:tc>
          <w:tcPr>
            <w:tcW w:w="1080"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A020523制冷空调设备</w:t>
            </w:r>
          </w:p>
        </w:tc>
        <w:tc>
          <w:tcPr>
            <w:tcW w:w="1320"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★A02052301制冷压缩机</w:t>
            </w:r>
          </w:p>
        </w:tc>
        <w:tc>
          <w:tcPr>
            <w:tcW w:w="16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冷水机组</w:t>
            </w:r>
          </w:p>
        </w:tc>
        <w:tc>
          <w:tcPr>
            <w:tcW w:w="4540" w:type="dxa"/>
            <w:tcBorders>
              <w:top w:val="nil"/>
              <w:left w:val="nil"/>
              <w:bottom w:val="single" w:color="000000" w:sz="8" w:space="0"/>
              <w:right w:val="single" w:color="000000" w:sz="8" w:space="0"/>
            </w:tcBorders>
            <w:noWrap w:val="0"/>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《冷水机组能效限定值及能效等级》（GB19577），《低环境温度空气源热泵（冷水）机组能效限定值及能效等级》（GB37480）</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16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水源热泵机组</w:t>
            </w:r>
          </w:p>
        </w:tc>
        <w:tc>
          <w:tcPr>
            <w:tcW w:w="4540" w:type="dxa"/>
            <w:tcBorders>
              <w:top w:val="nil"/>
              <w:left w:val="nil"/>
              <w:bottom w:val="single" w:color="000000" w:sz="8" w:space="0"/>
              <w:right w:val="single" w:color="000000" w:sz="8" w:space="0"/>
            </w:tcBorders>
            <w:noWrap w:val="0"/>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《水（地）源热泵机组能效限定值及能效等级》（GB30721）</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16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溴化锂吸收式冷水机组</w:t>
            </w:r>
          </w:p>
        </w:tc>
        <w:tc>
          <w:tcPr>
            <w:tcW w:w="4540" w:type="dxa"/>
            <w:tcBorders>
              <w:top w:val="nil"/>
              <w:left w:val="nil"/>
              <w:bottom w:val="single" w:color="000000" w:sz="8" w:space="0"/>
              <w:right w:val="single" w:color="000000" w:sz="8" w:space="0"/>
            </w:tcBorders>
            <w:noWrap w:val="0"/>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《溴化锂吸收式冷水机组能效限定值及能效等级》（GB29540）</w:t>
            </w:r>
          </w:p>
        </w:tc>
      </w:tr>
      <w:tr>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1320"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★A02052305空调机组</w:t>
            </w:r>
          </w:p>
        </w:tc>
        <w:tc>
          <w:tcPr>
            <w:tcW w:w="16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多联式空调（热泵）机组(制冷量&gt;14000W)</w:t>
            </w:r>
          </w:p>
        </w:tc>
        <w:tc>
          <w:tcPr>
            <w:tcW w:w="4540" w:type="dxa"/>
            <w:tcBorders>
              <w:top w:val="nil"/>
              <w:left w:val="nil"/>
              <w:bottom w:val="single" w:color="000000" w:sz="8" w:space="0"/>
              <w:right w:val="single" w:color="000000" w:sz="8" w:space="0"/>
            </w:tcBorders>
            <w:noWrap w:val="0"/>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《多联式空调（热泵）机组能效限定值及能源效率等级》（GB21454）</w:t>
            </w:r>
          </w:p>
        </w:tc>
      </w:tr>
      <w:tr>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16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单元式空气调节机(制冷量&gt;14000W</w:t>
            </w:r>
          </w:p>
        </w:tc>
        <w:tc>
          <w:tcPr>
            <w:tcW w:w="4540" w:type="dxa"/>
            <w:tcBorders>
              <w:top w:val="nil"/>
              <w:left w:val="nil"/>
              <w:bottom w:val="single" w:color="000000" w:sz="8" w:space="0"/>
              <w:right w:val="single" w:color="000000" w:sz="8" w:space="0"/>
            </w:tcBorders>
            <w:noWrap w:val="0"/>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《单元式空气调节机能效限定值及能效等级》（GB19576）《风管送风式空调机组能效限定值及能效等级》（GB37479）</w:t>
            </w:r>
          </w:p>
        </w:tc>
      </w:tr>
      <w:tr>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13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★A02052309专用制冷、空调设备</w:t>
            </w:r>
          </w:p>
        </w:tc>
        <w:tc>
          <w:tcPr>
            <w:tcW w:w="16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机房空调</w:t>
            </w:r>
          </w:p>
        </w:tc>
        <w:tc>
          <w:tcPr>
            <w:tcW w:w="4540" w:type="dxa"/>
            <w:tcBorders>
              <w:top w:val="nil"/>
              <w:left w:val="nil"/>
              <w:bottom w:val="single" w:color="000000" w:sz="8" w:space="0"/>
              <w:right w:val="single" w:color="000000" w:sz="8" w:space="0"/>
            </w:tcBorders>
            <w:noWrap w:val="0"/>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《单元式空气调节机能效限定值及能效等级》（GB19576）</w:t>
            </w:r>
          </w:p>
        </w:tc>
      </w:tr>
      <w:tr>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13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A02052399其他制冷空调设备</w:t>
            </w:r>
          </w:p>
        </w:tc>
        <w:tc>
          <w:tcPr>
            <w:tcW w:w="16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冷却塔</w:t>
            </w:r>
          </w:p>
        </w:tc>
        <w:tc>
          <w:tcPr>
            <w:tcW w:w="4540" w:type="dxa"/>
            <w:tcBorders>
              <w:top w:val="nil"/>
              <w:left w:val="nil"/>
              <w:bottom w:val="single" w:color="000000" w:sz="8" w:space="0"/>
              <w:right w:val="single" w:color="000000" w:sz="8" w:space="0"/>
            </w:tcBorders>
            <w:noWrap w:val="0"/>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《机械通风冷却塔第1部分：中小型开式冷却塔》（GB/T7190.1）；《机械通风冷却塔第2部分：大型开式冷却塔》（GB/T7190.2）</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7</w:t>
            </w:r>
          </w:p>
        </w:tc>
        <w:tc>
          <w:tcPr>
            <w:tcW w:w="108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A020601电机</w:t>
            </w:r>
          </w:p>
        </w:tc>
        <w:tc>
          <w:tcPr>
            <w:tcW w:w="13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16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540" w:type="dxa"/>
            <w:tcBorders>
              <w:top w:val="nil"/>
              <w:left w:val="nil"/>
              <w:bottom w:val="single" w:color="000000" w:sz="8" w:space="0"/>
              <w:right w:val="single" w:color="000000" w:sz="8" w:space="0"/>
            </w:tcBorders>
            <w:noWrap w:val="0"/>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《中小型三相异步电动机能效限定值及能效等级》（GB18613）</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8</w:t>
            </w:r>
          </w:p>
        </w:tc>
        <w:tc>
          <w:tcPr>
            <w:tcW w:w="108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A020602变压器</w:t>
            </w:r>
          </w:p>
        </w:tc>
        <w:tc>
          <w:tcPr>
            <w:tcW w:w="13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配电变压器</w:t>
            </w:r>
          </w:p>
        </w:tc>
        <w:tc>
          <w:tcPr>
            <w:tcW w:w="16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540" w:type="dxa"/>
            <w:tcBorders>
              <w:top w:val="nil"/>
              <w:left w:val="nil"/>
              <w:bottom w:val="single" w:color="000000" w:sz="8" w:space="0"/>
              <w:right w:val="single" w:color="000000" w:sz="8" w:space="0"/>
            </w:tcBorders>
            <w:noWrap w:val="0"/>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《三相配电变压器能效限定值及能效等级》（GB20052）</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9</w:t>
            </w:r>
          </w:p>
        </w:tc>
        <w:tc>
          <w:tcPr>
            <w:tcW w:w="108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★A020609镇流器</w:t>
            </w:r>
          </w:p>
        </w:tc>
        <w:tc>
          <w:tcPr>
            <w:tcW w:w="13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管型荧光灯镇流器</w:t>
            </w:r>
          </w:p>
        </w:tc>
        <w:tc>
          <w:tcPr>
            <w:tcW w:w="16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540" w:type="dxa"/>
            <w:tcBorders>
              <w:top w:val="nil"/>
              <w:left w:val="nil"/>
              <w:bottom w:val="single" w:color="000000" w:sz="8" w:space="0"/>
              <w:right w:val="single" w:color="000000" w:sz="8" w:space="0"/>
            </w:tcBorders>
            <w:noWrap w:val="0"/>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《管形荧光灯镇流器能效限定值及能效等级》（GB17896）</w:t>
            </w:r>
          </w:p>
        </w:tc>
      </w:tr>
      <w:tr>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10</w:t>
            </w:r>
          </w:p>
        </w:tc>
        <w:tc>
          <w:tcPr>
            <w:tcW w:w="1080"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A020618生活用电器</w:t>
            </w:r>
          </w:p>
        </w:tc>
        <w:tc>
          <w:tcPr>
            <w:tcW w:w="13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A0206180101电冰箱</w:t>
            </w:r>
          </w:p>
        </w:tc>
        <w:tc>
          <w:tcPr>
            <w:tcW w:w="16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540" w:type="dxa"/>
            <w:tcBorders>
              <w:top w:val="nil"/>
              <w:left w:val="nil"/>
              <w:bottom w:val="single" w:color="000000" w:sz="8" w:space="0"/>
              <w:right w:val="single" w:color="000000" w:sz="8" w:space="0"/>
            </w:tcBorders>
            <w:noWrap w:val="0"/>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《家用电冰箱耗电量限定值及能效等级》（GB 12021.2）</w:t>
            </w:r>
          </w:p>
        </w:tc>
      </w:tr>
      <w:tr>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1320"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★A0206180203空调机</w:t>
            </w:r>
          </w:p>
        </w:tc>
        <w:tc>
          <w:tcPr>
            <w:tcW w:w="16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房间空气调节器</w:t>
            </w:r>
          </w:p>
        </w:tc>
        <w:tc>
          <w:tcPr>
            <w:tcW w:w="4540" w:type="dxa"/>
            <w:tcBorders>
              <w:top w:val="nil"/>
              <w:left w:val="nil"/>
              <w:bottom w:val="single" w:color="000000" w:sz="8" w:space="0"/>
              <w:right w:val="single" w:color="000000" w:sz="8" w:space="0"/>
            </w:tcBorders>
            <w:noWrap w:val="0"/>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《转速可控型房间空气调节器能效限定值及能效等级》（GB21455-2013），待2019年修订发布后，按《房间空气调节器能效限定值及能效等级》（GB21455-2019实施。</w:t>
            </w:r>
          </w:p>
        </w:tc>
      </w:tr>
      <w:tr>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16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多联式空调（热泵）机组（制冷量≤ 14000W）</w:t>
            </w:r>
          </w:p>
        </w:tc>
        <w:tc>
          <w:tcPr>
            <w:tcW w:w="4540" w:type="dxa"/>
            <w:tcBorders>
              <w:top w:val="nil"/>
              <w:left w:val="nil"/>
              <w:bottom w:val="single" w:color="000000" w:sz="8" w:space="0"/>
              <w:right w:val="single" w:color="000000" w:sz="8" w:space="0"/>
            </w:tcBorders>
            <w:noWrap w:val="0"/>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《多联式空调（热泵）机组能效限定值及能源效率等级》（GB21454）</w:t>
            </w:r>
          </w:p>
        </w:tc>
      </w:tr>
      <w:tr>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16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单元式空气调节机(制冷量≤14000W)</w:t>
            </w:r>
          </w:p>
        </w:tc>
        <w:tc>
          <w:tcPr>
            <w:tcW w:w="4540" w:type="dxa"/>
            <w:tcBorders>
              <w:top w:val="nil"/>
              <w:left w:val="nil"/>
              <w:bottom w:val="single" w:color="000000" w:sz="8" w:space="0"/>
              <w:right w:val="single" w:color="000000" w:sz="8" w:space="0"/>
            </w:tcBorders>
            <w:noWrap w:val="0"/>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《单元式空气调节机能效限定值及能源效率等级》（GB19576）《风管送风式空调机组能效限定值及能效等级》（GB37479）</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13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A0206180301洗衣机</w:t>
            </w:r>
          </w:p>
        </w:tc>
        <w:tc>
          <w:tcPr>
            <w:tcW w:w="16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540" w:type="dxa"/>
            <w:tcBorders>
              <w:top w:val="nil"/>
              <w:left w:val="nil"/>
              <w:bottom w:val="single" w:color="000000" w:sz="8" w:space="0"/>
              <w:right w:val="single" w:color="000000" w:sz="8" w:space="0"/>
            </w:tcBorders>
            <w:noWrap w:val="0"/>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《电动洗衣机能效水效限定值及等级》（GB12021.4）</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1320"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A02061808热水器</w:t>
            </w:r>
          </w:p>
        </w:tc>
        <w:tc>
          <w:tcPr>
            <w:tcW w:w="16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★电热水器</w:t>
            </w:r>
          </w:p>
        </w:tc>
        <w:tc>
          <w:tcPr>
            <w:tcW w:w="4540" w:type="dxa"/>
            <w:tcBorders>
              <w:top w:val="nil"/>
              <w:left w:val="nil"/>
              <w:bottom w:val="single" w:color="000000" w:sz="8" w:space="0"/>
              <w:right w:val="single" w:color="000000" w:sz="8" w:space="0"/>
            </w:tcBorders>
            <w:noWrap w:val="0"/>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《储水式电热水器能效限定值及能效等级》（GB21519）</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16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燃气热水器</w:t>
            </w:r>
          </w:p>
        </w:tc>
        <w:tc>
          <w:tcPr>
            <w:tcW w:w="4540" w:type="dxa"/>
            <w:tcBorders>
              <w:top w:val="nil"/>
              <w:left w:val="nil"/>
              <w:bottom w:val="single" w:color="000000" w:sz="8" w:space="0"/>
              <w:right w:val="single" w:color="000000" w:sz="8" w:space="0"/>
            </w:tcBorders>
            <w:noWrap w:val="0"/>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《家用燃气快速热水器和燃气采暖热水炉能效限定值及能效等级》（GB20665）</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16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热泵热水器</w:t>
            </w:r>
          </w:p>
        </w:tc>
        <w:tc>
          <w:tcPr>
            <w:tcW w:w="4540" w:type="dxa"/>
            <w:tcBorders>
              <w:top w:val="nil"/>
              <w:left w:val="nil"/>
              <w:bottom w:val="single" w:color="000000" w:sz="8" w:space="0"/>
              <w:right w:val="single" w:color="000000" w:sz="8" w:space="0"/>
            </w:tcBorders>
            <w:noWrap w:val="0"/>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《热泵热水机（器）能效限定值及能效等级》（GB29541）</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16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太阳能热水系统</w:t>
            </w:r>
          </w:p>
        </w:tc>
        <w:tc>
          <w:tcPr>
            <w:tcW w:w="4540" w:type="dxa"/>
            <w:tcBorders>
              <w:top w:val="nil"/>
              <w:left w:val="nil"/>
              <w:bottom w:val="single" w:color="000000" w:sz="8" w:space="0"/>
              <w:right w:val="single" w:color="000000" w:sz="8" w:space="0"/>
            </w:tcBorders>
            <w:noWrap w:val="0"/>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《家用太阳能热水系统能效限定值及能效等级》（GB26969）</w:t>
            </w:r>
          </w:p>
        </w:tc>
      </w:tr>
      <w:tr>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11</w:t>
            </w:r>
          </w:p>
        </w:tc>
        <w:tc>
          <w:tcPr>
            <w:tcW w:w="1080"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A020619照明设备</w:t>
            </w:r>
          </w:p>
        </w:tc>
        <w:tc>
          <w:tcPr>
            <w:tcW w:w="13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★普通照明用双端荧光灯</w:t>
            </w:r>
          </w:p>
        </w:tc>
        <w:tc>
          <w:tcPr>
            <w:tcW w:w="16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540" w:type="dxa"/>
            <w:tcBorders>
              <w:top w:val="nil"/>
              <w:left w:val="nil"/>
              <w:bottom w:val="single" w:color="000000" w:sz="8" w:space="0"/>
              <w:right w:val="single" w:color="000000" w:sz="8" w:space="0"/>
            </w:tcBorders>
            <w:noWrap w:val="0"/>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《普通照明用双端荧光灯能效限定值及能效等级》（GB19043）</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13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LED道路/隧道照明产品</w:t>
            </w:r>
          </w:p>
        </w:tc>
        <w:tc>
          <w:tcPr>
            <w:tcW w:w="16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540" w:type="dxa"/>
            <w:tcBorders>
              <w:top w:val="nil"/>
              <w:left w:val="nil"/>
              <w:bottom w:val="single" w:color="000000" w:sz="8" w:space="0"/>
              <w:right w:val="single" w:color="000000" w:sz="8" w:space="0"/>
            </w:tcBorders>
            <w:noWrap w:val="0"/>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《道路和隧道照明用LED灯具能效限定值及能效等级》（GB37478）</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13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LED筒灯</w:t>
            </w:r>
          </w:p>
        </w:tc>
        <w:tc>
          <w:tcPr>
            <w:tcW w:w="16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540" w:type="dxa"/>
            <w:tcBorders>
              <w:top w:val="nil"/>
              <w:left w:val="nil"/>
              <w:bottom w:val="single" w:color="000000" w:sz="8" w:space="0"/>
              <w:right w:val="single" w:color="000000" w:sz="8" w:space="0"/>
            </w:tcBorders>
            <w:noWrap w:val="0"/>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《室内照明用LED产品能效限定值及能效等级》（GB30255）</w:t>
            </w:r>
          </w:p>
        </w:tc>
      </w:tr>
      <w:tr>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13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普通照明用非定向自镇流LED灯</w:t>
            </w:r>
          </w:p>
        </w:tc>
        <w:tc>
          <w:tcPr>
            <w:tcW w:w="16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540" w:type="dxa"/>
            <w:tcBorders>
              <w:top w:val="nil"/>
              <w:left w:val="nil"/>
              <w:bottom w:val="single" w:color="000000" w:sz="8" w:space="0"/>
              <w:right w:val="single" w:color="000000" w:sz="8" w:space="0"/>
            </w:tcBorders>
            <w:noWrap w:val="0"/>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《室内照明用LED产品能效限定值及能效等级》（GB30255）</w:t>
            </w:r>
          </w:p>
        </w:tc>
      </w:tr>
      <w:tr>
        <w:tblPrEx>
          <w:tblCellMar>
            <w:top w:w="0" w:type="dxa"/>
            <w:left w:w="108" w:type="dxa"/>
            <w:bottom w:w="0" w:type="dxa"/>
            <w:right w:w="108" w:type="dxa"/>
          </w:tblCellMar>
        </w:tblPrEx>
        <w:trPr>
          <w:trHeight w:val="735" w:hRule="atLeast"/>
        </w:trPr>
        <w:tc>
          <w:tcPr>
            <w:tcW w:w="660" w:type="dxa"/>
            <w:tcBorders>
              <w:top w:val="nil"/>
              <w:left w:val="single" w:color="000000" w:sz="8" w:space="0"/>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12</w:t>
            </w:r>
          </w:p>
        </w:tc>
        <w:tc>
          <w:tcPr>
            <w:tcW w:w="108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★A020910电视设备</w:t>
            </w:r>
          </w:p>
        </w:tc>
        <w:tc>
          <w:tcPr>
            <w:tcW w:w="13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A02091001普通电视设备（电视机）</w:t>
            </w:r>
          </w:p>
        </w:tc>
        <w:tc>
          <w:tcPr>
            <w:tcW w:w="16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540" w:type="dxa"/>
            <w:tcBorders>
              <w:top w:val="nil"/>
              <w:left w:val="nil"/>
              <w:bottom w:val="single" w:color="000000" w:sz="8" w:space="0"/>
              <w:right w:val="single" w:color="000000" w:sz="8" w:space="0"/>
            </w:tcBorders>
            <w:noWrap w:val="0"/>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《平板电视能效限定值及能效等级》（GB24850）</w:t>
            </w:r>
          </w:p>
        </w:tc>
      </w:tr>
      <w:tr>
        <w:tblPrEx>
          <w:tblCellMar>
            <w:top w:w="0" w:type="dxa"/>
            <w:left w:w="108" w:type="dxa"/>
            <w:bottom w:w="0" w:type="dxa"/>
            <w:right w:w="108" w:type="dxa"/>
          </w:tblCellMar>
        </w:tblPrEx>
        <w:trPr>
          <w:trHeight w:val="975" w:hRule="atLeast"/>
        </w:trPr>
        <w:tc>
          <w:tcPr>
            <w:tcW w:w="660" w:type="dxa"/>
            <w:tcBorders>
              <w:top w:val="nil"/>
              <w:left w:val="single" w:color="000000" w:sz="8" w:space="0"/>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13</w:t>
            </w:r>
          </w:p>
        </w:tc>
        <w:tc>
          <w:tcPr>
            <w:tcW w:w="108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★A020911视频设备</w:t>
            </w:r>
          </w:p>
        </w:tc>
        <w:tc>
          <w:tcPr>
            <w:tcW w:w="13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A02091107视频监控设备</w:t>
            </w:r>
          </w:p>
        </w:tc>
        <w:tc>
          <w:tcPr>
            <w:tcW w:w="16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监视器</w:t>
            </w:r>
          </w:p>
        </w:tc>
        <w:tc>
          <w:tcPr>
            <w:tcW w:w="4540" w:type="dxa"/>
            <w:tcBorders>
              <w:top w:val="nil"/>
              <w:left w:val="nil"/>
              <w:bottom w:val="single" w:color="000000" w:sz="8" w:space="0"/>
              <w:right w:val="single" w:color="000000" w:sz="8" w:space="0"/>
            </w:tcBorders>
            <w:noWrap w:val="0"/>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以射频信号为主要信号输入的监视器应符合《平板电视能效限定值及能效等级》（GB24850），以数字信号为主要信号输入的监视器应符合《计算机显示器能效限定值及能效等级》（GB21520）</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14</w:t>
            </w:r>
          </w:p>
        </w:tc>
        <w:tc>
          <w:tcPr>
            <w:tcW w:w="108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A031210饮食炊事机械</w:t>
            </w:r>
          </w:p>
        </w:tc>
        <w:tc>
          <w:tcPr>
            <w:tcW w:w="13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商用燃气灶具</w:t>
            </w:r>
          </w:p>
        </w:tc>
        <w:tc>
          <w:tcPr>
            <w:tcW w:w="16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540" w:type="dxa"/>
            <w:tcBorders>
              <w:top w:val="nil"/>
              <w:left w:val="nil"/>
              <w:bottom w:val="single" w:color="000000" w:sz="8" w:space="0"/>
              <w:right w:val="single" w:color="000000" w:sz="8" w:space="0"/>
            </w:tcBorders>
            <w:noWrap w:val="0"/>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《商用燃气灶具能效限定值及能效等级》（GB30531）</w:t>
            </w:r>
          </w:p>
        </w:tc>
      </w:tr>
      <w:tr>
        <w:tblPrEx>
          <w:tblCellMar>
            <w:top w:w="0" w:type="dxa"/>
            <w:left w:w="108" w:type="dxa"/>
            <w:bottom w:w="0" w:type="dxa"/>
            <w:right w:w="108" w:type="dxa"/>
          </w:tblCellMar>
        </w:tblPrEx>
        <w:trPr>
          <w:trHeight w:val="28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15</w:t>
            </w:r>
          </w:p>
        </w:tc>
        <w:tc>
          <w:tcPr>
            <w:tcW w:w="1080"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★A060805便器</w:t>
            </w:r>
          </w:p>
        </w:tc>
        <w:tc>
          <w:tcPr>
            <w:tcW w:w="13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坐便器</w:t>
            </w:r>
          </w:p>
        </w:tc>
        <w:tc>
          <w:tcPr>
            <w:tcW w:w="16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540" w:type="dxa"/>
            <w:tcBorders>
              <w:top w:val="nil"/>
              <w:left w:val="nil"/>
              <w:bottom w:val="single" w:color="000000" w:sz="8" w:space="0"/>
              <w:right w:val="single" w:color="000000" w:sz="8" w:space="0"/>
            </w:tcBorders>
            <w:noWrap w:val="0"/>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《坐便器水效限定值及水效等级》（GB25502）</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13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蹲便器</w:t>
            </w:r>
          </w:p>
        </w:tc>
        <w:tc>
          <w:tcPr>
            <w:tcW w:w="16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540" w:type="dxa"/>
            <w:tcBorders>
              <w:top w:val="nil"/>
              <w:left w:val="nil"/>
              <w:bottom w:val="single" w:color="000000" w:sz="8" w:space="0"/>
              <w:right w:val="single" w:color="000000" w:sz="8" w:space="0"/>
            </w:tcBorders>
            <w:noWrap w:val="0"/>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《蹲便器用水效率限定值及用水效率等级》（GB30717）</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hAnsi="宋体" w:cs="宋体"/>
                <w:color w:val="auto"/>
                <w:kern w:val="0"/>
                <w:sz w:val="21"/>
                <w:szCs w:val="21"/>
                <w:highlight w:val="none"/>
              </w:rPr>
            </w:pPr>
          </w:p>
        </w:tc>
        <w:tc>
          <w:tcPr>
            <w:tcW w:w="13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小便器</w:t>
            </w:r>
          </w:p>
        </w:tc>
        <w:tc>
          <w:tcPr>
            <w:tcW w:w="16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540" w:type="dxa"/>
            <w:tcBorders>
              <w:top w:val="nil"/>
              <w:left w:val="nil"/>
              <w:bottom w:val="single" w:color="000000" w:sz="8" w:space="0"/>
              <w:right w:val="single" w:color="000000" w:sz="8" w:space="0"/>
            </w:tcBorders>
            <w:noWrap w:val="0"/>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《小便器用水效率限定值及用水效率等级》（GB28377）</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16</w:t>
            </w:r>
          </w:p>
        </w:tc>
        <w:tc>
          <w:tcPr>
            <w:tcW w:w="108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★A060806水嘴</w:t>
            </w:r>
          </w:p>
        </w:tc>
        <w:tc>
          <w:tcPr>
            <w:tcW w:w="13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16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540" w:type="dxa"/>
            <w:tcBorders>
              <w:top w:val="nil"/>
              <w:left w:val="nil"/>
              <w:bottom w:val="single" w:color="000000" w:sz="8" w:space="0"/>
              <w:right w:val="single" w:color="000000" w:sz="8" w:space="0"/>
            </w:tcBorders>
            <w:noWrap w:val="0"/>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《水嘴用水效率限定值及用水效率等级》（GB 25501）</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17</w:t>
            </w:r>
          </w:p>
        </w:tc>
        <w:tc>
          <w:tcPr>
            <w:tcW w:w="108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A060807便器冲洗阀</w:t>
            </w:r>
          </w:p>
        </w:tc>
        <w:tc>
          <w:tcPr>
            <w:tcW w:w="13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16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540" w:type="dxa"/>
            <w:tcBorders>
              <w:top w:val="nil"/>
              <w:left w:val="nil"/>
              <w:bottom w:val="single" w:color="000000" w:sz="8" w:space="0"/>
              <w:right w:val="single" w:color="000000" w:sz="8" w:space="0"/>
            </w:tcBorders>
            <w:noWrap w:val="0"/>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《便器冲洗阀用水效率限定值及用水效率等级》（GB28379）</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18</w:t>
            </w:r>
          </w:p>
        </w:tc>
        <w:tc>
          <w:tcPr>
            <w:tcW w:w="108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A060810淋浴器</w:t>
            </w:r>
          </w:p>
        </w:tc>
        <w:tc>
          <w:tcPr>
            <w:tcW w:w="13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1620" w:type="dxa"/>
            <w:tcBorders>
              <w:top w:val="nil"/>
              <w:left w:val="nil"/>
              <w:bottom w:val="single" w:color="000000" w:sz="8" w:space="0"/>
              <w:right w:val="single" w:color="000000" w:sz="8" w:space="0"/>
            </w:tcBorders>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4540" w:type="dxa"/>
            <w:tcBorders>
              <w:top w:val="nil"/>
              <w:left w:val="nil"/>
              <w:bottom w:val="single" w:color="000000" w:sz="8" w:space="0"/>
              <w:right w:val="single" w:color="000000" w:sz="8" w:space="0"/>
            </w:tcBorders>
            <w:noWrap w:val="0"/>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《淋浴器用水效率限定值及用水效率等级》（GB28378）</w:t>
            </w:r>
          </w:p>
        </w:tc>
      </w:tr>
    </w:tbl>
    <w:p>
      <w:pPr>
        <w:pStyle w:val="10"/>
        <w:spacing w:line="360" w:lineRule="auto"/>
        <w:rPr>
          <w:rFonts w:hint="eastAsia"/>
          <w:color w:val="auto"/>
          <w:spacing w:val="-3"/>
          <w:szCs w:val="21"/>
          <w:highlight w:val="none"/>
        </w:rPr>
      </w:pPr>
    </w:p>
    <w:p>
      <w:pPr>
        <w:pStyle w:val="10"/>
        <w:spacing w:line="360" w:lineRule="auto"/>
        <w:rPr>
          <w:rFonts w:ascii="宋体" w:hAnsi="宋体"/>
          <w:color w:val="auto"/>
          <w:szCs w:val="21"/>
          <w:highlight w:val="none"/>
        </w:rPr>
      </w:pPr>
      <w:r>
        <w:rPr>
          <w:rFonts w:hint="eastAsia"/>
          <w:color w:val="auto"/>
          <w:spacing w:val="-3"/>
          <w:szCs w:val="21"/>
          <w:highlight w:val="none"/>
        </w:rPr>
        <w:t>注：</w:t>
      </w:r>
      <w:r>
        <w:rPr>
          <w:color w:val="auto"/>
          <w:spacing w:val="-3"/>
          <w:szCs w:val="21"/>
          <w:highlight w:val="none"/>
        </w:rPr>
        <w:t>1.</w:t>
      </w:r>
      <w:r>
        <w:rPr>
          <w:rFonts w:hint="eastAsia"/>
          <w:color w:val="auto"/>
          <w:spacing w:val="-3"/>
          <w:szCs w:val="21"/>
          <w:highlight w:val="none"/>
        </w:rPr>
        <w:t>节能产品认证应依据相关国家标准的最新版本，依据国家标准中二级能效（水效）</w:t>
      </w:r>
      <w:r>
        <w:rPr>
          <w:rFonts w:hint="eastAsia"/>
          <w:color w:val="auto"/>
          <w:szCs w:val="21"/>
          <w:highlight w:val="none"/>
        </w:rPr>
        <w:t>指标。</w:t>
      </w:r>
    </w:p>
    <w:p>
      <w:pPr>
        <w:pStyle w:val="10"/>
        <w:spacing w:line="360" w:lineRule="auto"/>
        <w:rPr>
          <w:rFonts w:hint="eastAsia"/>
          <w:b/>
          <w:bCs/>
          <w:color w:val="auto"/>
          <w:szCs w:val="21"/>
          <w:highlight w:val="none"/>
        </w:rPr>
      </w:pPr>
      <w:r>
        <w:rPr>
          <w:rFonts w:hint="eastAsia" w:ascii="宋体" w:hAnsi="宋体"/>
          <w:color w:val="auto"/>
          <w:szCs w:val="21"/>
          <w:highlight w:val="none"/>
        </w:rPr>
        <w:t xml:space="preserve">    </w:t>
      </w:r>
      <w:r>
        <w:rPr>
          <w:color w:val="auto"/>
          <w:szCs w:val="21"/>
          <w:highlight w:val="none"/>
        </w:rPr>
        <w:t>2</w:t>
      </w:r>
      <w:r>
        <w:rPr>
          <w:b/>
          <w:bCs/>
          <w:color w:val="auto"/>
          <w:szCs w:val="21"/>
          <w:highlight w:val="none"/>
        </w:rPr>
        <w:t>.</w:t>
      </w:r>
      <w:r>
        <w:rPr>
          <w:rFonts w:hint="eastAsia"/>
          <w:b/>
          <w:bCs/>
          <w:color w:val="auto"/>
          <w:szCs w:val="21"/>
          <w:highlight w:val="none"/>
        </w:rPr>
        <w:t>以</w:t>
      </w:r>
      <w:r>
        <w:rPr>
          <w:b/>
          <w:bCs/>
          <w:color w:val="auto"/>
          <w:szCs w:val="21"/>
          <w:highlight w:val="none"/>
        </w:rPr>
        <w:t>“</w:t>
      </w:r>
      <w:r>
        <w:rPr>
          <w:rFonts w:hint="eastAsia"/>
          <w:b/>
          <w:bCs/>
          <w:color w:val="auto"/>
          <w:szCs w:val="21"/>
          <w:highlight w:val="none"/>
        </w:rPr>
        <w:t>★</w:t>
      </w:r>
      <w:r>
        <w:rPr>
          <w:b/>
          <w:bCs/>
          <w:color w:val="auto"/>
          <w:szCs w:val="21"/>
          <w:highlight w:val="none"/>
        </w:rPr>
        <w:t>”</w:t>
      </w:r>
      <w:r>
        <w:rPr>
          <w:rFonts w:hint="eastAsia"/>
          <w:b/>
          <w:bCs/>
          <w:color w:val="auto"/>
          <w:szCs w:val="21"/>
          <w:highlight w:val="none"/>
        </w:rPr>
        <w:t>标注的为政府强制采购产品。</w:t>
      </w:r>
    </w:p>
    <w:p>
      <w:pPr>
        <w:pStyle w:val="12"/>
        <w:jc w:val="left"/>
        <w:rPr>
          <w:rFonts w:ascii="Arial Unicode MS" w:hAnsi="Arial Unicode MS" w:eastAsia="Arial Unicode MS" w:cs="Arial Unicode MS"/>
          <w:color w:val="auto"/>
          <w:sz w:val="32"/>
          <w:szCs w:val="32"/>
          <w:highlight w:val="none"/>
        </w:rPr>
      </w:pPr>
      <w:r>
        <w:rPr>
          <w:rFonts w:hint="eastAsia" w:hAnsi="宋体"/>
          <w:color w:val="auto"/>
          <w:highlight w:val="none"/>
        </w:rPr>
        <w:br w:type="page"/>
      </w:r>
      <w:r>
        <w:rPr>
          <w:rFonts w:hint="eastAsia" w:ascii="微软雅黑" w:hAnsi="微软雅黑" w:eastAsia="微软雅黑" w:cs="微软雅黑"/>
          <w:color w:val="auto"/>
          <w:sz w:val="32"/>
          <w:szCs w:val="32"/>
          <w:highlight w:val="none"/>
        </w:rPr>
        <w:t>附件</w:t>
      </w:r>
      <w:r>
        <w:rPr>
          <w:rFonts w:ascii="Arial Unicode MS" w:hAnsi="Arial Unicode MS" w:eastAsia="Arial Unicode MS" w:cs="Arial Unicode MS"/>
          <w:color w:val="auto"/>
          <w:sz w:val="32"/>
          <w:szCs w:val="32"/>
          <w:highlight w:val="none"/>
        </w:rPr>
        <w:t>2</w:t>
      </w:r>
      <w:r>
        <w:rPr>
          <w:rFonts w:hint="eastAsia" w:ascii="微软雅黑" w:hAnsi="微软雅黑" w:eastAsia="微软雅黑" w:cs="微软雅黑"/>
          <w:color w:val="auto"/>
          <w:sz w:val="32"/>
          <w:szCs w:val="32"/>
          <w:highlight w:val="none"/>
        </w:rPr>
        <w:t>：</w:t>
      </w:r>
    </w:p>
    <w:p>
      <w:pPr>
        <w:spacing w:line="528" w:lineRule="exact"/>
        <w:ind w:left="1871"/>
        <w:rPr>
          <w:rFonts w:ascii="Arial Unicode MS" w:hAnsi="Arial Unicode MS" w:eastAsia="Arial Unicode MS" w:cs="Arial Unicode MS"/>
          <w:color w:val="auto"/>
          <w:sz w:val="40"/>
          <w:szCs w:val="40"/>
          <w:highlight w:val="none"/>
        </w:rPr>
      </w:pPr>
      <w:r>
        <w:rPr>
          <w:rFonts w:hint="eastAsia" w:ascii="微软雅黑" w:hAnsi="微软雅黑" w:eastAsia="微软雅黑" w:cs="微软雅黑"/>
          <w:color w:val="auto"/>
          <w:sz w:val="40"/>
          <w:szCs w:val="40"/>
          <w:highlight w:val="none"/>
        </w:rPr>
        <w:t>中小微企业划型标准</w:t>
      </w:r>
    </w:p>
    <w:tbl>
      <w:tblPr>
        <w:tblStyle w:val="17"/>
        <w:tblW w:w="7980" w:type="dxa"/>
        <w:tblInd w:w="250" w:type="dxa"/>
        <w:tblLayout w:type="fixed"/>
        <w:tblCellMar>
          <w:top w:w="0" w:type="dxa"/>
          <w:left w:w="108" w:type="dxa"/>
          <w:bottom w:w="0" w:type="dxa"/>
          <w:right w:w="108" w:type="dxa"/>
        </w:tblCellMar>
      </w:tblPr>
      <w:tblGrid>
        <w:gridCol w:w="1701"/>
        <w:gridCol w:w="1383"/>
        <w:gridCol w:w="913"/>
        <w:gridCol w:w="1619"/>
        <w:gridCol w:w="1439"/>
        <w:gridCol w:w="925"/>
      </w:tblGrid>
      <w:tr>
        <w:tblPrEx>
          <w:tblCellMar>
            <w:top w:w="0" w:type="dxa"/>
            <w:left w:w="108" w:type="dxa"/>
            <w:bottom w:w="0" w:type="dxa"/>
            <w:right w:w="108" w:type="dxa"/>
          </w:tblCellMar>
        </w:tblPrEx>
        <w:trPr>
          <w:trHeight w:val="285" w:hRule="atLeast"/>
        </w:trPr>
        <w:tc>
          <w:tcPr>
            <w:tcW w:w="1701"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行业名称</w:t>
            </w:r>
          </w:p>
        </w:tc>
        <w:tc>
          <w:tcPr>
            <w:tcW w:w="1384" w:type="dxa"/>
            <w:tcBorders>
              <w:top w:val="single" w:color="auto" w:sz="4" w:space="0"/>
              <w:left w:val="nil"/>
              <w:bottom w:val="single" w:color="auto" w:sz="4" w:space="0"/>
              <w:right w:val="single" w:color="auto" w:sz="4" w:space="0"/>
            </w:tcBorders>
            <w:noWrap w:val="0"/>
            <w:vAlign w:val="center"/>
          </w:tcPr>
          <w:p>
            <w:pPr>
              <w:widowControl/>
              <w:jc w:val="left"/>
              <w:rPr>
                <w:rFonts w:hint="eastAsia"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指标名称</w:t>
            </w:r>
          </w:p>
        </w:tc>
        <w:tc>
          <w:tcPr>
            <w:tcW w:w="913" w:type="dxa"/>
            <w:tcBorders>
              <w:top w:val="single" w:color="auto" w:sz="4" w:space="0"/>
              <w:left w:val="nil"/>
              <w:bottom w:val="single" w:color="auto" w:sz="4" w:space="0"/>
              <w:right w:val="single" w:color="auto" w:sz="4" w:space="0"/>
            </w:tcBorders>
            <w:noWrap w:val="0"/>
            <w:vAlign w:val="center"/>
          </w:tcPr>
          <w:p>
            <w:pPr>
              <w:widowControl/>
              <w:jc w:val="left"/>
              <w:rPr>
                <w:rFonts w:hint="eastAsia"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计量单位</w:t>
            </w:r>
          </w:p>
        </w:tc>
        <w:tc>
          <w:tcPr>
            <w:tcW w:w="1620" w:type="dxa"/>
            <w:tcBorders>
              <w:top w:val="single" w:color="auto" w:sz="4" w:space="0"/>
              <w:left w:val="nil"/>
              <w:bottom w:val="single" w:color="auto" w:sz="4" w:space="0"/>
              <w:right w:val="single" w:color="auto" w:sz="4" w:space="0"/>
            </w:tcBorders>
            <w:noWrap w:val="0"/>
            <w:vAlign w:val="center"/>
          </w:tcPr>
          <w:p>
            <w:pPr>
              <w:widowControl/>
              <w:jc w:val="left"/>
              <w:rPr>
                <w:rFonts w:hint="eastAsia"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中型</w:t>
            </w:r>
          </w:p>
        </w:tc>
        <w:tc>
          <w:tcPr>
            <w:tcW w:w="1440" w:type="dxa"/>
            <w:tcBorders>
              <w:top w:val="single" w:color="auto" w:sz="4" w:space="0"/>
              <w:left w:val="nil"/>
              <w:bottom w:val="single" w:color="auto" w:sz="4" w:space="0"/>
              <w:right w:val="single" w:color="auto" w:sz="4" w:space="0"/>
            </w:tcBorders>
            <w:noWrap w:val="0"/>
            <w:vAlign w:val="center"/>
          </w:tcPr>
          <w:p>
            <w:pPr>
              <w:widowControl/>
              <w:jc w:val="left"/>
              <w:rPr>
                <w:rFonts w:hint="eastAsia"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小型</w:t>
            </w:r>
          </w:p>
        </w:tc>
        <w:tc>
          <w:tcPr>
            <w:tcW w:w="925" w:type="dxa"/>
            <w:tcBorders>
              <w:top w:val="single" w:color="auto" w:sz="4" w:space="0"/>
              <w:left w:val="nil"/>
              <w:bottom w:val="single" w:color="auto" w:sz="4" w:space="0"/>
              <w:right w:val="single" w:color="auto" w:sz="4" w:space="0"/>
            </w:tcBorders>
            <w:noWrap w:val="0"/>
            <w:vAlign w:val="center"/>
          </w:tcPr>
          <w:p>
            <w:pPr>
              <w:widowControl/>
              <w:jc w:val="left"/>
              <w:rPr>
                <w:rFonts w:hint="eastAsia"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微型</w:t>
            </w:r>
          </w:p>
        </w:tc>
      </w:tr>
      <w:tr>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noWrap w:val="0"/>
            <w:vAlign w:val="bottom"/>
          </w:tcPr>
          <w:p>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农、林、牧、渔</w:t>
            </w:r>
          </w:p>
        </w:tc>
        <w:tc>
          <w:tcPr>
            <w:tcW w:w="1384"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44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50≤Y＜500</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工业</w:t>
            </w:r>
          </w:p>
        </w:tc>
        <w:tc>
          <w:tcPr>
            <w:tcW w:w="1384"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2000≤Y＜40000</w:t>
            </w:r>
          </w:p>
        </w:tc>
        <w:tc>
          <w:tcPr>
            <w:tcW w:w="144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300≤Y＜2000</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建筑业</w:t>
            </w:r>
          </w:p>
        </w:tc>
        <w:tc>
          <w:tcPr>
            <w:tcW w:w="1384"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6000≤Y＜80000</w:t>
            </w:r>
          </w:p>
        </w:tc>
        <w:tc>
          <w:tcPr>
            <w:tcW w:w="144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300≤Y＜6000</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5000≤Z＜80000</w:t>
            </w:r>
          </w:p>
        </w:tc>
        <w:tc>
          <w:tcPr>
            <w:tcW w:w="144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300≤Z＜5000</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Z＜300</w:t>
            </w:r>
          </w:p>
        </w:tc>
      </w:tr>
      <w:tr>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批发业</w:t>
            </w:r>
          </w:p>
        </w:tc>
        <w:tc>
          <w:tcPr>
            <w:tcW w:w="1384"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20≤X＜200</w:t>
            </w:r>
          </w:p>
        </w:tc>
        <w:tc>
          <w:tcPr>
            <w:tcW w:w="144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5≤X＜20</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X＜5</w:t>
            </w:r>
          </w:p>
        </w:tc>
      </w:tr>
      <w:tr>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5000≤Y＜40000</w:t>
            </w:r>
          </w:p>
        </w:tc>
        <w:tc>
          <w:tcPr>
            <w:tcW w:w="144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Y＜1000</w:t>
            </w:r>
          </w:p>
        </w:tc>
      </w:tr>
      <w:tr>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零售业</w:t>
            </w:r>
          </w:p>
        </w:tc>
        <w:tc>
          <w:tcPr>
            <w:tcW w:w="1384"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50≤X＜300</w:t>
            </w:r>
          </w:p>
        </w:tc>
        <w:tc>
          <w:tcPr>
            <w:tcW w:w="144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10≤X＜50</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44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100≤Y＜500</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交通运输业</w:t>
            </w:r>
          </w:p>
        </w:tc>
        <w:tc>
          <w:tcPr>
            <w:tcW w:w="1384"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3000≤Y＜30000</w:t>
            </w:r>
          </w:p>
        </w:tc>
        <w:tc>
          <w:tcPr>
            <w:tcW w:w="144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200≤Y＜3000</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w:t>
            </w:r>
          </w:p>
        </w:tc>
      </w:tr>
      <w:tr>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仓储业</w:t>
            </w:r>
          </w:p>
        </w:tc>
        <w:tc>
          <w:tcPr>
            <w:tcW w:w="1384"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w:t>
            </w:r>
          </w:p>
        </w:tc>
        <w:tc>
          <w:tcPr>
            <w:tcW w:w="144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20≤X＜100</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1000≤Y＜30000</w:t>
            </w:r>
          </w:p>
        </w:tc>
        <w:tc>
          <w:tcPr>
            <w:tcW w:w="144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邮政业</w:t>
            </w:r>
          </w:p>
        </w:tc>
        <w:tc>
          <w:tcPr>
            <w:tcW w:w="1384"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2000≤Y＜30000</w:t>
            </w:r>
          </w:p>
        </w:tc>
        <w:tc>
          <w:tcPr>
            <w:tcW w:w="144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住宿业</w:t>
            </w:r>
          </w:p>
        </w:tc>
        <w:tc>
          <w:tcPr>
            <w:tcW w:w="1384"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44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餐饮业</w:t>
            </w:r>
          </w:p>
        </w:tc>
        <w:tc>
          <w:tcPr>
            <w:tcW w:w="1384"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44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信息传输业</w:t>
            </w:r>
          </w:p>
        </w:tc>
        <w:tc>
          <w:tcPr>
            <w:tcW w:w="1384"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100≤X＜2000</w:t>
            </w:r>
          </w:p>
        </w:tc>
        <w:tc>
          <w:tcPr>
            <w:tcW w:w="144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1000≤Y＜100000</w:t>
            </w:r>
          </w:p>
        </w:tc>
        <w:tc>
          <w:tcPr>
            <w:tcW w:w="144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软件和信息技术服务业</w:t>
            </w:r>
          </w:p>
        </w:tc>
        <w:tc>
          <w:tcPr>
            <w:tcW w:w="1384"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w:t>
            </w:r>
          </w:p>
        </w:tc>
        <w:tc>
          <w:tcPr>
            <w:tcW w:w="144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50≤Y＜1000</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房地产开发经营</w:t>
            </w:r>
          </w:p>
        </w:tc>
        <w:tc>
          <w:tcPr>
            <w:tcW w:w="1384"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1000≤Y＜200000</w:t>
            </w:r>
          </w:p>
        </w:tc>
        <w:tc>
          <w:tcPr>
            <w:tcW w:w="144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100≤X＜1000</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5000≤Z＜10000</w:t>
            </w:r>
          </w:p>
        </w:tc>
        <w:tc>
          <w:tcPr>
            <w:tcW w:w="144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2000≤Y＜5000</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Y＜2000</w:t>
            </w:r>
          </w:p>
        </w:tc>
      </w:tr>
      <w:tr>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物业管理</w:t>
            </w:r>
          </w:p>
        </w:tc>
        <w:tc>
          <w:tcPr>
            <w:tcW w:w="1384"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144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500≤Y＜1000</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Y＜500</w:t>
            </w:r>
          </w:p>
        </w:tc>
      </w:tr>
      <w:tr>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租赁和商务服务业</w:t>
            </w:r>
          </w:p>
        </w:tc>
        <w:tc>
          <w:tcPr>
            <w:tcW w:w="1384"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8000≤Z＜120000</w:t>
            </w:r>
          </w:p>
        </w:tc>
        <w:tc>
          <w:tcPr>
            <w:tcW w:w="144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100≤Z＜8000</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noWrap w:val="0"/>
            <w:vAlign w:val="bottom"/>
          </w:tcPr>
          <w:p>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其他未列明行业</w:t>
            </w:r>
          </w:p>
        </w:tc>
        <w:tc>
          <w:tcPr>
            <w:tcW w:w="1384"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bl>
    <w:p>
      <w:pPr>
        <w:spacing w:line="360" w:lineRule="auto"/>
        <w:ind w:firstLine="525" w:firstLineChars="250"/>
        <w:rPr>
          <w:rFonts w:hint="eastAsia" w:ascii="仿宋_GB2312" w:hAnsi="仿宋" w:eastAsia="仿宋_GB2312"/>
          <w:color w:val="auto"/>
          <w:szCs w:val="21"/>
          <w:highlight w:val="none"/>
        </w:rPr>
      </w:pPr>
      <w:r>
        <w:rPr>
          <w:rFonts w:hint="eastAsia" w:ascii="仿宋_GB2312" w:hAnsi="仿宋" w:eastAsia="仿宋_GB2312"/>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pPr>
        <w:spacing w:line="360" w:lineRule="exact"/>
        <w:ind w:firstLine="525" w:firstLineChars="250"/>
        <w:rPr>
          <w:rFonts w:hint="eastAsia" w:ascii="宋体" w:hAnsi="宋体" w:cs="宋体"/>
          <w:color w:val="auto"/>
          <w:szCs w:val="21"/>
          <w:highlight w:val="none"/>
        </w:rPr>
      </w:pPr>
    </w:p>
    <w:p>
      <w:pPr>
        <w:pStyle w:val="12"/>
        <w:spacing w:line="360" w:lineRule="exact"/>
        <w:ind w:firstLine="211" w:firstLineChars="100"/>
        <w:jc w:val="both"/>
        <w:outlineLvl w:val="9"/>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 xml:space="preserve">  </w:t>
      </w:r>
    </w:p>
    <w:p>
      <w:pPr>
        <w:spacing w:line="428" w:lineRule="exact"/>
        <w:rPr>
          <w:rFonts w:ascii="宋体" w:hAnsi="宋体" w:cs="宋体"/>
          <w:color w:val="auto"/>
          <w:sz w:val="20"/>
          <w:szCs w:val="20"/>
          <w:highlight w:val="none"/>
        </w:rPr>
      </w:pPr>
      <w:r>
        <w:rPr>
          <w:color w:val="auto"/>
          <w:highlight w:val="none"/>
        </w:rPr>
        <w:br w:type="page"/>
      </w:r>
    </w:p>
    <w:p>
      <w:pPr>
        <w:pStyle w:val="2"/>
        <w:jc w:val="center"/>
        <w:rPr>
          <w:rFonts w:hint="eastAsia"/>
          <w:color w:val="auto"/>
          <w:highlight w:val="none"/>
        </w:rPr>
      </w:pPr>
      <w:bookmarkStart w:id="53" w:name="_Toc74320802"/>
      <w:r>
        <w:rPr>
          <w:rFonts w:hint="eastAsia"/>
          <w:color w:val="auto"/>
          <w:highlight w:val="none"/>
        </w:rPr>
        <w:t>第三章  投标人须知</w:t>
      </w:r>
      <w:bookmarkEnd w:id="53"/>
    </w:p>
    <w:p>
      <w:pPr>
        <w:jc w:val="center"/>
        <w:rPr>
          <w:rFonts w:hint="eastAsia"/>
          <w:color w:val="auto"/>
          <w:sz w:val="36"/>
          <w:szCs w:val="36"/>
          <w:highlight w:val="none"/>
        </w:rPr>
      </w:pPr>
      <w:bookmarkStart w:id="54" w:name="_Toc254970667"/>
      <w:bookmarkStart w:id="55" w:name="_Toc254970526"/>
      <w:r>
        <w:rPr>
          <w:rFonts w:hint="eastAsia"/>
          <w:color w:val="auto"/>
          <w:sz w:val="36"/>
          <w:szCs w:val="36"/>
          <w:highlight w:val="none"/>
        </w:rPr>
        <w:t>投标人须知前附表</w:t>
      </w:r>
      <w:bookmarkEnd w:id="54"/>
      <w:bookmarkEnd w:id="55"/>
    </w:p>
    <w:tbl>
      <w:tblPr>
        <w:tblStyle w:val="17"/>
        <w:tblW w:w="956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95"/>
        <w:gridCol w:w="867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宋体" w:hAnsi="宋体"/>
                <w:color w:val="auto"/>
                <w:szCs w:val="21"/>
                <w:highlight w:val="none"/>
              </w:rPr>
            </w:pPr>
            <w:r>
              <w:rPr>
                <w:rFonts w:hint="eastAsia" w:ascii="宋体" w:hAnsi="宋体"/>
                <w:color w:val="auto"/>
                <w:szCs w:val="21"/>
                <w:highlight w:val="none"/>
              </w:rPr>
              <w:t>条款号</w:t>
            </w:r>
          </w:p>
        </w:tc>
        <w:tc>
          <w:tcPr>
            <w:tcW w:w="867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color w:val="auto"/>
                <w:szCs w:val="21"/>
                <w:highlight w:val="none"/>
              </w:rPr>
            </w:pPr>
            <w:r>
              <w:rPr>
                <w:rFonts w:hint="eastAsia" w:ascii="宋体" w:hAnsi="宋体"/>
                <w:color w:val="auto"/>
                <w:szCs w:val="21"/>
                <w:highlight w:val="none"/>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rPr>
              <w:t>3</w:t>
            </w:r>
          </w:p>
        </w:tc>
        <w:tc>
          <w:tcPr>
            <w:tcW w:w="867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宋体" w:hAnsi="宋体"/>
                <w:color w:val="auto"/>
                <w:szCs w:val="21"/>
                <w:highlight w:val="none"/>
              </w:rPr>
            </w:pPr>
            <w:r>
              <w:rPr>
                <w:rFonts w:hint="eastAsia" w:ascii="宋体" w:hAnsi="宋体"/>
                <w:color w:val="auto"/>
                <w:szCs w:val="21"/>
                <w:highlight w:val="none"/>
              </w:rPr>
              <w:t>投标人的资格要求：详见招标公告。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olor w:val="auto"/>
                <w:szCs w:val="21"/>
                <w:highlight w:val="none"/>
              </w:rPr>
            </w:pPr>
            <w:bookmarkStart w:id="56" w:name="_5"/>
            <w:bookmarkEnd w:id="56"/>
            <w:bookmarkStart w:id="57" w:name="_8.1"/>
            <w:bookmarkEnd w:id="57"/>
            <w:bookmarkStart w:id="58" w:name="_9.2"/>
            <w:bookmarkEnd w:id="58"/>
            <w:r>
              <w:rPr>
                <w:rFonts w:hint="eastAsia" w:ascii="宋体" w:hAnsi="宋体"/>
                <w:color w:val="auto"/>
                <w:szCs w:val="21"/>
                <w:highlight w:val="none"/>
              </w:rPr>
              <w:t>6.1</w:t>
            </w:r>
          </w:p>
        </w:tc>
        <w:tc>
          <w:tcPr>
            <w:tcW w:w="8670" w:type="dxa"/>
            <w:tcBorders>
              <w:top w:val="single" w:color="auto" w:sz="4" w:space="0"/>
              <w:left w:val="single" w:color="auto" w:sz="4" w:space="0"/>
              <w:bottom w:val="single" w:color="auto" w:sz="4" w:space="0"/>
              <w:right w:val="single" w:color="auto" w:sz="4" w:space="0"/>
            </w:tcBorders>
            <w:noWrap w:val="0"/>
            <w:vAlign w:val="center"/>
          </w:tcPr>
          <w:p>
            <w:pPr>
              <w:pStyle w:val="8"/>
              <w:spacing w:line="360" w:lineRule="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本项目是否接受联合体投标：详见招标公告。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7.2</w:t>
            </w:r>
          </w:p>
        </w:tc>
        <w:tc>
          <w:tcPr>
            <w:tcW w:w="8670" w:type="dxa"/>
            <w:tcBorders>
              <w:top w:val="single" w:color="auto" w:sz="4" w:space="0"/>
              <w:left w:val="single" w:color="auto" w:sz="4" w:space="0"/>
              <w:bottom w:val="single" w:color="auto" w:sz="4" w:space="0"/>
              <w:right w:val="single" w:color="auto" w:sz="4" w:space="0"/>
            </w:tcBorders>
            <w:noWrap w:val="0"/>
            <w:vAlign w:val="center"/>
          </w:tcPr>
          <w:p>
            <w:pPr>
              <w:pStyle w:val="8"/>
              <w:spacing w:line="360" w:lineRule="auto"/>
              <w:rPr>
                <w:rFonts w:hint="eastAsia" w:ascii="宋体" w:hAnsi="宋体"/>
                <w:color w:val="auto"/>
                <w:szCs w:val="21"/>
                <w:highlight w:val="none"/>
                <w:u w:val="single"/>
                <w:lang w:val="en-US" w:eastAsia="zh-CN"/>
              </w:rPr>
            </w:pPr>
            <w:r>
              <w:rPr>
                <w:rFonts w:hint="eastAsia" w:ascii="宋体" w:hAnsi="宋体"/>
                <w:color w:val="auto"/>
                <w:szCs w:val="21"/>
                <w:highlight w:val="none"/>
                <w:lang w:val="en-US" w:eastAsia="zh-CN"/>
              </w:rPr>
              <w:t>☑不允许分包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rPr>
              <w:t>8.1</w:t>
            </w:r>
          </w:p>
        </w:tc>
        <w:tc>
          <w:tcPr>
            <w:tcW w:w="867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 w:val="22"/>
                <w:szCs w:val="22"/>
                <w:highlight w:val="none"/>
              </w:rPr>
              <w:t>采用综合评分法的采购项目，</w:t>
            </w:r>
            <w:r>
              <w:rPr>
                <w:rFonts w:hint="eastAsia" w:ascii="宋体" w:hAnsi="宋体"/>
                <w:color w:val="auto"/>
                <w:szCs w:val="21"/>
                <w:highlight w:val="none"/>
              </w:rPr>
              <w:t>提供相同品牌产品（非单一产品采购项目的，指核心产品）的不同投标人评审得分相同时，按照下列方式确定一个投标人获得中标人推荐资格：</w:t>
            </w:r>
          </w:p>
          <w:p>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随机抽取；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8" w:hRule="atLeast"/>
        </w:trPr>
        <w:tc>
          <w:tcPr>
            <w:tcW w:w="895" w:type="dxa"/>
            <w:vMerge w:val="restart"/>
            <w:tcBorders>
              <w:top w:val="single" w:color="auto" w:sz="4" w:space="0"/>
              <w:left w:val="single" w:color="auto" w:sz="4" w:space="0"/>
              <w:right w:val="single" w:color="auto" w:sz="4" w:space="0"/>
            </w:tcBorders>
            <w:noWrap w:val="0"/>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1.2</w:t>
            </w:r>
          </w:p>
        </w:tc>
        <w:tc>
          <w:tcPr>
            <w:tcW w:w="867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不组织现场考察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895" w:type="dxa"/>
            <w:vMerge w:val="continue"/>
            <w:tcBorders>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auto"/>
                <w:szCs w:val="21"/>
                <w:highlight w:val="none"/>
              </w:rPr>
            </w:pPr>
          </w:p>
        </w:tc>
        <w:tc>
          <w:tcPr>
            <w:tcW w:w="867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不组织召开开标前答疑会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vMerge w:val="restart"/>
            <w:tcBorders>
              <w:top w:val="single" w:color="auto" w:sz="4" w:space="0"/>
              <w:left w:val="single" w:color="auto" w:sz="4" w:space="0"/>
              <w:right w:val="single" w:color="auto" w:sz="4" w:space="0"/>
            </w:tcBorders>
            <w:noWrap w:val="0"/>
            <w:vAlign w:val="center"/>
          </w:tcPr>
          <w:p>
            <w:pPr>
              <w:spacing w:line="360" w:lineRule="auto"/>
              <w:jc w:val="center"/>
              <w:rPr>
                <w:rFonts w:hint="eastAsia" w:ascii="宋体" w:hAnsi="宋体"/>
                <w:color w:val="auto"/>
                <w:szCs w:val="21"/>
                <w:highlight w:val="none"/>
              </w:rPr>
            </w:pPr>
            <w:bookmarkStart w:id="59" w:name="_13.1"/>
            <w:bookmarkEnd w:id="59"/>
            <w:r>
              <w:rPr>
                <w:rFonts w:hint="eastAsia" w:ascii="宋体" w:hAnsi="宋体"/>
                <w:color w:val="auto"/>
                <w:szCs w:val="21"/>
                <w:highlight w:val="none"/>
              </w:rPr>
              <w:t>13.</w:t>
            </w:r>
            <w:bookmarkStart w:id="60" w:name="_Hlt19632543"/>
            <w:r>
              <w:rPr>
                <w:rFonts w:hint="eastAsia" w:ascii="宋体" w:hAnsi="宋体"/>
                <w:color w:val="auto"/>
                <w:szCs w:val="21"/>
                <w:highlight w:val="none"/>
              </w:rPr>
              <w:t>1</w:t>
            </w:r>
            <w:bookmarkEnd w:id="60"/>
          </w:p>
        </w:tc>
        <w:tc>
          <w:tcPr>
            <w:tcW w:w="867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宋体" w:hAnsi="宋体" w:cs="Courier New"/>
                <w:b/>
                <w:color w:val="auto"/>
                <w:szCs w:val="21"/>
                <w:highlight w:val="none"/>
              </w:rPr>
            </w:pPr>
            <w:r>
              <w:rPr>
                <w:rFonts w:hint="eastAsia" w:ascii="宋体" w:hAnsi="宋体" w:cs="Courier New"/>
                <w:b/>
                <w:color w:val="auto"/>
                <w:szCs w:val="21"/>
                <w:highlight w:val="none"/>
              </w:rPr>
              <w:t>报价文件:</w:t>
            </w:r>
          </w:p>
          <w:p>
            <w:pPr>
              <w:numPr>
                <w:ilvl w:val="0"/>
                <w:numId w:val="8"/>
              </w:numPr>
              <w:tabs>
                <w:tab w:val="left" w:pos="459"/>
              </w:tabs>
              <w:snapToGrid w:val="0"/>
              <w:spacing w:line="360" w:lineRule="auto"/>
              <w:ind w:left="459" w:hanging="39"/>
              <w:jc w:val="left"/>
              <w:rPr>
                <w:rFonts w:hint="eastAsia" w:ascii="宋体" w:hAnsi="宋体"/>
                <w:color w:val="auto"/>
                <w:szCs w:val="21"/>
                <w:highlight w:val="none"/>
              </w:rPr>
            </w:pPr>
            <w:r>
              <w:rPr>
                <w:rFonts w:hint="eastAsia" w:ascii="宋体" w:hAnsi="宋体"/>
                <w:color w:val="auto"/>
                <w:szCs w:val="21"/>
                <w:highlight w:val="none"/>
              </w:rPr>
              <w:t>投标函（格式后附）；</w:t>
            </w:r>
            <w:r>
              <w:rPr>
                <w:rFonts w:hint="eastAsia" w:ascii="宋体" w:hAnsi="宋体"/>
                <w:b/>
                <w:color w:val="auto"/>
                <w:szCs w:val="21"/>
                <w:highlight w:val="none"/>
              </w:rPr>
              <w:t>（必须提供，否则按无效投标处理）</w:t>
            </w:r>
          </w:p>
          <w:p>
            <w:pPr>
              <w:numPr>
                <w:ilvl w:val="0"/>
                <w:numId w:val="8"/>
              </w:numPr>
              <w:tabs>
                <w:tab w:val="left" w:pos="459"/>
              </w:tabs>
              <w:snapToGrid w:val="0"/>
              <w:spacing w:line="360" w:lineRule="auto"/>
              <w:ind w:left="459" w:hanging="39"/>
              <w:jc w:val="left"/>
              <w:rPr>
                <w:rFonts w:hint="eastAsia" w:ascii="宋体" w:hAnsi="宋体"/>
                <w:color w:val="auto"/>
                <w:szCs w:val="21"/>
                <w:highlight w:val="none"/>
              </w:rPr>
            </w:pPr>
            <w:bookmarkStart w:id="61" w:name="_Hlk71299233"/>
            <w:r>
              <w:rPr>
                <w:rFonts w:hint="eastAsia" w:ascii="宋体" w:hAnsi="宋体"/>
                <w:color w:val="auto"/>
                <w:szCs w:val="21"/>
                <w:highlight w:val="none"/>
              </w:rPr>
              <w:t>开标一览表</w:t>
            </w:r>
            <w:bookmarkEnd w:id="61"/>
            <w:r>
              <w:rPr>
                <w:rFonts w:hint="eastAsia" w:ascii="宋体" w:hAnsi="宋体"/>
                <w:color w:val="auto"/>
                <w:szCs w:val="21"/>
                <w:highlight w:val="none"/>
              </w:rPr>
              <w:t>（格式后附）； （</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pPr>
              <w:numPr>
                <w:ilvl w:val="0"/>
                <w:numId w:val="8"/>
              </w:numPr>
              <w:tabs>
                <w:tab w:val="left" w:pos="459"/>
              </w:tabs>
              <w:snapToGrid w:val="0"/>
              <w:spacing w:line="360" w:lineRule="auto"/>
              <w:ind w:left="459" w:hanging="39"/>
              <w:jc w:val="left"/>
              <w:rPr>
                <w:rFonts w:hint="eastAsia" w:ascii="宋体" w:hAnsi="宋体"/>
                <w:color w:val="auto"/>
                <w:szCs w:val="21"/>
                <w:highlight w:val="none"/>
              </w:rPr>
            </w:pPr>
            <w:r>
              <w:rPr>
                <w:rFonts w:hint="eastAsia" w:ascii="宋体" w:hAnsi="宋体"/>
                <w:color w:val="auto"/>
                <w:szCs w:val="21"/>
                <w:highlight w:val="none"/>
              </w:rPr>
              <w:t>投标人针对报价需要说明的其他文件和说明（格式自拟）。</w:t>
            </w:r>
          </w:p>
          <w:p>
            <w:pPr>
              <w:snapToGrid w:val="0"/>
              <w:spacing w:line="360" w:lineRule="auto"/>
              <w:ind w:firstLine="420"/>
              <w:jc w:val="left"/>
              <w:rPr>
                <w:rFonts w:hint="eastAsia" w:ascii="宋体" w:hAnsi="宋体"/>
                <w:color w:val="auto"/>
                <w:szCs w:val="21"/>
                <w:highlight w:val="none"/>
              </w:rPr>
            </w:pPr>
            <w:r>
              <w:rPr>
                <w:rFonts w:hint="eastAsia" w:ascii="宋体" w:hAnsi="宋体"/>
                <w:b/>
                <w:bCs/>
                <w:color w:val="auto"/>
                <w:szCs w:val="21"/>
                <w:highlight w:val="none"/>
              </w:rPr>
              <w:t>注：投标函、开标一览表必须由法定代表人或者委托代理人在规定签章处逐一签字并加盖投标人</w:t>
            </w:r>
            <w:r>
              <w:rPr>
                <w:rFonts w:hint="eastAsia" w:ascii="宋体" w:hAnsi="宋体"/>
                <w:b/>
                <w:bCs/>
                <w:color w:val="auto"/>
                <w:szCs w:val="21"/>
                <w:highlight w:val="none"/>
                <w:lang w:val="en-US" w:eastAsia="zh-CN"/>
              </w:rPr>
              <w:t>电子</w:t>
            </w:r>
            <w:r>
              <w:rPr>
                <w:rFonts w:hint="eastAsia" w:ascii="宋体" w:hAnsi="宋体"/>
                <w:b/>
                <w:bCs/>
                <w:color w:val="auto"/>
                <w:szCs w:val="21"/>
                <w:highlight w:val="none"/>
              </w:rPr>
              <w:t>公章，否则按无效投标</w:t>
            </w:r>
            <w:r>
              <w:rPr>
                <w:rFonts w:hint="eastAsia" w:ascii="宋体" w:hAnsi="宋体" w:cs="Courier New"/>
                <w:b/>
                <w:color w:val="auto"/>
                <w:szCs w:val="21"/>
                <w:highlight w:val="none"/>
              </w:rPr>
              <w:t>处理</w:t>
            </w:r>
            <w:r>
              <w:rPr>
                <w:rFonts w:hint="eastAsia" w:ascii="宋体" w:hAnsi="宋体"/>
                <w:b/>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vMerge w:val="continue"/>
            <w:tcBorders>
              <w:left w:val="single" w:color="auto" w:sz="4" w:space="0"/>
              <w:right w:val="single" w:color="auto" w:sz="4" w:space="0"/>
            </w:tcBorders>
            <w:noWrap w:val="0"/>
            <w:vAlign w:val="center"/>
          </w:tcPr>
          <w:p>
            <w:pPr>
              <w:spacing w:line="360" w:lineRule="auto"/>
              <w:rPr>
                <w:rFonts w:hint="eastAsia" w:ascii="宋体" w:hAnsi="宋体"/>
                <w:color w:val="auto"/>
                <w:szCs w:val="21"/>
                <w:highlight w:val="none"/>
              </w:rPr>
            </w:pPr>
            <w:bookmarkStart w:id="62" w:name="_13.2"/>
            <w:bookmarkEnd w:id="62"/>
          </w:p>
        </w:tc>
        <w:tc>
          <w:tcPr>
            <w:tcW w:w="867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宋体" w:hAnsi="宋体" w:cs="Courier New"/>
                <w:b/>
                <w:color w:val="auto"/>
                <w:szCs w:val="21"/>
                <w:highlight w:val="none"/>
              </w:rPr>
            </w:pPr>
            <w:r>
              <w:rPr>
                <w:rFonts w:hint="eastAsia" w:ascii="宋体" w:hAnsi="宋体" w:cs="Courier New"/>
                <w:b/>
                <w:color w:val="auto"/>
                <w:szCs w:val="21"/>
                <w:highlight w:val="none"/>
              </w:rPr>
              <w:t>资格证明文件:</w:t>
            </w:r>
          </w:p>
          <w:p>
            <w:pPr>
              <w:numPr>
                <w:ilvl w:val="0"/>
                <w:numId w:val="9"/>
              </w:numPr>
              <w:snapToGrid w:val="0"/>
              <w:spacing w:line="360" w:lineRule="auto"/>
              <w:jc w:val="left"/>
              <w:rPr>
                <w:rFonts w:hint="eastAsia" w:ascii="宋体" w:hAnsi="宋体"/>
                <w:b/>
                <w:color w:val="auto"/>
                <w:szCs w:val="21"/>
                <w:highlight w:val="none"/>
              </w:rPr>
            </w:pPr>
            <w:r>
              <w:rPr>
                <w:rFonts w:hint="eastAsia" w:ascii="宋体" w:hAnsi="宋体" w:cs="宋体"/>
                <w:color w:val="auto"/>
                <w:szCs w:val="21"/>
                <w:highlight w:val="none"/>
              </w:rPr>
              <w:t>供应商为法人或者其他组织的，</w:t>
            </w:r>
            <w:r>
              <w:rPr>
                <w:rFonts w:hint="eastAsia" w:ascii="宋体" w:hAnsi="宋体"/>
                <w:color w:val="auto"/>
                <w:szCs w:val="21"/>
                <w:highlight w:val="none"/>
              </w:rPr>
              <w:t>证明文件为其营业执照复印件（如营业执照或者事业单位法人证书或者执业许可证等）；供应商为自然人的，证明文件为其身份证复印件；</w:t>
            </w:r>
            <w:r>
              <w:rPr>
                <w:rFonts w:hint="eastAsia" w:ascii="宋体" w:hAnsi="宋体"/>
                <w:b/>
                <w:color w:val="auto"/>
                <w:szCs w:val="21"/>
                <w:highlight w:val="none"/>
              </w:rPr>
              <w:t>（必须提供，否则投标文件按无效响应处理</w:t>
            </w:r>
            <w:r>
              <w:rPr>
                <w:rFonts w:ascii="宋体" w:hAnsi="宋体"/>
                <w:b/>
                <w:color w:val="auto"/>
                <w:szCs w:val="21"/>
                <w:highlight w:val="none"/>
              </w:rPr>
              <w:t>）</w:t>
            </w:r>
          </w:p>
          <w:p>
            <w:pPr>
              <w:numPr>
                <w:ilvl w:val="0"/>
                <w:numId w:val="9"/>
              </w:numPr>
              <w:snapToGrid w:val="0"/>
              <w:spacing w:line="360" w:lineRule="auto"/>
              <w:jc w:val="left"/>
              <w:rPr>
                <w:rFonts w:hint="eastAsia" w:ascii="宋体" w:hAnsi="宋体"/>
                <w:color w:val="auto"/>
                <w:szCs w:val="21"/>
                <w:highlight w:val="none"/>
              </w:rPr>
            </w:pPr>
            <w:r>
              <w:rPr>
                <w:rFonts w:hint="eastAsia" w:ascii="宋体" w:hAnsi="宋体" w:cs="宋体"/>
                <w:color w:val="auto"/>
                <w:szCs w:val="21"/>
                <w:highlight w:val="none"/>
              </w:rPr>
              <w:t>投标人依法缴纳税收的相关材料（</w:t>
            </w:r>
            <w:r>
              <w:rPr>
                <w:rFonts w:hint="eastAsia" w:ascii="宋体" w:hAnsi="宋体" w:cs="宋体"/>
                <w:color w:val="auto"/>
                <w:szCs w:val="21"/>
                <w:highlight w:val="none"/>
                <w:u w:val="single"/>
                <w:lang w:val="en-US" w:eastAsia="zh-CN"/>
              </w:rPr>
              <w:t>2024</w:t>
            </w:r>
            <w:r>
              <w:rPr>
                <w:rFonts w:hint="eastAsia" w:ascii="宋体" w:hAnsi="宋体" w:cs="宋体"/>
                <w:color w:val="auto"/>
                <w:szCs w:val="21"/>
                <w:highlight w:val="none"/>
              </w:rPr>
              <w:t>年</w:t>
            </w:r>
            <w:r>
              <w:rPr>
                <w:rFonts w:hint="eastAsia" w:ascii="宋体" w:hAnsi="宋体" w:cs="宋体"/>
                <w:color w:val="auto"/>
                <w:szCs w:val="21"/>
                <w:highlight w:val="none"/>
                <w:u w:val="single"/>
                <w:lang w:val="en-US" w:eastAsia="zh-CN"/>
              </w:rPr>
              <w:t>06</w:t>
            </w:r>
            <w:r>
              <w:rPr>
                <w:rFonts w:hint="eastAsia" w:ascii="宋体" w:hAnsi="宋体" w:cs="宋体"/>
                <w:color w:val="auto"/>
                <w:szCs w:val="21"/>
                <w:highlight w:val="none"/>
              </w:rPr>
              <w:t>月</w:t>
            </w:r>
            <w:r>
              <w:rPr>
                <w:rFonts w:hint="eastAsia" w:ascii="宋体" w:hAnsi="宋体" w:cs="宋体"/>
                <w:color w:val="auto"/>
                <w:szCs w:val="21"/>
                <w:highlight w:val="none"/>
              </w:rPr>
              <w:t>至投标截止时间内连续</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3</w:t>
            </w:r>
            <w:r>
              <w:rPr>
                <w:rFonts w:hint="eastAsia" w:ascii="宋体" w:hAnsi="宋体" w:cs="宋体"/>
                <w:color w:val="auto"/>
                <w:szCs w:val="21"/>
                <w:highlight w:val="none"/>
              </w:rPr>
              <w:t>个月的依法缴纳税收的凭据复印件；</w:t>
            </w:r>
            <w:r>
              <w:rPr>
                <w:rFonts w:hint="eastAsia" w:ascii="宋体" w:hAnsi="宋体"/>
                <w:color w:val="auto"/>
                <w:szCs w:val="21"/>
                <w:highlight w:val="none"/>
              </w:rPr>
              <w:t>依法免税的供应商，必须提供相应文件证明其依法免税。</w:t>
            </w:r>
            <w:r>
              <w:rPr>
                <w:rFonts w:hint="eastAsia" w:ascii="宋体" w:hAnsi="宋体" w:cs="宋体"/>
                <w:color w:val="auto"/>
                <w:szCs w:val="21"/>
                <w:highlight w:val="none"/>
              </w:rPr>
              <w:t>从</w:t>
            </w:r>
            <w:r>
              <w:rPr>
                <w:color w:val="auto"/>
                <w:highlight w:val="none"/>
              </w:rPr>
              <w:t>成立</w:t>
            </w:r>
            <w:r>
              <w:rPr>
                <w:rFonts w:hint="eastAsia"/>
                <w:color w:val="auto"/>
                <w:highlight w:val="none"/>
              </w:rPr>
              <w:t>之日</w:t>
            </w:r>
            <w:r>
              <w:rPr>
                <w:rFonts w:hint="eastAsia" w:ascii="宋体" w:hAnsi="宋体" w:cs="宋体"/>
                <w:color w:val="auto"/>
                <w:szCs w:val="21"/>
                <w:highlight w:val="none"/>
              </w:rPr>
              <w:t>起到投标文件提交截止时间止不足要求月数的，只需提供从</w:t>
            </w:r>
            <w:r>
              <w:rPr>
                <w:color w:val="auto"/>
                <w:highlight w:val="none"/>
              </w:rPr>
              <w:t>成立</w:t>
            </w:r>
            <w:r>
              <w:rPr>
                <w:rFonts w:hint="eastAsia"/>
                <w:color w:val="auto"/>
                <w:highlight w:val="none"/>
              </w:rPr>
              <w:t>之日起</w:t>
            </w:r>
            <w:r>
              <w:rPr>
                <w:rFonts w:hint="eastAsia" w:ascii="宋体" w:hAnsi="宋体" w:cs="宋体"/>
                <w:color w:val="auto"/>
                <w:szCs w:val="21"/>
                <w:highlight w:val="none"/>
              </w:rPr>
              <w:t>的依法缴纳税收</w:t>
            </w:r>
            <w:r>
              <w:rPr>
                <w:rFonts w:hint="eastAsia" w:ascii="宋体" w:hAnsi="宋体"/>
                <w:color w:val="auto"/>
                <w:szCs w:val="21"/>
                <w:highlight w:val="none"/>
              </w:rPr>
              <w:t>相应证明文件</w:t>
            </w:r>
            <w:r>
              <w:rPr>
                <w:rFonts w:hint="eastAsia" w:ascii="宋体" w:hAnsi="宋体" w:cs="宋体"/>
                <w:color w:val="auto"/>
                <w:szCs w:val="21"/>
                <w:highlight w:val="none"/>
              </w:rPr>
              <w:t>）</w:t>
            </w:r>
            <w:r>
              <w:rPr>
                <w:rFonts w:hint="eastAsia" w:ascii="宋体" w:hAnsi="宋体"/>
                <w:color w:val="auto"/>
                <w:szCs w:val="21"/>
                <w:highlight w:val="none"/>
              </w:rPr>
              <w:t>；（</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pPr>
              <w:numPr>
                <w:ilvl w:val="0"/>
                <w:numId w:val="9"/>
              </w:numPr>
              <w:snapToGrid w:val="0"/>
              <w:spacing w:line="360" w:lineRule="auto"/>
              <w:jc w:val="left"/>
              <w:rPr>
                <w:rFonts w:hint="eastAsia" w:ascii="宋体" w:hAnsi="宋体"/>
                <w:color w:val="auto"/>
                <w:szCs w:val="21"/>
                <w:highlight w:val="none"/>
              </w:rPr>
            </w:pPr>
            <w:r>
              <w:rPr>
                <w:rFonts w:hint="eastAsia" w:ascii="宋体" w:hAnsi="宋体" w:cs="宋体"/>
                <w:color w:val="auto"/>
                <w:szCs w:val="21"/>
                <w:highlight w:val="none"/>
              </w:rPr>
              <w:t>投标人依法缴纳社会保障资金的相关材料[</w:t>
            </w:r>
            <w:r>
              <w:rPr>
                <w:rFonts w:hint="eastAsia" w:ascii="宋体" w:hAnsi="宋体" w:cs="宋体"/>
                <w:color w:val="auto"/>
                <w:szCs w:val="21"/>
                <w:highlight w:val="none"/>
                <w:u w:val="single"/>
                <w:lang w:val="en-US" w:eastAsia="zh-CN"/>
              </w:rPr>
              <w:t>2024</w:t>
            </w:r>
            <w:r>
              <w:rPr>
                <w:rFonts w:hint="eastAsia" w:ascii="宋体" w:hAnsi="宋体" w:cs="宋体"/>
                <w:color w:val="auto"/>
                <w:szCs w:val="21"/>
                <w:highlight w:val="none"/>
              </w:rPr>
              <w:t>年</w:t>
            </w:r>
            <w:r>
              <w:rPr>
                <w:rFonts w:hint="eastAsia" w:ascii="宋体" w:hAnsi="宋体" w:cs="宋体"/>
                <w:color w:val="auto"/>
                <w:szCs w:val="21"/>
                <w:highlight w:val="none"/>
                <w:u w:val="single"/>
                <w:lang w:val="en-US" w:eastAsia="zh-CN"/>
              </w:rPr>
              <w:t>06</w:t>
            </w:r>
            <w:r>
              <w:rPr>
                <w:rFonts w:hint="eastAsia" w:ascii="宋体" w:hAnsi="宋体" w:cs="宋体"/>
                <w:color w:val="auto"/>
                <w:szCs w:val="21"/>
                <w:highlight w:val="none"/>
              </w:rPr>
              <w:t>月</w:t>
            </w:r>
            <w:r>
              <w:rPr>
                <w:rFonts w:hint="eastAsia" w:ascii="宋体" w:hAnsi="宋体" w:cs="宋体"/>
                <w:color w:val="auto"/>
                <w:szCs w:val="21"/>
                <w:highlight w:val="none"/>
              </w:rPr>
              <w:t>至投标截止时间内连续</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3</w:t>
            </w:r>
            <w:r>
              <w:rPr>
                <w:rFonts w:hint="eastAsia" w:ascii="宋体" w:hAnsi="宋体" w:cs="宋体"/>
                <w:color w:val="auto"/>
                <w:szCs w:val="21"/>
                <w:highlight w:val="none"/>
              </w:rPr>
              <w:t>个月的依法缴纳社会保障资金的缴费凭证（专用收据或者社会保险缴纳清单）复印件；</w:t>
            </w:r>
            <w:r>
              <w:rPr>
                <w:rFonts w:hint="eastAsia" w:ascii="宋体" w:hAnsi="宋体"/>
                <w:color w:val="auto"/>
                <w:szCs w:val="21"/>
                <w:highlight w:val="none"/>
              </w:rPr>
              <w:t>依法不需要缴纳社会保障资金的供应商，必须提供相应文件证明不需要缴纳社会保障资金。</w:t>
            </w:r>
            <w:r>
              <w:rPr>
                <w:rFonts w:hint="eastAsia" w:ascii="宋体" w:hAnsi="宋体" w:cs="宋体"/>
                <w:color w:val="auto"/>
                <w:szCs w:val="21"/>
                <w:highlight w:val="none"/>
              </w:rPr>
              <w:t>从</w:t>
            </w:r>
            <w:r>
              <w:rPr>
                <w:color w:val="auto"/>
                <w:highlight w:val="none"/>
              </w:rPr>
              <w:t>成立</w:t>
            </w:r>
            <w:r>
              <w:rPr>
                <w:rFonts w:hint="eastAsia"/>
                <w:color w:val="auto"/>
                <w:highlight w:val="none"/>
              </w:rPr>
              <w:t>之日起</w:t>
            </w:r>
            <w:r>
              <w:rPr>
                <w:rFonts w:hint="eastAsia" w:ascii="宋体" w:hAnsi="宋体" w:cs="宋体"/>
                <w:color w:val="auto"/>
                <w:szCs w:val="21"/>
                <w:highlight w:val="none"/>
              </w:rPr>
              <w:t>到投标文件提交截止时间止不足要求月数的只需提供从</w:t>
            </w:r>
            <w:r>
              <w:rPr>
                <w:color w:val="auto"/>
                <w:highlight w:val="none"/>
              </w:rPr>
              <w:t>成立</w:t>
            </w:r>
            <w:r>
              <w:rPr>
                <w:rFonts w:hint="eastAsia"/>
                <w:color w:val="auto"/>
                <w:highlight w:val="none"/>
              </w:rPr>
              <w:t>之日起</w:t>
            </w:r>
            <w:r>
              <w:rPr>
                <w:rFonts w:hint="eastAsia" w:ascii="宋体" w:hAnsi="宋体" w:cs="宋体"/>
                <w:color w:val="auto"/>
                <w:szCs w:val="21"/>
                <w:highlight w:val="none"/>
              </w:rPr>
              <w:t>的依法缴纳社会保障资金的</w:t>
            </w:r>
            <w:r>
              <w:rPr>
                <w:rFonts w:hint="eastAsia" w:ascii="宋体" w:hAnsi="宋体"/>
                <w:color w:val="auto"/>
                <w:szCs w:val="21"/>
                <w:highlight w:val="none"/>
              </w:rPr>
              <w:t>相应证明文件</w:t>
            </w:r>
            <w:r>
              <w:rPr>
                <w:rFonts w:hint="eastAsia" w:ascii="宋体" w:hAnsi="宋体" w:cs="宋体"/>
                <w:color w:val="auto"/>
                <w:szCs w:val="21"/>
                <w:highlight w:val="none"/>
              </w:rPr>
              <w:t>]</w:t>
            </w:r>
            <w:r>
              <w:rPr>
                <w:rFonts w:hint="eastAsia" w:ascii="宋体" w:hAnsi="宋体"/>
                <w:color w:val="auto"/>
                <w:szCs w:val="21"/>
                <w:highlight w:val="none"/>
              </w:rPr>
              <w:t>；（</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pPr>
              <w:numPr>
                <w:ilvl w:val="0"/>
                <w:numId w:val="9"/>
              </w:numPr>
              <w:snapToGrid w:val="0"/>
              <w:spacing w:line="360" w:lineRule="auto"/>
              <w:jc w:val="left"/>
              <w:rPr>
                <w:rFonts w:hint="eastAsia" w:ascii="宋体" w:hAnsi="宋体"/>
                <w:color w:val="auto"/>
                <w:szCs w:val="21"/>
                <w:highlight w:val="none"/>
              </w:rPr>
            </w:pPr>
            <w:r>
              <w:rPr>
                <w:rFonts w:hint="eastAsia" w:ascii="宋体" w:hAnsi="宋体" w:cs="宋体"/>
                <w:color w:val="auto"/>
                <w:szCs w:val="21"/>
                <w:highlight w:val="none"/>
              </w:rPr>
              <w:t>投标人</w:t>
            </w:r>
            <w:r>
              <w:rPr>
                <w:rFonts w:hint="eastAsia"/>
                <w:color w:val="auto"/>
                <w:szCs w:val="21"/>
                <w:highlight w:val="none"/>
              </w:rPr>
              <w:t>财务状况报告（</w:t>
            </w:r>
            <w:r>
              <w:rPr>
                <w:rFonts w:hint="eastAsia"/>
                <w:color w:val="auto"/>
                <w:szCs w:val="21"/>
                <w:highlight w:val="none"/>
                <w:u w:val="single"/>
                <w:lang w:val="en-US" w:eastAsia="zh-CN"/>
              </w:rPr>
              <w:t>2023</w:t>
            </w:r>
            <w:r>
              <w:rPr>
                <w:rFonts w:hint="eastAsia"/>
                <w:color w:val="auto"/>
                <w:szCs w:val="21"/>
                <w:highlight w:val="none"/>
                <w:u w:val="single"/>
              </w:rPr>
              <w:t xml:space="preserve"> </w:t>
            </w:r>
            <w:r>
              <w:rPr>
                <w:rFonts w:hint="eastAsia"/>
                <w:color w:val="auto"/>
                <w:szCs w:val="21"/>
                <w:highlight w:val="none"/>
              </w:rPr>
              <w:t>年</w:t>
            </w:r>
            <w:r>
              <w:rPr>
                <w:rFonts w:hint="eastAsia"/>
                <w:color w:val="auto"/>
                <w:szCs w:val="21"/>
                <w:highlight w:val="none"/>
              </w:rPr>
              <w:t>度财务</w:t>
            </w:r>
            <w:r>
              <w:rPr>
                <w:rFonts w:hint="eastAsia"/>
                <w:color w:val="auto"/>
                <w:szCs w:val="21"/>
                <w:highlight w:val="none"/>
                <w:lang w:val="en-US" w:eastAsia="zh-CN"/>
              </w:rPr>
              <w:t>报表</w:t>
            </w:r>
            <w:r>
              <w:rPr>
                <w:rFonts w:hint="eastAsia"/>
                <w:color w:val="auto"/>
                <w:szCs w:val="21"/>
                <w:highlight w:val="none"/>
              </w:rPr>
              <w:t>复印件或者银行出具的资信证明</w:t>
            </w:r>
            <w:r>
              <w:rPr>
                <w:rFonts w:hint="eastAsia"/>
                <w:color w:val="auto"/>
                <w:szCs w:val="21"/>
                <w:highlight w:val="none"/>
                <w:lang w:eastAsia="zh-CN"/>
              </w:rPr>
              <w:t>；</w:t>
            </w:r>
            <w:r>
              <w:rPr>
                <w:rFonts w:hint="eastAsia"/>
                <w:color w:val="auto"/>
                <w:szCs w:val="21"/>
                <w:highlight w:val="none"/>
                <w:lang w:val="en-US" w:eastAsia="zh-CN"/>
              </w:rPr>
              <w:t>投标人属于</w:t>
            </w:r>
            <w:r>
              <w:rPr>
                <w:rFonts w:hint="eastAsia"/>
                <w:color w:val="auto"/>
                <w:highlight w:val="none"/>
              </w:rPr>
              <w:t>成立</w:t>
            </w:r>
            <w:r>
              <w:rPr>
                <w:color w:val="auto"/>
                <w:highlight w:val="none"/>
              </w:rPr>
              <w:t>时间</w:t>
            </w:r>
            <w:r>
              <w:rPr>
                <w:rFonts w:hint="eastAsia"/>
                <w:color w:val="auto"/>
                <w:kern w:val="0"/>
                <w:highlight w:val="none"/>
              </w:rPr>
              <w:t>在规定年度之后</w:t>
            </w:r>
            <w:r>
              <w:rPr>
                <w:color w:val="auto"/>
                <w:highlight w:val="none"/>
              </w:rPr>
              <w:t>的</w:t>
            </w:r>
            <w:r>
              <w:rPr>
                <w:rFonts w:hint="eastAsia"/>
                <w:color w:val="auto"/>
                <w:szCs w:val="21"/>
                <w:highlight w:val="none"/>
                <w:lang w:val="en-US" w:eastAsia="zh-CN"/>
              </w:rPr>
              <w:t>法人或其他组织</w:t>
            </w:r>
            <w:r>
              <w:rPr>
                <w:color w:val="auto"/>
                <w:highlight w:val="none"/>
              </w:rPr>
              <w:t>，需提供成立</w:t>
            </w:r>
            <w:r>
              <w:rPr>
                <w:rFonts w:hint="eastAsia"/>
                <w:color w:val="auto"/>
                <w:highlight w:val="none"/>
              </w:rPr>
              <w:t>之日起至投标截止时间前</w:t>
            </w:r>
            <w:r>
              <w:rPr>
                <w:color w:val="auto"/>
                <w:highlight w:val="none"/>
              </w:rPr>
              <w:t>的月报表</w:t>
            </w:r>
            <w:r>
              <w:rPr>
                <w:rFonts w:hint="eastAsia"/>
                <w:color w:val="auto"/>
                <w:szCs w:val="21"/>
                <w:highlight w:val="none"/>
              </w:rPr>
              <w:t>或银行出具的资信证明</w:t>
            </w:r>
            <w:r>
              <w:rPr>
                <w:rFonts w:hint="eastAsia"/>
                <w:color w:val="auto"/>
                <w:szCs w:val="21"/>
                <w:highlight w:val="none"/>
                <w:lang w:eastAsia="zh-CN"/>
              </w:rPr>
              <w:t>；</w:t>
            </w:r>
            <w:r>
              <w:rPr>
                <w:rFonts w:hint="eastAsia"/>
                <w:color w:val="auto"/>
                <w:szCs w:val="21"/>
                <w:highlight w:val="none"/>
                <w:lang w:val="en-US" w:eastAsia="zh-CN"/>
              </w:rPr>
              <w:t>资信证明</w:t>
            </w:r>
            <w:r>
              <w:rPr>
                <w:rFonts w:hint="eastAsia"/>
                <w:color w:val="auto"/>
                <w:szCs w:val="21"/>
                <w:highlight w:val="none"/>
              </w:rPr>
              <w:t>应在有效期内，未注明有效期的，</w:t>
            </w:r>
            <w:r>
              <w:rPr>
                <w:rFonts w:hint="eastAsia"/>
                <w:color w:val="auto"/>
                <w:szCs w:val="21"/>
                <w:highlight w:val="none"/>
                <w:lang w:val="en-US" w:eastAsia="zh-CN"/>
              </w:rPr>
              <w:t>银行</w:t>
            </w:r>
            <w:r>
              <w:rPr>
                <w:rFonts w:hint="eastAsia"/>
                <w:color w:val="auto"/>
                <w:szCs w:val="21"/>
                <w:highlight w:val="none"/>
              </w:rPr>
              <w:t>出具时间至投标截止时间不超过一年）</w:t>
            </w:r>
            <w:r>
              <w:rPr>
                <w:rFonts w:hint="eastAsia" w:ascii="宋体" w:hAnsi="宋体"/>
                <w:color w:val="auto"/>
                <w:szCs w:val="21"/>
                <w:highlight w:val="none"/>
              </w:rPr>
              <w:t>；（</w:t>
            </w:r>
            <w:r>
              <w:rPr>
                <w:rFonts w:hint="eastAsia" w:ascii="宋体" w:hAnsi="宋体"/>
                <w:b/>
                <w:color w:val="auto"/>
                <w:szCs w:val="21"/>
                <w:highlight w:val="none"/>
                <w:lang w:val="en-US" w:eastAsia="zh-CN"/>
              </w:rPr>
              <w:t>除自然人外</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pPr>
              <w:numPr>
                <w:ilvl w:val="0"/>
                <w:numId w:val="9"/>
              </w:numPr>
              <w:snapToGrid w:val="0"/>
              <w:spacing w:line="360" w:lineRule="auto"/>
              <w:jc w:val="left"/>
              <w:rPr>
                <w:rFonts w:hint="eastAsia" w:ascii="宋体" w:hAnsi="宋体"/>
                <w:color w:val="auto"/>
                <w:szCs w:val="21"/>
                <w:highlight w:val="none"/>
              </w:rPr>
            </w:pPr>
            <w:r>
              <w:rPr>
                <w:rFonts w:hint="eastAsia" w:ascii="宋体" w:hAnsi="宋体"/>
                <w:color w:val="auto"/>
                <w:szCs w:val="21"/>
                <w:highlight w:val="none"/>
              </w:rPr>
              <w:t>投标人直接控股、管理关系信息表（格式后附）；（</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pPr>
              <w:numPr>
                <w:ilvl w:val="0"/>
                <w:numId w:val="9"/>
              </w:numPr>
              <w:snapToGrid w:val="0"/>
              <w:spacing w:line="360" w:lineRule="auto"/>
              <w:jc w:val="left"/>
              <w:rPr>
                <w:rFonts w:hint="eastAsia" w:ascii="宋体" w:hAnsi="宋体"/>
                <w:color w:val="auto"/>
                <w:szCs w:val="21"/>
                <w:highlight w:val="none"/>
              </w:rPr>
            </w:pPr>
            <w:r>
              <w:rPr>
                <w:rFonts w:hint="eastAsia" w:ascii="宋体" w:hAnsi="宋体"/>
                <w:color w:val="auto"/>
                <w:szCs w:val="21"/>
                <w:highlight w:val="none"/>
              </w:rPr>
              <w:t>投标声明（格式后附）；（</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pPr>
              <w:numPr>
                <w:ilvl w:val="0"/>
                <w:numId w:val="9"/>
              </w:numPr>
              <w:snapToGrid w:val="0"/>
              <w:spacing w:line="360" w:lineRule="auto"/>
              <w:jc w:val="left"/>
              <w:rPr>
                <w:rFonts w:hint="eastAsia" w:ascii="宋体" w:hAnsi="宋体"/>
                <w:color w:val="auto"/>
                <w:szCs w:val="21"/>
                <w:highlight w:val="none"/>
              </w:rPr>
            </w:pPr>
            <w:r>
              <w:rPr>
                <w:rFonts w:hint="eastAsia" w:ascii="宋体" w:hAnsi="宋体"/>
                <w:color w:val="auto"/>
                <w:szCs w:val="21"/>
                <w:highlight w:val="none"/>
              </w:rPr>
              <w:t>除招标文件规定必须提供以外，投标人认为需要提供的其他证明材料。</w:t>
            </w:r>
          </w:p>
          <w:p>
            <w:pPr>
              <w:snapToGrid w:val="0"/>
              <w:spacing w:line="360" w:lineRule="auto"/>
              <w:ind w:left="413"/>
              <w:jc w:val="left"/>
              <w:rPr>
                <w:rFonts w:hint="eastAsia" w:ascii="宋体" w:hAnsi="宋体"/>
                <w:color w:val="auto"/>
                <w:szCs w:val="21"/>
                <w:highlight w:val="none"/>
              </w:rPr>
            </w:pPr>
          </w:p>
          <w:p>
            <w:pPr>
              <w:snapToGrid w:val="0"/>
              <w:spacing w:line="360" w:lineRule="auto"/>
              <w:jc w:val="left"/>
              <w:rPr>
                <w:rFonts w:hint="eastAsia" w:ascii="宋体" w:hAnsi="宋体" w:cs="Courier New"/>
                <w:b/>
                <w:color w:val="auto"/>
                <w:szCs w:val="21"/>
                <w:highlight w:val="none"/>
              </w:rPr>
            </w:pPr>
            <w:r>
              <w:rPr>
                <w:rFonts w:hint="eastAsia" w:ascii="宋体" w:hAnsi="宋体"/>
                <w:b/>
                <w:bCs/>
                <w:color w:val="auto"/>
                <w:szCs w:val="21"/>
                <w:highlight w:val="none"/>
              </w:rPr>
              <w:t>注：1.</w:t>
            </w:r>
            <w:r>
              <w:rPr>
                <w:rFonts w:hint="eastAsia" w:ascii="宋体" w:hAnsi="宋体"/>
                <w:color w:val="auto"/>
                <w:szCs w:val="21"/>
                <w:highlight w:val="none"/>
              </w:rPr>
              <w:t xml:space="preserve"> </w:t>
            </w:r>
            <w:r>
              <w:rPr>
                <w:rFonts w:hint="eastAsia" w:ascii="宋体" w:hAnsi="宋体"/>
                <w:b/>
                <w:bCs/>
                <w:color w:val="auto"/>
                <w:szCs w:val="21"/>
                <w:highlight w:val="none"/>
              </w:rPr>
              <w:t>以上标明“必须提供”的材料属于复印件的，必须加盖</w:t>
            </w:r>
            <w:r>
              <w:rPr>
                <w:rFonts w:hint="eastAsia" w:ascii="宋体" w:hAnsi="宋体"/>
                <w:b/>
                <w:bCs/>
                <w:color w:val="auto"/>
                <w:szCs w:val="21"/>
                <w:highlight w:val="none"/>
                <w:lang w:eastAsia="zh-CN"/>
              </w:rPr>
              <w:t>投标人电子公章</w:t>
            </w:r>
            <w:r>
              <w:rPr>
                <w:rFonts w:hint="eastAsia" w:ascii="宋体" w:hAnsi="宋体"/>
                <w:b/>
                <w:bCs/>
                <w:color w:val="auto"/>
                <w:szCs w:val="21"/>
                <w:highlight w:val="none"/>
              </w:rPr>
              <w:t>，否则按无效投标</w:t>
            </w:r>
            <w:r>
              <w:rPr>
                <w:rFonts w:hint="eastAsia" w:ascii="宋体" w:hAnsi="宋体" w:cs="Courier New"/>
                <w:b/>
                <w:color w:val="auto"/>
                <w:szCs w:val="21"/>
                <w:highlight w:val="none"/>
              </w:rPr>
              <w:t>处理。</w:t>
            </w:r>
          </w:p>
          <w:p>
            <w:pPr>
              <w:snapToGrid w:val="0"/>
              <w:spacing w:line="360" w:lineRule="auto"/>
              <w:ind w:firstLine="422" w:firstLineChars="200"/>
              <w:jc w:val="left"/>
              <w:rPr>
                <w:rFonts w:hint="eastAsia" w:ascii="宋体" w:hAnsi="宋体"/>
                <w:b/>
                <w:bCs/>
                <w:color w:val="auto"/>
                <w:szCs w:val="21"/>
                <w:highlight w:val="none"/>
              </w:rPr>
            </w:pPr>
            <w:r>
              <w:rPr>
                <w:rFonts w:hint="eastAsia" w:ascii="宋体" w:hAnsi="宋体" w:cs="Courier New"/>
                <w:b/>
                <w:color w:val="auto"/>
                <w:szCs w:val="21"/>
                <w:highlight w:val="none"/>
              </w:rPr>
              <w:t>2.</w:t>
            </w:r>
            <w:r>
              <w:rPr>
                <w:rFonts w:hint="eastAsia" w:ascii="宋体" w:hAnsi="宋体"/>
                <w:b/>
                <w:bCs/>
                <w:color w:val="auto"/>
                <w:szCs w:val="21"/>
                <w:highlight w:val="none"/>
              </w:rPr>
              <w:t>投标声明必须由法定代表人在规定签章处签字并加盖</w:t>
            </w:r>
            <w:r>
              <w:rPr>
                <w:rFonts w:hint="eastAsia" w:ascii="宋体" w:hAnsi="宋体"/>
                <w:b/>
                <w:bCs/>
                <w:color w:val="auto"/>
                <w:szCs w:val="21"/>
                <w:highlight w:val="none"/>
                <w:lang w:eastAsia="zh-CN"/>
              </w:rPr>
              <w:t>投标人电子公章</w:t>
            </w:r>
            <w:r>
              <w:rPr>
                <w:rFonts w:hint="eastAsia" w:ascii="宋体" w:hAnsi="宋体"/>
                <w:b/>
                <w:bCs/>
                <w:color w:val="auto"/>
                <w:szCs w:val="21"/>
                <w:highlight w:val="none"/>
              </w:rPr>
              <w:t>，否则按无效投标处理。</w:t>
            </w:r>
          </w:p>
          <w:p>
            <w:pPr>
              <w:snapToGrid w:val="0"/>
              <w:spacing w:line="360" w:lineRule="auto"/>
              <w:ind w:firstLine="422" w:firstLineChars="200"/>
              <w:jc w:val="left"/>
              <w:rPr>
                <w:rFonts w:hint="eastAsia" w:ascii="宋体" w:hAnsi="宋体"/>
                <w:b/>
                <w:bCs/>
                <w:color w:val="auto"/>
                <w:szCs w:val="21"/>
                <w:highlight w:val="none"/>
              </w:rPr>
            </w:pPr>
            <w:r>
              <w:rPr>
                <w:rFonts w:hint="eastAsia" w:ascii="宋体" w:hAnsi="宋体"/>
                <w:b/>
                <w:bCs/>
                <w:color w:val="auto"/>
                <w:szCs w:val="21"/>
                <w:highlight w:val="none"/>
              </w:rPr>
              <w:t>3.投标人直接控股、管理关系信息表必须由法定代表人或者委托代理人在规定签章处签字并加盖投标人</w:t>
            </w:r>
            <w:r>
              <w:rPr>
                <w:rFonts w:hint="eastAsia" w:ascii="宋体" w:hAnsi="宋体"/>
                <w:b/>
                <w:bCs/>
                <w:color w:val="auto"/>
                <w:szCs w:val="21"/>
                <w:highlight w:val="none"/>
                <w:lang w:val="en-US" w:eastAsia="zh-CN"/>
              </w:rPr>
              <w:t>电子</w:t>
            </w:r>
            <w:r>
              <w:rPr>
                <w:rFonts w:hint="eastAsia" w:ascii="宋体" w:hAnsi="宋体"/>
                <w:b/>
                <w:bCs/>
                <w:color w:val="auto"/>
                <w:szCs w:val="21"/>
                <w:highlight w:val="none"/>
              </w:rPr>
              <w:t>公章，否则按无效投标</w:t>
            </w:r>
            <w:r>
              <w:rPr>
                <w:rFonts w:hint="eastAsia" w:ascii="宋体" w:hAnsi="宋体" w:cs="Courier New"/>
                <w:b/>
                <w:color w:val="auto"/>
                <w:szCs w:val="21"/>
                <w:highlight w:val="none"/>
              </w:rPr>
              <w:t>处理</w:t>
            </w:r>
            <w:r>
              <w:rPr>
                <w:rFonts w:hint="eastAsia" w:ascii="宋体" w:hAnsi="宋体"/>
                <w:b/>
                <w:bCs/>
                <w:color w:val="auto"/>
                <w:szCs w:val="21"/>
                <w:highlight w:val="none"/>
              </w:rPr>
              <w:t>。</w:t>
            </w:r>
          </w:p>
          <w:p>
            <w:pPr>
              <w:snapToGrid w:val="0"/>
              <w:spacing w:line="360" w:lineRule="auto"/>
              <w:ind w:firstLine="422" w:firstLineChars="200"/>
              <w:jc w:val="left"/>
              <w:rPr>
                <w:rFonts w:hint="eastAsia" w:ascii="宋体" w:hAnsi="宋体"/>
                <w:b/>
                <w:bCs/>
                <w:color w:val="auto"/>
                <w:szCs w:val="21"/>
                <w:highlight w:val="none"/>
              </w:rPr>
            </w:pPr>
            <w:r>
              <w:rPr>
                <w:rFonts w:hint="eastAsia" w:ascii="宋体" w:hAnsi="宋体"/>
                <w:b/>
                <w:bCs/>
                <w:color w:val="auto"/>
                <w:szCs w:val="21"/>
                <w:highlight w:val="none"/>
              </w:rPr>
              <w:t>4.</w:t>
            </w:r>
            <w:r>
              <w:rPr>
                <w:rFonts w:hint="eastAsia" w:ascii="宋体" w:hAnsi="宋体"/>
                <w:b/>
                <w:bCs/>
                <w:color w:val="auto"/>
                <w:szCs w:val="21"/>
                <w:highlight w:val="none"/>
                <w:lang w:val="en-US" w:eastAsia="zh-CN"/>
              </w:rPr>
              <w:t>分公司参加投标的，应当取得总公司授权；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vMerge w:val="continue"/>
            <w:tcBorders>
              <w:left w:val="single" w:color="auto" w:sz="4" w:space="0"/>
              <w:right w:val="single" w:color="auto" w:sz="4" w:space="0"/>
            </w:tcBorders>
            <w:noWrap w:val="0"/>
            <w:vAlign w:val="center"/>
          </w:tcPr>
          <w:p>
            <w:pPr>
              <w:spacing w:line="360" w:lineRule="auto"/>
              <w:rPr>
                <w:rFonts w:hint="eastAsia" w:ascii="宋体" w:hAnsi="宋体"/>
                <w:color w:val="auto"/>
                <w:szCs w:val="21"/>
                <w:highlight w:val="none"/>
              </w:rPr>
            </w:pPr>
            <w:bookmarkStart w:id="63" w:name="_13.3"/>
            <w:bookmarkEnd w:id="63"/>
          </w:p>
        </w:tc>
        <w:tc>
          <w:tcPr>
            <w:tcW w:w="867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宋体" w:hAnsi="宋体" w:cs="Courier New"/>
                <w:b/>
                <w:color w:val="auto"/>
                <w:szCs w:val="21"/>
                <w:highlight w:val="none"/>
              </w:rPr>
            </w:pPr>
            <w:r>
              <w:rPr>
                <w:rFonts w:hint="eastAsia" w:ascii="宋体" w:hAnsi="宋体" w:cs="Courier New"/>
                <w:b/>
                <w:color w:val="auto"/>
                <w:szCs w:val="21"/>
                <w:highlight w:val="none"/>
              </w:rPr>
              <w:t>商务文件：</w:t>
            </w:r>
          </w:p>
          <w:p>
            <w:pPr>
              <w:snapToGrid w:val="0"/>
              <w:spacing w:line="360" w:lineRule="auto"/>
              <w:ind w:left="413"/>
              <w:jc w:val="left"/>
              <w:rPr>
                <w:rFonts w:hint="eastAsia" w:ascii="宋体" w:hAnsi="宋体"/>
                <w:color w:val="auto"/>
                <w:szCs w:val="21"/>
                <w:highlight w:val="none"/>
              </w:rPr>
            </w:pPr>
            <w:r>
              <w:rPr>
                <w:rFonts w:hint="eastAsia" w:ascii="宋体" w:hAnsi="宋体"/>
                <w:color w:val="auto"/>
                <w:szCs w:val="21"/>
                <w:highlight w:val="none"/>
              </w:rPr>
              <w:t>1.无串通投标行为的承诺函（格式后附）；（</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pPr>
              <w:snapToGrid w:val="0"/>
              <w:spacing w:line="360" w:lineRule="auto"/>
              <w:ind w:left="413"/>
              <w:jc w:val="left"/>
              <w:rPr>
                <w:rFonts w:ascii="宋体" w:hAnsi="宋体"/>
                <w:color w:val="auto"/>
                <w:szCs w:val="21"/>
                <w:highlight w:val="none"/>
              </w:rPr>
            </w:pPr>
            <w:r>
              <w:rPr>
                <w:rFonts w:hint="eastAsia" w:ascii="宋体" w:hAnsi="宋体"/>
                <w:color w:val="auto"/>
                <w:szCs w:val="21"/>
                <w:highlight w:val="none"/>
              </w:rPr>
              <w:t>2.法定代表人身份证明及法定代表人有效身份证正反面复印件（格式后附）；（</w:t>
            </w:r>
            <w:r>
              <w:rPr>
                <w:rFonts w:hint="eastAsia" w:ascii="宋体" w:hAnsi="宋体" w:cs="宋体"/>
                <w:b/>
                <w:bCs/>
                <w:color w:val="auto"/>
                <w:szCs w:val="21"/>
                <w:highlight w:val="none"/>
              </w:rPr>
              <w:t>除自然人投标外</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pPr>
              <w:snapToGrid w:val="0"/>
              <w:spacing w:line="360" w:lineRule="auto"/>
              <w:ind w:left="413"/>
              <w:jc w:val="left"/>
              <w:rPr>
                <w:rFonts w:ascii="宋体" w:hAnsi="宋体"/>
                <w:color w:val="auto"/>
                <w:szCs w:val="21"/>
                <w:highlight w:val="none"/>
              </w:rPr>
            </w:pPr>
            <w:r>
              <w:rPr>
                <w:rFonts w:hint="eastAsia" w:ascii="宋体" w:hAnsi="宋体"/>
                <w:color w:val="auto"/>
                <w:szCs w:val="21"/>
                <w:highlight w:val="none"/>
                <w:lang w:val="en-US" w:eastAsia="zh-CN"/>
              </w:rPr>
              <w:t>3</w:t>
            </w:r>
            <w:r>
              <w:rPr>
                <w:rFonts w:hint="eastAsia" w:ascii="宋体" w:hAnsi="宋体"/>
                <w:color w:val="auto"/>
                <w:szCs w:val="21"/>
                <w:highlight w:val="none"/>
              </w:rPr>
              <w:t>.授权委托书及委托代理人有效身份证正反面复印件（格式后附）；（</w:t>
            </w:r>
            <w:r>
              <w:rPr>
                <w:rFonts w:hint="eastAsia" w:ascii="宋体" w:hAnsi="宋体"/>
                <w:b/>
                <w:color w:val="auto"/>
                <w:szCs w:val="21"/>
                <w:highlight w:val="none"/>
              </w:rPr>
              <w:t>委托时必须提供，否则按无效投标处理</w:t>
            </w:r>
            <w:r>
              <w:rPr>
                <w:rFonts w:hint="eastAsia" w:ascii="宋体" w:hAnsi="宋体"/>
                <w:color w:val="auto"/>
                <w:szCs w:val="21"/>
                <w:highlight w:val="none"/>
              </w:rPr>
              <w:t>）</w:t>
            </w:r>
          </w:p>
          <w:p>
            <w:pPr>
              <w:snapToGrid w:val="0"/>
              <w:spacing w:line="360" w:lineRule="auto"/>
              <w:ind w:left="413"/>
              <w:jc w:val="left"/>
              <w:rPr>
                <w:rFonts w:hint="eastAsia" w:ascii="宋体" w:hAnsi="宋体"/>
                <w:color w:val="auto"/>
                <w:szCs w:val="21"/>
                <w:highlight w:val="none"/>
              </w:rPr>
            </w:pPr>
            <w:r>
              <w:rPr>
                <w:rFonts w:hint="eastAsia" w:ascii="宋体" w:hAnsi="宋体"/>
                <w:color w:val="auto"/>
                <w:szCs w:val="21"/>
                <w:highlight w:val="none"/>
                <w:lang w:val="en-US" w:eastAsia="zh-CN"/>
              </w:rPr>
              <w:t>4</w:t>
            </w:r>
            <w:r>
              <w:rPr>
                <w:rFonts w:ascii="宋体" w:hAnsi="宋体"/>
                <w:color w:val="auto"/>
                <w:szCs w:val="21"/>
                <w:highlight w:val="none"/>
              </w:rPr>
              <w:t>.</w:t>
            </w:r>
            <w:r>
              <w:rPr>
                <w:rFonts w:hint="eastAsia" w:ascii="宋体" w:hAnsi="宋体"/>
                <w:color w:val="auto"/>
                <w:szCs w:val="21"/>
                <w:highlight w:val="none"/>
              </w:rPr>
              <w:t>商务要求偏离表（格式后附）；（</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pPr>
              <w:snapToGrid w:val="0"/>
              <w:spacing w:line="360" w:lineRule="auto"/>
              <w:ind w:left="413"/>
              <w:jc w:val="left"/>
              <w:rPr>
                <w:rFonts w:hint="eastAsia" w:ascii="宋体" w:hAnsi="宋体"/>
                <w:color w:val="auto"/>
                <w:szCs w:val="21"/>
                <w:highlight w:val="none"/>
              </w:rPr>
            </w:pPr>
            <w:r>
              <w:rPr>
                <w:rFonts w:hint="eastAsia" w:ascii="宋体" w:hAnsi="宋体"/>
                <w:color w:val="auto"/>
                <w:szCs w:val="21"/>
                <w:highlight w:val="none"/>
                <w:lang w:val="en-US" w:eastAsia="zh-CN"/>
              </w:rPr>
              <w:t>5</w:t>
            </w:r>
            <w:r>
              <w:rPr>
                <w:rFonts w:hint="eastAsia" w:ascii="宋体" w:hAnsi="宋体"/>
                <w:color w:val="auto"/>
                <w:szCs w:val="21"/>
                <w:highlight w:val="none"/>
              </w:rPr>
              <w:t>.售后服务承诺（格式自拟）；（</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pPr>
              <w:snapToGrid w:val="0"/>
              <w:spacing w:line="360" w:lineRule="auto"/>
              <w:ind w:left="413"/>
              <w:jc w:val="left"/>
              <w:rPr>
                <w:rFonts w:hint="eastAsia" w:ascii="宋体" w:hAnsi="宋体"/>
                <w:color w:val="auto"/>
                <w:szCs w:val="21"/>
                <w:highlight w:val="none"/>
              </w:rPr>
            </w:pPr>
            <w:r>
              <w:rPr>
                <w:rFonts w:hint="eastAsia" w:ascii="宋体" w:hAnsi="宋体"/>
                <w:color w:val="auto"/>
                <w:szCs w:val="21"/>
                <w:highlight w:val="none"/>
                <w:lang w:val="en-US" w:eastAsia="zh-CN"/>
              </w:rPr>
              <w:t>6</w:t>
            </w:r>
            <w:r>
              <w:rPr>
                <w:rFonts w:hint="eastAsia" w:ascii="宋体" w:hAnsi="宋体"/>
                <w:color w:val="auto"/>
                <w:szCs w:val="21"/>
                <w:highlight w:val="none"/>
              </w:rPr>
              <w:t>.投标人情况介绍（格式自拟）；</w:t>
            </w:r>
          </w:p>
          <w:p>
            <w:pPr>
              <w:snapToGrid w:val="0"/>
              <w:spacing w:line="360" w:lineRule="auto"/>
              <w:ind w:left="413"/>
              <w:jc w:val="left"/>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7</w:t>
            </w:r>
            <w:r>
              <w:rPr>
                <w:rFonts w:hint="eastAsia" w:ascii="宋体" w:hAnsi="宋体"/>
                <w:color w:val="auto"/>
                <w:szCs w:val="21"/>
                <w:highlight w:val="none"/>
              </w:rPr>
              <w:t>.除招标文件规定必须提供以外，投标人认为需要提供的其他证明材料（格式自拟）</w:t>
            </w:r>
            <w:r>
              <w:rPr>
                <w:rFonts w:hint="eastAsia" w:ascii="宋体" w:hAnsi="宋体"/>
                <w:color w:val="auto"/>
                <w:szCs w:val="21"/>
                <w:highlight w:val="none"/>
                <w:lang w:eastAsia="zh-CN"/>
              </w:rPr>
              <w:t>；</w:t>
            </w:r>
          </w:p>
          <w:p>
            <w:pPr>
              <w:snapToGrid w:val="0"/>
              <w:spacing w:line="360" w:lineRule="auto"/>
              <w:ind w:left="413"/>
              <w:jc w:val="left"/>
              <w:rPr>
                <w:rFonts w:hint="eastAsia" w:ascii="宋体" w:hAnsi="宋体"/>
                <w:color w:val="auto"/>
                <w:szCs w:val="21"/>
                <w:highlight w:val="none"/>
              </w:rPr>
            </w:pPr>
            <w:r>
              <w:rPr>
                <w:rFonts w:hint="eastAsia" w:ascii="宋体" w:hAnsi="宋体"/>
                <w:color w:val="auto"/>
                <w:szCs w:val="21"/>
                <w:highlight w:val="none"/>
              </w:rPr>
              <w:t>（投标人根据“第二章 采购需求”及“第四章 评标方法及评标标准”提供有关证明材料）。</w:t>
            </w:r>
          </w:p>
          <w:p>
            <w:pPr>
              <w:snapToGrid w:val="0"/>
              <w:spacing w:line="360" w:lineRule="auto"/>
              <w:jc w:val="left"/>
              <w:rPr>
                <w:rFonts w:hint="eastAsia" w:ascii="宋体" w:hAnsi="宋体"/>
                <w:color w:val="auto"/>
                <w:szCs w:val="21"/>
                <w:highlight w:val="none"/>
              </w:rPr>
            </w:pPr>
            <w:r>
              <w:rPr>
                <w:rFonts w:hint="eastAsia" w:ascii="宋体" w:hAnsi="宋体"/>
                <w:b/>
                <w:bCs/>
                <w:color w:val="auto"/>
                <w:szCs w:val="21"/>
                <w:highlight w:val="none"/>
              </w:rPr>
              <w:t>注：以上标明“必须提供”的材料属于复印件的，必须加盖</w:t>
            </w:r>
            <w:r>
              <w:rPr>
                <w:rFonts w:hint="eastAsia" w:ascii="宋体" w:hAnsi="宋体"/>
                <w:b/>
                <w:bCs/>
                <w:color w:val="auto"/>
                <w:szCs w:val="21"/>
                <w:highlight w:val="none"/>
                <w:lang w:eastAsia="zh-CN"/>
              </w:rPr>
              <w:t>投标人电子公章</w:t>
            </w:r>
            <w:r>
              <w:rPr>
                <w:rFonts w:hint="eastAsia" w:ascii="宋体" w:hAnsi="宋体"/>
                <w:b/>
                <w:bCs/>
                <w:color w:val="auto"/>
                <w:szCs w:val="21"/>
                <w:highlight w:val="none"/>
              </w:rPr>
              <w:t>，否则按无效投标</w:t>
            </w:r>
            <w:r>
              <w:rPr>
                <w:rFonts w:hint="eastAsia" w:ascii="宋体" w:hAnsi="宋体" w:cs="Courier New"/>
                <w:b/>
                <w:color w:val="auto"/>
                <w:szCs w:val="21"/>
                <w:highlight w:val="none"/>
              </w:rPr>
              <w:t>处理</w:t>
            </w:r>
            <w:r>
              <w:rPr>
                <w:rFonts w:hint="eastAsia" w:ascii="宋体" w:hAnsi="宋体"/>
                <w:b/>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vMerge w:val="continue"/>
            <w:tcBorders>
              <w:left w:val="single" w:color="auto" w:sz="4" w:space="0"/>
              <w:bottom w:val="single" w:color="auto" w:sz="4" w:space="0"/>
              <w:right w:val="single" w:color="auto" w:sz="4" w:space="0"/>
            </w:tcBorders>
            <w:noWrap w:val="0"/>
            <w:vAlign w:val="center"/>
          </w:tcPr>
          <w:p>
            <w:pPr>
              <w:spacing w:line="360" w:lineRule="auto"/>
              <w:rPr>
                <w:rFonts w:hint="eastAsia" w:ascii="宋体" w:hAnsi="宋体"/>
                <w:color w:val="auto"/>
                <w:szCs w:val="21"/>
                <w:highlight w:val="none"/>
              </w:rPr>
            </w:pPr>
            <w:bookmarkStart w:id="64" w:name="_13.4"/>
            <w:bookmarkEnd w:id="64"/>
          </w:p>
        </w:tc>
        <w:tc>
          <w:tcPr>
            <w:tcW w:w="867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宋体" w:hAnsi="宋体" w:cs="Courier New"/>
                <w:b/>
                <w:color w:val="auto"/>
                <w:szCs w:val="21"/>
                <w:highlight w:val="none"/>
              </w:rPr>
            </w:pPr>
            <w:r>
              <w:rPr>
                <w:rFonts w:hint="eastAsia" w:ascii="宋体" w:hAnsi="宋体" w:cs="Courier New"/>
                <w:b/>
                <w:color w:val="auto"/>
                <w:szCs w:val="21"/>
                <w:highlight w:val="none"/>
              </w:rPr>
              <w:t>技术文件：</w:t>
            </w:r>
          </w:p>
          <w:p>
            <w:pPr>
              <w:snapToGrid w:val="0"/>
              <w:spacing w:line="360" w:lineRule="auto"/>
              <w:ind w:left="420"/>
              <w:jc w:val="left"/>
              <w:rPr>
                <w:rFonts w:hint="eastAsia" w:ascii="宋体" w:hAnsi="宋体"/>
                <w:color w:val="auto"/>
                <w:szCs w:val="21"/>
                <w:highlight w:val="none"/>
              </w:rPr>
            </w:pPr>
            <w:r>
              <w:rPr>
                <w:rFonts w:hint="eastAsia" w:ascii="宋体" w:hAnsi="宋体"/>
                <w:color w:val="auto"/>
                <w:szCs w:val="21"/>
                <w:highlight w:val="none"/>
              </w:rPr>
              <w:t>1.设备性能配置清单（格式后附）；（</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pPr>
              <w:snapToGrid w:val="0"/>
              <w:spacing w:line="360" w:lineRule="auto"/>
              <w:ind w:left="420"/>
              <w:jc w:val="left"/>
              <w:rPr>
                <w:rFonts w:hint="eastAsia" w:ascii="宋体" w:hAnsi="宋体"/>
                <w:color w:val="auto"/>
                <w:szCs w:val="21"/>
                <w:highlight w:val="none"/>
              </w:rPr>
            </w:pPr>
            <w:r>
              <w:rPr>
                <w:rFonts w:hint="eastAsia" w:ascii="宋体" w:hAnsi="宋体"/>
                <w:color w:val="auto"/>
                <w:szCs w:val="21"/>
                <w:highlight w:val="none"/>
              </w:rPr>
              <w:t>2.技术偏离表（格式后附）；（</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pPr>
              <w:snapToGrid w:val="0"/>
              <w:spacing w:line="360" w:lineRule="auto"/>
              <w:ind w:left="420"/>
              <w:jc w:val="left"/>
              <w:rPr>
                <w:rFonts w:hint="eastAsia" w:ascii="宋体" w:hAnsi="宋体"/>
                <w:color w:val="auto"/>
                <w:szCs w:val="21"/>
                <w:highlight w:val="none"/>
              </w:rPr>
            </w:pPr>
            <w:r>
              <w:rPr>
                <w:rFonts w:hint="eastAsia" w:ascii="宋体" w:hAnsi="宋体"/>
                <w:color w:val="auto"/>
                <w:szCs w:val="21"/>
                <w:highlight w:val="none"/>
              </w:rPr>
              <w:t>3.项目实施方案（格式自拟）；（</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pPr>
              <w:snapToGrid w:val="0"/>
              <w:spacing w:line="360" w:lineRule="auto"/>
              <w:ind w:left="420"/>
              <w:jc w:val="left"/>
              <w:rPr>
                <w:rFonts w:hint="eastAsia"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.对本项目系统总体要求的理解。包括：功能说明、性能指标及设备选型说明（质量、性能、价格、外观、体积等方面进行比较和选择的理由及过程，格式自拟）；</w:t>
            </w:r>
          </w:p>
          <w:p>
            <w:pPr>
              <w:snapToGrid w:val="0"/>
              <w:spacing w:line="360" w:lineRule="auto"/>
              <w:ind w:left="420"/>
              <w:jc w:val="left"/>
              <w:rPr>
                <w:rFonts w:hint="eastAsia" w:ascii="宋体" w:hAnsi="宋体" w:eastAsia="宋体"/>
                <w:color w:val="auto"/>
                <w:szCs w:val="21"/>
                <w:highlight w:val="none"/>
                <w:lang w:eastAsia="zh-CN"/>
              </w:rPr>
            </w:pPr>
            <w:r>
              <w:rPr>
                <w:rFonts w:ascii="宋体" w:hAnsi="宋体"/>
                <w:color w:val="auto"/>
                <w:szCs w:val="21"/>
                <w:highlight w:val="none"/>
              </w:rPr>
              <w:t>5</w:t>
            </w:r>
            <w:r>
              <w:rPr>
                <w:rFonts w:hint="eastAsia" w:ascii="宋体" w:hAnsi="宋体"/>
                <w:color w:val="auto"/>
                <w:szCs w:val="21"/>
                <w:highlight w:val="none"/>
              </w:rPr>
              <w:t>.产品出厂标准、质量检测报告（</w:t>
            </w:r>
            <w:r>
              <w:rPr>
                <w:color w:val="auto"/>
                <w:highlight w:val="none"/>
              </w:rPr>
              <w:t>国家认可的有资质的第三方检测机构出具的检测报告复印件</w:t>
            </w:r>
            <w:r>
              <w:rPr>
                <w:rFonts w:hint="eastAsia" w:ascii="宋体" w:hAnsi="宋体"/>
                <w:color w:val="auto"/>
                <w:szCs w:val="21"/>
                <w:highlight w:val="none"/>
                <w:lang w:eastAsia="zh-CN"/>
              </w:rPr>
              <w:t>）等；</w:t>
            </w:r>
          </w:p>
          <w:p>
            <w:pPr>
              <w:snapToGrid w:val="0"/>
              <w:spacing w:line="360" w:lineRule="auto"/>
              <w:ind w:left="420"/>
              <w:jc w:val="left"/>
              <w:rPr>
                <w:rFonts w:hint="eastAsia" w:ascii="宋体" w:hAns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.优惠条件：投标人承诺给予招标人的各种优惠条件，包括售后服务、备品备件、专用耗材等方面的优惠；投标人不得给予赠品或者与采购无关的其他商品、服务；</w:t>
            </w:r>
          </w:p>
          <w:p>
            <w:pPr>
              <w:snapToGrid w:val="0"/>
              <w:spacing w:line="360" w:lineRule="auto"/>
              <w:ind w:left="420"/>
              <w:jc w:val="left"/>
              <w:rPr>
                <w:rFonts w:hint="eastAsia"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.投标人对本项目的合理化建议和改进措施（格式自拟）；</w:t>
            </w:r>
          </w:p>
          <w:p>
            <w:pPr>
              <w:snapToGrid w:val="0"/>
              <w:spacing w:line="360" w:lineRule="auto"/>
              <w:ind w:left="420"/>
              <w:jc w:val="left"/>
              <w:rPr>
                <w:rFonts w:hint="eastAsia" w:ascii="宋体" w:hAnsi="宋体"/>
                <w:bCs/>
                <w:color w:val="auto"/>
                <w:szCs w:val="21"/>
                <w:highlight w:val="none"/>
              </w:rPr>
            </w:pPr>
            <w:r>
              <w:rPr>
                <w:rFonts w:ascii="宋体" w:hAnsi="宋体"/>
                <w:color w:val="auto"/>
                <w:szCs w:val="21"/>
                <w:highlight w:val="none"/>
              </w:rPr>
              <w:t>8</w:t>
            </w:r>
            <w:r>
              <w:rPr>
                <w:rFonts w:hint="eastAsia" w:ascii="宋体" w:hAnsi="宋体"/>
                <w:color w:val="auto"/>
                <w:szCs w:val="21"/>
                <w:highlight w:val="none"/>
              </w:rPr>
              <w:t>.除招标文件规定必须提供以外，投标人需要说明的其他文件和说明（格式自拟）。</w:t>
            </w:r>
          </w:p>
          <w:p>
            <w:pPr>
              <w:snapToGrid w:val="0"/>
              <w:spacing w:line="360" w:lineRule="auto"/>
              <w:jc w:val="left"/>
              <w:rPr>
                <w:rFonts w:hint="eastAsia" w:ascii="宋体" w:hAnsi="宋体"/>
                <w:b/>
                <w:bCs/>
                <w:color w:val="auto"/>
                <w:szCs w:val="21"/>
                <w:highlight w:val="none"/>
              </w:rPr>
            </w:pPr>
            <w:r>
              <w:rPr>
                <w:rFonts w:hint="eastAsia" w:ascii="宋体" w:hAnsi="宋体"/>
                <w:b/>
                <w:bCs/>
                <w:color w:val="auto"/>
                <w:szCs w:val="21"/>
                <w:highlight w:val="none"/>
              </w:rPr>
              <w:t>注：以上标明“必须提供”的材料属于复印件的，必须加盖</w:t>
            </w:r>
            <w:r>
              <w:rPr>
                <w:rFonts w:hint="eastAsia" w:ascii="宋体" w:hAnsi="宋体"/>
                <w:b/>
                <w:bCs/>
                <w:color w:val="auto"/>
                <w:szCs w:val="21"/>
                <w:highlight w:val="none"/>
                <w:lang w:eastAsia="zh-CN"/>
              </w:rPr>
              <w:t>投标人电子公章</w:t>
            </w:r>
            <w:r>
              <w:rPr>
                <w:rFonts w:hint="eastAsia" w:ascii="宋体" w:hAnsi="宋体"/>
                <w:b/>
                <w:bCs/>
                <w:color w:val="auto"/>
                <w:szCs w:val="21"/>
                <w:highlight w:val="none"/>
              </w:rPr>
              <w:t>，否则按无效投标</w:t>
            </w:r>
            <w:r>
              <w:rPr>
                <w:rFonts w:hint="eastAsia" w:ascii="宋体" w:hAnsi="宋体" w:cs="Courier New"/>
                <w:b/>
                <w:color w:val="auto"/>
                <w:szCs w:val="21"/>
                <w:highlight w:val="none"/>
              </w:rPr>
              <w:t>处理</w:t>
            </w:r>
            <w:r>
              <w:rPr>
                <w:rFonts w:hint="eastAsia" w:ascii="宋体" w:hAnsi="宋体"/>
                <w:b/>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auto"/>
                <w:szCs w:val="21"/>
                <w:highlight w:val="none"/>
              </w:rPr>
            </w:pPr>
            <w:bookmarkStart w:id="65" w:name="_13.5"/>
            <w:bookmarkEnd w:id="65"/>
            <w:r>
              <w:rPr>
                <w:rFonts w:hint="eastAsia" w:ascii="宋体" w:hAnsi="宋体"/>
                <w:color w:val="auto"/>
                <w:szCs w:val="21"/>
                <w:highlight w:val="none"/>
              </w:rPr>
              <w:t>13.</w:t>
            </w:r>
            <w:r>
              <w:rPr>
                <w:rFonts w:ascii="宋体" w:hAnsi="宋体"/>
                <w:color w:val="auto"/>
                <w:szCs w:val="21"/>
                <w:highlight w:val="none"/>
              </w:rPr>
              <w:t>2</w:t>
            </w:r>
          </w:p>
        </w:tc>
        <w:tc>
          <w:tcPr>
            <w:tcW w:w="867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60" w:lineRule="auto"/>
              <w:textAlignment w:val="bottom"/>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本项目不需提供</w:t>
            </w:r>
            <w:r>
              <w:rPr>
                <w:rFonts w:hint="eastAsia" w:ascii="宋体" w:hAnsi="宋体" w:cs="Courier New"/>
                <w:color w:val="auto"/>
                <w:szCs w:val="21"/>
                <w:highlight w:val="none"/>
              </w:rPr>
              <w:t>投标文件电子版</w:t>
            </w:r>
            <w:r>
              <w:rPr>
                <w:rFonts w:hint="eastAsia" w:ascii="宋体" w:hAnsi="宋体"/>
                <w:color w:val="auto"/>
                <w:szCs w:val="21"/>
                <w:highlight w:val="none"/>
              </w:rPr>
              <w:t>。</w:t>
            </w:r>
          </w:p>
          <w:p>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□本项目须提供</w:t>
            </w:r>
            <w:r>
              <w:rPr>
                <w:rFonts w:hint="eastAsia" w:ascii="宋体" w:hAnsi="宋体" w:cs="Courier New"/>
                <w:color w:val="auto"/>
                <w:szCs w:val="21"/>
                <w:highlight w:val="none"/>
              </w:rPr>
              <w:t>投标文件电子版</w:t>
            </w:r>
            <w:r>
              <w:rPr>
                <w:rFonts w:hint="eastAsia" w:ascii="宋体" w:hAnsi="宋体"/>
                <w:color w:val="auto"/>
                <w:szCs w:val="21"/>
                <w:highlight w:val="none"/>
              </w:rPr>
              <w:t>，具体规定如下：</w:t>
            </w:r>
          </w:p>
          <w:p>
            <w:pPr>
              <w:snapToGrid w:val="0"/>
              <w:spacing w:line="360" w:lineRule="auto"/>
              <w:jc w:val="left"/>
              <w:rPr>
                <w:rFonts w:hint="eastAsia" w:ascii="宋体" w:hAnsi="宋体" w:cs="Courier New"/>
                <w:color w:val="auto"/>
                <w:szCs w:val="21"/>
                <w:highlight w:val="none"/>
              </w:rPr>
            </w:pPr>
            <w:r>
              <w:rPr>
                <w:rFonts w:hint="eastAsia" w:ascii="宋体" w:hAnsi="宋体" w:cs="Courier New"/>
                <w:color w:val="auto"/>
                <w:szCs w:val="21"/>
                <w:highlight w:val="none"/>
              </w:rPr>
              <w:t>投标人在递交投标文件时，同时递交投标文件电子版。</w:t>
            </w:r>
          </w:p>
          <w:p>
            <w:pPr>
              <w:snapToGrid w:val="0"/>
              <w:spacing w:line="360" w:lineRule="auto"/>
              <w:ind w:left="459"/>
              <w:jc w:val="left"/>
              <w:rPr>
                <w:rFonts w:hint="eastAsia" w:ascii="宋体" w:hAnsi="宋体" w:cs="Courier New"/>
                <w:color w:val="auto"/>
                <w:szCs w:val="21"/>
                <w:highlight w:val="none"/>
              </w:rPr>
            </w:pPr>
            <w:r>
              <w:rPr>
                <w:rFonts w:hint="eastAsia" w:ascii="宋体" w:hAnsi="宋体" w:cs="Courier New"/>
                <w:color w:val="auto"/>
                <w:szCs w:val="21"/>
                <w:highlight w:val="none"/>
              </w:rPr>
              <w:t>1.投标文件电子版内容：与纸质投标文件全部内容一致。</w:t>
            </w:r>
          </w:p>
          <w:p>
            <w:pPr>
              <w:snapToGrid w:val="0"/>
              <w:spacing w:line="360" w:lineRule="auto"/>
              <w:ind w:left="459"/>
              <w:jc w:val="left"/>
              <w:rPr>
                <w:rFonts w:hint="eastAsia" w:ascii="宋体" w:hAnsi="宋体" w:cs="Courier New"/>
                <w:color w:val="auto"/>
                <w:szCs w:val="21"/>
                <w:highlight w:val="none"/>
              </w:rPr>
            </w:pPr>
            <w:r>
              <w:rPr>
                <w:rFonts w:hint="eastAsia" w:ascii="宋体" w:hAnsi="宋体" w:cs="Courier New"/>
                <w:color w:val="auto"/>
                <w:szCs w:val="21"/>
                <w:highlight w:val="none"/>
              </w:rPr>
              <w:t>2.投标文件电子版形式：可编辑的word文档格式1份</w:t>
            </w:r>
            <w:r>
              <w:rPr>
                <w:rFonts w:hint="eastAsia" w:ascii="宋体" w:hAnsi="宋体"/>
                <w:color w:val="auto"/>
                <w:szCs w:val="21"/>
                <w:highlight w:val="none"/>
              </w:rPr>
              <w:t>和已签字盖章的投标文件正本的扫描件（PDF格式）</w:t>
            </w:r>
            <w:r>
              <w:rPr>
                <w:rFonts w:hint="eastAsia" w:ascii="宋体" w:hAnsi="宋体" w:cs="Courier New"/>
                <w:color w:val="auto"/>
                <w:szCs w:val="21"/>
                <w:highlight w:val="none"/>
              </w:rPr>
              <w:t>1份。</w:t>
            </w:r>
          </w:p>
          <w:p>
            <w:pPr>
              <w:snapToGrid w:val="0"/>
              <w:spacing w:line="360" w:lineRule="auto"/>
              <w:ind w:left="459"/>
              <w:jc w:val="left"/>
              <w:rPr>
                <w:rFonts w:hint="eastAsia" w:ascii="宋体" w:hAnsi="宋体" w:cs="Courier New"/>
                <w:color w:val="auto"/>
                <w:szCs w:val="21"/>
                <w:highlight w:val="none"/>
              </w:rPr>
            </w:pPr>
            <w:r>
              <w:rPr>
                <w:rFonts w:hint="eastAsia" w:ascii="宋体" w:hAnsi="宋体" w:cs="Courier New"/>
                <w:color w:val="auto"/>
                <w:szCs w:val="21"/>
                <w:highlight w:val="none"/>
              </w:rPr>
              <w:t>3.投标文件电子版密封方式：投标文件电子版光盘（或者U盘）与纸质版投标文件一并装入投标文件袋中。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auto"/>
                <w:szCs w:val="21"/>
                <w:highlight w:val="none"/>
              </w:rPr>
            </w:pPr>
            <w:bookmarkStart w:id="66" w:name="_16.2"/>
            <w:bookmarkEnd w:id="66"/>
            <w:r>
              <w:rPr>
                <w:rFonts w:hint="eastAsia" w:ascii="宋体" w:hAnsi="宋体"/>
                <w:color w:val="auto"/>
                <w:szCs w:val="21"/>
                <w:highlight w:val="none"/>
              </w:rPr>
              <w:t>16</w:t>
            </w:r>
            <w:bookmarkStart w:id="67" w:name="_Hlt19194066"/>
            <w:bookmarkStart w:id="68" w:name="_Hlt19693759"/>
            <w:bookmarkStart w:id="69" w:name="_Hlt19693758"/>
            <w:bookmarkStart w:id="70" w:name="_Hlt19194067"/>
            <w:r>
              <w:rPr>
                <w:rFonts w:hint="eastAsia" w:ascii="宋体" w:hAnsi="宋体"/>
                <w:color w:val="auto"/>
                <w:szCs w:val="21"/>
                <w:highlight w:val="none"/>
              </w:rPr>
              <w:t>.</w:t>
            </w:r>
            <w:bookmarkEnd w:id="67"/>
            <w:bookmarkEnd w:id="68"/>
            <w:bookmarkEnd w:id="69"/>
            <w:bookmarkEnd w:id="70"/>
            <w:r>
              <w:rPr>
                <w:rFonts w:hint="eastAsia" w:ascii="宋体" w:hAnsi="宋体"/>
                <w:color w:val="auto"/>
                <w:szCs w:val="21"/>
                <w:highlight w:val="none"/>
              </w:rPr>
              <w:t>2</w:t>
            </w:r>
          </w:p>
        </w:tc>
        <w:tc>
          <w:tcPr>
            <w:tcW w:w="867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hint="eastAsia" w:ascii="宋体" w:hAnsi="宋体"/>
                <w:b/>
                <w:color w:val="auto"/>
                <w:szCs w:val="21"/>
                <w:highlight w:val="none"/>
              </w:rPr>
            </w:pPr>
            <w:r>
              <w:rPr>
                <w:rFonts w:hint="eastAsia" w:ascii="宋体" w:hAnsi="宋体"/>
                <w:color w:val="auto"/>
                <w:szCs w:val="21"/>
                <w:highlight w:val="none"/>
              </w:rPr>
              <w:t>投标报价是履行合同的最终价格，包括投标货物（包括备品备件、专用工具等）的价格（包括已在中国境内的进口货物完税后的仓库交货价、展室交货价或者货架交货价），投标货物运输（含保险）、安装、调试、检验、技术服务、培训和招标文件要求提供的所有伴随服务、工程等费用和税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auto"/>
                <w:szCs w:val="21"/>
                <w:highlight w:val="none"/>
              </w:rPr>
            </w:pPr>
            <w:bookmarkStart w:id="71" w:name="_17.1"/>
            <w:bookmarkEnd w:id="71"/>
            <w:r>
              <w:rPr>
                <w:rFonts w:hint="eastAsia" w:ascii="宋体" w:hAnsi="宋体"/>
                <w:color w:val="auto"/>
                <w:szCs w:val="21"/>
                <w:highlight w:val="none"/>
              </w:rPr>
              <w:t>17.</w:t>
            </w:r>
            <w:r>
              <w:rPr>
                <w:rFonts w:ascii="宋体" w:hAnsi="宋体"/>
                <w:color w:val="auto"/>
                <w:szCs w:val="21"/>
                <w:highlight w:val="none"/>
              </w:rPr>
              <w:t>2</w:t>
            </w:r>
          </w:p>
        </w:tc>
        <w:tc>
          <w:tcPr>
            <w:tcW w:w="867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hint="default" w:ascii="宋体" w:hAnsi="宋体" w:eastAsia="宋体"/>
                <w:color w:val="auto"/>
                <w:szCs w:val="21"/>
                <w:highlight w:val="none"/>
                <w:lang w:val="en-US" w:eastAsia="zh-CN"/>
              </w:rPr>
            </w:pPr>
            <w:r>
              <w:rPr>
                <w:rFonts w:hint="eastAsia" w:ascii="宋体" w:hAnsi="宋体"/>
                <w:color w:val="auto"/>
                <w:szCs w:val="21"/>
                <w:highlight w:val="none"/>
              </w:rPr>
              <w:t xml:space="preserve">投标有效期： </w:t>
            </w:r>
            <w:r>
              <w:rPr>
                <w:rFonts w:hint="eastAsia" w:ascii="宋体" w:hAnsi="宋体"/>
                <w:color w:val="auto"/>
                <w:szCs w:val="21"/>
                <w:highlight w:val="none"/>
                <w:lang w:val="en-US" w:eastAsia="zh-CN"/>
              </w:rPr>
              <w:t>90天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auto"/>
                <w:szCs w:val="21"/>
                <w:highlight w:val="none"/>
              </w:rPr>
            </w:pPr>
            <w:bookmarkStart w:id="72" w:name="_18"/>
            <w:bookmarkEnd w:id="72"/>
            <w:r>
              <w:rPr>
                <w:rFonts w:hint="eastAsia" w:ascii="宋体" w:hAnsi="宋体"/>
                <w:color w:val="auto"/>
                <w:szCs w:val="21"/>
                <w:highlight w:val="none"/>
              </w:rPr>
              <w:t>18</w:t>
            </w:r>
            <w:r>
              <w:rPr>
                <w:rFonts w:ascii="宋体" w:hAnsi="宋体"/>
                <w:color w:val="auto"/>
                <w:szCs w:val="21"/>
                <w:highlight w:val="none"/>
              </w:rPr>
              <w:t>.1</w:t>
            </w:r>
          </w:p>
        </w:tc>
        <w:tc>
          <w:tcPr>
            <w:tcW w:w="867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60" w:lineRule="auto"/>
              <w:textAlignment w:val="bottom"/>
              <w:rPr>
                <w:rFonts w:hint="eastAsia" w:ascii="宋体" w:hAnsi="宋体"/>
                <w:b/>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本项目不收取投标保证金。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olor w:val="auto"/>
                <w:szCs w:val="21"/>
                <w:highlight w:val="none"/>
                <w:lang w:eastAsia="zh-CN"/>
              </w:rPr>
            </w:pPr>
            <w:bookmarkStart w:id="73" w:name="_19.2"/>
            <w:bookmarkEnd w:id="73"/>
            <w:r>
              <w:rPr>
                <w:rFonts w:hint="eastAsia" w:ascii="宋体" w:hAnsi="宋体"/>
                <w:color w:val="auto"/>
                <w:szCs w:val="21"/>
                <w:highlight w:val="none"/>
              </w:rPr>
              <w:t>19.</w:t>
            </w:r>
            <w:r>
              <w:rPr>
                <w:rFonts w:hint="eastAsia" w:ascii="宋体" w:hAnsi="宋体"/>
                <w:color w:val="auto"/>
                <w:szCs w:val="21"/>
                <w:highlight w:val="none"/>
                <w:lang w:val="en-US" w:eastAsia="zh-CN"/>
              </w:rPr>
              <w:t>4</w:t>
            </w:r>
          </w:p>
        </w:tc>
        <w:tc>
          <w:tcPr>
            <w:tcW w:w="867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60" w:lineRule="auto"/>
              <w:jc w:val="left"/>
              <w:textAlignment w:val="bottom"/>
              <w:rPr>
                <w:rFonts w:hint="eastAsia" w:ascii="宋体" w:hAnsi="宋体" w:eastAsia="宋体"/>
                <w:color w:val="auto"/>
                <w:szCs w:val="21"/>
                <w:highlight w:val="none"/>
                <w:lang w:val="en-US" w:eastAsia="zh-CN"/>
              </w:rPr>
            </w:pPr>
            <w:r>
              <w:rPr>
                <w:rFonts w:hint="eastAsia" w:ascii="宋体" w:hAnsi="宋体"/>
                <w:color w:val="auto"/>
                <w:szCs w:val="21"/>
                <w:highlight w:val="none"/>
              </w:rPr>
              <w:t>投标文件正副本份数：</w:t>
            </w:r>
            <w:r>
              <w:rPr>
                <w:rFonts w:hint="eastAsia" w:ascii="宋体" w:hAnsi="宋体"/>
                <w:color w:val="auto"/>
                <w:szCs w:val="21"/>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trPr>
        <w:tc>
          <w:tcPr>
            <w:tcW w:w="89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auto"/>
                <w:szCs w:val="21"/>
                <w:highlight w:val="none"/>
              </w:rPr>
            </w:pPr>
            <w:bookmarkStart w:id="74" w:name="_21.1"/>
            <w:bookmarkEnd w:id="74"/>
            <w:r>
              <w:rPr>
                <w:rFonts w:hint="eastAsia" w:ascii="宋体" w:hAnsi="宋体"/>
                <w:color w:val="auto"/>
                <w:szCs w:val="21"/>
                <w:highlight w:val="none"/>
              </w:rPr>
              <w:t>21.1</w:t>
            </w:r>
          </w:p>
        </w:tc>
        <w:tc>
          <w:tcPr>
            <w:tcW w:w="867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hint="eastAsia" w:ascii="宋体" w:hAnsi="宋体"/>
                <w:color w:val="auto"/>
                <w:szCs w:val="21"/>
                <w:highlight w:val="none"/>
                <w:u w:val="single"/>
              </w:rPr>
            </w:pPr>
            <w:r>
              <w:rPr>
                <w:rFonts w:hint="eastAsia" w:ascii="宋体" w:hAnsi="宋体"/>
                <w:color w:val="auto"/>
                <w:szCs w:val="21"/>
                <w:highlight w:val="none"/>
              </w:rPr>
              <w:t>1.投标截止时间：详见招标公告</w:t>
            </w:r>
          </w:p>
          <w:p>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2.投标地点：</w:t>
            </w:r>
            <w:r>
              <w:rPr>
                <w:rFonts w:hint="eastAsia"/>
                <w:color w:val="auto"/>
                <w:highlight w:val="none"/>
              </w:rPr>
              <w:t>本项目为全流程电子化项目，通过</w:t>
            </w:r>
            <w:r>
              <w:rPr>
                <w:rFonts w:hint="eastAsia" w:ascii="宋体" w:hAnsi="宋体" w:cs="宋体"/>
                <w:color w:val="auto"/>
                <w:kern w:val="0"/>
                <w:sz w:val="21"/>
                <w:szCs w:val="21"/>
                <w:highlight w:val="none"/>
                <w:lang w:val="en-US" w:eastAsia="zh-CN" w:bidi="ar-SA"/>
              </w:rPr>
              <w:t>“</w:t>
            </w:r>
            <w:r>
              <w:rPr>
                <w:rFonts w:hint="eastAsia" w:ascii="宋体" w:hAnsi="宋体" w:cs="宋体"/>
                <w:color w:val="auto"/>
                <w:kern w:val="0"/>
                <w:szCs w:val="21"/>
                <w:highlight w:val="none"/>
              </w:rPr>
              <w:t>广西政府采购云平台</w:t>
            </w:r>
            <w:r>
              <w:rPr>
                <w:rFonts w:hint="eastAsia" w:ascii="宋体" w:hAnsi="宋体" w:cs="宋体"/>
                <w:color w:val="auto"/>
                <w:kern w:val="0"/>
                <w:sz w:val="21"/>
                <w:szCs w:val="21"/>
                <w:highlight w:val="none"/>
                <w:lang w:val="en-US" w:eastAsia="zh-CN" w:bidi="ar-SA"/>
              </w:rPr>
              <w:t>”平台（</w:t>
            </w:r>
            <w:r>
              <w:rPr>
                <w:rFonts w:hint="eastAsia" w:ascii="宋体" w:hAnsi="宋体" w:cs="宋体"/>
                <w:color w:val="auto"/>
                <w:kern w:val="0"/>
                <w:szCs w:val="21"/>
                <w:highlight w:val="none"/>
              </w:rPr>
              <w:t>https://www.gcy.zfcg.gxzf.gov.cn/</w:t>
            </w:r>
            <w:r>
              <w:rPr>
                <w:rFonts w:hint="eastAsia" w:ascii="宋体" w:hAnsi="宋体" w:cs="宋体"/>
                <w:color w:val="auto"/>
                <w:kern w:val="0"/>
                <w:sz w:val="21"/>
                <w:szCs w:val="21"/>
                <w:highlight w:val="none"/>
                <w:lang w:val="en-US" w:eastAsia="zh-CN" w:bidi="ar-SA"/>
              </w:rPr>
              <w:t>）</w:t>
            </w:r>
            <w:r>
              <w:rPr>
                <w:rFonts w:hint="eastAsia"/>
                <w:color w:val="auto"/>
                <w:highlight w:val="none"/>
              </w:rPr>
              <w:t>实行在线电子响应。</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auto"/>
                <w:szCs w:val="21"/>
                <w:highlight w:val="none"/>
              </w:rPr>
            </w:pPr>
            <w:bookmarkStart w:id="75" w:name="_23"/>
            <w:bookmarkEnd w:id="75"/>
            <w:r>
              <w:rPr>
                <w:rFonts w:hint="eastAsia" w:ascii="宋体" w:hAnsi="宋体"/>
                <w:color w:val="auto"/>
                <w:szCs w:val="21"/>
                <w:highlight w:val="none"/>
              </w:rPr>
              <w:t>23</w:t>
            </w:r>
          </w:p>
        </w:tc>
        <w:tc>
          <w:tcPr>
            <w:tcW w:w="867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1.开标时间：详见招标公告</w:t>
            </w:r>
          </w:p>
          <w:p>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2.开标地点：详见招标公告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24（5）</w:t>
            </w:r>
          </w:p>
        </w:tc>
        <w:tc>
          <w:tcPr>
            <w:tcW w:w="867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ascii="宋体" w:hAnsi="宋体"/>
                <w:color w:val="auto"/>
                <w:szCs w:val="21"/>
                <w:highlight w:val="none"/>
              </w:rPr>
            </w:pPr>
            <w:r>
              <w:rPr>
                <w:rFonts w:hint="eastAsia" w:hAnsi="宋体"/>
                <w:color w:val="auto"/>
                <w:highlight w:val="none"/>
              </w:rPr>
              <w:t>唱标内容：投标人名称、投标价格、</w:t>
            </w:r>
            <w:r>
              <w:rPr>
                <w:rFonts w:hAnsi="宋体"/>
                <w:color w:val="auto"/>
                <w:highlight w:val="none"/>
                <w:u w:val="single"/>
              </w:rPr>
              <w:t xml:space="preserve"> </w:t>
            </w:r>
            <w:r>
              <w:rPr>
                <w:rFonts w:hint="eastAsia" w:hAnsi="宋体"/>
                <w:color w:val="auto"/>
                <w:highlight w:val="none"/>
                <w:u w:val="single"/>
                <w:lang w:val="en-US" w:eastAsia="zh-CN"/>
              </w:rPr>
              <w:t>合同履约时限</w:t>
            </w:r>
            <w:r>
              <w:rPr>
                <w:rFonts w:hAnsi="宋体"/>
                <w:color w:val="auto"/>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auto"/>
                <w:szCs w:val="21"/>
                <w:highlight w:val="none"/>
              </w:rPr>
            </w:pPr>
            <w:bookmarkStart w:id="76" w:name="_25.3"/>
            <w:bookmarkEnd w:id="76"/>
            <w:r>
              <w:rPr>
                <w:rFonts w:hint="eastAsia" w:ascii="宋体" w:hAnsi="宋体"/>
                <w:color w:val="auto"/>
                <w:szCs w:val="21"/>
                <w:highlight w:val="none"/>
              </w:rPr>
              <w:t>25.3（3）</w:t>
            </w:r>
          </w:p>
        </w:tc>
        <w:tc>
          <w:tcPr>
            <w:tcW w:w="867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采购人或者采购代理机构在资格审查结束前，对投标人进行信用查询。</w:t>
            </w:r>
          </w:p>
          <w:p>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 xml:space="preserve">查询渠道：“信用中国”网站(www.creditchina.gov.cn) 、中国政府采购网(www.ccgp.gov.cn)》。 </w:t>
            </w:r>
          </w:p>
          <w:p>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信用查询截止时点：资格审查结束前</w:t>
            </w:r>
            <w:r>
              <w:rPr>
                <w:rFonts w:hint="eastAsia" w:ascii="宋体" w:hAnsi="宋体"/>
                <w:color w:val="auto"/>
                <w:szCs w:val="21"/>
                <w:highlight w:val="none"/>
                <w:lang w:eastAsia="zh-CN"/>
              </w:rPr>
              <w:t>。</w:t>
            </w:r>
          </w:p>
          <w:p>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查询记录和证据留存方式：</w:t>
            </w:r>
            <w:r>
              <w:rPr>
                <w:rFonts w:hint="eastAsia" w:ascii="宋体" w:hAnsi="宋体"/>
                <w:color w:val="auto"/>
                <w:szCs w:val="21"/>
                <w:highlight w:val="none"/>
                <w:u w:val="none"/>
                <w:lang w:val="en-US" w:eastAsia="zh-CN"/>
              </w:rPr>
              <w:t>由采购人或采购代理机构</w:t>
            </w:r>
            <w:r>
              <w:rPr>
                <w:rFonts w:hint="eastAsia" w:ascii="宋体" w:hAnsi="宋体"/>
                <w:color w:val="auto"/>
                <w:szCs w:val="21"/>
                <w:highlight w:val="none"/>
              </w:rPr>
              <w:t xml:space="preserve">在查询网站中直接打印查询记录，打印材料作为评审资料保存。  </w:t>
            </w:r>
          </w:p>
          <w:p>
            <w:pPr>
              <w:snapToGrid w:val="0"/>
              <w:spacing w:line="360" w:lineRule="auto"/>
              <w:rPr>
                <w:rFonts w:hint="eastAsia" w:ascii="宋体" w:hAnsi="宋体"/>
                <w:b/>
                <w:color w:val="auto"/>
                <w:szCs w:val="21"/>
                <w:highlight w:val="none"/>
              </w:rPr>
            </w:pPr>
            <w:r>
              <w:rPr>
                <w:rFonts w:hint="eastAsia" w:ascii="宋体" w:hAnsi="宋体"/>
                <w:color w:val="auto"/>
                <w:szCs w:val="21"/>
                <w:highlight w:val="none"/>
              </w:rPr>
              <w:t>信用信息使用规则： 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采购人或者采购代理机构应当拒绝其参与本采购活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auto"/>
                <w:szCs w:val="21"/>
                <w:highlight w:val="none"/>
              </w:rPr>
            </w:pPr>
            <w:bookmarkStart w:id="77" w:name="_26"/>
            <w:bookmarkEnd w:id="77"/>
            <w:r>
              <w:rPr>
                <w:rFonts w:hint="eastAsia" w:ascii="宋体" w:hAnsi="宋体"/>
                <w:color w:val="auto"/>
                <w:szCs w:val="21"/>
                <w:highlight w:val="none"/>
              </w:rPr>
              <w:t>26</w:t>
            </w:r>
          </w:p>
        </w:tc>
        <w:tc>
          <w:tcPr>
            <w:tcW w:w="86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eastAsia="宋体"/>
                <w:b w:val="0"/>
                <w:bCs w:val="0"/>
                <w:color w:val="auto"/>
                <w:highlight w:val="none"/>
                <w:lang w:eastAsia="zh-CN"/>
              </w:rPr>
            </w:pPr>
            <w:r>
              <w:rPr>
                <w:rFonts w:hint="eastAsia"/>
                <w:b w:val="0"/>
                <w:bCs w:val="0"/>
                <w:color w:val="auto"/>
                <w:highlight w:val="none"/>
              </w:rPr>
              <w:t>评标委员会的人数：由采购人代表和有关技术、经济等方面的专家组成</w:t>
            </w:r>
            <w:r>
              <w:rPr>
                <w:rFonts w:hint="eastAsia"/>
                <w:b w:val="0"/>
                <w:bCs w:val="0"/>
                <w:color w:val="auto"/>
                <w:highlight w:val="none"/>
                <w:lang w:eastAsia="zh-CN"/>
              </w:rPr>
              <w:t>，</w:t>
            </w:r>
            <w:r>
              <w:rPr>
                <w:rFonts w:hint="eastAsia"/>
                <w:b w:val="0"/>
                <w:bCs w:val="0"/>
                <w:color w:val="auto"/>
                <w:highlight w:val="none"/>
                <w:lang w:val="en-US" w:eastAsia="zh-CN"/>
              </w:rPr>
              <w:t>共5</w:t>
            </w:r>
            <w:r>
              <w:rPr>
                <w:rFonts w:hint="eastAsia"/>
                <w:b w:val="0"/>
                <w:bCs w:val="0"/>
                <w:color w:val="auto"/>
                <w:highlight w:val="none"/>
              </w:rPr>
              <w:t>人</w:t>
            </w:r>
            <w:r>
              <w:rPr>
                <w:rFonts w:hint="eastAsia"/>
                <w:b w:val="0"/>
                <w:bCs w:val="0"/>
                <w:color w:val="auto"/>
                <w:highlight w:val="none"/>
                <w:lang w:eastAsia="zh-CN"/>
              </w:rPr>
              <w:t>。</w:t>
            </w:r>
          </w:p>
          <w:p>
            <w:pPr>
              <w:spacing w:line="360" w:lineRule="auto"/>
              <w:rPr>
                <w:rFonts w:hint="eastAsia" w:eastAsia="宋体"/>
                <w:color w:val="auto"/>
                <w:highlight w:val="none"/>
                <w:lang w:eastAsia="zh-CN"/>
              </w:rPr>
            </w:pPr>
            <w:r>
              <w:rPr>
                <w:rFonts w:hint="eastAsia"/>
                <w:b w:val="0"/>
                <w:bCs w:val="0"/>
                <w:color w:val="auto"/>
                <w:highlight w:val="none"/>
              </w:rPr>
              <w:t>评标专家确定方式：</w:t>
            </w:r>
            <w:bookmarkStart w:id="78" w:name="EBe457346d611c459192bee674fdabab70"/>
            <w:r>
              <w:rPr>
                <w:rFonts w:hint="eastAsia"/>
                <w:b w:val="0"/>
                <w:bCs w:val="0"/>
                <w:color w:val="auto"/>
                <w:highlight w:val="none"/>
              </w:rPr>
              <w:t>随机抽取</w:t>
            </w:r>
            <w:bookmarkEnd w:id="78"/>
            <w:r>
              <w:rPr>
                <w:rFonts w:hint="eastAsia"/>
                <w:b w:val="0"/>
                <w:bCs w:val="0"/>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auto"/>
                <w:szCs w:val="21"/>
                <w:highlight w:val="none"/>
              </w:rPr>
            </w:pPr>
            <w:bookmarkStart w:id="79" w:name="_28.3"/>
            <w:bookmarkEnd w:id="79"/>
            <w:r>
              <w:rPr>
                <w:rFonts w:ascii="宋体" w:hAnsi="宋体"/>
                <w:color w:val="auto"/>
                <w:szCs w:val="21"/>
                <w:highlight w:val="none"/>
              </w:rPr>
              <w:t>29.1</w:t>
            </w:r>
          </w:p>
        </w:tc>
        <w:tc>
          <w:tcPr>
            <w:tcW w:w="867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评标方法：</w:t>
            </w:r>
          </w:p>
          <w:p>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综合评分法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vMerge w:val="restart"/>
            <w:tcBorders>
              <w:top w:val="single" w:color="auto" w:sz="4" w:space="0"/>
              <w:left w:val="single" w:color="auto" w:sz="4" w:space="0"/>
              <w:right w:val="single" w:color="auto" w:sz="4" w:space="0"/>
            </w:tcBorders>
            <w:noWrap w:val="0"/>
            <w:vAlign w:val="center"/>
          </w:tcPr>
          <w:p>
            <w:pPr>
              <w:spacing w:line="36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29.2</w:t>
            </w:r>
          </w:p>
        </w:tc>
        <w:tc>
          <w:tcPr>
            <w:tcW w:w="867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ascii="宋体" w:hAnsi="宋体"/>
                <w:color w:val="auto"/>
                <w:szCs w:val="21"/>
                <w:highlight w:val="none"/>
              </w:rPr>
            </w:pPr>
            <w:r>
              <w:rPr>
                <w:rFonts w:hint="eastAsia" w:ascii="宋体" w:hAnsi="宋体" w:cs="宋体"/>
                <w:color w:val="auto"/>
                <w:szCs w:val="21"/>
                <w:highlight w:val="none"/>
              </w:rPr>
              <w:t>商务要求</w:t>
            </w:r>
            <w:r>
              <w:rPr>
                <w:rFonts w:hint="eastAsia" w:ascii="宋体" w:hAnsi="宋体"/>
                <w:color w:val="auto"/>
                <w:szCs w:val="21"/>
                <w:highlight w:val="none"/>
              </w:rPr>
              <w:t>评审中允许负偏离的条款数为</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0</w:t>
            </w:r>
            <w:r>
              <w:rPr>
                <w:rFonts w:hint="eastAsia" w:ascii="宋体" w:hAnsi="宋体"/>
                <w:color w:val="auto"/>
                <w:szCs w:val="21"/>
                <w:highlight w:val="none"/>
                <w:u w:val="single"/>
              </w:rPr>
              <w:t xml:space="preserve">  </w:t>
            </w:r>
            <w:r>
              <w:rPr>
                <w:rFonts w:hint="eastAsia" w:ascii="宋体" w:hAnsi="宋体"/>
                <w:color w:val="auto"/>
                <w:szCs w:val="21"/>
                <w:highlight w:val="none"/>
              </w:rPr>
              <w:t>项。</w:t>
            </w:r>
          </w:p>
          <w:p>
            <w:pPr>
              <w:autoSpaceDE w:val="0"/>
              <w:autoSpaceDN w:val="0"/>
              <w:snapToGrid w:val="0"/>
              <w:spacing w:line="360" w:lineRule="auto"/>
              <w:textAlignment w:val="bottom"/>
              <w:rPr>
                <w:rFonts w:hint="eastAsia" w:ascii="宋体" w:hAnsi="宋体"/>
                <w:color w:val="auto"/>
                <w:szCs w:val="21"/>
                <w:highlight w:val="none"/>
                <w:lang w:eastAsia="zh-CN"/>
              </w:rPr>
            </w:pPr>
            <w:r>
              <w:rPr>
                <w:rFonts w:hint="eastAsia" w:ascii="宋体" w:hAnsi="宋体" w:cs="宋体"/>
                <w:color w:val="auto"/>
                <w:szCs w:val="21"/>
                <w:highlight w:val="none"/>
              </w:rPr>
              <w:t>技术要求</w:t>
            </w:r>
            <w:r>
              <w:rPr>
                <w:rFonts w:hint="eastAsia" w:ascii="宋体" w:hAnsi="宋体"/>
                <w:color w:val="auto"/>
                <w:szCs w:val="21"/>
                <w:highlight w:val="none"/>
              </w:rPr>
              <w:t>评审中允许负偏离的条款数</w:t>
            </w:r>
            <w:r>
              <w:rPr>
                <w:rFonts w:hint="eastAsia" w:ascii="宋体" w:hAnsi="宋体"/>
                <w:color w:val="auto"/>
                <w:szCs w:val="21"/>
                <w:highlight w:val="none"/>
              </w:rPr>
              <w:t>为</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3</w:t>
            </w:r>
            <w:r>
              <w:rPr>
                <w:rFonts w:hint="eastAsia" w:ascii="宋体" w:hAnsi="宋体"/>
                <w:color w:val="auto"/>
                <w:szCs w:val="21"/>
                <w:highlight w:val="none"/>
                <w:u w:val="single"/>
              </w:rPr>
              <w:t xml:space="preserve"> </w:t>
            </w:r>
            <w:r>
              <w:rPr>
                <w:rFonts w:hint="eastAsia" w:ascii="宋体" w:hAnsi="宋体"/>
                <w:color w:val="auto"/>
                <w:szCs w:val="21"/>
                <w:highlight w:val="none"/>
              </w:rPr>
              <w:t>项</w:t>
            </w:r>
            <w:r>
              <w:rPr>
                <w:rFonts w:hint="eastAsia" w:ascii="宋体" w:hAnsi="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895" w:type="dxa"/>
            <w:vMerge w:val="continue"/>
            <w:tcBorders>
              <w:left w:val="single" w:color="auto" w:sz="4" w:space="0"/>
              <w:right w:val="single" w:color="auto" w:sz="4" w:space="0"/>
            </w:tcBorders>
            <w:noWrap w:val="0"/>
            <w:vAlign w:val="center"/>
          </w:tcPr>
          <w:p>
            <w:pPr>
              <w:spacing w:line="360" w:lineRule="auto"/>
              <w:jc w:val="center"/>
              <w:rPr>
                <w:rFonts w:hint="default" w:ascii="宋体" w:hAnsi="宋体" w:eastAsia="宋体"/>
                <w:color w:val="auto"/>
                <w:szCs w:val="21"/>
                <w:highlight w:val="none"/>
                <w:lang w:val="en-US" w:eastAsia="zh-CN"/>
              </w:rPr>
            </w:pPr>
            <w:bookmarkStart w:id="80" w:name="_29.2.2（2）"/>
            <w:bookmarkEnd w:id="80"/>
          </w:p>
        </w:tc>
        <w:tc>
          <w:tcPr>
            <w:tcW w:w="8670" w:type="dxa"/>
            <w:tcBorders>
              <w:top w:val="single" w:color="auto" w:sz="4" w:space="0"/>
              <w:left w:val="single" w:color="auto" w:sz="4" w:space="0"/>
              <w:right w:val="single" w:color="auto" w:sz="4" w:space="0"/>
            </w:tcBorders>
            <w:noWrap w:val="0"/>
            <w:vAlign w:val="center"/>
          </w:tcPr>
          <w:p>
            <w:pPr>
              <w:snapToGrid w:val="0"/>
              <w:spacing w:line="360" w:lineRule="auto"/>
              <w:rPr>
                <w:rFonts w:hint="eastAsia" w:ascii="宋体" w:hAnsi="宋体" w:cs="宋体"/>
                <w:color w:val="auto"/>
                <w:szCs w:val="21"/>
                <w:highlight w:val="none"/>
                <w:u w:val="single"/>
              </w:rPr>
            </w:pPr>
            <w:r>
              <w:rPr>
                <w:rFonts w:hAnsi="宋体"/>
                <w:color w:val="auto"/>
                <w:highlight w:val="none"/>
              </w:rPr>
              <w:t>中标候选人推荐数量</w:t>
            </w:r>
            <w:r>
              <w:rPr>
                <w:rFonts w:hint="eastAsia" w:hAnsi="宋体"/>
                <w:color w:val="auto"/>
                <w:highlight w:val="none"/>
              </w:rPr>
              <w:t>：</w:t>
            </w:r>
            <w:r>
              <w:rPr>
                <w:rFonts w:hint="eastAsia" w:hAnsi="宋体"/>
                <w:color w:val="auto"/>
                <w:highlight w:val="none"/>
                <w:lang w:val="en-US" w:eastAsia="zh-CN"/>
              </w:rPr>
              <w:t>3人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rPr>
              <w:t>30</w:t>
            </w:r>
            <w:r>
              <w:rPr>
                <w:rFonts w:ascii="宋体" w:hAnsi="宋体"/>
                <w:color w:val="auto"/>
                <w:szCs w:val="21"/>
                <w:highlight w:val="none"/>
              </w:rPr>
              <w:t>.1</w:t>
            </w:r>
          </w:p>
        </w:tc>
        <w:tc>
          <w:tcPr>
            <w:tcW w:w="867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采用综合评分法的采购项目，采购人确定中标人时，出现中标候选人并列的情形，采购人按以下的方式确定中标人：</w:t>
            </w:r>
            <w:r>
              <w:rPr>
                <w:rFonts w:hint="eastAsia" w:ascii="宋体" w:hAnsi="宋体"/>
                <w:color w:val="auto"/>
                <w:szCs w:val="21"/>
                <w:highlight w:val="none"/>
                <w:u w:val="single"/>
              </w:rPr>
              <w:t>评标委员会将根据总得分由高到低排列次序并推荐中标候选人。得分相同的，以投标报价由低到高顺序排列。得分相同且投标报价相同的并列，投标文件满足招标文件全部实质性要求，且按照评审因素的量化指标评审得分最高的投标人为排名第一的中标候选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9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auto"/>
                <w:szCs w:val="21"/>
                <w:highlight w:val="none"/>
              </w:rPr>
            </w:pPr>
            <w:bookmarkStart w:id="81" w:name="_39.1"/>
            <w:bookmarkEnd w:id="81"/>
            <w:r>
              <w:rPr>
                <w:rFonts w:hint="eastAsia" w:ascii="宋体" w:hAnsi="宋体"/>
                <w:color w:val="auto"/>
                <w:szCs w:val="21"/>
                <w:highlight w:val="none"/>
              </w:rPr>
              <w:t>35</w:t>
            </w:r>
            <w:r>
              <w:rPr>
                <w:rFonts w:ascii="宋体" w:hAnsi="宋体"/>
                <w:color w:val="auto"/>
                <w:szCs w:val="21"/>
                <w:highlight w:val="none"/>
              </w:rPr>
              <w:t>.1</w:t>
            </w:r>
          </w:p>
        </w:tc>
        <w:tc>
          <w:tcPr>
            <w:tcW w:w="867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60" w:lineRule="auto"/>
              <w:textAlignment w:val="bottom"/>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本项目不收取履约保证金。</w:t>
            </w:r>
          </w:p>
          <w:p>
            <w:pPr>
              <w:spacing w:line="360" w:lineRule="auto"/>
              <w:jc w:val="left"/>
              <w:rPr>
                <w:rFonts w:hint="eastAsia" w:ascii="宋体" w:hAnsi="宋体" w:cs="宋体"/>
                <w:color w:val="auto"/>
                <w:kern w:val="0"/>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本项目收取履约保证金，具体规定如下：</w:t>
            </w:r>
            <w:r>
              <w:rPr>
                <w:rFonts w:hint="eastAsia" w:ascii="宋体" w:hAnsi="宋体"/>
                <w:color w:val="auto"/>
                <w:szCs w:val="21"/>
                <w:highlight w:val="none"/>
                <w:lang w:val="en-US" w:eastAsia="zh-CN"/>
              </w:rPr>
              <w:t>/</w:t>
            </w:r>
            <w:r>
              <w:rPr>
                <w:rFonts w:hint="eastAsia" w:ascii="宋体" w:hAnsi="宋体"/>
                <w:b/>
                <w:color w:val="auto"/>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auto"/>
                <w:szCs w:val="21"/>
                <w:highlight w:val="none"/>
              </w:rPr>
            </w:pPr>
            <w:bookmarkStart w:id="82" w:name="_40.1"/>
            <w:bookmarkEnd w:id="82"/>
            <w:r>
              <w:rPr>
                <w:rFonts w:hint="eastAsia" w:ascii="宋体" w:hAnsi="宋体"/>
                <w:color w:val="auto"/>
                <w:szCs w:val="21"/>
                <w:highlight w:val="none"/>
              </w:rPr>
              <w:t>36.1</w:t>
            </w:r>
          </w:p>
        </w:tc>
        <w:tc>
          <w:tcPr>
            <w:tcW w:w="867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 xml:space="preserve">签订合同携带的证明材料： </w:t>
            </w:r>
          </w:p>
          <w:p>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委托代理人负责签订合同的，须携带授权委托书及委托代理人身份证原件等其他资格证件。</w:t>
            </w:r>
          </w:p>
          <w:p>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法定代表人负责签订合同的，须携带法定代表人</w:t>
            </w:r>
            <w:r>
              <w:rPr>
                <w:rFonts w:ascii="宋体" w:hAnsi="宋体"/>
                <w:color w:val="auto"/>
                <w:szCs w:val="21"/>
                <w:highlight w:val="none"/>
              </w:rPr>
              <w:t>身份证明原件</w:t>
            </w:r>
            <w:r>
              <w:rPr>
                <w:rFonts w:hint="eastAsia" w:ascii="宋体" w:hAnsi="宋体"/>
                <w:color w:val="auto"/>
                <w:szCs w:val="21"/>
                <w:highlight w:val="none"/>
              </w:rPr>
              <w:t>及</w:t>
            </w:r>
            <w:r>
              <w:rPr>
                <w:rFonts w:ascii="宋体" w:hAnsi="宋体"/>
                <w:color w:val="auto"/>
                <w:szCs w:val="21"/>
                <w:highlight w:val="none"/>
              </w:rPr>
              <w:t>身份证原件</w:t>
            </w:r>
            <w:r>
              <w:rPr>
                <w:rFonts w:hint="eastAsia" w:ascii="宋体" w:hAnsi="宋体"/>
                <w:color w:val="auto"/>
                <w:szCs w:val="21"/>
                <w:highlight w:val="none"/>
              </w:rPr>
              <w:t>等其他证明材料。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8.2</w:t>
            </w:r>
          </w:p>
        </w:tc>
        <w:tc>
          <w:tcPr>
            <w:tcW w:w="867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接收质疑函方式：以书面形式</w:t>
            </w:r>
          </w:p>
          <w:p>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质疑联系部门及联系方式：</w:t>
            </w:r>
            <w:r>
              <w:rPr>
                <w:rFonts w:hint="eastAsia" w:ascii="宋体" w:hAnsi="宋体"/>
                <w:color w:val="auto"/>
                <w:szCs w:val="21"/>
                <w:highlight w:val="none"/>
                <w:u w:val="single"/>
                <w:lang w:eastAsia="zh-CN"/>
              </w:rPr>
              <w:t>广西百色公共资源交易有限公司</w:t>
            </w:r>
            <w:r>
              <w:rPr>
                <w:rFonts w:hint="eastAsia" w:ascii="宋体" w:hAnsi="宋体"/>
                <w:color w:val="auto"/>
                <w:szCs w:val="21"/>
                <w:highlight w:val="none"/>
              </w:rPr>
              <w:t>，</w:t>
            </w:r>
            <w:r>
              <w:rPr>
                <w:rFonts w:ascii="宋体" w:hAnsi="宋体"/>
                <w:color w:val="auto"/>
                <w:szCs w:val="21"/>
                <w:highlight w:val="none"/>
              </w:rPr>
              <w:t>联系电话</w:t>
            </w:r>
            <w:r>
              <w:rPr>
                <w:rFonts w:hint="eastAsia" w:ascii="宋体" w:hAnsi="宋体"/>
                <w:color w:val="auto"/>
                <w:szCs w:val="21"/>
                <w:highlight w:val="none"/>
              </w:rPr>
              <w:t>：</w:t>
            </w:r>
            <w:r>
              <w:rPr>
                <w:rFonts w:hint="eastAsia" w:ascii="宋体" w:hAnsi="宋体"/>
                <w:color w:val="auto"/>
                <w:szCs w:val="21"/>
                <w:highlight w:val="none"/>
                <w:u w:val="single"/>
                <w:lang w:val="en-US" w:eastAsia="zh-CN"/>
              </w:rPr>
              <w:t>0776-2981360</w:t>
            </w:r>
            <w:r>
              <w:rPr>
                <w:rFonts w:hint="eastAsia" w:ascii="宋体" w:hAnsi="宋体"/>
                <w:color w:val="auto"/>
                <w:szCs w:val="21"/>
                <w:highlight w:val="none"/>
              </w:rPr>
              <w:t>，</w:t>
            </w:r>
            <w:r>
              <w:rPr>
                <w:rFonts w:ascii="宋体" w:hAnsi="宋体"/>
                <w:color w:val="auto"/>
                <w:szCs w:val="21"/>
                <w:highlight w:val="none"/>
              </w:rPr>
              <w:t>通讯地址</w:t>
            </w:r>
            <w:r>
              <w:rPr>
                <w:rFonts w:hint="eastAsia" w:ascii="宋体" w:hAnsi="宋体" w:cs="Helvetica"/>
                <w:color w:val="auto"/>
                <w:szCs w:val="21"/>
                <w:highlight w:val="none"/>
              </w:rPr>
              <w:t>：</w:t>
            </w:r>
            <w:r>
              <w:rPr>
                <w:rFonts w:hint="eastAsia" w:ascii="宋体" w:hAnsi="宋体" w:cs="Helvetica"/>
                <w:color w:val="auto"/>
                <w:szCs w:val="21"/>
                <w:highlight w:val="none"/>
                <w:u w:val="single"/>
              </w:rPr>
              <w:t>广西百色市右江区四塘百东企业服务站三楼</w:t>
            </w:r>
            <w:r>
              <w:rPr>
                <w:rFonts w:hint="eastAsia" w:ascii="宋体" w:hAnsi="宋体" w:cs="Helvetica"/>
                <w:color w:val="auto"/>
                <w:szCs w:val="21"/>
                <w:highlight w:val="none"/>
                <w:u w:val="single"/>
                <w:lang w:val="en-US" w:eastAsia="zh-CN"/>
              </w:rPr>
              <w:t>301室</w:t>
            </w:r>
            <w:r>
              <w:rPr>
                <w:rFonts w:hint="eastAsia" w:ascii="宋体" w:hAnsi="宋体" w:cs="Helvetica"/>
                <w:color w:val="auto"/>
                <w:szCs w:val="21"/>
                <w:highlight w:val="none"/>
                <w:lang w:val="en-US" w:eastAsia="zh-CN"/>
              </w:rPr>
              <w:t>。</w:t>
            </w:r>
          </w:p>
          <w:p>
            <w:pPr>
              <w:autoSpaceDE w:val="0"/>
              <w:autoSpaceDN w:val="0"/>
              <w:snapToGrid w:val="0"/>
              <w:spacing w:line="360" w:lineRule="auto"/>
              <w:textAlignment w:val="bottom"/>
              <w:rPr>
                <w:rFonts w:hint="eastAsia" w:ascii="宋体" w:hAnsi="宋体"/>
                <w:color w:val="auto"/>
                <w:szCs w:val="21"/>
                <w:highlight w:val="none"/>
              </w:rPr>
            </w:pPr>
            <w:r>
              <w:rPr>
                <w:rFonts w:hint="eastAsia" w:hAnsi="宋体"/>
                <w:color w:val="auto"/>
                <w:highlight w:val="none"/>
              </w:rPr>
              <w:t>现场提交质疑办理业务时间：每天8时</w:t>
            </w:r>
            <w:r>
              <w:rPr>
                <w:rFonts w:hint="eastAsia" w:hAnsi="宋体"/>
                <w:color w:val="auto"/>
                <w:highlight w:val="none"/>
                <w:lang w:val="en-US" w:eastAsia="zh-CN"/>
              </w:rPr>
              <w:t>3</w:t>
            </w:r>
            <w:r>
              <w:rPr>
                <w:rFonts w:hint="eastAsia" w:hAnsi="宋体"/>
                <w:color w:val="auto"/>
                <w:highlight w:val="none"/>
              </w:rPr>
              <w:t xml:space="preserve">0分到12时00分，15时00分到18时00分，业务时间以外、双休日和法定节假日不办理业务。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auto"/>
                <w:szCs w:val="21"/>
                <w:highlight w:val="none"/>
              </w:rPr>
            </w:pPr>
            <w:bookmarkStart w:id="83" w:name="_42"/>
            <w:bookmarkEnd w:id="83"/>
            <w:bookmarkStart w:id="84" w:name="_41"/>
            <w:bookmarkEnd w:id="84"/>
            <w:bookmarkStart w:id="85" w:name="_Hlt17709148"/>
            <w:r>
              <w:rPr>
                <w:rFonts w:hint="eastAsia" w:ascii="宋体" w:hAnsi="宋体"/>
                <w:color w:val="auto"/>
                <w:szCs w:val="21"/>
                <w:highlight w:val="none"/>
              </w:rPr>
              <w:t>3</w:t>
            </w:r>
            <w:bookmarkEnd w:id="85"/>
            <w:r>
              <w:rPr>
                <w:rFonts w:ascii="宋体" w:hAnsi="宋体"/>
                <w:color w:val="auto"/>
                <w:szCs w:val="21"/>
                <w:highlight w:val="none"/>
              </w:rPr>
              <w:t>9.1</w:t>
            </w:r>
          </w:p>
        </w:tc>
        <w:tc>
          <w:tcPr>
            <w:tcW w:w="8670" w:type="dxa"/>
            <w:tcBorders>
              <w:top w:val="single" w:color="auto" w:sz="4" w:space="0"/>
              <w:left w:val="single" w:color="auto" w:sz="4" w:space="0"/>
              <w:bottom w:val="single" w:color="auto" w:sz="4" w:space="0"/>
              <w:right w:val="single" w:color="auto" w:sz="4" w:space="0"/>
            </w:tcBorders>
            <w:noWrap w:val="0"/>
            <w:vAlign w:val="center"/>
          </w:tcPr>
          <w:p>
            <w:pPr>
              <w:pStyle w:val="12"/>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1.采购代理费支付方式：</w:t>
            </w:r>
          </w:p>
          <w:p>
            <w:pPr>
              <w:pStyle w:val="12"/>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☑本项目代理服务费由</w:t>
            </w:r>
            <w:r>
              <w:rPr>
                <w:rFonts w:hint="eastAsia" w:hAnsi="宋体" w:cs="宋体"/>
                <w:color w:val="auto"/>
                <w:sz w:val="21"/>
                <w:highlight w:val="none"/>
                <w:u w:val="single"/>
                <w:lang w:val="en-US" w:eastAsia="zh-CN"/>
              </w:rPr>
              <w:t>中标人</w:t>
            </w:r>
            <w:r>
              <w:rPr>
                <w:rFonts w:hint="eastAsia" w:hAnsi="宋体" w:cs="宋体"/>
                <w:color w:val="auto"/>
                <w:sz w:val="21"/>
                <w:highlight w:val="none"/>
                <w:lang w:val="en-US" w:eastAsia="zh-CN"/>
              </w:rPr>
              <w:t>在领取中标通知书前，一次性向采购代理机构支付。</w:t>
            </w:r>
          </w:p>
          <w:p>
            <w:pPr>
              <w:pStyle w:val="12"/>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2.采购代理费收取标准：</w:t>
            </w:r>
          </w:p>
          <w:p>
            <w:pPr>
              <w:pStyle w:val="12"/>
              <w:snapToGrid w:val="0"/>
              <w:spacing w:line="360" w:lineRule="auto"/>
              <w:rPr>
                <w:rFonts w:hint="eastAsia" w:hAnsi="宋体" w:cs="宋体"/>
                <w:color w:val="auto"/>
                <w:sz w:val="21"/>
                <w:highlight w:val="none"/>
                <w:u w:val="none"/>
                <w:lang w:val="en-US" w:eastAsia="zh-CN"/>
              </w:rPr>
            </w:pPr>
            <w:r>
              <w:rPr>
                <w:rFonts w:hint="eastAsia" w:hAnsi="宋体" w:cs="宋体"/>
                <w:color w:val="auto"/>
                <w:sz w:val="21"/>
                <w:highlight w:val="none"/>
                <w:lang w:val="en-US" w:eastAsia="zh-CN"/>
              </w:rPr>
              <w:t>☑固定采购代理收费</w:t>
            </w:r>
            <w:r>
              <w:rPr>
                <w:rFonts w:hint="eastAsia" w:hAnsi="宋体" w:cs="宋体"/>
                <w:color w:val="auto"/>
                <w:sz w:val="21"/>
                <w:highlight w:val="none"/>
                <w:u w:val="none"/>
                <w:lang w:val="en-US" w:eastAsia="zh-CN"/>
              </w:rPr>
              <w:t xml:space="preserve"> ：</w:t>
            </w:r>
          </w:p>
          <w:p>
            <w:pPr>
              <w:spacing w:line="360" w:lineRule="auto"/>
              <w:rPr>
                <w:rFonts w:hint="default"/>
                <w:color w:val="auto"/>
                <w:highlight w:val="none"/>
                <w:lang w:val="en-US" w:eastAsia="zh-CN"/>
              </w:rPr>
            </w:pPr>
            <w:r>
              <w:rPr>
                <w:rFonts w:hint="eastAsia"/>
                <w:color w:val="auto"/>
                <w:highlight w:val="none"/>
                <w:lang w:val="en-US" w:eastAsia="zh-CN"/>
              </w:rPr>
              <w:t>按签订的《代理合同》约定收取。</w:t>
            </w:r>
          </w:p>
          <w:p>
            <w:pPr>
              <w:pStyle w:val="12"/>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3</w:t>
            </w:r>
            <w:r>
              <w:rPr>
                <w:rFonts w:hAnsi="宋体" w:cs="宋体"/>
                <w:color w:val="auto"/>
                <w:sz w:val="21"/>
                <w:highlight w:val="none"/>
                <w:lang w:val="en-US" w:eastAsia="zh-CN"/>
              </w:rPr>
              <w:t>.</w:t>
            </w:r>
            <w:r>
              <w:rPr>
                <w:rFonts w:hint="eastAsia" w:hAnsi="宋体" w:cs="宋体"/>
                <w:color w:val="auto"/>
                <w:sz w:val="21"/>
                <w:highlight w:val="none"/>
                <w:lang w:val="en-US" w:eastAsia="zh-CN"/>
              </w:rPr>
              <w:t>账户名称：</w:t>
            </w:r>
            <w:r>
              <w:rPr>
                <w:rFonts w:hint="eastAsia" w:hAnsi="宋体" w:cs="宋体"/>
                <w:color w:val="auto"/>
                <w:sz w:val="21"/>
                <w:highlight w:val="none"/>
                <w:u w:val="single"/>
                <w:lang w:val="en-US" w:eastAsia="zh-CN"/>
              </w:rPr>
              <w:t xml:space="preserve"> 广西百色公共资源交易有限公司</w:t>
            </w:r>
            <w:r>
              <w:rPr>
                <w:rFonts w:hint="eastAsia" w:hAnsi="宋体" w:cs="宋体"/>
                <w:color w:val="auto"/>
                <w:sz w:val="21"/>
                <w:highlight w:val="none"/>
                <w:lang w:val="en-US" w:eastAsia="zh-CN"/>
              </w:rPr>
              <w:t xml:space="preserve">  </w:t>
            </w:r>
          </w:p>
          <w:p>
            <w:pPr>
              <w:pStyle w:val="12"/>
              <w:snapToGrid w:val="0"/>
              <w:spacing w:line="360" w:lineRule="auto"/>
              <w:rPr>
                <w:rFonts w:hint="eastAsia" w:hAnsi="宋体" w:cs="宋体"/>
                <w:color w:val="auto"/>
                <w:sz w:val="21"/>
                <w:highlight w:val="none"/>
                <w:u w:val="single"/>
                <w:lang w:val="en-US" w:eastAsia="zh-CN"/>
              </w:rPr>
            </w:pPr>
            <w:r>
              <w:rPr>
                <w:rFonts w:hint="eastAsia" w:hAnsi="宋体" w:cs="宋体"/>
                <w:color w:val="auto"/>
                <w:sz w:val="21"/>
                <w:highlight w:val="none"/>
                <w:lang w:val="en-US" w:eastAsia="zh-CN"/>
              </w:rPr>
              <w:t>开户银行：</w:t>
            </w:r>
            <w:r>
              <w:rPr>
                <w:rFonts w:hint="eastAsia" w:hAnsi="宋体" w:cs="宋体"/>
                <w:color w:val="auto"/>
                <w:sz w:val="21"/>
                <w:highlight w:val="none"/>
                <w:u w:val="single"/>
                <w:lang w:val="en-US" w:eastAsia="zh-CN"/>
              </w:rPr>
              <w:t xml:space="preserve">中国工商银行股份有限公司百色市龙景支行 </w:t>
            </w:r>
          </w:p>
          <w:p>
            <w:pPr>
              <w:pStyle w:val="12"/>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银行账号：</w:t>
            </w:r>
            <w:r>
              <w:rPr>
                <w:rFonts w:hint="eastAsia" w:hAnsi="宋体" w:cs="宋体"/>
                <w:color w:val="auto"/>
                <w:sz w:val="21"/>
                <w:highlight w:val="none"/>
                <w:u w:val="single"/>
                <w:lang w:val="en-US" w:eastAsia="zh-CN"/>
              </w:rPr>
              <w:t xml:space="preserve">2110 6111 0930 0074 232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color w:val="auto"/>
                <w:szCs w:val="21"/>
                <w:highlight w:val="none"/>
              </w:rPr>
            </w:pPr>
            <w:r>
              <w:rPr>
                <w:rFonts w:ascii="宋体" w:hAnsi="宋体"/>
                <w:color w:val="auto"/>
                <w:szCs w:val="21"/>
                <w:highlight w:val="none"/>
              </w:rPr>
              <w:t>40.1</w:t>
            </w:r>
          </w:p>
        </w:tc>
        <w:tc>
          <w:tcPr>
            <w:tcW w:w="867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解释：</w:t>
            </w:r>
            <w:r>
              <w:rPr>
                <w:rFonts w:ascii="宋体" w:hAnsi="宋体"/>
                <w:color w:val="auto"/>
                <w:szCs w:val="21"/>
                <w:highlight w:val="none"/>
              </w:rPr>
              <w:t>构成本招标文件的各个组成文件应互为解释，互为说明；除招标文件中有特别规定外，仅适用于招标投标阶段的规定，按</w:t>
            </w:r>
            <w:r>
              <w:rPr>
                <w:rFonts w:hint="eastAsia" w:ascii="宋体" w:hAnsi="宋体"/>
                <w:color w:val="auto"/>
                <w:szCs w:val="21"/>
                <w:highlight w:val="none"/>
              </w:rPr>
              <w:t>更正公告（澄清公告）</w:t>
            </w:r>
            <w:r>
              <w:rPr>
                <w:rFonts w:ascii="宋体" w:hAnsi="宋体"/>
                <w:color w:val="auto"/>
                <w:szCs w:val="21"/>
                <w:highlight w:val="none"/>
              </w:rPr>
              <w:t>、招标公告、</w:t>
            </w:r>
            <w:r>
              <w:rPr>
                <w:rFonts w:hint="eastAsia" w:ascii="宋体" w:hAnsi="宋体"/>
                <w:color w:val="auto"/>
                <w:szCs w:val="21"/>
                <w:highlight w:val="none"/>
              </w:rPr>
              <w:t>采购需求、</w:t>
            </w:r>
            <w:r>
              <w:rPr>
                <w:rFonts w:ascii="宋体" w:hAnsi="宋体"/>
                <w:color w:val="auto"/>
                <w:szCs w:val="21"/>
                <w:highlight w:val="none"/>
              </w:rPr>
              <w:t>投标人须知、</w:t>
            </w:r>
            <w:r>
              <w:rPr>
                <w:rFonts w:hint="eastAsia" w:ascii="宋体" w:hAnsi="宋体"/>
                <w:color w:val="auto"/>
                <w:szCs w:val="21"/>
                <w:highlight w:val="none"/>
              </w:rPr>
              <w:t>评标方法及评标标准</w:t>
            </w:r>
            <w:r>
              <w:rPr>
                <w:rFonts w:ascii="宋体" w:hAnsi="宋体"/>
                <w:color w:val="auto"/>
                <w:szCs w:val="21"/>
                <w:highlight w:val="none"/>
              </w:rPr>
              <w:t>、</w:t>
            </w:r>
            <w:r>
              <w:rPr>
                <w:rFonts w:hint="eastAsia" w:ascii="宋体" w:hAnsi="宋体"/>
                <w:color w:val="auto"/>
                <w:szCs w:val="21"/>
                <w:highlight w:val="none"/>
              </w:rPr>
              <w:t>拟签订的合同文本、</w:t>
            </w:r>
            <w:r>
              <w:rPr>
                <w:rFonts w:ascii="宋体" w:hAnsi="宋体"/>
                <w:color w:val="auto"/>
                <w:szCs w:val="21"/>
                <w:highlight w:val="none"/>
              </w:rPr>
              <w:t>投标文件格式的先后顺序解释；同一组成文件中就同一事项的规定或者约定不一致的，以编排顺序在后者为准；同一组成文件不同版本之间有不一致的，以形成时间在后者为准；</w:t>
            </w:r>
            <w:r>
              <w:rPr>
                <w:rFonts w:hint="eastAsia" w:ascii="宋体" w:hAnsi="宋体"/>
                <w:color w:val="auto"/>
                <w:szCs w:val="21"/>
                <w:highlight w:val="none"/>
              </w:rPr>
              <w:t>更正公告（澄清公告）</w:t>
            </w:r>
            <w:r>
              <w:rPr>
                <w:rFonts w:ascii="宋体" w:hAnsi="宋体"/>
                <w:color w:val="auto"/>
                <w:szCs w:val="21"/>
                <w:highlight w:val="none"/>
              </w:rPr>
              <w:t>与同步更新的招标文件不一致时以</w:t>
            </w:r>
            <w:r>
              <w:rPr>
                <w:rFonts w:hint="eastAsia" w:ascii="宋体" w:hAnsi="宋体"/>
                <w:color w:val="auto"/>
                <w:szCs w:val="21"/>
                <w:highlight w:val="none"/>
              </w:rPr>
              <w:t>更正公告（澄清公告）</w:t>
            </w:r>
            <w:r>
              <w:rPr>
                <w:rFonts w:ascii="宋体" w:hAnsi="宋体"/>
                <w:color w:val="auto"/>
                <w:szCs w:val="21"/>
                <w:highlight w:val="none"/>
              </w:rPr>
              <w:t>为准。按本款前述规定仍不能形成结论的，由</w:t>
            </w:r>
            <w:r>
              <w:rPr>
                <w:rFonts w:hint="eastAsia" w:ascii="宋体" w:hAnsi="宋体"/>
                <w:color w:val="auto"/>
                <w:szCs w:val="21"/>
                <w:highlight w:val="none"/>
              </w:rPr>
              <w:t>采购</w:t>
            </w:r>
            <w:r>
              <w:rPr>
                <w:rFonts w:ascii="宋体" w:hAnsi="宋体"/>
                <w:color w:val="auto"/>
                <w:szCs w:val="21"/>
                <w:highlight w:val="none"/>
              </w:rPr>
              <w:t>人</w:t>
            </w:r>
            <w:r>
              <w:rPr>
                <w:rFonts w:hint="eastAsia" w:ascii="宋体" w:hAnsi="宋体"/>
                <w:color w:val="auto"/>
                <w:szCs w:val="21"/>
                <w:highlight w:val="none"/>
              </w:rPr>
              <w:t>或者采购代理机构</w:t>
            </w:r>
            <w:r>
              <w:rPr>
                <w:rFonts w:ascii="宋体" w:hAnsi="宋体"/>
                <w:color w:val="auto"/>
                <w:szCs w:val="21"/>
                <w:highlight w:val="none"/>
              </w:rPr>
              <w:t>负责解释。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color w:val="auto"/>
                <w:szCs w:val="21"/>
                <w:highlight w:val="none"/>
              </w:rPr>
            </w:pPr>
            <w:r>
              <w:rPr>
                <w:rFonts w:ascii="宋体" w:hAnsi="宋体"/>
                <w:color w:val="auto"/>
                <w:szCs w:val="21"/>
                <w:highlight w:val="none"/>
              </w:rPr>
              <w:t>40.2</w:t>
            </w:r>
          </w:p>
        </w:tc>
        <w:tc>
          <w:tcPr>
            <w:tcW w:w="8670" w:type="dxa"/>
            <w:tcBorders>
              <w:top w:val="single" w:color="auto" w:sz="4" w:space="0"/>
              <w:left w:val="single" w:color="auto" w:sz="4" w:space="0"/>
              <w:bottom w:val="single" w:color="auto" w:sz="4" w:space="0"/>
              <w:right w:val="single" w:color="auto" w:sz="4" w:space="0"/>
            </w:tcBorders>
            <w:noWrap w:val="0"/>
            <w:vAlign w:val="center"/>
          </w:tcPr>
          <w:p>
            <w:pPr>
              <w:pStyle w:val="12"/>
              <w:snapToGrid w:val="0"/>
              <w:spacing w:line="360" w:lineRule="auto"/>
              <w:rPr>
                <w:rFonts w:hint="eastAsia" w:hAnsi="宋体" w:cs="宋体"/>
                <w:color w:val="auto"/>
                <w:sz w:val="21"/>
                <w:highlight w:val="none"/>
              </w:rPr>
            </w:pPr>
            <w:r>
              <w:rPr>
                <w:rFonts w:hint="eastAsia" w:hAnsi="宋体" w:cs="宋体"/>
                <w:color w:val="auto"/>
                <w:sz w:val="21"/>
                <w:highlight w:val="none"/>
              </w:rPr>
              <w:t>1、本文件中描述供应商的“公章”是指供应商通过指定电子化政府采购平台办理数字证书（CA认证）获得的以法定主体行为名称制作的电子印章。</w:t>
            </w:r>
          </w:p>
          <w:p>
            <w:pPr>
              <w:pStyle w:val="12"/>
              <w:snapToGrid w:val="0"/>
              <w:spacing w:line="360" w:lineRule="auto"/>
              <w:rPr>
                <w:rFonts w:hint="eastAsia" w:hAnsi="宋体" w:cs="宋体"/>
                <w:color w:val="auto"/>
                <w:sz w:val="21"/>
                <w:highlight w:val="none"/>
              </w:rPr>
            </w:pPr>
            <w:r>
              <w:rPr>
                <w:rFonts w:hint="eastAsia" w:hAnsi="宋体" w:cs="宋体"/>
                <w:color w:val="auto"/>
                <w:sz w:val="21"/>
                <w:highlight w:val="none"/>
              </w:rPr>
              <w:t>2、本文件中描述供应商的“签字”是指供应商通过指定电子化政府采购平台办理数字证书（CA认证）获得的以供应商法定代表人或者委托代理人姓名制作的电子印章或手写签字。</w:t>
            </w:r>
          </w:p>
          <w:p>
            <w:pPr>
              <w:pStyle w:val="12"/>
              <w:snapToGrid w:val="0"/>
              <w:spacing w:line="360" w:lineRule="auto"/>
              <w:rPr>
                <w:rFonts w:hint="eastAsia" w:hAnsi="宋体" w:cs="宋体"/>
                <w:color w:val="auto"/>
                <w:sz w:val="21"/>
                <w:highlight w:val="none"/>
              </w:rPr>
            </w:pPr>
            <w:r>
              <w:rPr>
                <w:rFonts w:hint="eastAsia" w:hAnsi="宋体" w:cs="宋体"/>
                <w:color w:val="auto"/>
                <w:sz w:val="21"/>
                <w:highlight w:val="none"/>
              </w:rPr>
              <w:t>3. 供应商须知前附表是对供应商须知的具体补充和修改，如有矛盾，应以本前附表为准。</w:t>
            </w:r>
          </w:p>
          <w:p>
            <w:pPr>
              <w:spacing w:line="360" w:lineRule="auto"/>
              <w:jc w:val="left"/>
              <w:rPr>
                <w:rFonts w:hint="eastAsia" w:ascii="宋体" w:hAnsi="宋体"/>
                <w:color w:val="auto"/>
                <w:szCs w:val="21"/>
                <w:highlight w:val="none"/>
              </w:rPr>
            </w:pPr>
            <w:r>
              <w:rPr>
                <w:rFonts w:hint="eastAsia" w:hAnsi="宋体" w:cs="宋体"/>
                <w:color w:val="auto"/>
                <w:sz w:val="21"/>
                <w:highlight w:val="none"/>
              </w:rPr>
              <w:t>4.本</w:t>
            </w:r>
            <w:r>
              <w:rPr>
                <w:rFonts w:hint="eastAsia" w:hAnsi="宋体" w:cs="宋体"/>
                <w:color w:val="auto"/>
                <w:sz w:val="21"/>
                <w:highlight w:val="none"/>
                <w:lang w:val="en-US" w:eastAsia="zh-CN"/>
              </w:rPr>
              <w:t>招标</w:t>
            </w:r>
            <w:r>
              <w:rPr>
                <w:rFonts w:hint="eastAsia" w:hAnsi="宋体" w:cs="宋体"/>
                <w:color w:val="auto"/>
                <w:sz w:val="21"/>
                <w:highlight w:val="none"/>
              </w:rPr>
              <w:t>文件是根据国家有关法律及有关政策、法规和参照国际惯例编制，解释权属采购代理机构。</w:t>
            </w:r>
          </w:p>
        </w:tc>
      </w:tr>
    </w:tbl>
    <w:p>
      <w:pPr>
        <w:snapToGrid w:val="0"/>
        <w:rPr>
          <w:rFonts w:hint="eastAsia" w:ascii="宋体" w:hAnsi="宋体"/>
          <w:color w:val="auto"/>
          <w:sz w:val="24"/>
          <w:szCs w:val="20"/>
          <w:highlight w:val="none"/>
        </w:rPr>
      </w:pPr>
    </w:p>
    <w:p>
      <w:pPr>
        <w:snapToGrid w:val="0"/>
        <w:rPr>
          <w:rFonts w:hint="eastAsia" w:ascii="宋体" w:hAnsi="宋体"/>
          <w:color w:val="auto"/>
          <w:sz w:val="24"/>
          <w:szCs w:val="20"/>
          <w:highlight w:val="none"/>
        </w:rPr>
      </w:pPr>
    </w:p>
    <w:p>
      <w:pPr>
        <w:pStyle w:val="4"/>
        <w:keepNext w:val="0"/>
        <w:keepLines w:val="0"/>
        <w:jc w:val="center"/>
        <w:rPr>
          <w:rFonts w:hint="eastAsia"/>
          <w:color w:val="auto"/>
          <w:highlight w:val="none"/>
        </w:rPr>
      </w:pPr>
      <w:r>
        <w:rPr>
          <w:color w:val="auto"/>
          <w:highlight w:val="none"/>
        </w:rPr>
        <w:br w:type="page"/>
      </w:r>
      <w:r>
        <w:rPr>
          <w:rFonts w:hint="eastAsia"/>
          <w:color w:val="auto"/>
          <w:highlight w:val="none"/>
        </w:rPr>
        <w:t>投标人须知正文</w:t>
      </w:r>
    </w:p>
    <w:p>
      <w:pPr>
        <w:pStyle w:val="4"/>
        <w:keepNext w:val="0"/>
        <w:keepLines w:val="0"/>
        <w:jc w:val="center"/>
        <w:rPr>
          <w:rFonts w:hint="eastAsia"/>
          <w:color w:val="auto"/>
          <w:highlight w:val="none"/>
        </w:rPr>
      </w:pPr>
      <w:r>
        <w:rPr>
          <w:rFonts w:hint="eastAsia"/>
          <w:color w:val="auto"/>
          <w:highlight w:val="none"/>
        </w:rPr>
        <w:t>一、总  则</w:t>
      </w:r>
    </w:p>
    <w:p>
      <w:pPr>
        <w:pStyle w:val="5"/>
        <w:keepNext w:val="0"/>
        <w:keepLines w:val="0"/>
        <w:spacing w:before="0" w:after="0" w:line="360" w:lineRule="auto"/>
        <w:ind w:left="420" w:leftChars="200"/>
        <w:rPr>
          <w:rFonts w:hint="eastAsia" w:ascii="黑体" w:hAnsi="黑体" w:eastAsia="黑体"/>
          <w:color w:val="auto"/>
          <w:sz w:val="24"/>
          <w:highlight w:val="none"/>
        </w:rPr>
      </w:pPr>
      <w:bookmarkStart w:id="86" w:name="_Toc254970668"/>
      <w:bookmarkStart w:id="87" w:name="_Toc254970527"/>
      <w:r>
        <w:rPr>
          <w:rFonts w:hint="eastAsia" w:ascii="黑体" w:hAnsi="黑体" w:eastAsia="黑体"/>
          <w:color w:val="auto"/>
          <w:sz w:val="24"/>
          <w:highlight w:val="none"/>
        </w:rPr>
        <w:t>1.适用范围</w:t>
      </w:r>
      <w:bookmarkEnd w:id="86"/>
      <w:bookmarkEnd w:id="87"/>
    </w:p>
    <w:p>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1.2本招标文件</w:t>
      </w:r>
      <w:r>
        <w:rPr>
          <w:rFonts w:hint="eastAsia" w:ascii="宋体" w:hAnsi="宋体" w:cs="宋体"/>
          <w:color w:val="auto"/>
          <w:spacing w:val="-6"/>
          <w:szCs w:val="21"/>
          <w:highlight w:val="none"/>
        </w:rPr>
        <w:t>适用于本项目的所有采购程序和环节（法律、法规另有规定的，从其规定）。</w:t>
      </w:r>
    </w:p>
    <w:p>
      <w:pPr>
        <w:pStyle w:val="5"/>
        <w:keepNext w:val="0"/>
        <w:keepLines w:val="0"/>
        <w:spacing w:before="0" w:after="0" w:line="360" w:lineRule="auto"/>
        <w:ind w:left="420" w:leftChars="200"/>
        <w:rPr>
          <w:rFonts w:hint="eastAsia" w:ascii="黑体" w:hAnsi="黑体" w:eastAsia="黑体"/>
          <w:color w:val="auto"/>
          <w:sz w:val="24"/>
          <w:highlight w:val="none"/>
        </w:rPr>
      </w:pPr>
      <w:bookmarkStart w:id="88" w:name="_Toc254970528"/>
      <w:bookmarkStart w:id="89" w:name="_Toc254970669"/>
      <w:r>
        <w:rPr>
          <w:rFonts w:hint="eastAsia" w:ascii="黑体" w:hAnsi="黑体" w:eastAsia="黑体"/>
          <w:color w:val="auto"/>
          <w:sz w:val="24"/>
          <w:highlight w:val="none"/>
        </w:rPr>
        <w:t>2.定义</w:t>
      </w:r>
      <w:bookmarkEnd w:id="88"/>
      <w:bookmarkEnd w:id="89"/>
    </w:p>
    <w:p>
      <w:pPr>
        <w:pStyle w:val="5"/>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2.1“采购人”是指依法进行政府采购的国家机关、事业单位、团体组织。</w:t>
      </w:r>
    </w:p>
    <w:p>
      <w:pPr>
        <w:pStyle w:val="5"/>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2.2“采购代理机构”是指政府采购集中采购机构和集中采购机构以外的采购代理机构。</w:t>
      </w:r>
    </w:p>
    <w:p>
      <w:pPr>
        <w:pStyle w:val="5"/>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2.3“供应商”是指向采购人提供货物、工程或者服务的法人、其他组织或者自然人。</w:t>
      </w:r>
    </w:p>
    <w:p>
      <w:pPr>
        <w:pStyle w:val="6"/>
        <w:spacing w:line="360" w:lineRule="auto"/>
        <w:rPr>
          <w:rFonts w:hint="eastAsia" w:ascii="宋体" w:hAnsi="宋体"/>
          <w:color w:val="auto"/>
          <w:szCs w:val="21"/>
          <w:highlight w:val="none"/>
        </w:rPr>
      </w:pPr>
      <w:r>
        <w:rPr>
          <w:rFonts w:hint="eastAsia" w:ascii="宋体" w:hAnsi="宋体"/>
          <w:color w:val="auto"/>
          <w:szCs w:val="21"/>
          <w:highlight w:val="none"/>
        </w:rPr>
        <w:t>2.4“投标人”是指响应招标、参加投标竞争的法人、其他组织或者自然人。</w:t>
      </w:r>
    </w:p>
    <w:p>
      <w:pPr>
        <w:pStyle w:val="5"/>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2.5“货物”是指各种形态和种类的物品，包括原材料、燃料、设备、产品等。</w:t>
      </w:r>
    </w:p>
    <w:p>
      <w:pPr>
        <w:pStyle w:val="5"/>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2.6“售后服务” 是指商品出售以后所提供的各种服务，包含但不限于投标人须承担的备品备件、包装、运输、装卸、保险、货到就位以及安装、调试、培训、保修以及其他各种服务。</w:t>
      </w:r>
    </w:p>
    <w:p>
      <w:pPr>
        <w:pStyle w:val="5"/>
        <w:keepNext w:val="0"/>
        <w:keepLines w:val="0"/>
        <w:spacing w:before="0" w:after="0" w:line="360" w:lineRule="auto"/>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2.7“书面形式”是指合同书、信件和数据电文（包括电报、电传、传真、电子数据交换和电子邮件）等可以有形地表现所载内容的形式。</w:t>
      </w:r>
    </w:p>
    <w:p>
      <w:pPr>
        <w:pStyle w:val="5"/>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2.8“实质性要求”是指招标文件中已经指明不满足则投标无效的条款，或者不能负偏离的条款，或者采购需求中带“▲”的条款</w:t>
      </w:r>
      <w:r>
        <w:rPr>
          <w:rFonts w:hint="eastAsia" w:ascii="宋体" w:hAnsi="宋体"/>
          <w:b w:val="0"/>
          <w:color w:val="auto"/>
          <w:sz w:val="21"/>
          <w:szCs w:val="21"/>
          <w:highlight w:val="none"/>
          <w:lang w:eastAsia="zh-CN"/>
        </w:rPr>
        <w:t>或者技术要求中带“★”的条款</w:t>
      </w:r>
      <w:r>
        <w:rPr>
          <w:rFonts w:hint="eastAsia" w:ascii="宋体" w:hAnsi="宋体"/>
          <w:b w:val="0"/>
          <w:color w:val="auto"/>
          <w:sz w:val="21"/>
          <w:szCs w:val="21"/>
          <w:highlight w:val="none"/>
        </w:rPr>
        <w:t>。</w:t>
      </w:r>
    </w:p>
    <w:p>
      <w:pPr>
        <w:snapToGrid w:val="0"/>
        <w:spacing w:line="360" w:lineRule="auto"/>
        <w:ind w:firstLine="420" w:firstLineChars="200"/>
        <w:jc w:val="left"/>
        <w:rPr>
          <w:rFonts w:ascii="宋体" w:hAnsi="宋体" w:cs="宋体"/>
          <w:color w:val="auto"/>
          <w:szCs w:val="21"/>
          <w:highlight w:val="none"/>
        </w:rPr>
      </w:pPr>
      <w:r>
        <w:rPr>
          <w:rFonts w:hint="eastAsia" w:ascii="宋体" w:hAnsi="宋体"/>
          <w:color w:val="auto"/>
          <w:szCs w:val="21"/>
          <w:highlight w:val="none"/>
        </w:rPr>
        <w:t xml:space="preserve">2.9 </w:t>
      </w:r>
      <w:r>
        <w:rPr>
          <w:rFonts w:hint="eastAsia" w:ascii="宋体" w:hAnsi="宋体" w:cs="宋体"/>
          <w:color w:val="auto"/>
          <w:szCs w:val="21"/>
          <w:highlight w:val="none"/>
        </w:rPr>
        <w:t>“正偏离”，是指投标文件对招标文件“采购需求”中有关条款作出的响应优于条款要求并有利于采购人的情形。</w:t>
      </w:r>
    </w:p>
    <w:p>
      <w:pPr>
        <w:snapToGrid w:val="0"/>
        <w:spacing w:line="360" w:lineRule="auto"/>
        <w:ind w:firstLine="420" w:firstLineChars="200"/>
        <w:jc w:val="left"/>
        <w:rPr>
          <w:rFonts w:ascii="宋体" w:hAnsi="宋体" w:cs="宋体"/>
          <w:color w:val="auto"/>
          <w:szCs w:val="21"/>
          <w:highlight w:val="none"/>
        </w:rPr>
      </w:pPr>
      <w:r>
        <w:rPr>
          <w:rFonts w:ascii="宋体" w:hAnsi="宋体" w:cs="宋体"/>
          <w:color w:val="auto"/>
          <w:szCs w:val="21"/>
          <w:highlight w:val="none"/>
        </w:rPr>
        <w:t>2.10</w:t>
      </w:r>
      <w:r>
        <w:rPr>
          <w:rFonts w:hint="eastAsia" w:ascii="宋体" w:hAnsi="宋体" w:cs="宋体"/>
          <w:color w:val="auto"/>
          <w:szCs w:val="21"/>
          <w:highlight w:val="none"/>
        </w:rPr>
        <w:t>“负偏离”，是指投标文件对招标文件“采购需求”中有关条款作出的响应不满足条款要求，导致采购人要求不能得到满足的情形。</w:t>
      </w:r>
    </w:p>
    <w:p>
      <w:pPr>
        <w:snapToGrid w:val="0"/>
        <w:spacing w:line="360" w:lineRule="auto"/>
        <w:ind w:firstLine="420" w:firstLineChars="200"/>
        <w:jc w:val="left"/>
        <w:rPr>
          <w:rFonts w:ascii="宋体" w:hAnsi="宋体" w:cs="宋体"/>
          <w:color w:val="auto"/>
          <w:szCs w:val="21"/>
          <w:highlight w:val="none"/>
        </w:rPr>
      </w:pPr>
      <w:r>
        <w:rPr>
          <w:rFonts w:hint="eastAsia" w:ascii="宋体" w:hAnsi="宋体"/>
          <w:color w:val="auto"/>
          <w:szCs w:val="21"/>
          <w:highlight w:val="none"/>
        </w:rPr>
        <w:t>2.1</w:t>
      </w:r>
      <w:r>
        <w:rPr>
          <w:rFonts w:ascii="宋体" w:hAnsi="宋体"/>
          <w:color w:val="auto"/>
          <w:szCs w:val="21"/>
          <w:highlight w:val="none"/>
        </w:rPr>
        <w:t>1</w:t>
      </w:r>
      <w:r>
        <w:rPr>
          <w:rFonts w:hint="eastAsia" w:ascii="宋体" w:hAnsi="宋体" w:cs="宋体"/>
          <w:color w:val="auto"/>
          <w:szCs w:val="21"/>
          <w:highlight w:val="none"/>
        </w:rPr>
        <w:t>“允许负偏离的条款”是指采购需求中的不属于“实质性要求”的条款。</w:t>
      </w:r>
      <w:bookmarkStart w:id="90" w:name="_Toc254970670"/>
      <w:bookmarkStart w:id="91" w:name="_Toc254970529"/>
    </w:p>
    <w:p>
      <w:pPr>
        <w:pStyle w:val="5"/>
        <w:keepNext w:val="0"/>
        <w:keepLines w:val="0"/>
        <w:spacing w:before="0" w:after="0" w:line="360" w:lineRule="auto"/>
        <w:ind w:left="420" w:leftChars="200"/>
        <w:rPr>
          <w:rFonts w:hint="eastAsia" w:ascii="黑体" w:hAnsi="黑体" w:eastAsia="黑体"/>
          <w:color w:val="auto"/>
          <w:sz w:val="24"/>
          <w:highlight w:val="none"/>
        </w:rPr>
      </w:pPr>
      <w:r>
        <w:rPr>
          <w:rFonts w:hint="eastAsia" w:ascii="宋体" w:hAnsi="宋体"/>
          <w:b w:val="0"/>
          <w:color w:val="auto"/>
          <w:sz w:val="21"/>
          <w:szCs w:val="21"/>
          <w:highlight w:val="none"/>
        </w:rPr>
        <w:t>▲</w:t>
      </w:r>
      <w:r>
        <w:rPr>
          <w:rFonts w:hint="eastAsia" w:ascii="黑体" w:hAnsi="黑体" w:eastAsia="黑体"/>
          <w:color w:val="auto"/>
          <w:sz w:val="24"/>
          <w:highlight w:val="none"/>
        </w:rPr>
        <w:t>3.</w:t>
      </w:r>
      <w:bookmarkEnd w:id="90"/>
      <w:bookmarkEnd w:id="91"/>
      <w:r>
        <w:rPr>
          <w:rFonts w:hint="eastAsia" w:ascii="黑体" w:hAnsi="黑体" w:eastAsia="黑体"/>
          <w:color w:val="auto"/>
          <w:sz w:val="24"/>
          <w:highlight w:val="none"/>
        </w:rPr>
        <w:t>投标人的资格要求</w:t>
      </w:r>
    </w:p>
    <w:p>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投标人的资格要求详见“投标人须知前附表”。</w:t>
      </w:r>
    </w:p>
    <w:p>
      <w:pPr>
        <w:pStyle w:val="5"/>
        <w:keepNext w:val="0"/>
        <w:keepLines w:val="0"/>
        <w:spacing w:before="0" w:after="0" w:line="360" w:lineRule="auto"/>
        <w:ind w:left="420" w:leftChars="200"/>
        <w:rPr>
          <w:rFonts w:hint="eastAsia" w:ascii="黑体" w:hAnsi="黑体" w:eastAsia="黑体"/>
          <w:color w:val="auto"/>
          <w:sz w:val="24"/>
          <w:highlight w:val="none"/>
        </w:rPr>
      </w:pPr>
      <w:bookmarkStart w:id="92" w:name="_Toc254970671"/>
      <w:bookmarkStart w:id="93" w:name="_Toc254970530"/>
      <w:r>
        <w:rPr>
          <w:rFonts w:hint="eastAsia" w:ascii="宋体" w:hAnsi="宋体"/>
          <w:b w:val="0"/>
          <w:color w:val="auto"/>
          <w:sz w:val="21"/>
          <w:szCs w:val="21"/>
          <w:highlight w:val="none"/>
        </w:rPr>
        <w:t>▲</w:t>
      </w:r>
      <w:r>
        <w:rPr>
          <w:rFonts w:hint="eastAsia" w:ascii="黑体" w:hAnsi="黑体" w:eastAsia="黑体"/>
          <w:color w:val="auto"/>
          <w:sz w:val="24"/>
          <w:highlight w:val="none"/>
        </w:rPr>
        <w:t>4.投标委托</w:t>
      </w:r>
      <w:bookmarkEnd w:id="92"/>
      <w:bookmarkEnd w:id="93"/>
    </w:p>
    <w:p>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投标人代表参加投标活动过程中必须携带个人有效身份证件。如投标人代表不是法定代表人，须持有授权委托书（按第六章要求格式填写）。</w:t>
      </w:r>
    </w:p>
    <w:p>
      <w:pPr>
        <w:pStyle w:val="5"/>
        <w:keepNext w:val="0"/>
        <w:keepLines w:val="0"/>
        <w:spacing w:before="0" w:after="0" w:line="360" w:lineRule="auto"/>
        <w:ind w:left="420" w:leftChars="200"/>
        <w:rPr>
          <w:rFonts w:hint="eastAsia" w:ascii="黑体" w:hAnsi="黑体" w:eastAsia="黑体"/>
          <w:color w:val="auto"/>
          <w:sz w:val="24"/>
          <w:highlight w:val="none"/>
        </w:rPr>
      </w:pPr>
      <w:bookmarkStart w:id="94" w:name="_5.投标费用"/>
      <w:bookmarkEnd w:id="94"/>
      <w:bookmarkStart w:id="95" w:name="_Toc254970531"/>
      <w:bookmarkStart w:id="96" w:name="_Toc254970672"/>
      <w:r>
        <w:rPr>
          <w:rFonts w:hint="eastAsia" w:ascii="宋体" w:hAnsi="宋体"/>
          <w:b w:val="0"/>
          <w:color w:val="auto"/>
          <w:sz w:val="21"/>
          <w:szCs w:val="21"/>
          <w:highlight w:val="none"/>
        </w:rPr>
        <w:t>▲</w:t>
      </w:r>
      <w:r>
        <w:rPr>
          <w:rFonts w:hint="eastAsia" w:ascii="黑体" w:hAnsi="黑体" w:eastAsia="黑体"/>
          <w:color w:val="auto"/>
          <w:sz w:val="24"/>
          <w:highlight w:val="none"/>
        </w:rPr>
        <w:t>5.投标费用</w:t>
      </w:r>
      <w:bookmarkEnd w:id="95"/>
      <w:bookmarkEnd w:id="96"/>
    </w:p>
    <w:p>
      <w:pPr>
        <w:snapToGrid w:val="0"/>
        <w:spacing w:line="360" w:lineRule="auto"/>
        <w:ind w:firstLine="420" w:firstLineChars="200"/>
        <w:jc w:val="left"/>
        <w:rPr>
          <w:rFonts w:hint="eastAsia" w:ascii="宋体" w:hAnsi="宋体"/>
          <w:color w:val="auto"/>
          <w:szCs w:val="21"/>
          <w:highlight w:val="none"/>
        </w:rPr>
      </w:pPr>
      <w:r>
        <w:rPr>
          <w:rFonts w:hint="eastAsia" w:ascii="宋体" w:hAnsi="宋体" w:cs="宋体"/>
          <w:color w:val="auto"/>
          <w:szCs w:val="21"/>
          <w:highlight w:val="none"/>
        </w:rPr>
        <w:t>投标费用：投标人应承担参与本次采购活动有关的所有费用，包括但不限于获取招标文件、勘查现场、编制和提交投标文件、参加澄清说明、签订合同等，不论投标结果如何，均应自行承担。</w:t>
      </w:r>
    </w:p>
    <w:p>
      <w:pPr>
        <w:pStyle w:val="5"/>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6.联合体投标</w:t>
      </w:r>
    </w:p>
    <w:p>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6.1本项目是否接受联合体投标，详见“投标人须知前附表”。</w:t>
      </w:r>
    </w:p>
    <w:p>
      <w:pPr>
        <w:snapToGrid w:val="0"/>
        <w:spacing w:line="360" w:lineRule="auto"/>
        <w:ind w:firstLine="420" w:firstLineChars="200"/>
        <w:jc w:val="left"/>
        <w:rPr>
          <w:rFonts w:ascii="宋体" w:hAnsi="宋体"/>
          <w:bCs/>
          <w:color w:val="auto"/>
          <w:szCs w:val="21"/>
          <w:highlight w:val="none"/>
        </w:rPr>
      </w:pPr>
      <w:r>
        <w:rPr>
          <w:rFonts w:hint="eastAsia" w:ascii="宋体" w:hAnsi="宋体"/>
          <w:bCs/>
          <w:color w:val="auto"/>
          <w:szCs w:val="21"/>
          <w:highlight w:val="none"/>
        </w:rPr>
        <w:t>6.2如接受联合体投标，联合体投标要求详见“投标人须知前附表”。</w:t>
      </w:r>
    </w:p>
    <w:p>
      <w:pPr>
        <w:pStyle w:val="5"/>
        <w:keepNext w:val="0"/>
        <w:keepLines w:val="0"/>
        <w:spacing w:before="0" w:after="0" w:line="360" w:lineRule="auto"/>
        <w:ind w:firstLine="424" w:firstLineChars="202"/>
        <w:rPr>
          <w:rFonts w:hint="eastAsia" w:ascii="黑体" w:hAnsi="黑体" w:eastAsia="黑体"/>
          <w:color w:val="auto"/>
          <w:sz w:val="24"/>
          <w:highlight w:val="none"/>
        </w:rPr>
      </w:pPr>
      <w:r>
        <w:rPr>
          <w:rFonts w:hint="eastAsia" w:ascii="宋体" w:hAnsi="宋体"/>
          <w:b w:val="0"/>
          <w:bCs/>
          <w:color w:val="auto"/>
          <w:sz w:val="21"/>
          <w:szCs w:val="21"/>
          <w:highlight w:val="none"/>
        </w:rPr>
        <w:t>6.3</w:t>
      </w:r>
      <w:r>
        <w:rPr>
          <w:rFonts w:ascii="宋体" w:hAnsi="宋体"/>
          <w:b w:val="0"/>
          <w:bCs/>
          <w:color w:val="auto"/>
          <w:sz w:val="21"/>
          <w:szCs w:val="21"/>
          <w:highlight w:val="none"/>
        </w:rPr>
        <w:t xml:space="preserve"> </w:t>
      </w:r>
      <w:bookmarkStart w:id="97" w:name="_Hlk65857072"/>
      <w:r>
        <w:rPr>
          <w:rFonts w:hint="eastAsia" w:ascii="宋体" w:hAnsi="宋体"/>
          <w:b w:val="0"/>
          <w:bCs/>
          <w:color w:val="auto"/>
          <w:sz w:val="21"/>
          <w:szCs w:val="21"/>
          <w:highlight w:val="none"/>
        </w:rPr>
        <w:t>根据《政府采购促进中小企业发展管理办法》（财库〔2020〕46号）第九条第二款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2%-3%的扣除，用扣除后的价格参加评审。</w:t>
      </w:r>
      <w:bookmarkEnd w:id="97"/>
    </w:p>
    <w:p>
      <w:pPr>
        <w:pStyle w:val="5"/>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 xml:space="preserve">7.转包与分包             </w:t>
      </w:r>
    </w:p>
    <w:p>
      <w:pPr>
        <w:pStyle w:val="5"/>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7.1本项目不允许转包。</w:t>
      </w:r>
    </w:p>
    <w:p>
      <w:pPr>
        <w:pStyle w:val="5"/>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pPr>
        <w:pStyle w:val="5"/>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pPr>
        <w:pStyle w:val="5"/>
        <w:keepNext w:val="0"/>
        <w:keepLines w:val="0"/>
        <w:spacing w:before="0" w:after="0" w:line="360" w:lineRule="auto"/>
        <w:ind w:left="420" w:leftChars="200"/>
        <w:rPr>
          <w:rFonts w:hint="eastAsia" w:ascii="黑体" w:hAnsi="黑体" w:eastAsia="黑体"/>
          <w:color w:val="auto"/>
          <w:sz w:val="24"/>
          <w:highlight w:val="none"/>
        </w:rPr>
      </w:pPr>
      <w:bookmarkStart w:id="98" w:name="_Toc254970673"/>
      <w:bookmarkStart w:id="99" w:name="_Toc254970532"/>
      <w:r>
        <w:rPr>
          <w:rFonts w:hint="eastAsia" w:ascii="黑体" w:hAnsi="黑体" w:eastAsia="黑体"/>
          <w:color w:val="auto"/>
          <w:sz w:val="24"/>
          <w:highlight w:val="none"/>
        </w:rPr>
        <w:t>8.特别说明</w:t>
      </w:r>
      <w:bookmarkEnd w:id="98"/>
      <w:bookmarkEnd w:id="99"/>
    </w:p>
    <w:p>
      <w:pPr>
        <w:pStyle w:val="5"/>
        <w:keepNext w:val="0"/>
        <w:keepLines w:val="0"/>
        <w:spacing w:before="0" w:after="0" w:line="360" w:lineRule="auto"/>
        <w:ind w:firstLine="420" w:firstLineChars="200"/>
        <w:rPr>
          <w:rFonts w:hint="eastAsia" w:ascii="宋体" w:hAnsi="宋体"/>
          <w:b w:val="0"/>
          <w:color w:val="auto"/>
          <w:sz w:val="21"/>
          <w:szCs w:val="21"/>
          <w:highlight w:val="none"/>
        </w:rPr>
      </w:pPr>
      <w:bookmarkStart w:id="100" w:name="_8.1提供相同品牌产品且通过资格审查、符合性审查的不同投标人参加同一合"/>
      <w:bookmarkEnd w:id="100"/>
      <w:r>
        <w:rPr>
          <w:rFonts w:ascii="宋体" w:hAnsi="宋体"/>
          <w:b w:val="0"/>
          <w:color w:val="auto"/>
          <w:sz w:val="21"/>
          <w:szCs w:val="21"/>
          <w:highlight w:val="none"/>
        </w:rPr>
        <w:fldChar w:fldCharType="begin"/>
      </w:r>
      <w:r>
        <w:rPr>
          <w:rFonts w:ascii="宋体" w:hAnsi="宋体"/>
          <w:b w:val="0"/>
          <w:color w:val="auto"/>
          <w:sz w:val="21"/>
          <w:szCs w:val="21"/>
          <w:highlight w:val="none"/>
        </w:rPr>
        <w:instrText xml:space="preserve"> HYPERLINK  \l "_8.1" </w:instrText>
      </w:r>
      <w:r>
        <w:rPr>
          <w:rFonts w:ascii="宋体" w:hAnsi="宋体"/>
          <w:b w:val="0"/>
          <w:color w:val="auto"/>
          <w:sz w:val="21"/>
          <w:szCs w:val="21"/>
          <w:highlight w:val="none"/>
        </w:rPr>
        <w:fldChar w:fldCharType="separate"/>
      </w:r>
      <w:r>
        <w:rPr>
          <w:rFonts w:hint="eastAsia" w:ascii="宋体" w:hAnsi="宋体"/>
          <w:b w:val="0"/>
          <w:color w:val="auto"/>
          <w:sz w:val="21"/>
          <w:szCs w:val="21"/>
          <w:highlight w:val="none"/>
        </w:rPr>
        <w:t>8.1</w:t>
      </w:r>
      <w:r>
        <w:rPr>
          <w:rFonts w:ascii="宋体" w:hAnsi="宋体"/>
          <w:b w:val="0"/>
          <w:color w:val="auto"/>
          <w:sz w:val="21"/>
          <w:szCs w:val="21"/>
          <w:highlight w:val="none"/>
        </w:rPr>
        <w:fldChar w:fldCharType="end"/>
      </w:r>
      <w:r>
        <w:rPr>
          <w:rFonts w:hint="eastAsia" w:ascii="宋体" w:hAnsi="宋体"/>
          <w:b w:val="0"/>
          <w:color w:val="auto"/>
          <w:sz w:val="21"/>
          <w:szCs w:val="21"/>
          <w:highlight w:val="none"/>
        </w:rPr>
        <w:t>采用最低评标价法的采购项目，提供相同品牌产品的不同投标人参加同一合同项下投标的，以其中通过资格审查、符合性审查且报价最低的参加评标；报价相同的，由采购人或者采购人委托评标委员会按照“投标人须知前附表”规定的方式确定一个参加评标的投标人，</w:t>
      </w:r>
      <w:r>
        <w:rPr>
          <w:rFonts w:hint="eastAsia" w:ascii="宋体" w:hAnsi="宋体"/>
          <w:color w:val="auto"/>
          <w:sz w:val="22"/>
          <w:szCs w:val="22"/>
          <w:highlight w:val="none"/>
        </w:rPr>
        <w:t>其他投标无效。</w:t>
      </w:r>
    </w:p>
    <w:p>
      <w:pPr>
        <w:pStyle w:val="5"/>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其他同品牌投标人不作为中标候选人。</w:t>
      </w:r>
    </w:p>
    <w:p>
      <w:pPr>
        <w:pStyle w:val="12"/>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非单一产品采购项目，多家投标人提供的核心产品品牌相同的，</w:t>
      </w:r>
      <w:r>
        <w:rPr>
          <w:rFonts w:hint="eastAsia" w:hAnsi="宋体"/>
          <w:color w:val="auto"/>
          <w:sz w:val="22"/>
          <w:szCs w:val="22"/>
          <w:highlight w:val="none"/>
        </w:rPr>
        <w:t>按前两款规定处理</w:t>
      </w:r>
      <w:r>
        <w:rPr>
          <w:rFonts w:hint="eastAsia" w:hAnsi="宋体"/>
          <w:color w:val="auto"/>
          <w:kern w:val="2"/>
          <w:sz w:val="21"/>
          <w:highlight w:val="none"/>
        </w:rPr>
        <w:t>。</w:t>
      </w:r>
    </w:p>
    <w:p>
      <w:pPr>
        <w:pStyle w:val="5"/>
        <w:keepNext w:val="0"/>
        <w:keepLines w:val="0"/>
        <w:spacing w:before="0" w:after="0" w:line="360" w:lineRule="auto"/>
        <w:ind w:firstLine="367" w:firstLineChars="175"/>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8.2如果本招标文件要求提供投标人或制造商的资格、信誉、荣誉、业绩与企业认证等材料的，资格、信誉、荣誉、业绩与企业认证等必须为投标人或者制造商所拥有或自身获得 。</w:t>
      </w:r>
    </w:p>
    <w:p>
      <w:pPr>
        <w:pStyle w:val="5"/>
        <w:keepNext w:val="0"/>
        <w:keepLines w:val="0"/>
        <w:spacing w:before="0" w:after="0" w:line="360" w:lineRule="auto"/>
        <w:ind w:firstLine="367" w:firstLineChars="175"/>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8.3投标人应仔细阅读招标文件的所有内容，按照招标文件的要求提交投标文件，并对所提供的全部资料的真实性承担法律责任。</w:t>
      </w:r>
    </w:p>
    <w:p>
      <w:pPr>
        <w:pStyle w:val="5"/>
        <w:keepNext w:val="0"/>
        <w:keepLines w:val="0"/>
        <w:spacing w:before="0" w:after="0" w:line="360" w:lineRule="auto"/>
        <w:ind w:firstLine="367" w:firstLineChars="175"/>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8.4投标人在投标活动中提供任何虚假材料，将报监管部门查处；中标后发现的，中标人须依照《中华人民共和国消费者权益保护法》规定赔偿采购人，且民事赔偿并不免除违法投标人的行政与刑事责任。</w:t>
      </w:r>
    </w:p>
    <w:p>
      <w:pPr>
        <w:pStyle w:val="5"/>
        <w:keepNext w:val="0"/>
        <w:keepLines w:val="0"/>
        <w:spacing w:before="0" w:after="0" w:line="360" w:lineRule="auto"/>
        <w:ind w:left="420" w:leftChars="200"/>
        <w:rPr>
          <w:rFonts w:ascii="黑体" w:hAnsi="黑体" w:eastAsia="黑体"/>
          <w:color w:val="auto"/>
          <w:sz w:val="24"/>
          <w:highlight w:val="none"/>
        </w:rPr>
      </w:pPr>
      <w:r>
        <w:rPr>
          <w:rFonts w:ascii="黑体" w:hAnsi="黑体" w:eastAsia="黑体"/>
          <w:color w:val="auto"/>
          <w:sz w:val="24"/>
          <w:highlight w:val="none"/>
        </w:rPr>
        <w:t>9.</w:t>
      </w:r>
      <w:r>
        <w:rPr>
          <w:rFonts w:hint="eastAsia" w:ascii="黑体" w:hAnsi="黑体" w:eastAsia="黑体"/>
          <w:color w:val="auto"/>
          <w:sz w:val="24"/>
          <w:highlight w:val="none"/>
        </w:rPr>
        <w:t>回避与串通投标</w:t>
      </w:r>
    </w:p>
    <w:p>
      <w:pPr>
        <w:pStyle w:val="5"/>
        <w:keepNext w:val="0"/>
        <w:keepLines w:val="0"/>
        <w:spacing w:before="0" w:after="0" w:line="360" w:lineRule="auto"/>
        <w:ind w:firstLine="367" w:firstLineChars="175"/>
        <w:rPr>
          <w:rFonts w:ascii="宋体" w:hAnsi="宋体"/>
          <w:b w:val="0"/>
          <w:color w:val="auto"/>
          <w:sz w:val="21"/>
          <w:szCs w:val="21"/>
          <w:highlight w:val="none"/>
        </w:rPr>
      </w:pPr>
      <w:r>
        <w:rPr>
          <w:rFonts w:hint="eastAsia" w:ascii="宋体" w:hAnsi="宋体"/>
          <w:b w:val="0"/>
          <w:color w:val="auto"/>
          <w:sz w:val="21"/>
          <w:szCs w:val="21"/>
          <w:highlight w:val="none"/>
        </w:rPr>
        <w:t>9</w:t>
      </w:r>
      <w:r>
        <w:rPr>
          <w:rFonts w:ascii="宋体" w:hAnsi="宋体"/>
          <w:b w:val="0"/>
          <w:color w:val="auto"/>
          <w:sz w:val="21"/>
          <w:szCs w:val="21"/>
          <w:highlight w:val="none"/>
        </w:rPr>
        <w:t>.1在政府采购活动中，采购人员及相关人员与</w:t>
      </w:r>
      <w:r>
        <w:rPr>
          <w:rFonts w:hint="eastAsia" w:ascii="宋体" w:hAnsi="宋体"/>
          <w:b w:val="0"/>
          <w:color w:val="auto"/>
          <w:sz w:val="21"/>
          <w:szCs w:val="21"/>
          <w:highlight w:val="none"/>
        </w:rPr>
        <w:t>供应商</w:t>
      </w:r>
      <w:r>
        <w:rPr>
          <w:rFonts w:ascii="宋体" w:hAnsi="宋体"/>
          <w:b w:val="0"/>
          <w:color w:val="auto"/>
          <w:sz w:val="21"/>
          <w:szCs w:val="21"/>
          <w:highlight w:val="none"/>
        </w:rPr>
        <w:t>有下列利害关系之一的，应当回避：</w:t>
      </w:r>
    </w:p>
    <w:p>
      <w:pPr>
        <w:pStyle w:val="12"/>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1</w:t>
      </w:r>
      <w:r>
        <w:rPr>
          <w:rFonts w:hAnsi="宋体"/>
          <w:color w:val="auto"/>
          <w:kern w:val="2"/>
          <w:sz w:val="21"/>
          <w:highlight w:val="none"/>
        </w:rPr>
        <w:t>）参加采购活动前3年内与</w:t>
      </w:r>
      <w:r>
        <w:rPr>
          <w:rFonts w:hint="eastAsia" w:hAnsi="宋体"/>
          <w:color w:val="auto"/>
          <w:kern w:val="2"/>
          <w:sz w:val="21"/>
          <w:highlight w:val="none"/>
        </w:rPr>
        <w:t>供应商</w:t>
      </w:r>
      <w:r>
        <w:rPr>
          <w:rFonts w:hAnsi="宋体"/>
          <w:color w:val="auto"/>
          <w:kern w:val="2"/>
          <w:sz w:val="21"/>
          <w:highlight w:val="none"/>
        </w:rPr>
        <w:t>存在劳动关系；</w:t>
      </w:r>
    </w:p>
    <w:p>
      <w:pPr>
        <w:pStyle w:val="12"/>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2</w:t>
      </w:r>
      <w:r>
        <w:rPr>
          <w:rFonts w:hAnsi="宋体"/>
          <w:color w:val="auto"/>
          <w:kern w:val="2"/>
          <w:sz w:val="21"/>
          <w:highlight w:val="none"/>
        </w:rPr>
        <w:t>）参加采购活动前3年内担任</w:t>
      </w:r>
      <w:r>
        <w:rPr>
          <w:rFonts w:hint="eastAsia" w:hAnsi="宋体"/>
          <w:color w:val="auto"/>
          <w:kern w:val="2"/>
          <w:sz w:val="21"/>
          <w:highlight w:val="none"/>
        </w:rPr>
        <w:t>供应商</w:t>
      </w:r>
      <w:r>
        <w:rPr>
          <w:rFonts w:hAnsi="宋体"/>
          <w:color w:val="auto"/>
          <w:kern w:val="2"/>
          <w:sz w:val="21"/>
          <w:highlight w:val="none"/>
        </w:rPr>
        <w:t>的董事、监事；</w:t>
      </w:r>
    </w:p>
    <w:p>
      <w:pPr>
        <w:pStyle w:val="12"/>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3</w:t>
      </w:r>
      <w:r>
        <w:rPr>
          <w:rFonts w:hAnsi="宋体"/>
          <w:color w:val="auto"/>
          <w:kern w:val="2"/>
          <w:sz w:val="21"/>
          <w:highlight w:val="none"/>
        </w:rPr>
        <w:t>）参加采购活动前3年内是</w:t>
      </w:r>
      <w:r>
        <w:rPr>
          <w:rFonts w:hint="eastAsia" w:hAnsi="宋体"/>
          <w:color w:val="auto"/>
          <w:kern w:val="2"/>
          <w:sz w:val="21"/>
          <w:highlight w:val="none"/>
        </w:rPr>
        <w:t>供应商</w:t>
      </w:r>
      <w:r>
        <w:rPr>
          <w:rFonts w:hAnsi="宋体"/>
          <w:color w:val="auto"/>
          <w:kern w:val="2"/>
          <w:sz w:val="21"/>
          <w:highlight w:val="none"/>
        </w:rPr>
        <w:t>的控股股东或者实际控制人；</w:t>
      </w:r>
    </w:p>
    <w:p>
      <w:pPr>
        <w:pStyle w:val="12"/>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4</w:t>
      </w:r>
      <w:r>
        <w:rPr>
          <w:rFonts w:hAnsi="宋体"/>
          <w:color w:val="auto"/>
          <w:kern w:val="2"/>
          <w:sz w:val="21"/>
          <w:highlight w:val="none"/>
        </w:rPr>
        <w:t>）与</w:t>
      </w:r>
      <w:r>
        <w:rPr>
          <w:rFonts w:hint="eastAsia" w:hAnsi="宋体"/>
          <w:color w:val="auto"/>
          <w:kern w:val="2"/>
          <w:sz w:val="21"/>
          <w:highlight w:val="none"/>
        </w:rPr>
        <w:t>供应商</w:t>
      </w:r>
      <w:r>
        <w:rPr>
          <w:rFonts w:hAnsi="宋体"/>
          <w:color w:val="auto"/>
          <w:kern w:val="2"/>
          <w:sz w:val="21"/>
          <w:highlight w:val="none"/>
        </w:rPr>
        <w:t>的法定代表人或者负责人有夫妻、直系血亲、三代以内旁系血亲或者近姻亲关系；</w:t>
      </w:r>
    </w:p>
    <w:p>
      <w:pPr>
        <w:pStyle w:val="12"/>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5</w:t>
      </w:r>
      <w:r>
        <w:rPr>
          <w:rFonts w:hAnsi="宋体"/>
          <w:color w:val="auto"/>
          <w:kern w:val="2"/>
          <w:sz w:val="21"/>
          <w:highlight w:val="none"/>
        </w:rPr>
        <w:t>）与</w:t>
      </w:r>
      <w:r>
        <w:rPr>
          <w:rFonts w:hint="eastAsia" w:hAnsi="宋体"/>
          <w:color w:val="auto"/>
          <w:kern w:val="2"/>
          <w:sz w:val="21"/>
          <w:highlight w:val="none"/>
        </w:rPr>
        <w:t>供应商</w:t>
      </w:r>
      <w:r>
        <w:rPr>
          <w:rFonts w:hAnsi="宋体"/>
          <w:color w:val="auto"/>
          <w:kern w:val="2"/>
          <w:sz w:val="21"/>
          <w:highlight w:val="none"/>
        </w:rPr>
        <w:t>有其他可能影响政府采购活动公平、公正进行的关系。</w:t>
      </w:r>
    </w:p>
    <w:p>
      <w:pPr>
        <w:pStyle w:val="12"/>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供应商</w:t>
      </w:r>
      <w:r>
        <w:rPr>
          <w:rFonts w:hAnsi="宋体"/>
          <w:color w:val="auto"/>
          <w:kern w:val="2"/>
          <w:sz w:val="21"/>
          <w:highlight w:val="none"/>
        </w:rPr>
        <w:t>认为采购人员及相关人员与其他</w:t>
      </w:r>
      <w:r>
        <w:rPr>
          <w:rFonts w:hint="eastAsia" w:hAnsi="宋体"/>
          <w:color w:val="auto"/>
          <w:kern w:val="2"/>
          <w:sz w:val="21"/>
          <w:highlight w:val="none"/>
        </w:rPr>
        <w:t>供应商</w:t>
      </w:r>
      <w:r>
        <w:rPr>
          <w:rFonts w:hAnsi="宋体"/>
          <w:color w:val="auto"/>
          <w:kern w:val="2"/>
          <w:sz w:val="21"/>
          <w:highlight w:val="none"/>
        </w:rPr>
        <w:t>有利害关系的，可以向采购人或者采购代理机构书面提出回避申请，并说明理由。采购人或者采购代理机构应当及时询问被申请回避人员，有利害关系的被申请回避人员应当回避。</w:t>
      </w:r>
    </w:p>
    <w:p>
      <w:pPr>
        <w:pStyle w:val="5"/>
        <w:keepNext w:val="0"/>
        <w:keepLines w:val="0"/>
        <w:spacing w:before="0" w:after="0" w:line="360" w:lineRule="auto"/>
        <w:ind w:left="420" w:leftChars="200"/>
        <w:rPr>
          <w:rFonts w:hint="eastAsia" w:ascii="宋体" w:hAnsi="宋体"/>
          <w:color w:val="auto"/>
          <w:sz w:val="21"/>
          <w:szCs w:val="21"/>
          <w:highlight w:val="none"/>
        </w:rPr>
      </w:pPr>
      <w:r>
        <w:rPr>
          <w:rFonts w:ascii="宋体" w:hAnsi="宋体"/>
          <w:color w:val="auto"/>
          <w:sz w:val="21"/>
          <w:szCs w:val="21"/>
          <w:highlight w:val="none"/>
        </w:rPr>
        <w:t>9.2</w:t>
      </w:r>
      <w:r>
        <w:rPr>
          <w:rFonts w:hint="eastAsia" w:ascii="宋体" w:hAnsi="宋体"/>
          <w:color w:val="auto"/>
          <w:sz w:val="21"/>
          <w:szCs w:val="21"/>
          <w:highlight w:val="none"/>
        </w:rPr>
        <w:t>有下列情形之一的视为投标人相互串通投标，投标文件将被视为无效：</w:t>
      </w:r>
    </w:p>
    <w:p>
      <w:pPr>
        <w:pStyle w:val="12"/>
        <w:snapToGrid w:val="0"/>
        <w:spacing w:line="360" w:lineRule="auto"/>
        <w:ind w:left="2" w:leftChars="1" w:firstLine="422" w:firstLineChars="200"/>
        <w:rPr>
          <w:rFonts w:hint="eastAsia" w:hAnsi="宋体"/>
          <w:b/>
          <w:color w:val="auto"/>
          <w:kern w:val="2"/>
          <w:sz w:val="21"/>
          <w:highlight w:val="none"/>
        </w:rPr>
      </w:pPr>
      <w:r>
        <w:rPr>
          <w:rFonts w:hint="eastAsia" w:hAnsi="宋体"/>
          <w:b/>
          <w:color w:val="auto"/>
          <w:kern w:val="2"/>
          <w:sz w:val="21"/>
          <w:highlight w:val="none"/>
        </w:rPr>
        <w:t xml:space="preserve">（1）不同投标人的投标文件由同一单位或者个人编制； </w:t>
      </w:r>
    </w:p>
    <w:p>
      <w:pPr>
        <w:pStyle w:val="12"/>
        <w:snapToGrid w:val="0"/>
        <w:spacing w:line="360" w:lineRule="auto"/>
        <w:ind w:left="2" w:leftChars="1" w:firstLine="422" w:firstLineChars="200"/>
        <w:rPr>
          <w:rFonts w:hint="eastAsia" w:hAnsi="宋体"/>
          <w:b/>
          <w:color w:val="auto"/>
          <w:kern w:val="2"/>
          <w:sz w:val="21"/>
          <w:highlight w:val="none"/>
        </w:rPr>
      </w:pPr>
      <w:r>
        <w:rPr>
          <w:rFonts w:hint="eastAsia" w:hAnsi="宋体"/>
          <w:b/>
          <w:color w:val="auto"/>
          <w:kern w:val="2"/>
          <w:sz w:val="21"/>
          <w:highlight w:val="none"/>
        </w:rPr>
        <w:t>（2）不同投标人委托同一单位或者个人办理投标事宜；</w:t>
      </w:r>
    </w:p>
    <w:p>
      <w:pPr>
        <w:pStyle w:val="12"/>
        <w:snapToGrid w:val="0"/>
        <w:spacing w:line="360" w:lineRule="auto"/>
        <w:ind w:left="2" w:leftChars="1" w:firstLine="422" w:firstLineChars="200"/>
        <w:rPr>
          <w:rFonts w:hint="eastAsia" w:hAnsi="宋体"/>
          <w:b/>
          <w:color w:val="auto"/>
          <w:kern w:val="2"/>
          <w:sz w:val="21"/>
          <w:highlight w:val="none"/>
        </w:rPr>
      </w:pPr>
      <w:r>
        <w:rPr>
          <w:rFonts w:hint="eastAsia" w:hAnsi="宋体"/>
          <w:b/>
          <w:color w:val="auto"/>
          <w:kern w:val="2"/>
          <w:sz w:val="21"/>
          <w:highlight w:val="none"/>
        </w:rPr>
        <w:t>（3）不同的投标人的投标文件载明的项目管理员为同一个人；</w:t>
      </w:r>
    </w:p>
    <w:p>
      <w:pPr>
        <w:pStyle w:val="12"/>
        <w:snapToGrid w:val="0"/>
        <w:spacing w:line="360" w:lineRule="auto"/>
        <w:ind w:left="2" w:leftChars="1" w:firstLine="422" w:firstLineChars="200"/>
        <w:rPr>
          <w:rFonts w:hint="eastAsia" w:hAnsi="宋体"/>
          <w:b/>
          <w:color w:val="auto"/>
          <w:kern w:val="2"/>
          <w:sz w:val="21"/>
          <w:highlight w:val="none"/>
        </w:rPr>
      </w:pPr>
      <w:r>
        <w:rPr>
          <w:rFonts w:hint="eastAsia" w:hAnsi="宋体"/>
          <w:b/>
          <w:color w:val="auto"/>
          <w:kern w:val="2"/>
          <w:sz w:val="21"/>
          <w:highlight w:val="none"/>
        </w:rPr>
        <w:t>（4）不同投标人的投标文件异常一致或者投标报价呈规律性差异；</w:t>
      </w:r>
    </w:p>
    <w:p>
      <w:pPr>
        <w:pStyle w:val="12"/>
        <w:snapToGrid w:val="0"/>
        <w:spacing w:line="360" w:lineRule="auto"/>
        <w:ind w:left="2" w:leftChars="1" w:firstLine="422" w:firstLineChars="200"/>
        <w:rPr>
          <w:rFonts w:hint="eastAsia" w:hAnsi="宋体"/>
          <w:b/>
          <w:color w:val="auto"/>
          <w:kern w:val="2"/>
          <w:sz w:val="21"/>
          <w:highlight w:val="none"/>
        </w:rPr>
      </w:pPr>
      <w:r>
        <w:rPr>
          <w:rFonts w:hint="eastAsia" w:hAnsi="宋体"/>
          <w:b/>
          <w:color w:val="auto"/>
          <w:kern w:val="2"/>
          <w:sz w:val="21"/>
          <w:highlight w:val="none"/>
        </w:rPr>
        <w:t>（5）不同投标人的投标文件相互混装；</w:t>
      </w:r>
    </w:p>
    <w:p>
      <w:pPr>
        <w:pStyle w:val="12"/>
        <w:snapToGrid w:val="0"/>
        <w:spacing w:line="360" w:lineRule="auto"/>
        <w:ind w:left="2" w:leftChars="1" w:firstLine="422" w:firstLineChars="200"/>
        <w:rPr>
          <w:rFonts w:hint="eastAsia" w:hAnsi="宋体"/>
          <w:b/>
          <w:color w:val="auto"/>
          <w:kern w:val="2"/>
          <w:sz w:val="21"/>
          <w:highlight w:val="none"/>
        </w:rPr>
      </w:pPr>
      <w:r>
        <w:rPr>
          <w:rFonts w:hint="eastAsia" w:hAnsi="宋体"/>
          <w:b/>
          <w:color w:val="auto"/>
          <w:kern w:val="2"/>
          <w:sz w:val="21"/>
          <w:highlight w:val="none"/>
        </w:rPr>
        <w:t>（6）不同投标人的投标保证金从同一单位或者个人账户转出。</w:t>
      </w:r>
    </w:p>
    <w:p>
      <w:pPr>
        <w:pStyle w:val="5"/>
        <w:keepNext w:val="0"/>
        <w:keepLines w:val="0"/>
        <w:spacing w:before="0" w:after="0" w:line="360" w:lineRule="auto"/>
        <w:ind w:left="420" w:leftChars="200"/>
        <w:rPr>
          <w:rFonts w:hint="eastAsia" w:ascii="宋体" w:hAnsi="宋体"/>
          <w:b w:val="0"/>
          <w:color w:val="auto"/>
          <w:sz w:val="21"/>
          <w:szCs w:val="21"/>
          <w:highlight w:val="none"/>
        </w:rPr>
      </w:pPr>
      <w:r>
        <w:rPr>
          <w:rFonts w:ascii="宋体" w:hAnsi="宋体"/>
          <w:b w:val="0"/>
          <w:color w:val="auto"/>
          <w:sz w:val="21"/>
          <w:szCs w:val="21"/>
          <w:highlight w:val="none"/>
        </w:rPr>
        <w:t>9.3</w:t>
      </w:r>
      <w:r>
        <w:rPr>
          <w:rFonts w:hint="eastAsia" w:ascii="宋体" w:hAnsi="宋体"/>
          <w:b w:val="0"/>
          <w:color w:val="auto"/>
          <w:sz w:val="21"/>
          <w:szCs w:val="21"/>
          <w:highlight w:val="none"/>
        </w:rPr>
        <w:t>供应商有下列情形之一的，属于恶意串通行为，将报同级监督管理部门：</w:t>
      </w:r>
    </w:p>
    <w:p>
      <w:pPr>
        <w:pStyle w:val="12"/>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（1）供应商直接或者间接从采购人或者采购代理机构处获得其他供应商的相关信息并修改其投标文件或者响应文件；</w:t>
      </w:r>
    </w:p>
    <w:p>
      <w:pPr>
        <w:pStyle w:val="12"/>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（2）供应商按照采购人或者采购代理机构的授意撤换、修改投标文件或者响应文件；</w:t>
      </w:r>
    </w:p>
    <w:p>
      <w:pPr>
        <w:pStyle w:val="12"/>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（3）供应商之间协商报价、技术方案等投标文件或者响应文件的实质性内容；</w:t>
      </w:r>
    </w:p>
    <w:p>
      <w:pPr>
        <w:pStyle w:val="12"/>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（4）属于同一集团、协会、商会等组织成员的供应商按照该组织要求协同参加政府采购活动；</w:t>
      </w:r>
    </w:p>
    <w:p>
      <w:pPr>
        <w:pStyle w:val="12"/>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（5）供应商之间事先约定一致抬高或者压低投标报价，或者在招标项目中事先约定轮流以高价位或者低价位中标，或者事先约定由某一特定供应商中标，然后再参加投标；</w:t>
      </w:r>
    </w:p>
    <w:p>
      <w:pPr>
        <w:pStyle w:val="12"/>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（6）供应商之间商定部分供应商放弃参加政府采购活动或者放弃中标；</w:t>
      </w:r>
    </w:p>
    <w:p>
      <w:pPr>
        <w:pStyle w:val="12"/>
        <w:snapToGrid w:val="0"/>
        <w:spacing w:line="360" w:lineRule="auto"/>
        <w:ind w:left="2" w:leftChars="1" w:firstLine="420" w:firstLineChars="200"/>
        <w:rPr>
          <w:rFonts w:hAnsi="宋体"/>
          <w:color w:val="auto"/>
          <w:kern w:val="2"/>
          <w:sz w:val="21"/>
          <w:highlight w:val="none"/>
        </w:rPr>
      </w:pPr>
      <w:r>
        <w:rPr>
          <w:rFonts w:hint="eastAsia" w:hAnsi="宋体"/>
          <w:color w:val="auto"/>
          <w:kern w:val="2"/>
          <w:sz w:val="21"/>
          <w:highlight w:val="none"/>
        </w:rPr>
        <w:t>（7）供应商与采购人或者采购代理机构之间、供应商相互之间，为谋求特定供应商中标或者排斥其他供应商的其他串通行为。</w:t>
      </w:r>
    </w:p>
    <w:p>
      <w:pPr>
        <w:pStyle w:val="12"/>
        <w:snapToGrid w:val="0"/>
        <w:spacing w:line="360" w:lineRule="auto"/>
        <w:ind w:left="2" w:leftChars="1" w:firstLine="422" w:firstLineChars="200"/>
        <w:rPr>
          <w:rFonts w:hint="eastAsia" w:hAnsi="宋体"/>
          <w:b/>
          <w:color w:val="auto"/>
          <w:kern w:val="2"/>
          <w:sz w:val="21"/>
          <w:highlight w:val="none"/>
        </w:rPr>
      </w:pPr>
    </w:p>
    <w:p>
      <w:pPr>
        <w:pStyle w:val="12"/>
        <w:snapToGrid w:val="0"/>
        <w:spacing w:line="360" w:lineRule="auto"/>
        <w:ind w:left="2" w:leftChars="1" w:firstLine="422" w:firstLineChars="200"/>
        <w:rPr>
          <w:rFonts w:hint="eastAsia" w:hAnsi="宋体"/>
          <w:b/>
          <w:color w:val="auto"/>
          <w:kern w:val="2"/>
          <w:sz w:val="21"/>
          <w:highlight w:val="none"/>
        </w:rPr>
      </w:pPr>
    </w:p>
    <w:p>
      <w:pPr>
        <w:pStyle w:val="4"/>
        <w:keepNext w:val="0"/>
        <w:keepLines w:val="0"/>
        <w:jc w:val="center"/>
        <w:rPr>
          <w:rFonts w:hint="eastAsia"/>
          <w:color w:val="auto"/>
          <w:highlight w:val="none"/>
        </w:rPr>
      </w:pPr>
      <w:bookmarkStart w:id="101" w:name="_Toc254970675"/>
      <w:bookmarkStart w:id="102" w:name="_Toc254970534"/>
      <w:r>
        <w:rPr>
          <w:rFonts w:hint="eastAsia"/>
          <w:color w:val="auto"/>
          <w:highlight w:val="none"/>
        </w:rPr>
        <w:t>二、招标文件</w:t>
      </w:r>
      <w:bookmarkEnd w:id="101"/>
      <w:bookmarkEnd w:id="102"/>
    </w:p>
    <w:p>
      <w:pPr>
        <w:pStyle w:val="5"/>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10.招标文件的组成</w:t>
      </w:r>
    </w:p>
    <w:p>
      <w:pPr>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（1）招标公告；</w:t>
      </w:r>
    </w:p>
    <w:p>
      <w:pPr>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 xml:space="preserve">（2）采购需求； </w:t>
      </w:r>
    </w:p>
    <w:p>
      <w:pPr>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（3）投标人须知；</w:t>
      </w:r>
    </w:p>
    <w:p>
      <w:pPr>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（4）评标方法及评标标准；</w:t>
      </w:r>
    </w:p>
    <w:p>
      <w:pPr>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（5）拟签订的合同文本；</w:t>
      </w:r>
    </w:p>
    <w:p>
      <w:pPr>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（6）投标文件格式。</w:t>
      </w:r>
    </w:p>
    <w:p>
      <w:pPr>
        <w:pStyle w:val="5"/>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11.招标文件的澄清、修改 、现场考察和答疑会</w:t>
      </w:r>
    </w:p>
    <w:p>
      <w:pPr>
        <w:pStyle w:val="5"/>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pPr>
        <w:pStyle w:val="12"/>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r>
        <w:rPr>
          <w:rFonts w:hAnsi="宋体"/>
          <w:color w:val="auto"/>
          <w:sz w:val="21"/>
          <w:highlight w:val="none"/>
        </w:rPr>
        <w:t>投标人</w:t>
      </w:r>
      <w:r>
        <w:rPr>
          <w:rFonts w:hint="eastAsia" w:hAnsi="宋体"/>
          <w:color w:val="auto"/>
          <w:sz w:val="21"/>
          <w:highlight w:val="none"/>
        </w:rPr>
        <w:t>应当</w:t>
      </w:r>
      <w:r>
        <w:rPr>
          <w:rFonts w:hAnsi="宋体"/>
          <w:color w:val="auto"/>
          <w:sz w:val="21"/>
          <w:highlight w:val="none"/>
        </w:rPr>
        <w:t>按照桂财采【2007】65号文件第二十九条规定，在澄清或者修改通知发出后</w:t>
      </w:r>
      <w:r>
        <w:rPr>
          <w:rFonts w:hint="eastAsia" w:hAnsi="宋体"/>
          <w:color w:val="auto"/>
          <w:sz w:val="21"/>
          <w:highlight w:val="none"/>
        </w:rPr>
        <w:t>24</w:t>
      </w:r>
      <w:r>
        <w:rPr>
          <w:rFonts w:hAnsi="宋体"/>
          <w:color w:val="auto"/>
          <w:sz w:val="21"/>
          <w:highlight w:val="none"/>
        </w:rPr>
        <w:t>小时内以书面形式进行确认</w:t>
      </w:r>
      <w:r>
        <w:rPr>
          <w:rFonts w:hint="eastAsia" w:hAnsi="宋体"/>
          <w:color w:val="auto"/>
          <w:sz w:val="21"/>
          <w:highlight w:val="none"/>
        </w:rPr>
        <w:t>（采用网上下载招标文件形式的除外）</w:t>
      </w:r>
      <w:r>
        <w:rPr>
          <w:rFonts w:hAnsi="宋体"/>
          <w:color w:val="auto"/>
          <w:sz w:val="21"/>
          <w:highlight w:val="none"/>
        </w:rPr>
        <w:t>，否则视为已经收到。</w:t>
      </w:r>
    </w:p>
    <w:p>
      <w:pPr>
        <w:pStyle w:val="12"/>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1</w:t>
      </w:r>
      <w:r>
        <w:rPr>
          <w:rFonts w:hAnsi="宋体"/>
          <w:color w:val="auto"/>
          <w:sz w:val="21"/>
          <w:highlight w:val="none"/>
        </w:rPr>
        <w:t>1.2</w:t>
      </w:r>
      <w:bookmarkStart w:id="103" w:name="_Hlk53134511"/>
      <w:r>
        <w:rPr>
          <w:rFonts w:hint="eastAsia" w:hAnsi="宋体"/>
          <w:color w:val="auto"/>
          <w:sz w:val="21"/>
          <w:highlight w:val="none"/>
        </w:rPr>
        <w:t>采购人或者采购代理机构可以在招标文件提供期限截止后，组织已获取招标文件的潜在投标人现场考察或者召开开标前答疑会，具体详见“投标人须知前附表”。</w:t>
      </w:r>
    </w:p>
    <w:bookmarkEnd w:id="103"/>
    <w:p>
      <w:pPr>
        <w:pStyle w:val="4"/>
        <w:keepNext w:val="0"/>
        <w:keepLines w:val="0"/>
        <w:jc w:val="center"/>
        <w:rPr>
          <w:rFonts w:hint="eastAsia"/>
          <w:color w:val="auto"/>
          <w:highlight w:val="none"/>
        </w:rPr>
      </w:pPr>
      <w:bookmarkStart w:id="104" w:name="_Toc254970676"/>
      <w:bookmarkStart w:id="105" w:name="_Toc254970535"/>
      <w:r>
        <w:rPr>
          <w:rFonts w:hint="eastAsia"/>
          <w:color w:val="auto"/>
          <w:highlight w:val="none"/>
        </w:rPr>
        <w:t>三、投标文件的编制</w:t>
      </w:r>
      <w:bookmarkEnd w:id="104"/>
      <w:bookmarkEnd w:id="105"/>
    </w:p>
    <w:p>
      <w:pPr>
        <w:pStyle w:val="5"/>
        <w:keepNext w:val="0"/>
        <w:keepLines w:val="0"/>
        <w:spacing w:before="0" w:after="0" w:line="360" w:lineRule="auto"/>
        <w:ind w:left="420" w:leftChars="200"/>
        <w:rPr>
          <w:rFonts w:hint="eastAsia" w:ascii="黑体" w:hAnsi="黑体" w:eastAsia="黑体"/>
          <w:color w:val="auto"/>
          <w:sz w:val="24"/>
          <w:highlight w:val="none"/>
        </w:rPr>
      </w:pPr>
      <w:bookmarkStart w:id="106" w:name="_Toc254970677"/>
      <w:bookmarkStart w:id="107" w:name="_Toc254970536"/>
      <w:r>
        <w:rPr>
          <w:rFonts w:hint="eastAsia" w:ascii="黑体" w:hAnsi="黑体" w:eastAsia="黑体"/>
          <w:color w:val="auto"/>
          <w:sz w:val="24"/>
          <w:highlight w:val="none"/>
        </w:rPr>
        <w:t>12.投标文件的编制原则</w:t>
      </w:r>
    </w:p>
    <w:p>
      <w:pPr>
        <w:snapToGrid w:val="0"/>
        <w:spacing w:line="360" w:lineRule="auto"/>
        <w:ind w:firstLine="420"/>
        <w:jc w:val="left"/>
        <w:rPr>
          <w:rFonts w:hint="eastAsia" w:ascii="宋体" w:hAnsi="宋体" w:cs="Courier New"/>
          <w:color w:val="auto"/>
          <w:szCs w:val="21"/>
          <w:highlight w:val="none"/>
        </w:rPr>
      </w:pPr>
      <w:r>
        <w:rPr>
          <w:rFonts w:ascii="宋体" w:hAnsi="宋体"/>
          <w:color w:val="auto"/>
          <w:szCs w:val="21"/>
          <w:highlight w:val="none"/>
        </w:rPr>
        <w:t>投标人必须按照招标文件的要求编制投标文件。投标文件必须对招标文件提出的要求和条件作出明确响应。</w:t>
      </w:r>
    </w:p>
    <w:p>
      <w:pPr>
        <w:pStyle w:val="5"/>
        <w:keepNext w:val="0"/>
        <w:keepLines w:val="0"/>
        <w:spacing w:before="0" w:after="0" w:line="360" w:lineRule="auto"/>
        <w:ind w:left="420" w:leftChars="200"/>
        <w:rPr>
          <w:rFonts w:hint="eastAsia" w:ascii="黑体" w:hAnsi="黑体" w:eastAsia="黑体"/>
          <w:color w:val="auto"/>
          <w:sz w:val="24"/>
          <w:highlight w:val="none"/>
        </w:rPr>
      </w:pPr>
      <w:r>
        <w:rPr>
          <w:rFonts w:hint="eastAsia" w:ascii="宋体" w:hAnsi="宋体"/>
          <w:b w:val="0"/>
          <w:color w:val="auto"/>
          <w:sz w:val="21"/>
          <w:szCs w:val="21"/>
          <w:highlight w:val="none"/>
        </w:rPr>
        <w:t>▲</w:t>
      </w:r>
      <w:r>
        <w:rPr>
          <w:rFonts w:hint="eastAsia" w:ascii="黑体" w:hAnsi="黑体" w:eastAsia="黑体"/>
          <w:color w:val="auto"/>
          <w:sz w:val="24"/>
          <w:highlight w:val="none"/>
        </w:rPr>
        <w:t>13.投标文件的组成</w:t>
      </w:r>
      <w:bookmarkEnd w:id="106"/>
      <w:bookmarkEnd w:id="107"/>
    </w:p>
    <w:p>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3.1</w:t>
      </w:r>
      <w:r>
        <w:rPr>
          <w:rFonts w:hint="eastAsia" w:ascii="宋体" w:hAnsi="宋体"/>
          <w:color w:val="auto"/>
          <w:szCs w:val="21"/>
          <w:highlight w:val="none"/>
        </w:rPr>
        <w:t>投标文件由报价文件、资格证明文件、商务文件、技术文件四部分组成。</w:t>
      </w:r>
    </w:p>
    <w:p>
      <w:pPr>
        <w:pStyle w:val="5"/>
        <w:keepNext w:val="0"/>
        <w:keepLines w:val="0"/>
        <w:spacing w:before="0" w:after="0" w:line="360" w:lineRule="auto"/>
        <w:ind w:left="420" w:leftChars="200"/>
        <w:rPr>
          <w:rFonts w:hint="eastAsia" w:ascii="宋体" w:hAnsi="宋体"/>
          <w:b w:val="0"/>
          <w:color w:val="auto"/>
          <w:sz w:val="21"/>
          <w:szCs w:val="21"/>
          <w:highlight w:val="none"/>
        </w:rPr>
      </w:pPr>
      <w:bookmarkStart w:id="108" w:name="_13.1报价文件:_具体材料见“投标人须知前附表”。"/>
      <w:bookmarkEnd w:id="108"/>
      <w:r>
        <w:rPr>
          <w:rFonts w:hint="eastAsia" w:ascii="宋体" w:hAnsi="宋体"/>
          <w:b w:val="0"/>
          <w:color w:val="auto"/>
          <w:sz w:val="21"/>
          <w:szCs w:val="21"/>
          <w:highlight w:val="none"/>
        </w:rPr>
        <w:t>（1）报价文件：</w:t>
      </w:r>
      <w:r>
        <w:rPr>
          <w:rFonts w:ascii="宋体" w:hAnsi="宋体"/>
          <w:b w:val="0"/>
          <w:color w:val="auto"/>
          <w:sz w:val="21"/>
          <w:szCs w:val="21"/>
          <w:highlight w:val="none"/>
        </w:rPr>
        <w:t xml:space="preserve"> 具体材料见“投标人须知前附表”</w:t>
      </w:r>
      <w:r>
        <w:rPr>
          <w:rFonts w:hint="eastAsia" w:ascii="宋体" w:hAnsi="宋体"/>
          <w:b w:val="0"/>
          <w:color w:val="auto"/>
          <w:sz w:val="21"/>
          <w:szCs w:val="21"/>
          <w:highlight w:val="none"/>
        </w:rPr>
        <w:t>。</w:t>
      </w:r>
    </w:p>
    <w:p>
      <w:pPr>
        <w:pStyle w:val="5"/>
        <w:keepNext w:val="0"/>
        <w:keepLines w:val="0"/>
        <w:spacing w:before="0" w:after="0" w:line="360" w:lineRule="auto"/>
        <w:ind w:left="420" w:leftChars="200"/>
        <w:rPr>
          <w:rFonts w:hint="eastAsia" w:ascii="宋体" w:hAnsi="宋体"/>
          <w:b w:val="0"/>
          <w:color w:val="auto"/>
          <w:sz w:val="21"/>
          <w:szCs w:val="21"/>
          <w:highlight w:val="none"/>
        </w:rPr>
      </w:pPr>
      <w:bookmarkStart w:id="109" w:name="_13.2资格证明文件：具体材料见“投标人须知前附表”。"/>
      <w:bookmarkEnd w:id="109"/>
      <w:r>
        <w:rPr>
          <w:rFonts w:hint="eastAsia" w:ascii="宋体" w:hAnsi="宋体"/>
          <w:b w:val="0"/>
          <w:color w:val="auto"/>
          <w:sz w:val="21"/>
          <w:szCs w:val="21"/>
          <w:highlight w:val="none"/>
        </w:rPr>
        <w:t>（</w:t>
      </w:r>
      <w:r>
        <w:rPr>
          <w:rFonts w:ascii="宋体" w:hAnsi="宋体"/>
          <w:b w:val="0"/>
          <w:color w:val="auto"/>
          <w:sz w:val="21"/>
          <w:szCs w:val="21"/>
          <w:highlight w:val="none"/>
        </w:rPr>
        <w:t>2</w:t>
      </w:r>
      <w:r>
        <w:rPr>
          <w:rFonts w:hint="eastAsia" w:ascii="宋体" w:hAnsi="宋体"/>
          <w:b w:val="0"/>
          <w:color w:val="auto"/>
          <w:sz w:val="21"/>
          <w:szCs w:val="21"/>
          <w:highlight w:val="none"/>
        </w:rPr>
        <w:t>）资格证明文件：</w:t>
      </w:r>
      <w:r>
        <w:rPr>
          <w:rFonts w:ascii="宋体" w:hAnsi="宋体"/>
          <w:b w:val="0"/>
          <w:color w:val="auto"/>
          <w:sz w:val="21"/>
          <w:szCs w:val="21"/>
          <w:highlight w:val="none"/>
        </w:rPr>
        <w:t>具体材料见“投标人须知前附表”</w:t>
      </w:r>
      <w:r>
        <w:rPr>
          <w:rFonts w:hint="eastAsia" w:ascii="宋体" w:hAnsi="宋体"/>
          <w:b w:val="0"/>
          <w:color w:val="auto"/>
          <w:sz w:val="21"/>
          <w:szCs w:val="21"/>
          <w:highlight w:val="none"/>
        </w:rPr>
        <w:t>。</w:t>
      </w:r>
    </w:p>
    <w:p>
      <w:pPr>
        <w:pStyle w:val="5"/>
        <w:keepNext w:val="0"/>
        <w:keepLines w:val="0"/>
        <w:spacing w:before="0" w:after="0" w:line="360" w:lineRule="auto"/>
        <w:ind w:left="420" w:leftChars="200"/>
        <w:rPr>
          <w:rFonts w:hint="eastAsia" w:ascii="宋体" w:hAnsi="宋体"/>
          <w:b w:val="0"/>
          <w:color w:val="auto"/>
          <w:sz w:val="21"/>
          <w:szCs w:val="21"/>
          <w:highlight w:val="none"/>
        </w:rPr>
      </w:pPr>
      <w:bookmarkStart w:id="110" w:name="_13.3商务文件:_具体材料见“投标人须知前附表”。"/>
      <w:bookmarkEnd w:id="110"/>
      <w:r>
        <w:rPr>
          <w:rFonts w:hint="eastAsia" w:ascii="宋体" w:hAnsi="宋体"/>
          <w:b w:val="0"/>
          <w:color w:val="auto"/>
          <w:sz w:val="21"/>
          <w:szCs w:val="21"/>
          <w:highlight w:val="none"/>
        </w:rPr>
        <w:t>（</w:t>
      </w:r>
      <w:r>
        <w:rPr>
          <w:rFonts w:ascii="宋体" w:hAnsi="宋体"/>
          <w:b w:val="0"/>
          <w:color w:val="auto"/>
          <w:sz w:val="21"/>
          <w:szCs w:val="21"/>
          <w:highlight w:val="none"/>
        </w:rPr>
        <w:t>3</w:t>
      </w:r>
      <w:r>
        <w:rPr>
          <w:rFonts w:hint="eastAsia" w:ascii="宋体" w:hAnsi="宋体"/>
          <w:b w:val="0"/>
          <w:color w:val="auto"/>
          <w:sz w:val="21"/>
          <w:szCs w:val="21"/>
          <w:highlight w:val="none"/>
        </w:rPr>
        <w:t>）商务文件：</w:t>
      </w:r>
      <w:r>
        <w:rPr>
          <w:rFonts w:ascii="宋体" w:hAnsi="宋体"/>
          <w:b w:val="0"/>
          <w:color w:val="auto"/>
          <w:sz w:val="21"/>
          <w:szCs w:val="21"/>
          <w:highlight w:val="none"/>
        </w:rPr>
        <w:t>具体材料见“投标人须知前附表”</w:t>
      </w:r>
      <w:r>
        <w:rPr>
          <w:rFonts w:hint="eastAsia" w:ascii="宋体" w:hAnsi="宋体"/>
          <w:b w:val="0"/>
          <w:color w:val="auto"/>
          <w:sz w:val="21"/>
          <w:szCs w:val="21"/>
          <w:highlight w:val="none"/>
        </w:rPr>
        <w:t>。</w:t>
      </w:r>
    </w:p>
    <w:p>
      <w:pPr>
        <w:pStyle w:val="5"/>
        <w:keepNext w:val="0"/>
        <w:keepLines w:val="0"/>
        <w:spacing w:before="0" w:after="0" w:line="360" w:lineRule="auto"/>
        <w:ind w:left="420" w:leftChars="200"/>
        <w:rPr>
          <w:rFonts w:hint="eastAsia" w:ascii="宋体" w:hAnsi="宋体"/>
          <w:b w:val="0"/>
          <w:color w:val="auto"/>
          <w:sz w:val="21"/>
          <w:szCs w:val="21"/>
          <w:highlight w:val="none"/>
        </w:rPr>
      </w:pPr>
      <w:bookmarkStart w:id="111" w:name="_13.4技术文件：具体材料见“投标人须知前附表”。"/>
      <w:bookmarkEnd w:id="111"/>
      <w:r>
        <w:rPr>
          <w:rFonts w:hint="eastAsia" w:ascii="宋体" w:hAnsi="宋体"/>
          <w:b w:val="0"/>
          <w:color w:val="auto"/>
          <w:sz w:val="21"/>
          <w:szCs w:val="21"/>
          <w:highlight w:val="none"/>
        </w:rPr>
        <w:t>（</w:t>
      </w:r>
      <w:r>
        <w:rPr>
          <w:rFonts w:ascii="宋体" w:hAnsi="宋体"/>
          <w:b w:val="0"/>
          <w:color w:val="auto"/>
          <w:sz w:val="21"/>
          <w:szCs w:val="21"/>
          <w:highlight w:val="none"/>
        </w:rPr>
        <w:t>4</w:t>
      </w:r>
      <w:r>
        <w:rPr>
          <w:rFonts w:hint="eastAsia" w:ascii="宋体" w:hAnsi="宋体"/>
          <w:b w:val="0"/>
          <w:color w:val="auto"/>
          <w:sz w:val="21"/>
          <w:szCs w:val="21"/>
          <w:highlight w:val="none"/>
        </w:rPr>
        <w:t>）技术文件：</w:t>
      </w:r>
      <w:r>
        <w:rPr>
          <w:rFonts w:ascii="宋体" w:hAnsi="宋体"/>
          <w:b w:val="0"/>
          <w:color w:val="auto"/>
          <w:sz w:val="21"/>
          <w:szCs w:val="21"/>
          <w:highlight w:val="none"/>
        </w:rPr>
        <w:t>具体材料见“投标人须知前附表”</w:t>
      </w:r>
      <w:r>
        <w:rPr>
          <w:rFonts w:hint="eastAsia" w:ascii="宋体" w:hAnsi="宋体"/>
          <w:b w:val="0"/>
          <w:color w:val="auto"/>
          <w:sz w:val="21"/>
          <w:szCs w:val="21"/>
          <w:highlight w:val="none"/>
        </w:rPr>
        <w:t>。</w:t>
      </w:r>
    </w:p>
    <w:p>
      <w:pPr>
        <w:pStyle w:val="5"/>
        <w:keepNext w:val="0"/>
        <w:keepLines w:val="0"/>
        <w:spacing w:before="0" w:after="0" w:line="360" w:lineRule="auto"/>
        <w:ind w:left="420" w:leftChars="200"/>
        <w:rPr>
          <w:rFonts w:hint="eastAsia" w:ascii="宋体" w:hAnsi="宋体"/>
          <w:b w:val="0"/>
          <w:color w:val="auto"/>
          <w:sz w:val="21"/>
          <w:szCs w:val="21"/>
          <w:highlight w:val="none"/>
        </w:rPr>
      </w:pPr>
      <w:bookmarkStart w:id="112" w:name="_13.5投标文件电子版：具体材料见“投标人须知前附表”。"/>
      <w:bookmarkEnd w:id="112"/>
      <w:r>
        <w:rPr>
          <w:rFonts w:hint="eastAsia" w:ascii="宋体" w:hAnsi="宋体"/>
          <w:b w:val="0"/>
          <w:color w:val="auto"/>
          <w:sz w:val="21"/>
          <w:szCs w:val="21"/>
          <w:highlight w:val="none"/>
        </w:rPr>
        <w:t>13.</w:t>
      </w:r>
      <w:r>
        <w:rPr>
          <w:rFonts w:ascii="宋体" w:hAnsi="宋体"/>
          <w:b w:val="0"/>
          <w:color w:val="auto"/>
          <w:sz w:val="21"/>
          <w:szCs w:val="21"/>
          <w:highlight w:val="none"/>
        </w:rPr>
        <w:t>2</w:t>
      </w:r>
      <w:r>
        <w:rPr>
          <w:rFonts w:hint="eastAsia" w:ascii="宋体" w:hAnsi="宋体"/>
          <w:b w:val="0"/>
          <w:color w:val="auto"/>
          <w:sz w:val="21"/>
          <w:szCs w:val="21"/>
          <w:highlight w:val="none"/>
        </w:rPr>
        <w:t>投标文件电子版：</w:t>
      </w:r>
      <w:r>
        <w:rPr>
          <w:rFonts w:ascii="宋体" w:hAnsi="宋体"/>
          <w:b w:val="0"/>
          <w:color w:val="auto"/>
          <w:sz w:val="21"/>
          <w:szCs w:val="21"/>
          <w:highlight w:val="none"/>
        </w:rPr>
        <w:t>具体</w:t>
      </w:r>
      <w:r>
        <w:rPr>
          <w:rFonts w:hint="eastAsia" w:ascii="宋体" w:hAnsi="宋体"/>
          <w:b w:val="0"/>
          <w:color w:val="auto"/>
          <w:sz w:val="21"/>
          <w:szCs w:val="21"/>
          <w:highlight w:val="none"/>
        </w:rPr>
        <w:t>要求</w:t>
      </w:r>
      <w:r>
        <w:rPr>
          <w:rFonts w:ascii="宋体" w:hAnsi="宋体"/>
          <w:b w:val="0"/>
          <w:color w:val="auto"/>
          <w:sz w:val="21"/>
          <w:szCs w:val="21"/>
          <w:highlight w:val="none"/>
        </w:rPr>
        <w:t>见“投标人须知前附表”</w:t>
      </w:r>
      <w:r>
        <w:rPr>
          <w:rFonts w:hint="eastAsia" w:ascii="宋体" w:hAnsi="宋体"/>
          <w:b w:val="0"/>
          <w:color w:val="auto"/>
          <w:sz w:val="21"/>
          <w:szCs w:val="21"/>
          <w:highlight w:val="none"/>
        </w:rPr>
        <w:t>。</w:t>
      </w:r>
    </w:p>
    <w:p>
      <w:pPr>
        <w:pStyle w:val="5"/>
        <w:keepNext w:val="0"/>
        <w:keepLines w:val="0"/>
        <w:spacing w:before="0" w:after="0" w:line="360" w:lineRule="auto"/>
        <w:ind w:left="420" w:leftChars="200"/>
        <w:rPr>
          <w:rFonts w:hint="eastAsia" w:ascii="黑体" w:hAnsi="黑体" w:eastAsia="黑体"/>
          <w:color w:val="auto"/>
          <w:sz w:val="24"/>
          <w:highlight w:val="none"/>
        </w:rPr>
      </w:pPr>
      <w:bookmarkStart w:id="113" w:name="_Toc254970678"/>
      <w:bookmarkStart w:id="114" w:name="_Toc254970537"/>
      <w:r>
        <w:rPr>
          <w:rFonts w:hint="eastAsia" w:ascii="黑体" w:hAnsi="黑体" w:eastAsia="黑体"/>
          <w:color w:val="auto"/>
          <w:sz w:val="24"/>
          <w:highlight w:val="none"/>
        </w:rPr>
        <w:t>14.投标文件的语言及计量</w:t>
      </w:r>
      <w:bookmarkEnd w:id="113"/>
      <w:bookmarkEnd w:id="114"/>
    </w:p>
    <w:p>
      <w:pPr>
        <w:pStyle w:val="5"/>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14.1语言文字</w:t>
      </w:r>
    </w:p>
    <w:p>
      <w:pPr>
        <w:pStyle w:val="5"/>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pPr>
        <w:pStyle w:val="5"/>
        <w:keepNext w:val="0"/>
        <w:keepLines w:val="0"/>
        <w:spacing w:before="0" w:after="0" w:line="360" w:lineRule="auto"/>
        <w:ind w:firstLine="420" w:firstLineChars="200"/>
        <w:rPr>
          <w:rFonts w:ascii="宋体" w:hAnsi="宋体"/>
          <w:b w:val="0"/>
          <w:color w:val="auto"/>
          <w:sz w:val="21"/>
          <w:szCs w:val="21"/>
          <w:highlight w:val="none"/>
        </w:rPr>
      </w:pPr>
      <w:r>
        <w:rPr>
          <w:rFonts w:hint="eastAsia" w:ascii="宋体" w:hAnsi="宋体"/>
          <w:b w:val="0"/>
          <w:color w:val="auto"/>
          <w:sz w:val="21"/>
          <w:szCs w:val="21"/>
          <w:highlight w:val="none"/>
        </w:rPr>
        <w:t>14.2投标计量单位</w:t>
      </w:r>
    </w:p>
    <w:p>
      <w:pPr>
        <w:pStyle w:val="5"/>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招标文件已有明确规定的，使用招标文件规定的计量单位；招标文件没有规定的，应采用中华人民共和国法定计量单位，货币种类为人民币，否则视同未响应。</w:t>
      </w:r>
    </w:p>
    <w:p>
      <w:pPr>
        <w:pStyle w:val="5"/>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15.投标的风险</w:t>
      </w:r>
    </w:p>
    <w:p>
      <w:pPr>
        <w:pStyle w:val="12"/>
        <w:snapToGrid w:val="0"/>
        <w:spacing w:line="360" w:lineRule="auto"/>
        <w:ind w:firstLine="420" w:firstLineChars="200"/>
        <w:jc w:val="left"/>
        <w:rPr>
          <w:rFonts w:hint="eastAsia" w:hAnsi="宋体"/>
          <w:color w:val="auto"/>
          <w:sz w:val="21"/>
          <w:highlight w:val="none"/>
        </w:rPr>
      </w:pPr>
      <w:r>
        <w:rPr>
          <w:rFonts w:hint="eastAsia" w:hAnsi="宋体"/>
          <w:color w:val="auto"/>
          <w:sz w:val="21"/>
          <w:highlight w:val="none"/>
        </w:rPr>
        <w:t>投标人没有按照招标文件要求提供全部资料，或者投标人没有对招标文件作出实质性响应是投标人的风险，并可能导致其投标被拒绝。</w:t>
      </w:r>
    </w:p>
    <w:p>
      <w:pPr>
        <w:pStyle w:val="5"/>
        <w:keepNext w:val="0"/>
        <w:keepLines w:val="0"/>
        <w:spacing w:before="0" w:after="0" w:line="360" w:lineRule="auto"/>
        <w:ind w:left="420" w:leftChars="200"/>
        <w:rPr>
          <w:rFonts w:hint="eastAsia" w:ascii="黑体" w:hAnsi="黑体" w:eastAsia="黑体"/>
          <w:color w:val="auto"/>
          <w:sz w:val="24"/>
          <w:highlight w:val="none"/>
        </w:rPr>
      </w:pPr>
      <w:bookmarkStart w:id="115" w:name="_Toc254970679"/>
      <w:bookmarkStart w:id="116" w:name="_Toc254970538"/>
      <w:r>
        <w:rPr>
          <w:rFonts w:hint="eastAsia" w:ascii="宋体" w:hAnsi="宋体"/>
          <w:b w:val="0"/>
          <w:color w:val="auto"/>
          <w:sz w:val="21"/>
          <w:szCs w:val="21"/>
          <w:highlight w:val="none"/>
        </w:rPr>
        <w:t>▲</w:t>
      </w:r>
      <w:r>
        <w:rPr>
          <w:rFonts w:hint="eastAsia" w:ascii="黑体" w:hAnsi="黑体" w:eastAsia="黑体"/>
          <w:color w:val="auto"/>
          <w:sz w:val="24"/>
          <w:highlight w:val="none"/>
        </w:rPr>
        <w:t>16.投标报价</w:t>
      </w:r>
      <w:bookmarkEnd w:id="115"/>
      <w:bookmarkEnd w:id="116"/>
    </w:p>
    <w:p>
      <w:pPr>
        <w:pStyle w:val="5"/>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16.1投标报价应按“第六章　投标文件格式”中“开标一览表”格式填写。</w:t>
      </w:r>
    </w:p>
    <w:p>
      <w:pPr>
        <w:pStyle w:val="5"/>
        <w:keepNext w:val="0"/>
        <w:keepLines w:val="0"/>
        <w:spacing w:before="0" w:after="0" w:line="360" w:lineRule="auto"/>
        <w:ind w:left="420" w:leftChars="200"/>
        <w:rPr>
          <w:rFonts w:hint="eastAsia" w:ascii="宋体" w:hAnsi="宋体"/>
          <w:b w:val="0"/>
          <w:color w:val="auto"/>
          <w:sz w:val="21"/>
          <w:szCs w:val="21"/>
          <w:highlight w:val="none"/>
        </w:rPr>
      </w:pPr>
      <w:bookmarkStart w:id="117" w:name="_16.2投标报价具体定义见投标人须知前附表。"/>
      <w:bookmarkEnd w:id="117"/>
      <w:r>
        <w:rPr>
          <w:rFonts w:hint="eastAsia" w:ascii="宋体" w:hAnsi="宋体"/>
          <w:b w:val="0"/>
          <w:color w:val="auto"/>
          <w:sz w:val="21"/>
          <w:szCs w:val="21"/>
          <w:highlight w:val="none"/>
        </w:rPr>
        <w:t>16.2投标报价具体包括内容详见“投标人须知前附表”。</w:t>
      </w:r>
    </w:p>
    <w:p>
      <w:pPr>
        <w:pStyle w:val="5"/>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16.3投标人必须就所投每个分标的全部内容分别作完整唯一总价报价，不得存在漏项报价；投标人必须就所投分标的单项内容作唯一报价。</w:t>
      </w:r>
    </w:p>
    <w:p>
      <w:pPr>
        <w:pStyle w:val="5"/>
        <w:keepNext w:val="0"/>
        <w:keepLines w:val="0"/>
        <w:spacing w:before="0" w:after="0" w:line="360" w:lineRule="auto"/>
        <w:ind w:left="420" w:leftChars="200"/>
        <w:rPr>
          <w:rFonts w:hint="eastAsia" w:ascii="黑体" w:hAnsi="黑体" w:eastAsia="黑体"/>
          <w:color w:val="auto"/>
          <w:sz w:val="24"/>
          <w:highlight w:val="none"/>
        </w:rPr>
      </w:pPr>
      <w:r>
        <w:rPr>
          <w:rFonts w:hint="eastAsia" w:ascii="宋体" w:hAnsi="宋体"/>
          <w:b w:val="0"/>
          <w:color w:val="auto"/>
          <w:sz w:val="21"/>
          <w:szCs w:val="21"/>
          <w:highlight w:val="none"/>
        </w:rPr>
        <w:t>▲</w:t>
      </w:r>
      <w:r>
        <w:rPr>
          <w:rFonts w:hint="eastAsia" w:ascii="黑体" w:hAnsi="黑体" w:eastAsia="黑体"/>
          <w:color w:val="auto"/>
          <w:sz w:val="24"/>
          <w:highlight w:val="none"/>
        </w:rPr>
        <w:t>17.投标有效期</w:t>
      </w:r>
    </w:p>
    <w:p>
      <w:pPr>
        <w:pStyle w:val="5"/>
        <w:keepNext w:val="0"/>
        <w:keepLines w:val="0"/>
        <w:spacing w:before="0" w:after="0" w:line="360" w:lineRule="auto"/>
        <w:ind w:firstLine="420" w:firstLineChars="200"/>
        <w:rPr>
          <w:rFonts w:hint="eastAsia" w:ascii="宋体" w:hAnsi="宋体"/>
          <w:b w:val="0"/>
          <w:color w:val="auto"/>
          <w:sz w:val="21"/>
          <w:szCs w:val="21"/>
          <w:highlight w:val="none"/>
        </w:rPr>
      </w:pPr>
      <w:bookmarkStart w:id="118" w:name="_17.1投标有效期应按“投标人须知中的前附表”规定的期限。"/>
      <w:bookmarkEnd w:id="118"/>
      <w:r>
        <w:rPr>
          <w:rFonts w:hint="eastAsia" w:ascii="宋体" w:hAnsi="宋体"/>
          <w:b w:val="0"/>
          <w:color w:val="auto"/>
          <w:sz w:val="21"/>
          <w:szCs w:val="21"/>
          <w:highlight w:val="none"/>
        </w:rPr>
        <w:t>17.1投标有效期是指为保证采购人有足够的时间在开标后完成评标、定标、合同签订等工作而要求投标人提交的投标文件在一定时间内保持有效的期限。</w:t>
      </w:r>
    </w:p>
    <w:p>
      <w:pPr>
        <w:pStyle w:val="5"/>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17.2</w:t>
      </w:r>
      <w:bookmarkStart w:id="119" w:name="_Toc254970540"/>
      <w:bookmarkStart w:id="120" w:name="_Toc254970681"/>
      <w:r>
        <w:rPr>
          <w:rFonts w:hint="eastAsia" w:ascii="宋体" w:hAnsi="宋体"/>
          <w:b w:val="0"/>
          <w:color w:val="auto"/>
          <w:sz w:val="21"/>
          <w:szCs w:val="21"/>
          <w:highlight w:val="none"/>
        </w:rPr>
        <w:t xml:space="preserve"> 投标有效期应按规定的期限作出承诺，具体详见“投标人须知前附表”。</w:t>
      </w:r>
    </w:p>
    <w:p>
      <w:pPr>
        <w:pStyle w:val="5"/>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17.3投标人的投标文件在投标有效期内均保持有效。</w:t>
      </w:r>
      <w:bookmarkEnd w:id="119"/>
      <w:bookmarkEnd w:id="120"/>
    </w:p>
    <w:p>
      <w:pPr>
        <w:pStyle w:val="5"/>
        <w:keepNext w:val="0"/>
        <w:keepLines w:val="0"/>
        <w:spacing w:before="0" w:after="0" w:line="360" w:lineRule="auto"/>
        <w:ind w:left="420" w:leftChars="200"/>
        <w:rPr>
          <w:rFonts w:hint="eastAsia" w:ascii="黑体" w:hAnsi="黑体" w:eastAsia="黑体"/>
          <w:color w:val="auto"/>
          <w:sz w:val="24"/>
          <w:highlight w:val="none"/>
        </w:rPr>
      </w:pPr>
      <w:bookmarkStart w:id="121" w:name="_18.投标保证金"/>
      <w:bookmarkEnd w:id="121"/>
      <w:bookmarkStart w:id="122" w:name="_Toc254970682"/>
      <w:bookmarkStart w:id="123" w:name="_Toc254970541"/>
      <w:r>
        <w:rPr>
          <w:rFonts w:hint="eastAsia" w:ascii="黑体" w:hAnsi="黑体" w:eastAsia="黑体"/>
          <w:color w:val="auto"/>
          <w:sz w:val="24"/>
          <w:highlight w:val="none"/>
        </w:rPr>
        <w:t>18.投标保证金</w:t>
      </w:r>
      <w:bookmarkEnd w:id="122"/>
      <w:bookmarkEnd w:id="123"/>
    </w:p>
    <w:p>
      <w:pPr>
        <w:pStyle w:val="5"/>
        <w:keepNext w:val="0"/>
        <w:keepLines w:val="0"/>
        <w:spacing w:before="0" w:after="0" w:line="360" w:lineRule="auto"/>
        <w:ind w:left="420" w:leftChars="200"/>
        <w:rPr>
          <w:rFonts w:ascii="宋体" w:hAnsi="宋体"/>
          <w:b w:val="0"/>
          <w:color w:val="auto"/>
          <w:sz w:val="21"/>
          <w:szCs w:val="21"/>
          <w:highlight w:val="none"/>
        </w:rPr>
      </w:pPr>
      <w:r>
        <w:rPr>
          <w:rFonts w:hint="eastAsia" w:ascii="宋体" w:hAnsi="宋体"/>
          <w:b w:val="0"/>
          <w:color w:val="auto"/>
          <w:sz w:val="21"/>
          <w:szCs w:val="21"/>
          <w:highlight w:val="none"/>
        </w:rPr>
        <w:t>18.1投标人须按“投标人须知前附表” 的规定提交投标保证金。</w:t>
      </w:r>
    </w:p>
    <w:p>
      <w:pPr>
        <w:pStyle w:val="5"/>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18.2投标保证金的退还</w:t>
      </w:r>
    </w:p>
    <w:p>
      <w:pPr>
        <w:pStyle w:val="5"/>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未中标人的投标保证金自中标通知书发出之日起5个工作日内退还；中标人的投标保证金自政府采购合同签订之日起5个工作日内退还。 </w:t>
      </w:r>
    </w:p>
    <w:p>
      <w:pPr>
        <w:pStyle w:val="5"/>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18.3除逾期退还投标保证金和终止招标的情形以外，投标保证金不计息。</w:t>
      </w:r>
    </w:p>
    <w:p>
      <w:pPr>
        <w:pStyle w:val="5"/>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18.4投标人有下列情形之一的，投标保证金将不予退还： </w:t>
      </w:r>
    </w:p>
    <w:p>
      <w:pPr>
        <w:snapToGrid w:val="0"/>
        <w:spacing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（1）投标人在投标有效期内撤销投标文件的；</w:t>
      </w:r>
    </w:p>
    <w:p>
      <w:pPr>
        <w:snapToGrid w:val="0"/>
        <w:spacing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（2）未按规定提交履约保证金的；</w:t>
      </w:r>
    </w:p>
    <w:p>
      <w:pPr>
        <w:snapToGrid w:val="0"/>
        <w:spacing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（3）投标人在投标过程中弄虚作假，提供虚假材料的；</w:t>
      </w:r>
    </w:p>
    <w:p>
      <w:pPr>
        <w:snapToGrid w:val="0"/>
        <w:spacing w:line="360" w:lineRule="auto"/>
        <w:ind w:firstLine="411" w:firstLineChars="196"/>
        <w:rPr>
          <w:rFonts w:hint="eastAsia" w:ascii="宋体" w:hAnsi="宋体"/>
          <w:color w:val="auto"/>
          <w:szCs w:val="21"/>
          <w:highlight w:val="none"/>
        </w:rPr>
      </w:pPr>
      <w:r>
        <w:rPr>
          <w:rFonts w:hint="eastAsia" w:ascii="宋体" w:hAnsi="宋体"/>
          <w:color w:val="auto"/>
          <w:szCs w:val="21"/>
          <w:highlight w:val="none"/>
        </w:rPr>
        <w:t>（4）中标人无正当理由不与采购人签订合同的；</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（5）投标人出现本章第9.2、9.3情形的；</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w:t>
      </w:r>
      <w:r>
        <w:rPr>
          <w:rFonts w:hint="eastAsia" w:ascii="宋体" w:hAnsi="宋体" w:cs="宋体"/>
          <w:color w:val="auto"/>
          <w:szCs w:val="21"/>
          <w:highlight w:val="none"/>
        </w:rPr>
        <w:t>法律法规规定的其他情形</w:t>
      </w:r>
      <w:r>
        <w:rPr>
          <w:rFonts w:hint="eastAsia" w:ascii="宋体" w:hAnsi="宋体"/>
          <w:color w:val="auto"/>
          <w:szCs w:val="21"/>
          <w:highlight w:val="none"/>
        </w:rPr>
        <w:t>。</w:t>
      </w:r>
    </w:p>
    <w:p>
      <w:pPr>
        <w:pStyle w:val="5"/>
        <w:keepNext w:val="0"/>
        <w:keepLines w:val="0"/>
        <w:spacing w:before="0" w:after="0" w:line="360" w:lineRule="auto"/>
        <w:ind w:left="420" w:leftChars="200"/>
        <w:rPr>
          <w:rFonts w:hint="eastAsia" w:ascii="黑体" w:hAnsi="黑体" w:eastAsia="黑体"/>
          <w:color w:val="auto"/>
          <w:sz w:val="24"/>
          <w:highlight w:val="none"/>
        </w:rPr>
      </w:pPr>
      <w:bookmarkStart w:id="124" w:name="_Toc254970542"/>
      <w:bookmarkStart w:id="125" w:name="_Toc254970683"/>
      <w:r>
        <w:rPr>
          <w:rFonts w:hint="eastAsia" w:ascii="宋体" w:hAnsi="宋体"/>
          <w:b w:val="0"/>
          <w:color w:val="auto"/>
          <w:sz w:val="21"/>
          <w:szCs w:val="21"/>
          <w:highlight w:val="none"/>
        </w:rPr>
        <w:t>▲</w:t>
      </w:r>
      <w:r>
        <w:rPr>
          <w:rFonts w:hint="eastAsia" w:ascii="黑体" w:hAnsi="黑体" w:eastAsia="黑体"/>
          <w:color w:val="auto"/>
          <w:sz w:val="24"/>
          <w:highlight w:val="none"/>
        </w:rPr>
        <w:t>19.投标文件的</w:t>
      </w:r>
      <w:bookmarkEnd w:id="124"/>
      <w:bookmarkEnd w:id="125"/>
      <w:r>
        <w:rPr>
          <w:rFonts w:hint="eastAsia" w:ascii="黑体" w:hAnsi="黑体" w:eastAsia="黑体"/>
          <w:color w:val="auto"/>
          <w:sz w:val="24"/>
          <w:highlight w:val="none"/>
        </w:rPr>
        <w:t>编制</w:t>
      </w:r>
    </w:p>
    <w:p>
      <w:pPr>
        <w:spacing w:line="360" w:lineRule="auto"/>
        <w:ind w:firstLine="422" w:firstLineChars="200"/>
        <w:rPr>
          <w:color w:val="auto"/>
          <w:highlight w:val="none"/>
        </w:rPr>
      </w:pPr>
      <w:r>
        <w:rPr>
          <w:rFonts w:hint="eastAsia" w:ascii="宋体" w:hAnsi="宋体"/>
          <w:b/>
          <w:color w:val="auto"/>
          <w:sz w:val="21"/>
          <w:szCs w:val="21"/>
          <w:highlight w:val="none"/>
        </w:rPr>
        <w:t xml:space="preserve"> </w:t>
      </w:r>
      <w:r>
        <w:rPr>
          <w:rFonts w:hint="eastAsia"/>
          <w:color w:val="auto"/>
          <w:highlight w:val="none"/>
          <w:lang w:val="en-US" w:eastAsia="zh-CN"/>
        </w:rPr>
        <w:t>19</w:t>
      </w:r>
      <w:r>
        <w:rPr>
          <w:color w:val="auto"/>
          <w:highlight w:val="none"/>
        </w:rPr>
        <w:t xml:space="preserve">.1 </w:t>
      </w:r>
      <w:r>
        <w:rPr>
          <w:rFonts w:hint="eastAsia" w:cs="宋体"/>
          <w:color w:val="auto"/>
          <w:highlight w:val="none"/>
        </w:rPr>
        <w:t>投标文件应按第</w:t>
      </w:r>
      <w:r>
        <w:rPr>
          <w:rFonts w:hint="eastAsia"/>
          <w:color w:val="auto"/>
          <w:highlight w:val="none"/>
        </w:rPr>
        <w:t>九</w:t>
      </w:r>
      <w:r>
        <w:rPr>
          <w:rFonts w:hint="eastAsia" w:cs="宋体"/>
          <w:color w:val="auto"/>
          <w:highlight w:val="none"/>
        </w:rPr>
        <w:t>章</w:t>
      </w:r>
      <w:r>
        <w:rPr>
          <w:color w:val="auto"/>
          <w:highlight w:val="none"/>
        </w:rPr>
        <w:t>“</w:t>
      </w:r>
      <w:r>
        <w:rPr>
          <w:rFonts w:hint="eastAsia" w:cs="宋体"/>
          <w:color w:val="auto"/>
          <w:highlight w:val="none"/>
        </w:rPr>
        <w:t>投标文件格式</w:t>
      </w:r>
      <w:r>
        <w:rPr>
          <w:color w:val="auto"/>
          <w:highlight w:val="none"/>
        </w:rPr>
        <w:t>”</w:t>
      </w:r>
      <w:r>
        <w:rPr>
          <w:rFonts w:hint="eastAsia" w:cs="宋体"/>
          <w:color w:val="auto"/>
          <w:highlight w:val="none"/>
        </w:rPr>
        <w:t>进行编写，如有必要，可以增加附页，作为投标文件的组成部分。其中，投标函附录在满足招标文件实质性要求的基础上，可以提出比招标文件要求更有利于招标人的承诺。</w:t>
      </w:r>
    </w:p>
    <w:p>
      <w:pPr>
        <w:spacing w:line="360" w:lineRule="auto"/>
        <w:ind w:firstLine="420" w:firstLineChars="200"/>
        <w:rPr>
          <w:color w:val="auto"/>
          <w:highlight w:val="none"/>
        </w:rPr>
      </w:pPr>
      <w:r>
        <w:rPr>
          <w:rFonts w:hint="eastAsia"/>
          <w:color w:val="auto"/>
          <w:highlight w:val="none"/>
          <w:lang w:val="en-US" w:eastAsia="zh-CN"/>
        </w:rPr>
        <w:t>19</w:t>
      </w:r>
      <w:r>
        <w:rPr>
          <w:color w:val="auto"/>
          <w:highlight w:val="none"/>
        </w:rPr>
        <w:t xml:space="preserve">.2 </w:t>
      </w:r>
      <w:r>
        <w:rPr>
          <w:rFonts w:hint="eastAsia" w:cs="宋体"/>
          <w:color w:val="auto"/>
          <w:highlight w:val="none"/>
        </w:rPr>
        <w:t>投标文件应当对招标文件有关工期、投标有效期、质量要求、技术标准和要求、招标范围等实质性内容作出响应。</w:t>
      </w:r>
      <w:r>
        <w:rPr>
          <w:color w:val="auto"/>
          <w:highlight w:val="none"/>
        </w:rPr>
        <w:t xml:space="preserve"> </w:t>
      </w:r>
    </w:p>
    <w:p>
      <w:pPr>
        <w:spacing w:line="360" w:lineRule="auto"/>
        <w:ind w:firstLine="420" w:firstLineChars="200"/>
        <w:rPr>
          <w:color w:val="auto"/>
          <w:highlight w:val="none"/>
        </w:rPr>
      </w:pPr>
      <w:r>
        <w:rPr>
          <w:rFonts w:hint="eastAsia"/>
          <w:color w:val="auto"/>
          <w:highlight w:val="none"/>
          <w:lang w:val="en-US" w:eastAsia="zh-CN"/>
        </w:rPr>
        <w:t>19</w:t>
      </w:r>
      <w:r>
        <w:rPr>
          <w:color w:val="auto"/>
          <w:highlight w:val="none"/>
        </w:rPr>
        <w:t>.3</w:t>
      </w:r>
      <w:r>
        <w:rPr>
          <w:rFonts w:hint="eastAsia" w:hAnsi="宋体" w:cs="宋体"/>
          <w:color w:val="auto"/>
          <w:highlight w:val="none"/>
        </w:rPr>
        <w:t>投标文件通过“政采云电子交易客户端”编制并加密响应文件，</w:t>
      </w:r>
      <w:r>
        <w:rPr>
          <w:rFonts w:hint="eastAsia" w:cs="宋体"/>
          <w:color w:val="auto"/>
          <w:highlight w:val="none"/>
        </w:rPr>
        <w:t>电子投标文件由投标人在招标文件规定的投标文件相关位置加盖投标人法人单位电子印章。投标文件未加盖投标人法人单位电子印章的，均作否决投标处理。</w:t>
      </w:r>
    </w:p>
    <w:p>
      <w:pPr>
        <w:spacing w:line="360" w:lineRule="auto"/>
        <w:ind w:firstLine="420" w:firstLineChars="200"/>
        <w:rPr>
          <w:rFonts w:hint="eastAsia" w:ascii="宋体" w:hAnsi="宋体"/>
          <w:b/>
          <w:color w:val="auto"/>
          <w:sz w:val="21"/>
          <w:szCs w:val="21"/>
          <w:highlight w:val="none"/>
        </w:rPr>
      </w:pPr>
      <w:r>
        <w:rPr>
          <w:rFonts w:hint="eastAsia"/>
          <w:color w:val="auto"/>
          <w:highlight w:val="none"/>
          <w:lang w:val="en-US" w:eastAsia="zh-CN"/>
        </w:rPr>
        <w:t>19</w:t>
      </w:r>
      <w:r>
        <w:rPr>
          <w:color w:val="auto"/>
          <w:highlight w:val="none"/>
        </w:rPr>
        <w:t xml:space="preserve">.4 </w:t>
      </w:r>
      <w:r>
        <w:rPr>
          <w:rFonts w:hint="eastAsia"/>
          <w:color w:val="auto"/>
          <w:highlight w:val="none"/>
        </w:rPr>
        <w:t>电子</w:t>
      </w:r>
      <w:r>
        <w:rPr>
          <w:rFonts w:hint="eastAsia" w:cs="宋体"/>
          <w:color w:val="auto"/>
          <w:highlight w:val="none"/>
        </w:rPr>
        <w:t>投标文件一份，副本份数见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pPr>
        <w:pStyle w:val="5"/>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2</w:t>
      </w:r>
      <w:r>
        <w:rPr>
          <w:rFonts w:hint="eastAsia" w:ascii="黑体" w:hAnsi="黑体" w:eastAsia="黑体"/>
          <w:color w:val="auto"/>
          <w:sz w:val="24"/>
          <w:highlight w:val="none"/>
          <w:lang w:val="en-US" w:eastAsia="zh-CN"/>
        </w:rPr>
        <w:t>0</w:t>
      </w:r>
      <w:r>
        <w:rPr>
          <w:rFonts w:hint="eastAsia" w:ascii="黑体" w:hAnsi="黑体" w:eastAsia="黑体"/>
          <w:color w:val="auto"/>
          <w:sz w:val="24"/>
          <w:highlight w:val="none"/>
        </w:rPr>
        <w:t>.投标文件的提交</w:t>
      </w:r>
    </w:p>
    <w:p>
      <w:pPr>
        <w:pStyle w:val="5"/>
        <w:keepNext w:val="0"/>
        <w:keepLines w:val="0"/>
        <w:numPr>
          <w:ilvl w:val="0"/>
          <w:numId w:val="0"/>
        </w:numPr>
        <w:spacing w:before="0" w:after="0" w:line="360" w:lineRule="auto"/>
        <w:ind w:firstLine="420" w:firstLineChars="200"/>
        <w:rPr>
          <w:rFonts w:hint="eastAsia" w:ascii="宋体" w:hAnsi="宋体"/>
          <w:b w:val="0"/>
          <w:color w:val="auto"/>
          <w:sz w:val="21"/>
          <w:szCs w:val="21"/>
          <w:highlight w:val="none"/>
        </w:rPr>
      </w:pPr>
      <w:bookmarkStart w:id="126" w:name="_21.1投标人必须在“投标人须知中的前附表”规定的投标文件接收时间和投"/>
      <w:bookmarkEnd w:id="126"/>
      <w:r>
        <w:rPr>
          <w:rFonts w:hint="eastAsia" w:ascii="宋体" w:hAnsi="宋体"/>
          <w:b w:val="0"/>
          <w:color w:val="auto"/>
          <w:sz w:val="21"/>
          <w:szCs w:val="21"/>
          <w:highlight w:val="none"/>
        </w:rPr>
        <w:t>21.1投标人必须在“投标人须知前附表”规定的投标文件接收时间和投标地点提交投标文件。</w:t>
      </w:r>
    </w:p>
    <w:p>
      <w:pPr>
        <w:pStyle w:val="5"/>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22. 投标文件的补充、修改、撤回与退回</w:t>
      </w:r>
    </w:p>
    <w:p>
      <w:pPr>
        <w:spacing w:line="360" w:lineRule="auto"/>
        <w:ind w:firstLine="420" w:firstLineChars="200"/>
        <w:rPr>
          <w:color w:val="auto"/>
          <w:highlight w:val="none"/>
        </w:rPr>
      </w:pPr>
      <w:bookmarkStart w:id="127" w:name="_Toc254970543"/>
      <w:bookmarkStart w:id="128" w:name="_Toc254970684"/>
      <w:r>
        <w:rPr>
          <w:rFonts w:hint="eastAsia" w:ascii="宋体" w:hAnsi="宋体"/>
          <w:color w:val="auto"/>
          <w:szCs w:val="21"/>
          <w:highlight w:val="none"/>
        </w:rPr>
        <w:t>2</w:t>
      </w:r>
      <w:r>
        <w:rPr>
          <w:rFonts w:ascii="宋体" w:hAnsi="宋体"/>
          <w:color w:val="auto"/>
          <w:szCs w:val="21"/>
          <w:highlight w:val="none"/>
        </w:rPr>
        <w:t>2.1</w:t>
      </w:r>
      <w:bookmarkEnd w:id="127"/>
      <w:bookmarkEnd w:id="128"/>
      <w:r>
        <w:rPr>
          <w:rFonts w:hint="eastAsia" w:hAnsi="宋体" w:cs="宋体"/>
          <w:color w:val="auto"/>
          <w:highlight w:val="none"/>
        </w:rPr>
        <w:t>在投标人须知</w:t>
      </w:r>
      <w:r>
        <w:rPr>
          <w:rFonts w:hint="eastAsia" w:ascii="仿宋_GB2312" w:hAnsi="宋体" w:cs="宋体"/>
          <w:color w:val="auto"/>
          <w:highlight w:val="none"/>
        </w:rPr>
        <w:t>前附表</w:t>
      </w:r>
      <w:r>
        <w:rPr>
          <w:rFonts w:hint="eastAsia" w:hAnsi="宋体" w:cs="宋体"/>
          <w:color w:val="auto"/>
          <w:highlight w:val="none"/>
        </w:rPr>
        <w:t>第</w:t>
      </w:r>
      <w:r>
        <w:rPr>
          <w:color w:val="auto"/>
          <w:highlight w:val="none"/>
        </w:rPr>
        <w:t>2.2.2</w:t>
      </w:r>
      <w:r>
        <w:rPr>
          <w:rFonts w:hint="eastAsia" w:hAnsi="宋体" w:cs="宋体"/>
          <w:color w:val="auto"/>
          <w:highlight w:val="none"/>
        </w:rPr>
        <w:t>项规定的投标截止时间前，投标人可以修改或撤回已提交的投标文件，最终投标文件以投标截止时间前上传的最后一份投标文件为准。</w:t>
      </w:r>
    </w:p>
    <w:p>
      <w:pPr>
        <w:spacing w:line="360" w:lineRule="auto"/>
        <w:ind w:firstLine="420" w:firstLineChars="200"/>
        <w:rPr>
          <w:rFonts w:hint="eastAsia" w:hAnsi="宋体" w:cs="宋体"/>
          <w:color w:val="auto"/>
          <w:highlight w:val="none"/>
        </w:rPr>
      </w:pPr>
      <w:r>
        <w:rPr>
          <w:rFonts w:hint="eastAsia"/>
          <w:color w:val="auto"/>
          <w:highlight w:val="none"/>
          <w:lang w:val="en-US" w:eastAsia="zh-CN"/>
        </w:rPr>
        <w:t>22.2</w:t>
      </w:r>
      <w:r>
        <w:rPr>
          <w:color w:val="auto"/>
          <w:highlight w:val="none"/>
        </w:rPr>
        <w:t xml:space="preserve"> </w:t>
      </w:r>
      <w:r>
        <w:rPr>
          <w:rFonts w:hint="eastAsia" w:hAnsi="宋体" w:cs="宋体"/>
          <w:color w:val="auto"/>
          <w:highlight w:val="none"/>
        </w:rPr>
        <w:t>修改的内容为投标文件的组成部分。</w:t>
      </w:r>
    </w:p>
    <w:p>
      <w:pPr>
        <w:spacing w:line="360" w:lineRule="auto"/>
        <w:ind w:firstLine="420" w:firstLineChars="200"/>
        <w:rPr>
          <w:rFonts w:hint="eastAsia" w:ascii="宋体" w:hAnsi="宋体" w:cs="宋体"/>
          <w:color w:val="auto"/>
          <w:szCs w:val="21"/>
          <w:highlight w:val="none"/>
        </w:rPr>
      </w:pPr>
    </w:p>
    <w:p>
      <w:pPr>
        <w:pStyle w:val="11"/>
        <w:snapToGrid w:val="0"/>
        <w:spacing w:line="360" w:lineRule="auto"/>
        <w:ind w:firstLine="739"/>
        <w:rPr>
          <w:rFonts w:hint="eastAsia" w:ascii="宋体" w:hAnsi="宋体" w:eastAsia="宋体"/>
          <w:snapToGrid w:val="0"/>
          <w:color w:val="auto"/>
          <w:sz w:val="21"/>
          <w:szCs w:val="21"/>
          <w:highlight w:val="none"/>
        </w:rPr>
      </w:pPr>
    </w:p>
    <w:p>
      <w:pPr>
        <w:pStyle w:val="4"/>
        <w:keepNext w:val="0"/>
        <w:keepLines w:val="0"/>
        <w:jc w:val="center"/>
        <w:rPr>
          <w:rFonts w:hint="eastAsia"/>
          <w:color w:val="auto"/>
          <w:highlight w:val="none"/>
        </w:rPr>
      </w:pPr>
      <w:bookmarkStart w:id="129" w:name="_Toc254970685"/>
      <w:bookmarkStart w:id="130" w:name="_Toc254970544"/>
      <w:r>
        <w:rPr>
          <w:rFonts w:hint="eastAsia"/>
          <w:color w:val="auto"/>
          <w:highlight w:val="none"/>
        </w:rPr>
        <w:t>四、开    标</w:t>
      </w:r>
      <w:bookmarkEnd w:id="129"/>
      <w:bookmarkEnd w:id="130"/>
    </w:p>
    <w:p>
      <w:pPr>
        <w:pStyle w:val="5"/>
        <w:keepNext w:val="0"/>
        <w:keepLines w:val="0"/>
        <w:spacing w:before="0" w:after="0" w:line="360" w:lineRule="auto"/>
        <w:ind w:left="420" w:leftChars="200"/>
        <w:rPr>
          <w:rFonts w:hint="eastAsia" w:ascii="黑体" w:hAnsi="黑体" w:eastAsia="黑体"/>
          <w:color w:val="auto"/>
          <w:sz w:val="24"/>
          <w:highlight w:val="none"/>
        </w:rPr>
      </w:pPr>
      <w:bookmarkStart w:id="131" w:name="_23.开标时间和地点"/>
      <w:bookmarkEnd w:id="131"/>
      <w:r>
        <w:rPr>
          <w:rFonts w:hint="eastAsia" w:ascii="黑体" w:hAnsi="黑体" w:eastAsia="黑体"/>
          <w:color w:val="auto"/>
          <w:sz w:val="24"/>
          <w:highlight w:val="none"/>
        </w:rPr>
        <w:t>23.开标时间和地点</w:t>
      </w:r>
    </w:p>
    <w:p>
      <w:pPr>
        <w:pStyle w:val="12"/>
        <w:snapToGrid w:val="0"/>
        <w:spacing w:line="360" w:lineRule="auto"/>
        <w:ind w:firstLine="420" w:firstLineChars="200"/>
        <w:rPr>
          <w:rFonts w:hint="eastAsia" w:hAnsi="宋体"/>
          <w:bCs/>
          <w:color w:val="auto"/>
          <w:sz w:val="21"/>
          <w:highlight w:val="none"/>
        </w:rPr>
      </w:pPr>
      <w:r>
        <w:rPr>
          <w:rFonts w:hint="eastAsia" w:hAnsi="宋体"/>
          <w:bCs/>
          <w:color w:val="auto"/>
          <w:sz w:val="21"/>
          <w:highlight w:val="none"/>
        </w:rPr>
        <w:t>采购代理机构将在“投标人须知前附表”规定的时间和地点进行开标</w:t>
      </w:r>
      <w:r>
        <w:rPr>
          <w:rFonts w:hint="eastAsia" w:hAnsi="宋体"/>
          <w:bCs/>
          <w:color w:val="auto"/>
          <w:sz w:val="21"/>
          <w:highlight w:val="none"/>
          <w:lang w:eastAsia="zh-CN"/>
        </w:rPr>
        <w:t>，</w:t>
      </w:r>
      <w:r>
        <w:rPr>
          <w:rFonts w:hint="eastAsia" w:hAnsi="宋体"/>
          <w:bCs/>
          <w:color w:val="auto"/>
          <w:sz w:val="21"/>
          <w:highlight w:val="none"/>
        </w:rPr>
        <w:t>本项目开标过程实行全程录音、录像监控。</w:t>
      </w:r>
    </w:p>
    <w:p>
      <w:pPr>
        <w:pStyle w:val="5"/>
        <w:keepNext w:val="0"/>
        <w:keepLines w:val="0"/>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24.开标程序</w:t>
      </w:r>
    </w:p>
    <w:p>
      <w:pPr>
        <w:pStyle w:val="5"/>
        <w:keepNext w:val="0"/>
        <w:keepLines w:val="0"/>
        <w:spacing w:before="0" w:after="0" w:line="360" w:lineRule="auto"/>
        <w:ind w:firstLine="315" w:firstLineChars="150"/>
        <w:rPr>
          <w:rFonts w:hint="eastAsia" w:ascii="宋体" w:hAnsi="宋体" w:eastAsia="宋体" w:cs="Times New Roman"/>
          <w:b w:val="0"/>
          <w:bCs/>
          <w:color w:val="auto"/>
          <w:sz w:val="21"/>
          <w:szCs w:val="21"/>
          <w:highlight w:val="none"/>
        </w:rPr>
      </w:pPr>
      <w:r>
        <w:rPr>
          <w:rFonts w:hint="eastAsia" w:ascii="宋体" w:hAnsi="宋体" w:eastAsia="宋体" w:cs="Times New Roman"/>
          <w:b w:val="0"/>
          <w:bCs/>
          <w:color w:val="auto"/>
          <w:sz w:val="21"/>
          <w:szCs w:val="21"/>
          <w:highlight w:val="none"/>
          <w:lang w:val="en-US" w:eastAsia="zh-CN"/>
        </w:rPr>
        <w:t>24.1</w:t>
      </w:r>
      <w:r>
        <w:rPr>
          <w:rFonts w:hint="eastAsia" w:ascii="宋体" w:hAnsi="宋体" w:eastAsia="宋体" w:cs="Times New Roman"/>
          <w:b w:val="0"/>
          <w:bCs/>
          <w:color w:val="auto"/>
          <w:sz w:val="21"/>
          <w:szCs w:val="21"/>
          <w:highlight w:val="none"/>
        </w:rPr>
        <w:t>采购代理机构将在“供应商须知前附表”规定的时间通过电子交易平台组织响应文件开启，采购代理机构依托电子交易平台发起开始解密指令，供应商的法定代表人或其委托代理人须携带加密时所用的CA锁按平台提示和</w:t>
      </w:r>
      <w:r>
        <w:rPr>
          <w:rFonts w:hint="eastAsia" w:ascii="宋体" w:hAnsi="宋体" w:eastAsia="宋体" w:cs="Times New Roman"/>
          <w:b w:val="0"/>
          <w:bCs/>
          <w:color w:val="auto"/>
          <w:sz w:val="21"/>
          <w:szCs w:val="21"/>
          <w:highlight w:val="none"/>
          <w:lang w:eastAsia="zh-CN"/>
        </w:rPr>
        <w:t>招标文件</w:t>
      </w:r>
      <w:r>
        <w:rPr>
          <w:rFonts w:hint="eastAsia" w:ascii="宋体" w:hAnsi="宋体" w:eastAsia="宋体" w:cs="Times New Roman"/>
          <w:b w:val="0"/>
          <w:bCs/>
          <w:color w:val="auto"/>
          <w:sz w:val="21"/>
          <w:szCs w:val="21"/>
          <w:highlight w:val="none"/>
        </w:rPr>
        <w:t>的规定登录到“政采云”平台电子开标大厅签到并在发起解密指令之时起30分钟内完成对电子响应文件在线解密。发起解密指令之时起5分钟内供应商还未进行解密的，代理机构要通知供应商，供应商没预留联系方式或预留联系方式无效，导致代理机构无法联系到供应商进行解密的，视为响应文件无效。</w:t>
      </w:r>
    </w:p>
    <w:p>
      <w:pPr>
        <w:spacing w:line="360" w:lineRule="auto"/>
        <w:ind w:firstLine="420" w:firstLineChars="200"/>
        <w:rPr>
          <w:rFonts w:hint="eastAsia" w:hAnsi="宋体"/>
          <w:color w:val="auto"/>
          <w:highlight w:val="none"/>
        </w:rPr>
      </w:pPr>
      <w:r>
        <w:rPr>
          <w:rFonts w:hint="eastAsia" w:ascii="宋体" w:hAnsi="宋体" w:eastAsia="宋体" w:cs="Times New Roman"/>
          <w:b w:val="0"/>
          <w:bCs/>
          <w:color w:val="auto"/>
          <w:sz w:val="21"/>
          <w:szCs w:val="21"/>
          <w:highlight w:val="none"/>
          <w:lang w:val="en-US" w:eastAsia="zh-CN"/>
        </w:rPr>
        <w:t>24.2</w:t>
      </w:r>
      <w:r>
        <w:rPr>
          <w:rFonts w:hint="eastAsia" w:hAnsi="宋体"/>
          <w:color w:val="auto"/>
          <w:highlight w:val="none"/>
        </w:rPr>
        <w:t>电子交易活动的中止。采购过程中出现以下情形，导致电子交易平台无法正常运行，或者无法保证电子交易的公平、公正和安全时，采购代理机构可中止电子交易活动：</w:t>
      </w:r>
    </w:p>
    <w:p>
      <w:pPr>
        <w:spacing w:line="360" w:lineRule="auto"/>
        <w:ind w:firstLine="420" w:firstLineChars="200"/>
        <w:rPr>
          <w:rFonts w:hint="eastAsia" w:hAnsi="宋体"/>
          <w:color w:val="auto"/>
          <w:highlight w:val="none"/>
        </w:rPr>
      </w:pPr>
      <w:r>
        <w:rPr>
          <w:rFonts w:hint="eastAsia" w:hAnsi="宋体"/>
          <w:color w:val="auto"/>
          <w:highlight w:val="none"/>
        </w:rPr>
        <w:t xml:space="preserve">（1）电子交易平台发生故障而无法登录访问的； </w:t>
      </w:r>
    </w:p>
    <w:p>
      <w:pPr>
        <w:spacing w:line="360" w:lineRule="auto"/>
        <w:ind w:firstLine="420" w:firstLineChars="200"/>
        <w:rPr>
          <w:rFonts w:hint="eastAsia" w:hAnsi="宋体"/>
          <w:color w:val="auto"/>
          <w:highlight w:val="none"/>
        </w:rPr>
      </w:pPr>
      <w:r>
        <w:rPr>
          <w:rFonts w:hint="eastAsia" w:hAnsi="宋体"/>
          <w:color w:val="auto"/>
          <w:highlight w:val="none"/>
        </w:rPr>
        <w:t>（2）电子交易平台应用或数据库出现错误，不能进行正常操作的；</w:t>
      </w:r>
    </w:p>
    <w:p>
      <w:pPr>
        <w:spacing w:line="360" w:lineRule="auto"/>
        <w:ind w:firstLine="420" w:firstLineChars="200"/>
        <w:rPr>
          <w:rFonts w:hint="eastAsia" w:hAnsi="宋体"/>
          <w:color w:val="auto"/>
          <w:highlight w:val="none"/>
        </w:rPr>
      </w:pPr>
      <w:r>
        <w:rPr>
          <w:rFonts w:hint="eastAsia" w:hAnsi="宋体"/>
          <w:color w:val="auto"/>
          <w:highlight w:val="none"/>
        </w:rPr>
        <w:t>（3）电子交易平台发现严重安全漏洞，有潜在泄密危险的；</w:t>
      </w:r>
    </w:p>
    <w:p>
      <w:pPr>
        <w:spacing w:line="360" w:lineRule="auto"/>
        <w:ind w:firstLine="420" w:firstLineChars="200"/>
        <w:rPr>
          <w:rFonts w:hint="eastAsia" w:hAnsi="宋体"/>
          <w:color w:val="auto"/>
          <w:highlight w:val="none"/>
        </w:rPr>
      </w:pPr>
      <w:r>
        <w:rPr>
          <w:rFonts w:hint="eastAsia" w:hAnsi="宋体"/>
          <w:color w:val="auto"/>
          <w:highlight w:val="none"/>
        </w:rPr>
        <w:t xml:space="preserve">（4）病毒发作导致不能进行正常操作的； </w:t>
      </w:r>
    </w:p>
    <w:p>
      <w:pPr>
        <w:spacing w:line="360" w:lineRule="auto"/>
        <w:ind w:firstLine="420" w:firstLineChars="200"/>
        <w:rPr>
          <w:rFonts w:hint="eastAsia" w:hAnsi="宋体"/>
          <w:color w:val="auto"/>
          <w:highlight w:val="none"/>
        </w:rPr>
      </w:pPr>
      <w:r>
        <w:rPr>
          <w:rFonts w:hint="eastAsia" w:hAnsi="宋体"/>
          <w:color w:val="auto"/>
          <w:highlight w:val="none"/>
        </w:rPr>
        <w:t>（4）其他无法保证电子交易的公平、公正和安全的情况。</w:t>
      </w:r>
    </w:p>
    <w:p>
      <w:pPr>
        <w:spacing w:line="360" w:lineRule="auto"/>
        <w:ind w:firstLine="420" w:firstLineChars="200"/>
        <w:rPr>
          <w:rFonts w:hint="eastAsia"/>
          <w:color w:val="auto"/>
          <w:highlight w:val="none"/>
        </w:rPr>
      </w:pPr>
      <w:r>
        <w:rPr>
          <w:rFonts w:hint="eastAsia" w:hAnsi="宋体"/>
          <w:color w:val="auto"/>
          <w:highlight w:val="none"/>
        </w:rPr>
        <w:t>2</w:t>
      </w:r>
      <w:r>
        <w:rPr>
          <w:rFonts w:hint="eastAsia" w:hAnsi="宋体"/>
          <w:color w:val="auto"/>
          <w:highlight w:val="none"/>
          <w:lang w:val="en-US" w:eastAsia="zh-CN"/>
        </w:rPr>
        <w:t>4.3</w:t>
      </w:r>
      <w:r>
        <w:rPr>
          <w:rFonts w:hint="eastAsia" w:hAnsi="宋体"/>
          <w:color w:val="auto"/>
          <w:highlight w:val="none"/>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pPr>
        <w:pStyle w:val="6"/>
        <w:rPr>
          <w:rFonts w:hint="default" w:eastAsia="宋体"/>
          <w:color w:val="auto"/>
          <w:highlight w:val="none"/>
          <w:lang w:val="en-US" w:eastAsia="zh-CN"/>
        </w:rPr>
      </w:pPr>
    </w:p>
    <w:p>
      <w:pPr>
        <w:pStyle w:val="4"/>
        <w:keepNext w:val="0"/>
        <w:keepLines w:val="0"/>
        <w:jc w:val="center"/>
        <w:rPr>
          <w:rFonts w:hint="eastAsia"/>
          <w:color w:val="auto"/>
          <w:highlight w:val="none"/>
        </w:rPr>
      </w:pPr>
      <w:r>
        <w:rPr>
          <w:rFonts w:hint="eastAsia"/>
          <w:color w:val="auto"/>
          <w:highlight w:val="none"/>
        </w:rPr>
        <w:t>五、资格审查</w:t>
      </w:r>
    </w:p>
    <w:p>
      <w:pPr>
        <w:pStyle w:val="5"/>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25.资格审查</w:t>
      </w:r>
    </w:p>
    <w:p>
      <w:pPr>
        <w:pStyle w:val="5"/>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25.1</w:t>
      </w:r>
      <w:r>
        <w:rPr>
          <w:rFonts w:ascii="宋体" w:hAnsi="宋体"/>
          <w:b w:val="0"/>
          <w:color w:val="auto"/>
          <w:sz w:val="21"/>
          <w:szCs w:val="21"/>
          <w:highlight w:val="none"/>
        </w:rPr>
        <w:t>开标结束后，</w:t>
      </w:r>
      <w:r>
        <w:rPr>
          <w:rFonts w:hint="eastAsia" w:ascii="宋体" w:hAnsi="宋体"/>
          <w:b w:val="0"/>
          <w:color w:val="auto"/>
          <w:sz w:val="21"/>
          <w:szCs w:val="21"/>
          <w:highlight w:val="none"/>
        </w:rPr>
        <w:t>采购人或者采购代理机构</w:t>
      </w:r>
      <w:r>
        <w:rPr>
          <w:rFonts w:ascii="宋体" w:hAnsi="宋体"/>
          <w:b w:val="0"/>
          <w:color w:val="auto"/>
          <w:sz w:val="21"/>
          <w:szCs w:val="21"/>
          <w:highlight w:val="none"/>
        </w:rPr>
        <w:t>依法对投标人的资格进行审查。</w:t>
      </w:r>
    </w:p>
    <w:p>
      <w:pPr>
        <w:pStyle w:val="5"/>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25.2资格审查标准为本招标文件中载明对投标人资格要求的条件。本项目资格审查采用合格制，凡符合招标文件规定的投标人资格要求的投标人均通过资格审查。</w:t>
      </w:r>
    </w:p>
    <w:p>
      <w:pPr>
        <w:pStyle w:val="5"/>
        <w:keepNext w:val="0"/>
        <w:keepLines w:val="0"/>
        <w:numPr>
          <w:ilvl w:val="0"/>
          <w:numId w:val="0"/>
        </w:numPr>
        <w:spacing w:before="0" w:after="0" w:line="360" w:lineRule="auto"/>
        <w:ind w:firstLine="422" w:firstLineChars="200"/>
        <w:rPr>
          <w:rFonts w:hint="eastAsia" w:ascii="宋体" w:hAnsi="宋体"/>
          <w:color w:val="auto"/>
          <w:sz w:val="21"/>
          <w:szCs w:val="21"/>
          <w:highlight w:val="none"/>
        </w:rPr>
      </w:pPr>
      <w:bookmarkStart w:id="132" w:name="_25.3_投标人有下列情形之一的，资格审查不通过而导致其投标无效："/>
      <w:bookmarkEnd w:id="132"/>
      <w:r>
        <w:rPr>
          <w:rFonts w:hint="eastAsia" w:ascii="宋体" w:hAnsi="宋体"/>
          <w:color w:val="auto"/>
          <w:sz w:val="21"/>
          <w:szCs w:val="21"/>
          <w:highlight w:val="none"/>
        </w:rPr>
        <w:t>25.3 投标人有下列情形之一的，资格审查不通过，作无效投标处理：</w:t>
      </w:r>
    </w:p>
    <w:p>
      <w:pPr>
        <w:pStyle w:val="12"/>
        <w:snapToGrid w:val="0"/>
        <w:spacing w:line="360" w:lineRule="auto"/>
        <w:ind w:firstLine="422" w:firstLineChars="200"/>
        <w:rPr>
          <w:rFonts w:hint="eastAsia" w:hAnsi="宋体"/>
          <w:b/>
          <w:color w:val="auto"/>
          <w:sz w:val="21"/>
          <w:highlight w:val="none"/>
        </w:rPr>
      </w:pPr>
      <w:r>
        <w:rPr>
          <w:rFonts w:hint="eastAsia" w:hAnsi="宋体"/>
          <w:b/>
          <w:color w:val="auto"/>
          <w:sz w:val="21"/>
          <w:highlight w:val="none"/>
        </w:rPr>
        <w:t>（1）未按招标文件规定的方式获取本招标文件的投标人；</w:t>
      </w:r>
    </w:p>
    <w:p>
      <w:pPr>
        <w:pStyle w:val="12"/>
        <w:snapToGrid w:val="0"/>
        <w:spacing w:line="360" w:lineRule="auto"/>
        <w:ind w:firstLine="422" w:firstLineChars="200"/>
        <w:rPr>
          <w:rFonts w:hAnsi="宋体"/>
          <w:b/>
          <w:color w:val="auto"/>
          <w:sz w:val="21"/>
          <w:highlight w:val="none"/>
        </w:rPr>
      </w:pPr>
      <w:r>
        <w:rPr>
          <w:rFonts w:hint="eastAsia" w:hAnsi="宋体"/>
          <w:b/>
          <w:color w:val="auto"/>
          <w:sz w:val="21"/>
          <w:highlight w:val="none"/>
        </w:rPr>
        <w:t>（2）不具备招标文件中规定的资格要求的；</w:t>
      </w:r>
    </w:p>
    <w:p>
      <w:pPr>
        <w:pStyle w:val="12"/>
        <w:snapToGrid w:val="0"/>
        <w:spacing w:line="360" w:lineRule="auto"/>
        <w:ind w:firstLine="422" w:firstLineChars="200"/>
        <w:rPr>
          <w:rFonts w:hAnsi="宋体"/>
          <w:b/>
          <w:color w:val="auto"/>
          <w:sz w:val="21"/>
          <w:highlight w:val="none"/>
        </w:rPr>
      </w:pPr>
      <w:r>
        <w:rPr>
          <w:rFonts w:hint="eastAsia" w:hAnsi="宋体"/>
          <w:b/>
          <w:color w:val="auto"/>
          <w:sz w:val="21"/>
          <w:highlight w:val="none"/>
        </w:rPr>
        <w:t>（3）在“信用中国”网站（www.creditchina.gov.cn） 、中国政府采购网（www.ccgp.gov.cn）被列入失信被执行人、重大税收违法案件当事人名单、政府采购严重违法失信行为记录名单及其他不符合《中华人民共和国政府采购法》第二十二条规定条件的；（注：其中信用查询规则见“投标人须知前附表”）</w:t>
      </w:r>
    </w:p>
    <w:p>
      <w:pPr>
        <w:pStyle w:val="12"/>
        <w:snapToGrid w:val="0"/>
        <w:spacing w:line="360" w:lineRule="auto"/>
        <w:ind w:firstLine="422" w:firstLineChars="200"/>
        <w:rPr>
          <w:rFonts w:hint="eastAsia" w:hAnsi="宋体"/>
          <w:b/>
          <w:color w:val="auto"/>
          <w:sz w:val="21"/>
          <w:highlight w:val="none"/>
        </w:rPr>
      </w:pPr>
      <w:r>
        <w:rPr>
          <w:rFonts w:hint="eastAsia" w:hAnsi="宋体"/>
          <w:b/>
          <w:color w:val="auto"/>
          <w:sz w:val="21"/>
          <w:highlight w:val="none"/>
        </w:rPr>
        <w:t>（4）同一合同项下的不同投标人，单位负责人为同一人或者存在直接控股、管理关系的；为本项目提供过整体设计、规范编制或者项目管理、监理、检测等服务的供应商，再参加该采购项目的其他采购活动的；</w:t>
      </w:r>
    </w:p>
    <w:p>
      <w:pPr>
        <w:pStyle w:val="12"/>
        <w:snapToGrid w:val="0"/>
        <w:spacing w:line="360" w:lineRule="auto"/>
        <w:ind w:firstLine="422" w:firstLineChars="200"/>
        <w:rPr>
          <w:rFonts w:hint="eastAsia" w:hAnsi="宋体"/>
          <w:b/>
          <w:color w:val="auto"/>
          <w:sz w:val="21"/>
          <w:highlight w:val="none"/>
        </w:rPr>
      </w:pPr>
      <w:r>
        <w:rPr>
          <w:rFonts w:hint="eastAsia" w:hAnsi="宋体"/>
          <w:b/>
          <w:color w:val="auto"/>
          <w:sz w:val="21"/>
          <w:highlight w:val="none"/>
        </w:rPr>
        <w:t>（</w:t>
      </w:r>
      <w:r>
        <w:rPr>
          <w:rFonts w:hAnsi="宋体"/>
          <w:b/>
          <w:color w:val="auto"/>
          <w:sz w:val="21"/>
          <w:highlight w:val="none"/>
        </w:rPr>
        <w:t>5</w:t>
      </w:r>
      <w:r>
        <w:rPr>
          <w:rFonts w:hint="eastAsia" w:hAnsi="宋体"/>
          <w:b/>
          <w:color w:val="auto"/>
          <w:sz w:val="21"/>
          <w:highlight w:val="none"/>
        </w:rPr>
        <w:t>）投标文件中的资格证明文件缺少任一项“投标人须知前附表”资格证明文件规定“必须提供”的文件资料的；</w:t>
      </w:r>
    </w:p>
    <w:p>
      <w:pPr>
        <w:pStyle w:val="12"/>
        <w:snapToGrid w:val="0"/>
        <w:spacing w:line="360" w:lineRule="auto"/>
        <w:ind w:firstLine="422" w:firstLineChars="200"/>
        <w:rPr>
          <w:rFonts w:hint="eastAsia" w:hAnsi="宋体"/>
          <w:b/>
          <w:color w:val="auto"/>
          <w:sz w:val="21"/>
          <w:highlight w:val="none"/>
        </w:rPr>
      </w:pPr>
      <w:r>
        <w:rPr>
          <w:rFonts w:hint="eastAsia" w:hAnsi="宋体"/>
          <w:b/>
          <w:color w:val="auto"/>
          <w:sz w:val="21"/>
          <w:highlight w:val="none"/>
        </w:rPr>
        <w:t>（</w:t>
      </w:r>
      <w:r>
        <w:rPr>
          <w:rFonts w:hAnsi="宋体"/>
          <w:b/>
          <w:color w:val="auto"/>
          <w:sz w:val="21"/>
          <w:highlight w:val="none"/>
        </w:rPr>
        <w:t>6</w:t>
      </w:r>
      <w:r>
        <w:rPr>
          <w:rFonts w:hint="eastAsia" w:hAnsi="宋体"/>
          <w:b/>
          <w:color w:val="auto"/>
          <w:sz w:val="21"/>
          <w:highlight w:val="none"/>
        </w:rPr>
        <w:t>）投标文件中的资格证明文件出现任一项不符合“投标人须知前附表”资格证明文件规定“必须提供”的文件资料要求或者无效的。</w:t>
      </w:r>
    </w:p>
    <w:p>
      <w:pPr>
        <w:pStyle w:val="5"/>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color w:val="auto"/>
          <w:sz w:val="21"/>
          <w:szCs w:val="21"/>
          <w:highlight w:val="none"/>
        </w:rPr>
        <w:t>25.4</w:t>
      </w:r>
      <w:r>
        <w:rPr>
          <w:rFonts w:ascii="宋体" w:hAnsi="宋体"/>
          <w:color w:val="auto"/>
          <w:sz w:val="21"/>
          <w:szCs w:val="21"/>
          <w:highlight w:val="none"/>
        </w:rPr>
        <w:t>合格投标人不足3家的，不得评标。</w:t>
      </w:r>
    </w:p>
    <w:p>
      <w:pPr>
        <w:pStyle w:val="12"/>
        <w:snapToGrid w:val="0"/>
        <w:spacing w:line="360" w:lineRule="auto"/>
        <w:ind w:left="689" w:leftChars="228" w:hanging="210" w:hangingChars="100"/>
        <w:rPr>
          <w:rFonts w:hint="eastAsia" w:hAnsi="宋体"/>
          <w:color w:val="auto"/>
          <w:sz w:val="21"/>
          <w:highlight w:val="none"/>
        </w:rPr>
      </w:pPr>
    </w:p>
    <w:p>
      <w:pPr>
        <w:pStyle w:val="4"/>
        <w:keepNext w:val="0"/>
        <w:keepLines w:val="0"/>
        <w:jc w:val="center"/>
        <w:rPr>
          <w:rFonts w:hint="eastAsia"/>
          <w:color w:val="auto"/>
          <w:highlight w:val="none"/>
        </w:rPr>
      </w:pPr>
      <w:r>
        <w:rPr>
          <w:rFonts w:hint="eastAsia"/>
          <w:color w:val="auto"/>
          <w:highlight w:val="none"/>
        </w:rPr>
        <w:t>六、评   标</w:t>
      </w:r>
    </w:p>
    <w:p>
      <w:pPr>
        <w:pStyle w:val="5"/>
        <w:keepNext w:val="0"/>
        <w:keepLines w:val="0"/>
        <w:spacing w:before="0" w:after="0" w:line="360" w:lineRule="auto"/>
        <w:ind w:left="420" w:leftChars="200"/>
        <w:rPr>
          <w:rFonts w:hint="eastAsia" w:ascii="黑体" w:hAnsi="黑体" w:eastAsia="黑体"/>
          <w:color w:val="auto"/>
          <w:sz w:val="24"/>
          <w:highlight w:val="none"/>
        </w:rPr>
      </w:pPr>
      <w:bookmarkStart w:id="133" w:name="_26.组建评标委员会"/>
      <w:bookmarkEnd w:id="133"/>
      <w:r>
        <w:rPr>
          <w:rFonts w:hint="eastAsia" w:ascii="黑体" w:hAnsi="黑体" w:eastAsia="黑体"/>
          <w:color w:val="auto"/>
          <w:sz w:val="24"/>
          <w:highlight w:val="none"/>
        </w:rPr>
        <w:t>26.组建评标委员会</w:t>
      </w:r>
    </w:p>
    <w:p>
      <w:pPr>
        <w:pStyle w:val="12"/>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评标委员会由采购人代表和评审专家组成，具体人数详见“投标人须知前附表”，其中评审专家不得少于成员总数的三分之二。</w:t>
      </w:r>
    </w:p>
    <w:p>
      <w:pPr>
        <w:pStyle w:val="12"/>
        <w:snapToGrid w:val="0"/>
        <w:spacing w:line="360" w:lineRule="auto"/>
        <w:ind w:left="2" w:leftChars="1" w:firstLine="420" w:firstLineChars="200"/>
        <w:rPr>
          <w:rFonts w:hint="eastAsia" w:hAnsi="宋体"/>
          <w:color w:val="auto"/>
          <w:sz w:val="21"/>
          <w:highlight w:val="none"/>
        </w:rPr>
      </w:pPr>
      <w:r>
        <w:rPr>
          <w:rFonts w:hint="eastAsia" w:hAnsi="宋体"/>
          <w:color w:val="auto"/>
          <w:sz w:val="21"/>
          <w:highlight w:val="none"/>
        </w:rPr>
        <w:t>参加过采购项目前期咨询论证的专家，不得参加该采购项目的评审活动。</w:t>
      </w:r>
    </w:p>
    <w:p>
      <w:pPr>
        <w:pStyle w:val="5"/>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27.评标的依据</w:t>
      </w:r>
    </w:p>
    <w:p>
      <w:pPr>
        <w:pStyle w:val="12"/>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评标委员会以</w:t>
      </w:r>
      <w:r>
        <w:rPr>
          <w:rFonts w:hint="eastAsia" w:hAnsi="宋体" w:cs="宋体"/>
          <w:color w:val="auto"/>
          <w:sz w:val="21"/>
          <w:highlight w:val="none"/>
        </w:rPr>
        <w:t>“第四章 评标方法和评标标准”</w:t>
      </w:r>
      <w:r>
        <w:rPr>
          <w:rFonts w:hint="eastAsia" w:hAnsi="宋体"/>
          <w:color w:val="auto"/>
          <w:sz w:val="21"/>
          <w:highlight w:val="none"/>
        </w:rPr>
        <w:t>为依据对投标文件进行评审，</w:t>
      </w:r>
      <w:r>
        <w:rPr>
          <w:rFonts w:hAnsi="宋体"/>
          <w:color w:val="auto"/>
          <w:sz w:val="21"/>
          <w:highlight w:val="none"/>
        </w:rPr>
        <w:t>没有规定的方法、评审因素和标准，不作为评标依据。</w:t>
      </w:r>
    </w:p>
    <w:p>
      <w:pPr>
        <w:pStyle w:val="5"/>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28.评标原则</w:t>
      </w:r>
    </w:p>
    <w:p>
      <w:pPr>
        <w:pStyle w:val="12"/>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pPr>
        <w:pStyle w:val="12"/>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28.2</w:t>
      </w:r>
      <w:bookmarkStart w:id="134" w:name="_28.3评标方法。本项目将按须知前附表规定的评标办法进行评标，具体评标"/>
      <w:bookmarkEnd w:id="134"/>
      <w:r>
        <w:rPr>
          <w:rFonts w:hint="eastAsia" w:hAnsi="宋体"/>
          <w:color w:val="auto"/>
          <w:sz w:val="21"/>
          <w:highlight w:val="none"/>
        </w:rPr>
        <w:t>评委表决。评标委员会成员对需要共同认定的事项存在争议的，应当按照少数服从多数的原则作出结论。</w:t>
      </w:r>
    </w:p>
    <w:p>
      <w:pPr>
        <w:pStyle w:val="12"/>
        <w:snapToGrid w:val="0"/>
        <w:spacing w:line="360" w:lineRule="auto"/>
        <w:ind w:firstLine="420" w:firstLineChars="200"/>
        <w:rPr>
          <w:rFonts w:hAnsi="宋体"/>
          <w:color w:val="auto"/>
          <w:sz w:val="21"/>
          <w:highlight w:val="none"/>
        </w:rPr>
      </w:pPr>
      <w:r>
        <w:rPr>
          <w:rFonts w:hint="eastAsia" w:hAnsi="宋体"/>
          <w:color w:val="auto"/>
          <w:sz w:val="21"/>
          <w:highlight w:val="none"/>
        </w:rPr>
        <w:t>28.</w:t>
      </w:r>
      <w:r>
        <w:rPr>
          <w:rFonts w:hAnsi="宋体"/>
          <w:color w:val="auto"/>
          <w:sz w:val="21"/>
          <w:highlight w:val="none"/>
        </w:rPr>
        <w:t>3</w:t>
      </w:r>
      <w:r>
        <w:rPr>
          <w:rFonts w:hint="eastAsia" w:hAnsi="宋体"/>
          <w:color w:val="auto"/>
          <w:sz w:val="21"/>
          <w:highlight w:val="none"/>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pPr>
        <w:pStyle w:val="12"/>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2</w:t>
      </w:r>
      <w:r>
        <w:rPr>
          <w:rFonts w:hAnsi="宋体"/>
          <w:color w:val="auto"/>
          <w:sz w:val="21"/>
          <w:highlight w:val="none"/>
        </w:rPr>
        <w:t>8.4</w:t>
      </w:r>
      <w:r>
        <w:rPr>
          <w:rFonts w:hint="eastAsia" w:hAnsi="宋体"/>
          <w:color w:val="auto"/>
          <w:sz w:val="21"/>
          <w:highlight w:val="none"/>
        </w:rPr>
        <w:t>评标过程的监控。本项目评标过程实行全程录音、录像监控，</w:t>
      </w:r>
      <w:r>
        <w:rPr>
          <w:rFonts w:hint="eastAsia" w:hAnsi="宋体"/>
          <w:b/>
          <w:bCs/>
          <w:color w:val="auto"/>
          <w:sz w:val="21"/>
          <w:highlight w:val="none"/>
        </w:rPr>
        <w:t>投标人在评标过程中所进行的试图影响评标结果的不公正活动，可能导致其投标无效</w:t>
      </w:r>
      <w:r>
        <w:rPr>
          <w:rFonts w:hint="eastAsia" w:hAnsi="宋体"/>
          <w:color w:val="auto"/>
          <w:sz w:val="21"/>
          <w:highlight w:val="none"/>
        </w:rPr>
        <w:t>。</w:t>
      </w:r>
    </w:p>
    <w:p>
      <w:pPr>
        <w:pStyle w:val="5"/>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29.评标方法及中标候选人推荐</w:t>
      </w:r>
    </w:p>
    <w:p>
      <w:pPr>
        <w:pStyle w:val="12"/>
        <w:snapToGrid w:val="0"/>
        <w:spacing w:line="360" w:lineRule="auto"/>
        <w:ind w:firstLine="420" w:firstLineChars="200"/>
        <w:rPr>
          <w:rFonts w:hAnsi="宋体"/>
          <w:color w:val="auto"/>
          <w:sz w:val="21"/>
          <w:highlight w:val="none"/>
        </w:rPr>
      </w:pPr>
      <w:r>
        <w:rPr>
          <w:rFonts w:hint="eastAsia" w:hAnsi="宋体"/>
          <w:color w:val="auto"/>
          <w:sz w:val="21"/>
          <w:highlight w:val="none"/>
        </w:rPr>
        <w:t>2</w:t>
      </w:r>
      <w:r>
        <w:rPr>
          <w:rFonts w:hAnsi="宋体"/>
          <w:color w:val="auto"/>
          <w:sz w:val="21"/>
          <w:highlight w:val="none"/>
        </w:rPr>
        <w:t>9.1</w:t>
      </w:r>
      <w:r>
        <w:rPr>
          <w:rFonts w:hint="eastAsia" w:hAnsi="宋体"/>
          <w:color w:val="auto"/>
          <w:sz w:val="21"/>
          <w:highlight w:val="none"/>
        </w:rPr>
        <w:t>本项目的评标方法详见“投标人须知前附表”。</w:t>
      </w:r>
    </w:p>
    <w:p>
      <w:pPr>
        <w:pStyle w:val="12"/>
        <w:snapToGrid w:val="0"/>
        <w:spacing w:line="360" w:lineRule="auto"/>
        <w:ind w:firstLine="420" w:firstLineChars="200"/>
        <w:rPr>
          <w:rFonts w:hint="eastAsia" w:hAnsi="宋体" w:cs="宋体"/>
          <w:color w:val="auto"/>
          <w:sz w:val="21"/>
          <w:highlight w:val="none"/>
        </w:rPr>
      </w:pPr>
      <w:r>
        <w:rPr>
          <w:rFonts w:hint="eastAsia" w:hAnsi="宋体"/>
          <w:color w:val="auto"/>
          <w:sz w:val="21"/>
          <w:highlight w:val="none"/>
        </w:rPr>
        <w:t>2</w:t>
      </w:r>
      <w:r>
        <w:rPr>
          <w:rFonts w:hAnsi="宋体"/>
          <w:color w:val="auto"/>
          <w:sz w:val="21"/>
          <w:highlight w:val="none"/>
        </w:rPr>
        <w:t>9.2</w:t>
      </w:r>
      <w:r>
        <w:rPr>
          <w:rFonts w:hAnsi="宋体" w:cs="宋体"/>
          <w:color w:val="auto"/>
          <w:sz w:val="21"/>
          <w:highlight w:val="none"/>
        </w:rPr>
        <w:t xml:space="preserve"> </w:t>
      </w:r>
      <w:r>
        <w:rPr>
          <w:rFonts w:hAnsi="宋体"/>
          <w:color w:val="auto"/>
          <w:sz w:val="21"/>
          <w:highlight w:val="none"/>
        </w:rPr>
        <w:t>中标候选人推荐数量详见</w:t>
      </w:r>
      <w:r>
        <w:rPr>
          <w:rFonts w:hint="eastAsia" w:hAnsi="宋体"/>
          <w:color w:val="auto"/>
          <w:sz w:val="21"/>
          <w:highlight w:val="none"/>
        </w:rPr>
        <w:t>“投标人须知前附表”。</w:t>
      </w:r>
    </w:p>
    <w:p>
      <w:pPr>
        <w:pStyle w:val="12"/>
        <w:snapToGrid w:val="0"/>
        <w:spacing w:line="360" w:lineRule="auto"/>
        <w:rPr>
          <w:rFonts w:hint="eastAsia" w:hAnsi="宋体"/>
          <w:color w:val="auto"/>
          <w:sz w:val="21"/>
          <w:highlight w:val="none"/>
        </w:rPr>
      </w:pPr>
    </w:p>
    <w:p>
      <w:pPr>
        <w:pStyle w:val="12"/>
        <w:snapToGrid w:val="0"/>
        <w:spacing w:line="360" w:lineRule="auto"/>
        <w:rPr>
          <w:rFonts w:hint="eastAsia" w:hAnsi="宋体"/>
          <w:color w:val="auto"/>
          <w:sz w:val="21"/>
          <w:highlight w:val="none"/>
        </w:rPr>
      </w:pPr>
    </w:p>
    <w:p>
      <w:pPr>
        <w:pStyle w:val="12"/>
        <w:snapToGrid w:val="0"/>
        <w:spacing w:line="360" w:lineRule="auto"/>
        <w:rPr>
          <w:rFonts w:hint="eastAsia" w:hAnsi="宋体"/>
          <w:color w:val="auto"/>
          <w:sz w:val="21"/>
          <w:highlight w:val="none"/>
        </w:rPr>
      </w:pPr>
    </w:p>
    <w:p>
      <w:pPr>
        <w:pStyle w:val="4"/>
        <w:keepNext w:val="0"/>
        <w:keepLines w:val="0"/>
        <w:jc w:val="center"/>
        <w:rPr>
          <w:rFonts w:hint="eastAsia"/>
          <w:color w:val="auto"/>
          <w:highlight w:val="none"/>
        </w:rPr>
      </w:pPr>
      <w:bookmarkStart w:id="135" w:name="_Toc254970546"/>
      <w:bookmarkStart w:id="136" w:name="_Toc254970687"/>
      <w:r>
        <w:rPr>
          <w:rFonts w:hint="eastAsia"/>
          <w:color w:val="auto"/>
          <w:highlight w:val="none"/>
        </w:rPr>
        <w:t>七、</w:t>
      </w:r>
      <w:bookmarkEnd w:id="135"/>
      <w:bookmarkEnd w:id="136"/>
      <w:r>
        <w:rPr>
          <w:rFonts w:hint="eastAsia"/>
          <w:color w:val="auto"/>
          <w:highlight w:val="none"/>
        </w:rPr>
        <w:t>中标和合同</w:t>
      </w:r>
    </w:p>
    <w:p>
      <w:pPr>
        <w:pStyle w:val="5"/>
        <w:keepNext w:val="0"/>
        <w:keepLines w:val="0"/>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30</w:t>
      </w:r>
      <w:r>
        <w:rPr>
          <w:rFonts w:ascii="黑体" w:hAnsi="黑体" w:eastAsia="黑体"/>
          <w:color w:val="auto"/>
          <w:sz w:val="24"/>
          <w:highlight w:val="none"/>
        </w:rPr>
        <w:t xml:space="preserve"> </w:t>
      </w:r>
      <w:r>
        <w:rPr>
          <w:rFonts w:hint="eastAsia" w:ascii="黑体" w:hAnsi="黑体" w:eastAsia="黑体"/>
          <w:color w:val="auto"/>
          <w:sz w:val="24"/>
          <w:highlight w:val="none"/>
        </w:rPr>
        <w:t>确定中标人</w:t>
      </w:r>
    </w:p>
    <w:p>
      <w:pPr>
        <w:pStyle w:val="5"/>
        <w:keepNext w:val="0"/>
        <w:keepLines w:val="0"/>
        <w:spacing w:before="0" w:after="0" w:line="360" w:lineRule="auto"/>
        <w:ind w:firstLine="420" w:firstLineChars="200"/>
        <w:rPr>
          <w:rFonts w:hint="eastAsia" w:ascii="宋体" w:hAnsi="宋体"/>
          <w:b w:val="0"/>
          <w:color w:val="auto"/>
          <w:sz w:val="21"/>
          <w:szCs w:val="21"/>
          <w:highlight w:val="none"/>
        </w:rPr>
      </w:pPr>
      <w:r>
        <w:rPr>
          <w:rFonts w:ascii="宋体" w:hAnsi="宋体"/>
          <w:b w:val="0"/>
          <w:color w:val="auto"/>
          <w:sz w:val="21"/>
          <w:szCs w:val="21"/>
          <w:highlight w:val="none"/>
        </w:rPr>
        <w:t>30.1</w:t>
      </w:r>
      <w:r>
        <w:rPr>
          <w:rFonts w:hint="eastAsia" w:ascii="宋体" w:hAnsi="宋体"/>
          <w:b w:val="0"/>
          <w:color w:val="auto"/>
          <w:sz w:val="21"/>
          <w:szCs w:val="21"/>
          <w:highlight w:val="none"/>
        </w:rPr>
        <w:t>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pPr>
        <w:snapToGrid w:val="0"/>
        <w:spacing w:line="360" w:lineRule="auto"/>
        <w:ind w:firstLine="420" w:firstLineChars="200"/>
        <w:rPr>
          <w:rFonts w:hint="eastAsia" w:ascii="宋体" w:hAnsi="宋体" w:cs="Courier New"/>
          <w:color w:val="auto"/>
          <w:szCs w:val="21"/>
          <w:highlight w:val="none"/>
        </w:rPr>
      </w:pPr>
      <w:r>
        <w:rPr>
          <w:rFonts w:ascii="宋体" w:hAnsi="宋体" w:cs="Courier New"/>
          <w:color w:val="auto"/>
          <w:szCs w:val="21"/>
          <w:highlight w:val="none"/>
        </w:rPr>
        <w:t>30.2</w:t>
      </w:r>
      <w:r>
        <w:rPr>
          <w:rFonts w:hint="eastAsia" w:ascii="宋体" w:hAnsi="宋体" w:cs="Courier New"/>
          <w:color w:val="auto"/>
          <w:szCs w:val="21"/>
          <w:highlight w:val="none"/>
        </w:rPr>
        <w:t>采购人在收到评标报告5个工作日内未按评标报告推荐的中标候选人顺序确定中标人，又不能说明合法理由的，视同按评标报告推荐的顺序确定排名第一的中标候选人为中标人。</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30.3出现下列情形之一的，应予废标：</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（1）符合专业条件的供应商或者对招标文件作实质响应的供应商不足三家的；</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（2）出现影响采购公正的违法、违规行为的；</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（3）投标人的报价均超过了采购预算，采购人不能支付的；</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（4）因重大变故，采购任务取消的。</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废标后，采购人应当将废标理由通知所有投标人。</w:t>
      </w:r>
    </w:p>
    <w:p>
      <w:pPr>
        <w:snapToGrid w:val="0"/>
        <w:spacing w:line="360" w:lineRule="auto"/>
        <w:ind w:firstLine="420" w:firstLineChars="200"/>
        <w:rPr>
          <w:rFonts w:hint="eastAsia" w:ascii="宋体" w:hAnsi="宋体" w:cs="Courier New"/>
          <w:color w:val="auto"/>
          <w:szCs w:val="21"/>
          <w:highlight w:val="none"/>
        </w:rPr>
      </w:pPr>
      <w:r>
        <w:rPr>
          <w:rFonts w:ascii="宋体" w:hAnsi="宋体" w:cs="Courier New"/>
          <w:color w:val="auto"/>
          <w:szCs w:val="21"/>
          <w:highlight w:val="none"/>
        </w:rPr>
        <w:t>30.</w:t>
      </w:r>
      <w:r>
        <w:rPr>
          <w:rFonts w:hint="eastAsia" w:ascii="宋体" w:hAnsi="宋体" w:cs="Courier New"/>
          <w:color w:val="auto"/>
          <w:szCs w:val="21"/>
          <w:highlight w:val="none"/>
        </w:rPr>
        <w:t>4 中标人拒绝签订政府采购合同（包括但不限于放弃中标、因不可抗力不能履行合同而放弃签订合同），采购人可以按照评审报告推荐的中标候选人名单排序，确定下一候选人为中标供应商，也可以重新开展政府采购活动。</w:t>
      </w:r>
    </w:p>
    <w:p>
      <w:pPr>
        <w:pStyle w:val="5"/>
        <w:keepNext w:val="0"/>
        <w:keepLines w:val="0"/>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31. 结果公告</w:t>
      </w:r>
    </w:p>
    <w:p>
      <w:pPr>
        <w:pStyle w:val="5"/>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3</w:t>
      </w:r>
      <w:r>
        <w:rPr>
          <w:rFonts w:ascii="宋体" w:hAnsi="宋体"/>
          <w:b w:val="0"/>
          <w:color w:val="auto"/>
          <w:sz w:val="21"/>
          <w:szCs w:val="21"/>
          <w:highlight w:val="none"/>
        </w:rPr>
        <w:t>1.1</w:t>
      </w:r>
      <w:r>
        <w:rPr>
          <w:rFonts w:hint="eastAsia" w:ascii="宋体" w:hAnsi="宋体"/>
          <w:b w:val="0"/>
          <w:color w:val="auto"/>
          <w:sz w:val="21"/>
          <w:szCs w:val="21"/>
          <w:highlight w:val="none"/>
        </w:rPr>
        <w:t>采购人或者采购代理机构应当自中标人确定之日起2个工作日内，在省级以上财政部门指定的媒体上公告中标结果，招标文件应当随中标结果同时公告。采购人或者采购代理发出中标通知书前，应当对中标人信用进行查询，对列入失信被执行人、重大税收违法案件当事人名单、政府采购严重违法失信行为记录名单及其他不符合《中华人民共和国政府采购法》第二十二条规定条件的投标人，取消其中标资格，并确定排名第二的中标候选人为中标人。排名第二的中标候选人因前款规定的同样原因被取消中标资格的，采购人可以确定排名第三的中标候选人为中标人，以此类推。</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以上信息查询记录及相关证据与</w:t>
      </w:r>
      <w:r>
        <w:rPr>
          <w:rFonts w:hint="eastAsia" w:ascii="宋体" w:hAnsi="宋体"/>
          <w:color w:val="auto"/>
          <w:szCs w:val="21"/>
          <w:highlight w:val="none"/>
          <w:lang w:eastAsia="zh-CN"/>
        </w:rPr>
        <w:t>招标文件</w:t>
      </w:r>
      <w:r>
        <w:rPr>
          <w:rFonts w:hint="eastAsia" w:ascii="宋体" w:hAnsi="宋体"/>
          <w:color w:val="auto"/>
          <w:szCs w:val="21"/>
          <w:highlight w:val="none"/>
        </w:rPr>
        <w:t>一并保存。</w:t>
      </w:r>
    </w:p>
    <w:p>
      <w:pPr>
        <w:pStyle w:val="5"/>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31.2中标供应商享受《政府采购促进中小企业发展管理办法》（财库〔2020〕46号）规定的中小企业扶持政策的，采购人、采购代理机构应当随中标结果公开中标供应商的《中小企业声明函》。</w:t>
      </w:r>
    </w:p>
    <w:p>
      <w:pPr>
        <w:pStyle w:val="5"/>
        <w:keepNext w:val="0"/>
        <w:keepLines w:val="0"/>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32.发出中标通知书</w:t>
      </w:r>
    </w:p>
    <w:p>
      <w:pPr>
        <w:pStyle w:val="5"/>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在公告中标结果的同时，采购代理机构向中标人发出中标通知书。对未通过资格审查的投标人，应当告知其未通过的原因；采用综合评分办法评审的，还应当告知未中标人本人的评审得分与排序。</w:t>
      </w:r>
    </w:p>
    <w:p>
      <w:pPr>
        <w:pStyle w:val="5"/>
        <w:keepNext w:val="0"/>
        <w:keepLines w:val="0"/>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33. 无义务解释未中标原因</w:t>
      </w:r>
    </w:p>
    <w:p>
      <w:pPr>
        <w:pStyle w:val="5"/>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采购代理机构无义务向未中标的投标人解释未中标原因和退还投标文件。</w:t>
      </w:r>
    </w:p>
    <w:p>
      <w:pPr>
        <w:pStyle w:val="5"/>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34.合同授予标准</w:t>
      </w:r>
    </w:p>
    <w:p>
      <w:pPr>
        <w:snapToGrid w:val="0"/>
        <w:spacing w:line="360" w:lineRule="auto"/>
        <w:ind w:firstLine="420" w:firstLineChars="200"/>
        <w:rPr>
          <w:rFonts w:hint="eastAsia" w:ascii="宋体" w:hAnsi="宋体"/>
          <w:color w:val="auto"/>
          <w:szCs w:val="21"/>
          <w:highlight w:val="none"/>
        </w:rPr>
      </w:pPr>
      <w:r>
        <w:rPr>
          <w:rFonts w:hint="eastAsia" w:ascii="宋体" w:hAnsi="宋体" w:cs="Courier New"/>
          <w:color w:val="auto"/>
          <w:szCs w:val="21"/>
          <w:highlight w:val="none"/>
        </w:rPr>
        <w:t>合同将授予被确定实质上响应招标文件要求，具备履行合同能力的中标人。</w:t>
      </w:r>
    </w:p>
    <w:p>
      <w:pPr>
        <w:pStyle w:val="5"/>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35.履约保证金</w:t>
      </w:r>
    </w:p>
    <w:p>
      <w:pPr>
        <w:pStyle w:val="5"/>
        <w:keepNext w:val="0"/>
        <w:keepLines w:val="0"/>
        <w:spacing w:before="0" w:after="0" w:line="360" w:lineRule="auto"/>
        <w:ind w:firstLine="315" w:firstLineChars="150"/>
        <w:rPr>
          <w:rFonts w:hint="eastAsia" w:ascii="宋体" w:hAnsi="宋体"/>
          <w:b w:val="0"/>
          <w:color w:val="auto"/>
          <w:sz w:val="21"/>
          <w:szCs w:val="21"/>
          <w:highlight w:val="none"/>
        </w:rPr>
      </w:pPr>
      <w:bookmarkStart w:id="137" w:name="_39.1中标人须于签订合同前按本须知前附表规定的金额转账或电汇到指定账"/>
      <w:bookmarkEnd w:id="137"/>
      <w:r>
        <w:rPr>
          <w:rFonts w:ascii="宋体" w:hAnsi="宋体"/>
          <w:b w:val="0"/>
          <w:color w:val="auto"/>
          <w:sz w:val="21"/>
          <w:szCs w:val="21"/>
          <w:highlight w:val="none"/>
        </w:rPr>
        <w:t xml:space="preserve"> </w:t>
      </w:r>
      <w:r>
        <w:rPr>
          <w:rFonts w:hint="eastAsia" w:ascii="宋体" w:hAnsi="宋体"/>
          <w:b w:val="0"/>
          <w:color w:val="auto"/>
          <w:sz w:val="21"/>
          <w:szCs w:val="21"/>
          <w:highlight w:val="none"/>
        </w:rPr>
        <w:t>3</w:t>
      </w:r>
      <w:r>
        <w:rPr>
          <w:rFonts w:ascii="宋体" w:hAnsi="宋体"/>
          <w:b w:val="0"/>
          <w:color w:val="auto"/>
          <w:sz w:val="21"/>
          <w:szCs w:val="21"/>
          <w:highlight w:val="none"/>
        </w:rPr>
        <w:t>5</w:t>
      </w:r>
      <w:r>
        <w:rPr>
          <w:rFonts w:hint="eastAsia" w:ascii="宋体" w:hAnsi="宋体"/>
          <w:b w:val="0"/>
          <w:color w:val="auto"/>
          <w:sz w:val="21"/>
          <w:szCs w:val="21"/>
          <w:highlight w:val="none"/>
        </w:rPr>
        <w:t>.1 履约保证金的金额、提交方式、退付的时间和条件详见 “投标人须知前附表”。中标人未按规定提交履约保证金的，视为拒绝与采购人签订合同。</w:t>
      </w:r>
    </w:p>
    <w:p>
      <w:pPr>
        <w:pStyle w:val="5"/>
        <w:keepNext w:val="0"/>
        <w:keepLines w:val="0"/>
        <w:spacing w:before="0" w:after="0" w:line="360" w:lineRule="auto"/>
        <w:ind w:firstLine="316" w:firstLineChars="150"/>
        <w:rPr>
          <w:rFonts w:hint="eastAsia" w:ascii="宋体" w:hAnsi="宋体"/>
          <w:color w:val="auto"/>
          <w:sz w:val="21"/>
          <w:szCs w:val="21"/>
          <w:highlight w:val="none"/>
        </w:rPr>
      </w:pPr>
      <w:r>
        <w:rPr>
          <w:rFonts w:hint="eastAsia" w:ascii="宋体" w:hAnsi="宋体"/>
          <w:color w:val="auto"/>
          <w:sz w:val="21"/>
          <w:szCs w:val="21"/>
          <w:highlight w:val="none"/>
        </w:rPr>
        <w:t xml:space="preserve"> </w:t>
      </w:r>
      <w:r>
        <w:rPr>
          <w:rFonts w:hint="eastAsia" w:ascii="宋体" w:hAnsi="宋体"/>
          <w:b w:val="0"/>
          <w:bCs/>
          <w:color w:val="auto"/>
          <w:sz w:val="21"/>
          <w:szCs w:val="21"/>
          <w:highlight w:val="none"/>
        </w:rPr>
        <w:t>35.2在履约保证金退还日期前，若中标人的开户名称、开户银行、帐号有变动的，请以书面形式通知履约保证金收取单位，否则由此产生的后果由中标人自行承担。</w:t>
      </w:r>
    </w:p>
    <w:p>
      <w:pPr>
        <w:pStyle w:val="5"/>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36.签订合同</w:t>
      </w:r>
    </w:p>
    <w:p>
      <w:pPr>
        <w:pStyle w:val="5"/>
        <w:keepNext w:val="0"/>
        <w:keepLines w:val="0"/>
        <w:spacing w:before="0" w:after="0" w:line="360" w:lineRule="auto"/>
        <w:ind w:firstLine="315" w:firstLineChars="150"/>
        <w:rPr>
          <w:rFonts w:hint="eastAsia" w:ascii="宋体" w:hAnsi="宋体"/>
          <w:b w:val="0"/>
          <w:color w:val="auto"/>
          <w:sz w:val="21"/>
          <w:szCs w:val="21"/>
          <w:highlight w:val="none"/>
        </w:rPr>
      </w:pPr>
      <w:bookmarkStart w:id="138" w:name="_40.1投标人接到中标通知书后，按须知前附表规定向采购人出示相关资格证"/>
      <w:bookmarkEnd w:id="138"/>
      <w:r>
        <w:rPr>
          <w:rFonts w:hint="eastAsia" w:ascii="宋体" w:hAnsi="宋体"/>
          <w:b w:val="0"/>
          <w:color w:val="auto"/>
          <w:sz w:val="21"/>
          <w:szCs w:val="21"/>
          <w:highlight w:val="none"/>
        </w:rPr>
        <w:t xml:space="preserve"> 36.1投标人领取中标通知书后，按“投标人须知前附表”规定向采购人出示相关证明材料，经采购人核验合格后方可签订合同。</w:t>
      </w:r>
    </w:p>
    <w:p>
      <w:pPr>
        <w:pStyle w:val="5"/>
        <w:keepNext w:val="0"/>
        <w:keepLines w:val="0"/>
        <w:numPr>
          <w:ilvl w:val="0"/>
          <w:numId w:val="0"/>
        </w:numPr>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36.2签订合同时间：按中标通知书规定的时间与采购人签订合同。</w:t>
      </w:r>
    </w:p>
    <w:p>
      <w:pPr>
        <w:pStyle w:val="5"/>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36.</w:t>
      </w:r>
      <w:r>
        <w:rPr>
          <w:rFonts w:ascii="宋体" w:hAnsi="宋体"/>
          <w:b w:val="0"/>
          <w:color w:val="auto"/>
          <w:sz w:val="21"/>
          <w:szCs w:val="21"/>
          <w:highlight w:val="none"/>
        </w:rPr>
        <w:t>3</w:t>
      </w:r>
      <w:r>
        <w:rPr>
          <w:rFonts w:hint="eastAsia" w:ascii="宋体" w:hAnsi="宋体"/>
          <w:b w:val="0"/>
          <w:color w:val="auto"/>
          <w:sz w:val="21"/>
          <w:szCs w:val="21"/>
          <w:highlight w:val="none"/>
        </w:rPr>
        <w:t>中标人拒绝与采购人签订合同的，按照本须知正文第3</w:t>
      </w:r>
      <w:r>
        <w:rPr>
          <w:rFonts w:ascii="宋体" w:hAnsi="宋体"/>
          <w:b w:val="0"/>
          <w:color w:val="auto"/>
          <w:sz w:val="21"/>
          <w:szCs w:val="21"/>
          <w:highlight w:val="none"/>
        </w:rPr>
        <w:t>0.4条</w:t>
      </w:r>
      <w:r>
        <w:rPr>
          <w:rFonts w:hint="eastAsia" w:ascii="宋体" w:hAnsi="宋体"/>
          <w:b w:val="0"/>
          <w:color w:val="auto"/>
          <w:sz w:val="21"/>
          <w:szCs w:val="21"/>
          <w:highlight w:val="none"/>
        </w:rPr>
        <w:t>的规定执行。</w:t>
      </w:r>
    </w:p>
    <w:p>
      <w:pPr>
        <w:pStyle w:val="5"/>
        <w:keepNext w:val="0"/>
        <w:keepLines w:val="0"/>
        <w:spacing w:before="0" w:after="0" w:line="360" w:lineRule="auto"/>
        <w:ind w:left="420" w:leftChars="200"/>
        <w:rPr>
          <w:rFonts w:hint="eastAsia" w:ascii="黑体" w:hAnsi="黑体" w:eastAsia="黑体"/>
          <w:color w:val="auto"/>
          <w:sz w:val="24"/>
          <w:highlight w:val="none"/>
        </w:rPr>
      </w:pPr>
      <w:bookmarkStart w:id="139" w:name="_41.政府采购合同公告"/>
      <w:bookmarkEnd w:id="139"/>
      <w:r>
        <w:rPr>
          <w:rFonts w:hint="eastAsia" w:ascii="黑体" w:hAnsi="黑体" w:eastAsia="黑体"/>
          <w:color w:val="auto"/>
          <w:sz w:val="24"/>
          <w:highlight w:val="none"/>
        </w:rPr>
        <w:t>37.政府采购合同公告</w:t>
      </w:r>
    </w:p>
    <w:p>
      <w:pPr>
        <w:pStyle w:val="12"/>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采购人或者受托采购代理机构应当自政府采购合同签订之日起2个工作日内，将政府采购合同在省级以上人民政府财政部门指定的媒体上公告，</w:t>
      </w:r>
      <w:r>
        <w:rPr>
          <w:rFonts w:hAnsi="宋体"/>
          <w:color w:val="auto"/>
          <w:sz w:val="21"/>
          <w:highlight w:val="none"/>
        </w:rPr>
        <w:t>但政府采购合同中涉及国家秘密、商业秘密的内容除外。</w:t>
      </w:r>
    </w:p>
    <w:p>
      <w:pPr>
        <w:pStyle w:val="5"/>
        <w:keepNext w:val="0"/>
        <w:keepLines w:val="0"/>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3</w:t>
      </w:r>
      <w:r>
        <w:rPr>
          <w:rFonts w:ascii="黑体" w:hAnsi="黑体" w:eastAsia="黑体"/>
          <w:color w:val="auto"/>
          <w:sz w:val="24"/>
          <w:highlight w:val="none"/>
        </w:rPr>
        <w:t>8.</w:t>
      </w:r>
      <w:r>
        <w:rPr>
          <w:rFonts w:hint="eastAsia" w:ascii="黑体" w:hAnsi="黑体" w:eastAsia="黑体"/>
          <w:color w:val="auto"/>
          <w:sz w:val="24"/>
          <w:highlight w:val="none"/>
        </w:rPr>
        <w:t xml:space="preserve"> 询问、质疑和投诉</w:t>
      </w:r>
    </w:p>
    <w:p>
      <w:pPr>
        <w:pStyle w:val="6"/>
        <w:spacing w:line="360" w:lineRule="auto"/>
        <w:rPr>
          <w:rFonts w:hint="eastAsia" w:ascii="宋体" w:hAnsi="宋体"/>
          <w:color w:val="auto"/>
          <w:szCs w:val="21"/>
          <w:highlight w:val="none"/>
        </w:rPr>
      </w:pPr>
      <w:r>
        <w:rPr>
          <w:rFonts w:ascii="宋体" w:hAnsi="宋体"/>
          <w:color w:val="auto"/>
          <w:szCs w:val="21"/>
          <w:highlight w:val="none"/>
        </w:rPr>
        <w:t>38.1</w:t>
      </w:r>
      <w:r>
        <w:rPr>
          <w:rFonts w:hint="eastAsia" w:ascii="宋体" w:hAnsi="宋体"/>
          <w:color w:val="auto"/>
          <w:szCs w:val="21"/>
          <w:highlight w:val="none"/>
        </w:rPr>
        <w:t>供应商对政府采购活动事项有疑问的，可以向采购人提出询问，采购人或者采购代理机构应当在3个工作日内对供应商依法提出的询问作出答复，但答复的内容不得涉及商业秘密。</w:t>
      </w:r>
    </w:p>
    <w:p>
      <w:pPr>
        <w:pStyle w:val="5"/>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w:t>
      </w:r>
      <w:r>
        <w:rPr>
          <w:rFonts w:ascii="宋体" w:hAnsi="宋体"/>
          <w:b w:val="0"/>
          <w:color w:val="auto"/>
          <w:sz w:val="21"/>
          <w:szCs w:val="21"/>
          <w:highlight w:val="none"/>
        </w:rPr>
        <w:t>38</w:t>
      </w:r>
      <w:r>
        <w:rPr>
          <w:rFonts w:hint="eastAsia" w:ascii="宋体" w:hAnsi="宋体"/>
          <w:b w:val="0"/>
          <w:color w:val="auto"/>
          <w:sz w:val="21"/>
          <w:szCs w:val="21"/>
          <w:highlight w:val="none"/>
        </w:rPr>
        <w:t>.</w:t>
      </w:r>
      <w:r>
        <w:rPr>
          <w:rFonts w:ascii="宋体" w:hAnsi="宋体"/>
          <w:b w:val="0"/>
          <w:color w:val="auto"/>
          <w:sz w:val="21"/>
          <w:szCs w:val="21"/>
          <w:highlight w:val="none"/>
        </w:rPr>
        <w:t>2</w:t>
      </w:r>
      <w:r>
        <w:rPr>
          <w:rFonts w:hint="eastAsia" w:ascii="宋体" w:hAnsi="宋体"/>
          <w:b w:val="0"/>
          <w:color w:val="auto"/>
          <w:sz w:val="21"/>
          <w:szCs w:val="21"/>
          <w:highlight w:val="none"/>
        </w:rPr>
        <w:t xml:space="preserve">供应商认为招标文件、采购过程或者中标结果使自己的合法权益受到损害的，必须在知道或者应知其权益受到损害之日起7个工作日内，以书面形式向采购人、采购代理机构提出质疑。采购人、采购代理机构接收质疑函的方式、联系部门、联系电话和通讯地址等信息详见“投标人须知前附表”。具体质疑起算时间如下： </w:t>
      </w:r>
    </w:p>
    <w:p>
      <w:pPr>
        <w:pStyle w:val="12"/>
        <w:snapToGrid w:val="0"/>
        <w:spacing w:line="360" w:lineRule="auto"/>
        <w:ind w:firstLine="420" w:firstLineChars="200"/>
        <w:rPr>
          <w:rFonts w:hAnsi="宋体"/>
          <w:color w:val="auto"/>
          <w:sz w:val="21"/>
          <w:highlight w:val="none"/>
        </w:rPr>
      </w:pPr>
      <w:r>
        <w:rPr>
          <w:rFonts w:hAnsi="宋体"/>
          <w:color w:val="auto"/>
          <w:sz w:val="21"/>
          <w:highlight w:val="none"/>
        </w:rPr>
        <w:t>（</w:t>
      </w:r>
      <w:r>
        <w:rPr>
          <w:rFonts w:hint="eastAsia" w:hAnsi="宋体"/>
          <w:color w:val="auto"/>
          <w:sz w:val="21"/>
          <w:highlight w:val="none"/>
        </w:rPr>
        <w:t>1</w:t>
      </w:r>
      <w:r>
        <w:rPr>
          <w:rFonts w:hAnsi="宋体"/>
          <w:color w:val="auto"/>
          <w:sz w:val="21"/>
          <w:highlight w:val="none"/>
        </w:rPr>
        <w:t>）对可以质疑的</w:t>
      </w:r>
      <w:r>
        <w:rPr>
          <w:rFonts w:hint="eastAsia" w:hAnsi="宋体"/>
          <w:color w:val="auto"/>
          <w:sz w:val="21"/>
          <w:highlight w:val="none"/>
        </w:rPr>
        <w:t>招标</w:t>
      </w:r>
      <w:r>
        <w:rPr>
          <w:rFonts w:hAnsi="宋体"/>
          <w:color w:val="auto"/>
          <w:sz w:val="21"/>
          <w:highlight w:val="none"/>
        </w:rPr>
        <w:t>文件提出质疑的，为收到</w:t>
      </w:r>
      <w:r>
        <w:rPr>
          <w:rFonts w:hint="eastAsia" w:hAnsi="宋体"/>
          <w:color w:val="auto"/>
          <w:sz w:val="21"/>
          <w:highlight w:val="none"/>
        </w:rPr>
        <w:t>招标</w:t>
      </w:r>
      <w:r>
        <w:rPr>
          <w:rFonts w:hAnsi="宋体"/>
          <w:color w:val="auto"/>
          <w:sz w:val="21"/>
          <w:highlight w:val="none"/>
        </w:rPr>
        <w:t>文件之日</w:t>
      </w:r>
      <w:r>
        <w:rPr>
          <w:rFonts w:hint="eastAsia" w:hAnsi="宋体"/>
          <w:color w:val="auto"/>
          <w:sz w:val="21"/>
          <w:highlight w:val="none"/>
        </w:rPr>
        <w:t>或者招标文件公告期限届满之日</w:t>
      </w:r>
      <w:r>
        <w:rPr>
          <w:rFonts w:hAnsi="宋体"/>
          <w:color w:val="auto"/>
          <w:sz w:val="21"/>
          <w:highlight w:val="none"/>
        </w:rPr>
        <w:t>；</w:t>
      </w:r>
    </w:p>
    <w:p>
      <w:pPr>
        <w:pStyle w:val="12"/>
        <w:snapToGrid w:val="0"/>
        <w:spacing w:line="360" w:lineRule="auto"/>
        <w:ind w:firstLine="420" w:firstLineChars="200"/>
        <w:rPr>
          <w:rFonts w:hint="eastAsia" w:hAnsi="宋体"/>
          <w:color w:val="auto"/>
          <w:sz w:val="21"/>
          <w:highlight w:val="none"/>
        </w:rPr>
      </w:pPr>
      <w:r>
        <w:rPr>
          <w:rFonts w:hAnsi="宋体"/>
          <w:color w:val="auto"/>
          <w:sz w:val="21"/>
          <w:highlight w:val="none"/>
        </w:rPr>
        <w:t>（</w:t>
      </w:r>
      <w:r>
        <w:rPr>
          <w:rFonts w:hint="eastAsia" w:hAnsi="宋体"/>
          <w:color w:val="auto"/>
          <w:sz w:val="21"/>
          <w:highlight w:val="none"/>
        </w:rPr>
        <w:t>2</w:t>
      </w:r>
      <w:r>
        <w:rPr>
          <w:rFonts w:hAnsi="宋体"/>
          <w:color w:val="auto"/>
          <w:sz w:val="21"/>
          <w:highlight w:val="none"/>
        </w:rPr>
        <w:t>）对</w:t>
      </w:r>
      <w:r>
        <w:rPr>
          <w:rFonts w:hint="eastAsia" w:hAnsi="宋体"/>
          <w:color w:val="auto"/>
          <w:sz w:val="21"/>
          <w:highlight w:val="none"/>
        </w:rPr>
        <w:t>采购</w:t>
      </w:r>
      <w:r>
        <w:rPr>
          <w:rFonts w:hAnsi="宋体"/>
          <w:color w:val="auto"/>
          <w:sz w:val="21"/>
          <w:highlight w:val="none"/>
        </w:rPr>
        <w:t>过程提出质疑的，为各采购程序环节结束之日；</w:t>
      </w:r>
    </w:p>
    <w:p>
      <w:pPr>
        <w:pStyle w:val="12"/>
        <w:snapToGrid w:val="0"/>
        <w:spacing w:line="360" w:lineRule="auto"/>
        <w:ind w:firstLine="420" w:firstLineChars="200"/>
        <w:rPr>
          <w:rFonts w:hint="eastAsia" w:hAnsi="宋体"/>
          <w:bCs/>
          <w:color w:val="auto"/>
          <w:sz w:val="21"/>
          <w:highlight w:val="none"/>
        </w:rPr>
      </w:pPr>
      <w:r>
        <w:rPr>
          <w:rFonts w:hAnsi="宋体"/>
          <w:color w:val="auto"/>
          <w:sz w:val="21"/>
          <w:highlight w:val="none"/>
        </w:rPr>
        <w:t>（</w:t>
      </w:r>
      <w:r>
        <w:rPr>
          <w:rFonts w:hint="eastAsia" w:hAnsi="宋体"/>
          <w:color w:val="auto"/>
          <w:sz w:val="21"/>
          <w:highlight w:val="none"/>
        </w:rPr>
        <w:t>3</w:t>
      </w:r>
      <w:r>
        <w:rPr>
          <w:rFonts w:hAnsi="宋体"/>
          <w:color w:val="auto"/>
          <w:sz w:val="21"/>
          <w:highlight w:val="none"/>
        </w:rPr>
        <w:t>）对中标结果提出质疑的，为中标结果公告期限届满之日。</w:t>
      </w:r>
    </w:p>
    <w:p>
      <w:pPr>
        <w:pStyle w:val="5"/>
        <w:keepNext w:val="0"/>
        <w:keepLines w:val="0"/>
        <w:spacing w:before="0" w:after="0" w:line="360" w:lineRule="auto"/>
        <w:ind w:firstLine="315" w:firstLineChars="150"/>
        <w:rPr>
          <w:rFonts w:ascii="宋体" w:hAnsi="宋体"/>
          <w:b w:val="0"/>
          <w:color w:val="auto"/>
          <w:sz w:val="21"/>
          <w:szCs w:val="21"/>
          <w:highlight w:val="none"/>
        </w:rPr>
      </w:pPr>
      <w:r>
        <w:rPr>
          <w:rFonts w:ascii="宋体" w:hAnsi="宋体"/>
          <w:b w:val="0"/>
          <w:color w:val="auto"/>
          <w:sz w:val="21"/>
          <w:szCs w:val="21"/>
          <w:highlight w:val="none"/>
        </w:rPr>
        <w:t>38</w:t>
      </w:r>
      <w:r>
        <w:rPr>
          <w:rFonts w:hint="eastAsia" w:ascii="宋体" w:hAnsi="宋体"/>
          <w:b w:val="0"/>
          <w:color w:val="auto"/>
          <w:sz w:val="21"/>
          <w:szCs w:val="21"/>
          <w:highlight w:val="none"/>
        </w:rPr>
        <w:t>.</w:t>
      </w:r>
      <w:r>
        <w:rPr>
          <w:rFonts w:ascii="宋体" w:hAnsi="宋体"/>
          <w:b w:val="0"/>
          <w:color w:val="auto"/>
          <w:sz w:val="21"/>
          <w:szCs w:val="21"/>
          <w:highlight w:val="none"/>
        </w:rPr>
        <w:t>3</w:t>
      </w:r>
      <w:r>
        <w:rPr>
          <w:rFonts w:hint="eastAsia" w:ascii="宋体" w:hAnsi="宋体"/>
          <w:b w:val="0"/>
          <w:color w:val="auto"/>
          <w:sz w:val="21"/>
          <w:szCs w:val="21"/>
          <w:highlight w:val="none"/>
        </w:rPr>
        <w:t xml:space="preserve"> </w:t>
      </w:r>
      <w:r>
        <w:rPr>
          <w:rFonts w:hAnsi="宋体"/>
          <w:bCs/>
          <w:color w:val="auto"/>
          <w:sz w:val="21"/>
          <w:highlight w:val="none"/>
        </w:rPr>
        <w:t>供应商提出质疑应当提交质疑函和必要的证明材料</w:t>
      </w:r>
      <w:r>
        <w:rPr>
          <w:rFonts w:hint="eastAsia" w:hAnsi="宋体"/>
          <w:bCs/>
          <w:color w:val="auto"/>
          <w:sz w:val="21"/>
          <w:highlight w:val="none"/>
        </w:rPr>
        <w:t>，</w:t>
      </w:r>
      <w:r>
        <w:rPr>
          <w:rFonts w:hAnsi="宋体"/>
          <w:bCs/>
          <w:color w:val="auto"/>
          <w:sz w:val="21"/>
          <w:highlight w:val="none"/>
        </w:rPr>
        <w:t>针对同一采购程序环节的质疑</w:t>
      </w:r>
      <w:r>
        <w:rPr>
          <w:rFonts w:hint="eastAsia" w:hAnsi="宋体"/>
          <w:bCs/>
          <w:color w:val="auto"/>
          <w:sz w:val="21"/>
          <w:highlight w:val="none"/>
        </w:rPr>
        <w:t>必须</w:t>
      </w:r>
      <w:r>
        <w:rPr>
          <w:rFonts w:hAnsi="宋体"/>
          <w:bCs/>
          <w:color w:val="auto"/>
          <w:sz w:val="21"/>
          <w:highlight w:val="none"/>
        </w:rPr>
        <w:t>在法定质疑期内一次性提出。质疑函应当包括下列内容</w:t>
      </w:r>
      <w:r>
        <w:rPr>
          <w:rFonts w:hint="eastAsia" w:hAnsi="宋体"/>
          <w:bCs/>
          <w:color w:val="auto"/>
          <w:sz w:val="21"/>
          <w:highlight w:val="none"/>
        </w:rPr>
        <w:t>（质疑函格式后附）</w:t>
      </w:r>
      <w:r>
        <w:rPr>
          <w:rFonts w:hAnsi="宋体"/>
          <w:bCs/>
          <w:color w:val="auto"/>
          <w:sz w:val="21"/>
          <w:highlight w:val="none"/>
        </w:rPr>
        <w:t>：</w:t>
      </w:r>
    </w:p>
    <w:p>
      <w:pPr>
        <w:pStyle w:val="12"/>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1</w:t>
      </w:r>
      <w:r>
        <w:rPr>
          <w:rFonts w:hAnsi="宋体"/>
          <w:bCs/>
          <w:color w:val="auto"/>
          <w:sz w:val="21"/>
          <w:highlight w:val="none"/>
        </w:rPr>
        <w:t>）供应商的姓名或者名称、地址、邮编、联系人及联系电话；</w:t>
      </w:r>
    </w:p>
    <w:p>
      <w:pPr>
        <w:pStyle w:val="12"/>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2</w:t>
      </w:r>
      <w:r>
        <w:rPr>
          <w:rFonts w:hAnsi="宋体"/>
          <w:bCs/>
          <w:color w:val="auto"/>
          <w:sz w:val="21"/>
          <w:highlight w:val="none"/>
        </w:rPr>
        <w:t>）质疑项目的名称、编号；</w:t>
      </w:r>
    </w:p>
    <w:p>
      <w:pPr>
        <w:pStyle w:val="12"/>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3</w:t>
      </w:r>
      <w:r>
        <w:rPr>
          <w:rFonts w:hAnsi="宋体"/>
          <w:bCs/>
          <w:color w:val="auto"/>
          <w:sz w:val="21"/>
          <w:highlight w:val="none"/>
        </w:rPr>
        <w:t>）具体、明确的质疑事项和与质疑事项相关的请求；</w:t>
      </w:r>
    </w:p>
    <w:p>
      <w:pPr>
        <w:pStyle w:val="12"/>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4</w:t>
      </w:r>
      <w:r>
        <w:rPr>
          <w:rFonts w:hAnsi="宋体"/>
          <w:bCs/>
          <w:color w:val="auto"/>
          <w:sz w:val="21"/>
          <w:highlight w:val="none"/>
        </w:rPr>
        <w:t>）事实依据；</w:t>
      </w:r>
    </w:p>
    <w:p>
      <w:pPr>
        <w:pStyle w:val="12"/>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5</w:t>
      </w:r>
      <w:r>
        <w:rPr>
          <w:rFonts w:hAnsi="宋体"/>
          <w:bCs/>
          <w:color w:val="auto"/>
          <w:sz w:val="21"/>
          <w:highlight w:val="none"/>
        </w:rPr>
        <w:t>）必要的法律依据；</w:t>
      </w:r>
    </w:p>
    <w:p>
      <w:pPr>
        <w:pStyle w:val="12"/>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6</w:t>
      </w:r>
      <w:r>
        <w:rPr>
          <w:rFonts w:hAnsi="宋体"/>
          <w:bCs/>
          <w:color w:val="auto"/>
          <w:sz w:val="21"/>
          <w:highlight w:val="none"/>
        </w:rPr>
        <w:t>）提出质疑的日期。</w:t>
      </w:r>
    </w:p>
    <w:p>
      <w:pPr>
        <w:pStyle w:val="12"/>
        <w:snapToGrid w:val="0"/>
        <w:spacing w:line="360" w:lineRule="auto"/>
        <w:ind w:firstLine="420" w:firstLineChars="200"/>
        <w:rPr>
          <w:rFonts w:hint="eastAsia" w:hAnsi="宋体"/>
          <w:bCs/>
          <w:color w:val="auto"/>
          <w:sz w:val="21"/>
          <w:highlight w:val="none"/>
        </w:rPr>
      </w:pPr>
      <w:r>
        <w:rPr>
          <w:rFonts w:hAnsi="宋体"/>
          <w:bCs/>
          <w:color w:val="auto"/>
          <w:sz w:val="21"/>
          <w:highlight w:val="none"/>
        </w:rPr>
        <w:t>供应商为自然人的，应当由本人签字；供应商为法人或者其他组织的，应当由法定代表人、主要负责人，或者其委托代理人签字或者盖章，并加盖公章</w:t>
      </w:r>
      <w:r>
        <w:rPr>
          <w:rFonts w:hint="eastAsia" w:hAnsi="宋体"/>
          <w:bCs/>
          <w:color w:val="auto"/>
          <w:sz w:val="21"/>
          <w:highlight w:val="none"/>
        </w:rPr>
        <w:t>。</w:t>
      </w:r>
    </w:p>
    <w:p>
      <w:pPr>
        <w:pStyle w:val="5"/>
        <w:keepNext w:val="0"/>
        <w:keepLines w:val="0"/>
        <w:snapToGrid w:val="0"/>
        <w:spacing w:before="0" w:after="0" w:line="360" w:lineRule="auto"/>
        <w:ind w:firstLine="420" w:firstLineChars="200"/>
        <w:rPr>
          <w:rFonts w:hint="eastAsia" w:ascii="宋体" w:hAnsi="宋体"/>
          <w:b w:val="0"/>
          <w:bCs/>
          <w:color w:val="auto"/>
          <w:sz w:val="21"/>
          <w:szCs w:val="21"/>
          <w:highlight w:val="none"/>
        </w:rPr>
      </w:pPr>
      <w:r>
        <w:rPr>
          <w:rFonts w:ascii="宋体" w:hAnsi="宋体"/>
          <w:b w:val="0"/>
          <w:color w:val="auto"/>
          <w:sz w:val="21"/>
          <w:szCs w:val="21"/>
          <w:highlight w:val="none"/>
        </w:rPr>
        <w:t>3</w:t>
      </w:r>
      <w:r>
        <w:rPr>
          <w:rFonts w:ascii="宋体" w:hAnsi="宋体"/>
          <w:b w:val="0"/>
          <w:bCs/>
          <w:color w:val="auto"/>
          <w:sz w:val="21"/>
          <w:szCs w:val="21"/>
          <w:highlight w:val="none"/>
        </w:rPr>
        <w:t>8.4</w:t>
      </w:r>
      <w:r>
        <w:rPr>
          <w:rFonts w:hint="eastAsia" w:ascii="宋体" w:hAnsi="宋体"/>
          <w:b w:val="0"/>
          <w:bCs/>
          <w:color w:val="auto"/>
          <w:sz w:val="21"/>
          <w:szCs w:val="21"/>
          <w:highlight w:val="none"/>
        </w:rPr>
        <w:t>采购人、采购代理机构认为供应商质疑不成立，或者成立但未对中标结果构成影响的，继续开展采购活动；认为供应商质疑成立且影响或者可能影响中标结果的，按照下列情况处理：</w:t>
      </w:r>
    </w:p>
    <w:p>
      <w:pPr>
        <w:pStyle w:val="12"/>
        <w:snapToGrid w:val="0"/>
        <w:spacing w:line="360" w:lineRule="auto"/>
        <w:rPr>
          <w:rFonts w:hint="eastAsia" w:hAnsi="宋体"/>
          <w:bCs/>
          <w:color w:val="auto"/>
          <w:sz w:val="21"/>
          <w:highlight w:val="none"/>
        </w:rPr>
      </w:pPr>
      <w:r>
        <w:rPr>
          <w:rFonts w:hint="eastAsia" w:hAnsi="宋体"/>
          <w:bCs/>
          <w:color w:val="auto"/>
          <w:sz w:val="21"/>
          <w:highlight w:val="none"/>
        </w:rPr>
        <w:t>　　（</w:t>
      </w:r>
      <w:r>
        <w:rPr>
          <w:rFonts w:hint="eastAsia" w:hAnsi="宋体"/>
          <w:bCs/>
          <w:color w:val="auto"/>
          <w:sz w:val="21"/>
          <w:highlight w:val="none"/>
          <w:lang w:eastAsia="zh-CN"/>
        </w:rPr>
        <w:t>1</w:t>
      </w:r>
      <w:r>
        <w:rPr>
          <w:rFonts w:hint="eastAsia" w:hAnsi="宋体"/>
          <w:bCs/>
          <w:color w:val="auto"/>
          <w:sz w:val="21"/>
          <w:highlight w:val="none"/>
        </w:rPr>
        <w:t>）对招标文件提出的质疑，依法通过澄清或者修改可以继续开展采购活动的，澄清或者修改招标文件后继续开展采购活动；否则应当修改招标文件后重新开展采购活动。</w:t>
      </w:r>
    </w:p>
    <w:p>
      <w:pPr>
        <w:pStyle w:val="12"/>
        <w:snapToGrid w:val="0"/>
        <w:spacing w:line="360" w:lineRule="auto"/>
        <w:rPr>
          <w:rFonts w:hint="eastAsia" w:hAnsi="宋体"/>
          <w:bCs/>
          <w:color w:val="auto"/>
          <w:sz w:val="21"/>
          <w:highlight w:val="none"/>
        </w:rPr>
      </w:pPr>
      <w:r>
        <w:rPr>
          <w:rFonts w:hint="eastAsia" w:hAnsi="宋体"/>
          <w:bCs/>
          <w:color w:val="auto"/>
          <w:sz w:val="21"/>
          <w:highlight w:val="none"/>
        </w:rPr>
        <w:t>　　（</w:t>
      </w:r>
      <w:r>
        <w:rPr>
          <w:rFonts w:hint="eastAsia" w:hAnsi="宋体"/>
          <w:bCs/>
          <w:color w:val="auto"/>
          <w:sz w:val="21"/>
          <w:highlight w:val="none"/>
          <w:lang w:eastAsia="zh-CN"/>
        </w:rPr>
        <w:t>2</w:t>
      </w:r>
      <w:r>
        <w:rPr>
          <w:rFonts w:hint="eastAsia" w:hAnsi="宋体"/>
          <w:bCs/>
          <w:color w:val="auto"/>
          <w:sz w:val="21"/>
          <w:highlight w:val="none"/>
        </w:rPr>
        <w:t>）对采购过程、中标结果提出的质疑，合格供应商符合法定数量时，可以从合格的中标候选人中另行确定中标供应商的，应当依法另行确定中标供应商；否则应当重新开展采购活动。</w:t>
      </w:r>
    </w:p>
    <w:p>
      <w:pPr>
        <w:pStyle w:val="12"/>
        <w:snapToGrid w:val="0"/>
        <w:spacing w:line="360" w:lineRule="auto"/>
        <w:ind w:firstLine="420"/>
        <w:rPr>
          <w:rFonts w:hAnsi="宋体"/>
          <w:bCs/>
          <w:color w:val="auto"/>
          <w:sz w:val="21"/>
          <w:highlight w:val="none"/>
        </w:rPr>
      </w:pPr>
      <w:r>
        <w:rPr>
          <w:rFonts w:hint="eastAsia" w:hAnsi="宋体"/>
          <w:bCs/>
          <w:color w:val="auto"/>
          <w:sz w:val="21"/>
          <w:highlight w:val="none"/>
        </w:rPr>
        <w:t>质疑答复导致中标结果改变的，采购人或者采购代理机构应当将有关情况书面报告本级财政部门。</w:t>
      </w:r>
    </w:p>
    <w:p>
      <w:pPr>
        <w:pStyle w:val="12"/>
        <w:snapToGrid w:val="0"/>
        <w:spacing w:line="360" w:lineRule="auto"/>
        <w:ind w:firstLine="420" w:firstLineChars="200"/>
        <w:rPr>
          <w:rFonts w:hint="eastAsia" w:hAnsi="宋体"/>
          <w:color w:val="auto"/>
          <w:sz w:val="21"/>
          <w:highlight w:val="none"/>
        </w:rPr>
      </w:pPr>
      <w:r>
        <w:rPr>
          <w:rFonts w:hAnsi="宋体"/>
          <w:color w:val="auto"/>
          <w:sz w:val="21"/>
          <w:highlight w:val="none"/>
        </w:rPr>
        <w:t>38</w:t>
      </w:r>
      <w:r>
        <w:rPr>
          <w:rFonts w:hint="eastAsia" w:hAnsi="宋体"/>
          <w:color w:val="auto"/>
          <w:sz w:val="21"/>
          <w:highlight w:val="none"/>
        </w:rPr>
        <w:t>.</w:t>
      </w:r>
      <w:r>
        <w:rPr>
          <w:rFonts w:hAnsi="宋体"/>
          <w:color w:val="auto"/>
          <w:sz w:val="21"/>
          <w:highlight w:val="none"/>
        </w:rPr>
        <w:t>5</w:t>
      </w:r>
      <w:r>
        <w:rPr>
          <w:rFonts w:hint="eastAsia" w:hAnsi="宋体"/>
          <w:color w:val="auto"/>
          <w:sz w:val="21"/>
          <w:highlight w:val="none"/>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pPr>
        <w:pStyle w:val="12"/>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监督部门</w:t>
      </w:r>
      <w:r>
        <w:rPr>
          <w:rFonts w:hint="eastAsia" w:hAnsi="宋体"/>
          <w:color w:val="auto"/>
          <w:sz w:val="21"/>
          <w:highlight w:val="none"/>
          <w:lang w:val="en-US" w:eastAsia="zh-CN"/>
        </w:rPr>
        <w:t>联系方式</w:t>
      </w:r>
      <w:r>
        <w:rPr>
          <w:rFonts w:hint="eastAsia" w:hAnsi="宋体"/>
          <w:color w:val="auto"/>
          <w:sz w:val="21"/>
          <w:highlight w:val="none"/>
        </w:rPr>
        <w:t>：</w:t>
      </w:r>
    </w:p>
    <w:p>
      <w:pPr>
        <w:pStyle w:val="12"/>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靖西市财政局 电话：0776-6231753</w:t>
      </w:r>
    </w:p>
    <w:p>
      <w:pPr>
        <w:pStyle w:val="12"/>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靖西市卫生健康局 电话：0776-6231963</w:t>
      </w:r>
    </w:p>
    <w:p>
      <w:pPr>
        <w:pStyle w:val="12"/>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靖西市公共资源交易监督管理办公室 电话：0776-6150686</w:t>
      </w:r>
    </w:p>
    <w:p>
      <w:pPr>
        <w:pStyle w:val="12"/>
        <w:snapToGrid w:val="0"/>
        <w:spacing w:line="360" w:lineRule="auto"/>
        <w:ind w:firstLine="420" w:firstLineChars="200"/>
        <w:rPr>
          <w:rFonts w:hint="eastAsia"/>
          <w:color w:val="auto"/>
          <w:highlight w:val="none"/>
        </w:rPr>
      </w:pPr>
      <w:r>
        <w:rPr>
          <w:rFonts w:hint="eastAsia" w:hAnsi="宋体"/>
          <w:color w:val="auto"/>
          <w:sz w:val="21"/>
          <w:highlight w:val="none"/>
        </w:rPr>
        <w:t>靖西市纪委监察委 举报电话 0776-6229906</w:t>
      </w:r>
      <w:bookmarkStart w:id="140" w:name="_八、其他事项"/>
      <w:bookmarkEnd w:id="140"/>
    </w:p>
    <w:p>
      <w:pPr>
        <w:pStyle w:val="4"/>
        <w:keepNext w:val="0"/>
        <w:keepLines w:val="0"/>
        <w:jc w:val="center"/>
        <w:rPr>
          <w:rFonts w:hint="eastAsia"/>
          <w:color w:val="auto"/>
          <w:highlight w:val="none"/>
        </w:rPr>
      </w:pPr>
      <w:r>
        <w:rPr>
          <w:rFonts w:hint="eastAsia"/>
          <w:color w:val="auto"/>
          <w:highlight w:val="none"/>
        </w:rPr>
        <w:t>八、其他事项</w:t>
      </w:r>
    </w:p>
    <w:p>
      <w:pPr>
        <w:pStyle w:val="5"/>
        <w:keepNext w:val="0"/>
        <w:keepLines w:val="0"/>
        <w:spacing w:before="0" w:after="0" w:line="360" w:lineRule="auto"/>
        <w:ind w:left="420" w:leftChars="200"/>
        <w:rPr>
          <w:rFonts w:hint="eastAsia" w:ascii="黑体" w:hAnsi="黑体" w:eastAsia="黑体"/>
          <w:color w:val="auto"/>
          <w:sz w:val="24"/>
          <w:highlight w:val="none"/>
        </w:rPr>
      </w:pPr>
      <w:bookmarkStart w:id="141" w:name="_42.代理服务费"/>
      <w:bookmarkEnd w:id="141"/>
      <w:r>
        <w:rPr>
          <w:rFonts w:hint="eastAsia" w:ascii="黑体" w:hAnsi="黑体" w:eastAsia="黑体"/>
          <w:color w:val="auto"/>
          <w:sz w:val="24"/>
          <w:highlight w:val="none"/>
        </w:rPr>
        <w:t>3</w:t>
      </w:r>
      <w:r>
        <w:rPr>
          <w:rFonts w:ascii="黑体" w:hAnsi="黑体" w:eastAsia="黑体"/>
          <w:color w:val="auto"/>
          <w:sz w:val="24"/>
          <w:highlight w:val="none"/>
        </w:rPr>
        <w:t>9</w:t>
      </w:r>
      <w:r>
        <w:rPr>
          <w:rFonts w:hint="eastAsia" w:ascii="黑体" w:hAnsi="黑体" w:eastAsia="黑体"/>
          <w:color w:val="auto"/>
          <w:sz w:val="24"/>
          <w:highlight w:val="none"/>
        </w:rPr>
        <w:t>.代理服务费</w:t>
      </w:r>
    </w:p>
    <w:p>
      <w:pPr>
        <w:pStyle w:val="5"/>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3</w:t>
      </w:r>
      <w:r>
        <w:rPr>
          <w:rFonts w:ascii="宋体" w:hAnsi="宋体"/>
          <w:b w:val="0"/>
          <w:color w:val="auto"/>
          <w:sz w:val="21"/>
          <w:szCs w:val="21"/>
          <w:highlight w:val="none"/>
        </w:rPr>
        <w:t>9</w:t>
      </w:r>
      <w:r>
        <w:rPr>
          <w:rFonts w:hint="eastAsia" w:ascii="宋体" w:hAnsi="宋体"/>
          <w:b w:val="0"/>
          <w:color w:val="auto"/>
          <w:sz w:val="21"/>
          <w:szCs w:val="21"/>
          <w:highlight w:val="none"/>
        </w:rPr>
        <w:t>.1代理服务收取标准及缴费账户详见“投标人须知前附表”。</w:t>
      </w:r>
    </w:p>
    <w:p>
      <w:pPr>
        <w:pStyle w:val="5"/>
        <w:keepNext w:val="0"/>
        <w:keepLines w:val="0"/>
        <w:spacing w:before="0" w:after="0" w:line="360" w:lineRule="auto"/>
        <w:ind w:left="420" w:leftChars="200"/>
        <w:rPr>
          <w:rFonts w:ascii="黑体" w:hAnsi="黑体" w:eastAsia="黑体"/>
          <w:color w:val="auto"/>
          <w:sz w:val="24"/>
          <w:highlight w:val="none"/>
        </w:rPr>
      </w:pPr>
      <w:r>
        <w:rPr>
          <w:rFonts w:ascii="黑体" w:hAnsi="黑体" w:eastAsia="黑体"/>
          <w:color w:val="auto"/>
          <w:sz w:val="24"/>
          <w:highlight w:val="none"/>
        </w:rPr>
        <w:t>40. 需要补充的其他内容</w:t>
      </w:r>
    </w:p>
    <w:p>
      <w:pPr>
        <w:pStyle w:val="12"/>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40.1本招标文件解释规则详见“投标人须知前附表”。</w:t>
      </w:r>
    </w:p>
    <w:p>
      <w:pPr>
        <w:pStyle w:val="12"/>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40.2 其他事项详见“投标人须知前附表”。</w:t>
      </w:r>
    </w:p>
    <w:p>
      <w:pPr>
        <w:pStyle w:val="12"/>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40.3</w:t>
      </w:r>
      <w:bookmarkStart w:id="142" w:name="_Hlk65857140"/>
      <w:r>
        <w:rPr>
          <w:rFonts w:hint="eastAsia" w:hAnsi="宋体" w:cs="宋体"/>
          <w:color w:val="auto"/>
          <w:sz w:val="21"/>
          <w:highlight w:val="none"/>
        </w:rPr>
        <w:t>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pPr>
        <w:pStyle w:val="12"/>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（1）在货物采购项目中，货物由中小企业制造，即货物由中小企业生产且使用该中小企业商号或者注册商标，不对其中涉及的工程承建商和服务的承接商作出要求；</w:t>
      </w:r>
    </w:p>
    <w:p>
      <w:pPr>
        <w:pStyle w:val="12"/>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（2）在工程采购项目中，工程由中小企业承建，即工程施工单位为中小企业，不对其中涉及的货物的制造商和服务的承接商作出要求；</w:t>
      </w:r>
    </w:p>
    <w:p>
      <w:pPr>
        <w:pStyle w:val="12"/>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pPr>
        <w:pStyle w:val="12"/>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pPr>
        <w:spacing w:line="360" w:lineRule="auto"/>
        <w:ind w:firstLine="420" w:firstLineChars="200"/>
        <w:rPr>
          <w:rFonts w:hint="eastAsia" w:hAnsi="宋体" w:eastAsia="宋体" w:cs="宋体"/>
          <w:color w:val="auto"/>
          <w:sz w:val="21"/>
          <w:highlight w:val="none"/>
          <w:lang w:eastAsia="zh-CN"/>
        </w:rPr>
      </w:pPr>
      <w:r>
        <w:rPr>
          <w:rFonts w:hint="eastAsia" w:hAnsi="宋体" w:cs="宋体"/>
          <w:color w:val="auto"/>
          <w:sz w:val="21"/>
          <w:highlight w:val="none"/>
        </w:rPr>
        <w:t>依据本招标文件规定享受扶持政策获得政府采购合同的，小微企业不得将合同分包给大中型企业，中型企业不得将合同分包给大型企业。</w:t>
      </w:r>
      <w:bookmarkEnd w:id="142"/>
    </w:p>
    <w:p>
      <w:pPr>
        <w:spacing w:line="360" w:lineRule="auto"/>
        <w:ind w:firstLine="420" w:firstLineChars="200"/>
        <w:rPr>
          <w:rFonts w:hint="eastAsia" w:cs="宋体"/>
          <w:color w:val="auto"/>
          <w:highlight w:val="none"/>
          <w:lang w:eastAsia="zh-CN"/>
        </w:rPr>
      </w:pPr>
      <w:r>
        <w:rPr>
          <w:rFonts w:hint="eastAsia" w:hAnsi="宋体" w:cs="宋体"/>
          <w:color w:val="auto"/>
          <w:sz w:val="21"/>
          <w:highlight w:val="none"/>
          <w:lang w:val="en-US" w:eastAsia="zh-CN"/>
        </w:rPr>
        <w:t xml:space="preserve">    40.4</w:t>
      </w:r>
      <w:r>
        <w:rPr>
          <w:rFonts w:hint="eastAsia" w:cs="宋体"/>
          <w:color w:val="auto"/>
          <w:highlight w:val="none"/>
        </w:rPr>
        <w:t>监狱企业</w:t>
      </w:r>
      <w:r>
        <w:rPr>
          <w:rFonts w:hint="eastAsia" w:cs="宋体"/>
          <w:color w:val="auto"/>
          <w:highlight w:val="none"/>
          <w:lang w:eastAsia="zh-CN"/>
        </w:rPr>
        <w:t>：</w:t>
      </w:r>
    </w:p>
    <w:p>
      <w:pPr>
        <w:spacing w:line="360" w:lineRule="auto"/>
        <w:ind w:firstLine="420" w:firstLineChars="200"/>
        <w:rPr>
          <w:rFonts w:hint="eastAsia" w:cs="宋体"/>
          <w:color w:val="auto"/>
          <w:highlight w:val="none"/>
        </w:rPr>
      </w:pPr>
      <w:r>
        <w:rPr>
          <w:rFonts w:hint="eastAsia" w:cs="宋体"/>
          <w:color w:val="auto"/>
          <w:highlight w:val="none"/>
        </w:rPr>
        <w:t>根据《财政部 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pPr>
        <w:spacing w:line="360" w:lineRule="auto"/>
        <w:ind w:firstLine="420" w:firstLineChars="200"/>
        <w:rPr>
          <w:rFonts w:hint="eastAsia" w:cs="宋体"/>
          <w:color w:val="auto"/>
          <w:highlight w:val="none"/>
          <w:lang w:val="en-US" w:eastAsia="zh-CN"/>
        </w:rPr>
      </w:pPr>
      <w:r>
        <w:rPr>
          <w:rFonts w:hint="eastAsia" w:cs="宋体"/>
          <w:color w:val="auto"/>
          <w:highlight w:val="none"/>
          <w:lang w:val="en-US" w:eastAsia="zh-CN"/>
        </w:rPr>
        <w:t>40.5残疾人福利性单位：</w:t>
      </w:r>
    </w:p>
    <w:p>
      <w:pPr>
        <w:spacing w:line="360" w:lineRule="auto"/>
        <w:ind w:firstLine="420" w:firstLineChars="200"/>
        <w:rPr>
          <w:rFonts w:hint="eastAsia" w:cs="宋体"/>
          <w:color w:val="auto"/>
          <w:highlight w:val="none"/>
        </w:rPr>
      </w:pPr>
      <w:r>
        <w:rPr>
          <w:rFonts w:hint="eastAsia" w:cs="宋体"/>
          <w:color w:val="auto"/>
          <w:highlight w:val="none"/>
        </w:rPr>
        <w:t>根据《关于促进残疾人就业政府采购政策的通知》（财库〔2017〕141号）的规定，享受政府采购支持政策的残疾人福利性单位应当同时满足以下条件：</w:t>
      </w:r>
    </w:p>
    <w:p>
      <w:pPr>
        <w:spacing w:line="360" w:lineRule="auto"/>
        <w:rPr>
          <w:rFonts w:hint="eastAsia" w:cs="宋体"/>
          <w:color w:val="auto"/>
          <w:highlight w:val="none"/>
        </w:rPr>
      </w:pPr>
      <w:r>
        <w:rPr>
          <w:rFonts w:hint="eastAsia" w:cs="宋体"/>
          <w:color w:val="auto"/>
          <w:highlight w:val="none"/>
        </w:rPr>
        <w:t>（1）安置的残疾人占本单位在职职工人数的比例不低于25%（含25%），并且安置的残疾人人数不少于10人（含10人）；</w:t>
      </w:r>
    </w:p>
    <w:p>
      <w:pPr>
        <w:spacing w:line="360" w:lineRule="auto"/>
        <w:rPr>
          <w:rFonts w:hint="eastAsia" w:cs="宋体"/>
          <w:color w:val="auto"/>
          <w:highlight w:val="none"/>
        </w:rPr>
      </w:pPr>
      <w:r>
        <w:rPr>
          <w:rFonts w:hint="eastAsia" w:cs="宋体"/>
          <w:color w:val="auto"/>
          <w:highlight w:val="none"/>
        </w:rPr>
        <w:t>（2）依法与安置的每位残疾人签订了一年以上（含一年）的劳动合同或服务协议；</w:t>
      </w:r>
    </w:p>
    <w:p>
      <w:pPr>
        <w:spacing w:line="360" w:lineRule="auto"/>
        <w:rPr>
          <w:rFonts w:hint="eastAsia" w:cs="宋体"/>
          <w:color w:val="auto"/>
          <w:highlight w:val="none"/>
        </w:rPr>
      </w:pPr>
      <w:r>
        <w:rPr>
          <w:rFonts w:hint="eastAsia" w:cs="宋体"/>
          <w:color w:val="auto"/>
          <w:highlight w:val="none"/>
        </w:rPr>
        <w:t>（3）为安置的每位残疾人按月足额缴纳了基本养老保险、基本医疗保险、失业保险、工伤保险和生育保险等社会保险费；</w:t>
      </w:r>
    </w:p>
    <w:p>
      <w:pPr>
        <w:spacing w:line="360" w:lineRule="auto"/>
        <w:rPr>
          <w:rFonts w:hint="eastAsia" w:cs="宋体"/>
          <w:color w:val="auto"/>
          <w:highlight w:val="none"/>
        </w:rPr>
      </w:pPr>
      <w:r>
        <w:rPr>
          <w:rFonts w:hint="eastAsia" w:cs="宋体"/>
          <w:color w:val="auto"/>
          <w:highlight w:val="none"/>
        </w:rPr>
        <w:t>（4）通过银行等金融机构向安置的每位残疾人，按月支付了不低于单位所在区县适用的经省级人民政府批准的月最低工资标准的工资；</w:t>
      </w:r>
    </w:p>
    <w:p>
      <w:pPr>
        <w:spacing w:line="360" w:lineRule="auto"/>
        <w:rPr>
          <w:rFonts w:hint="eastAsia" w:cs="宋体"/>
          <w:color w:val="auto"/>
          <w:highlight w:val="none"/>
        </w:rPr>
      </w:pPr>
      <w:r>
        <w:rPr>
          <w:rFonts w:hint="eastAsia" w:cs="宋体"/>
          <w:color w:val="auto"/>
          <w:highlight w:val="none"/>
        </w:rPr>
        <w:t>（5）提供本单位制造的货物、承担的工程或者服务（以下简称产品），或者提供其他残疾人福利性单位制造的货物（不包括使用非残疾人福利性单位注册商标的货物）。</w:t>
      </w:r>
    </w:p>
    <w:p>
      <w:pPr>
        <w:spacing w:line="360" w:lineRule="auto"/>
        <w:rPr>
          <w:rFonts w:hint="eastAsia" w:cs="宋体"/>
          <w:color w:val="auto"/>
          <w:highlight w:val="none"/>
        </w:rPr>
      </w:pPr>
      <w:r>
        <w:rPr>
          <w:rFonts w:hint="eastAsia" w:cs="宋体"/>
          <w:color w:val="auto"/>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spacing w:line="360" w:lineRule="auto"/>
        <w:ind w:firstLine="420" w:firstLineChars="200"/>
        <w:rPr>
          <w:rFonts w:hint="default" w:eastAsia="宋体"/>
          <w:color w:val="auto"/>
          <w:highlight w:val="none"/>
          <w:lang w:val="en-US" w:eastAsia="zh-CN"/>
        </w:rPr>
      </w:pPr>
      <w:r>
        <w:rPr>
          <w:rFonts w:hint="eastAsia" w:cs="宋体"/>
          <w:color w:val="auto"/>
          <w:highlight w:val="none"/>
        </w:rPr>
        <w:t>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pPr>
        <w:spacing w:line="360" w:lineRule="auto"/>
        <w:ind w:firstLine="420" w:firstLineChars="200"/>
        <w:rPr>
          <w:rFonts w:hint="eastAsia" w:hAnsi="宋体"/>
          <w:color w:val="auto"/>
          <w:highlight w:val="none"/>
        </w:rPr>
      </w:pPr>
      <w:r>
        <w:rPr>
          <w:rFonts w:hAnsi="宋体"/>
          <w:color w:val="auto"/>
          <w:highlight w:val="none"/>
        </w:rPr>
        <w:br w:type="page"/>
      </w:r>
      <w:r>
        <w:rPr>
          <w:rFonts w:hint="eastAsia" w:ascii="黑体" w:hAnsi="黑体" w:eastAsia="黑体" w:cs="黑体"/>
          <w:bCs/>
          <w:color w:val="auto"/>
          <w:sz w:val="32"/>
          <w:szCs w:val="32"/>
          <w:highlight w:val="none"/>
        </w:rPr>
        <w:t>附件1：</w:t>
      </w:r>
    </w:p>
    <w:p>
      <w:pPr>
        <w:widowControl/>
        <w:shd w:val="clear" w:color="auto" w:fill="FFFFFF"/>
        <w:spacing w:line="480" w:lineRule="atLeast"/>
        <w:jc w:val="center"/>
        <w:rPr>
          <w:rFonts w:hint="eastAsia" w:ascii="仿宋" w:hAnsi="仿宋" w:eastAsia="仿宋" w:cs="宋体"/>
          <w:color w:val="auto"/>
          <w:kern w:val="0"/>
          <w:sz w:val="32"/>
          <w:szCs w:val="32"/>
          <w:highlight w:val="none"/>
        </w:rPr>
      </w:pPr>
      <w:r>
        <w:rPr>
          <w:rFonts w:hint="eastAsia" w:ascii="宋体" w:hAnsi="宋体" w:cs="宋体"/>
          <w:b/>
          <w:bCs/>
          <w:color w:val="auto"/>
          <w:kern w:val="0"/>
          <w:sz w:val="32"/>
          <w:szCs w:val="32"/>
          <w:highlight w:val="none"/>
        </w:rPr>
        <w:t>广西壮族自治区政府采购项目合同验收书（格式）</w:t>
      </w:r>
    </w:p>
    <w:p>
      <w:pPr>
        <w:widowControl/>
        <w:shd w:val="clear" w:color="auto" w:fill="FFFFFF"/>
        <w:spacing w:line="480" w:lineRule="atLeast"/>
        <w:jc w:val="center"/>
        <w:rPr>
          <w:rFonts w:hint="eastAsia" w:ascii="仿宋" w:hAnsi="仿宋" w:eastAsia="仿宋" w:cs="宋体"/>
          <w:color w:val="auto"/>
          <w:kern w:val="0"/>
          <w:sz w:val="32"/>
          <w:szCs w:val="32"/>
          <w:highlight w:val="none"/>
        </w:rPr>
      </w:pPr>
    </w:p>
    <w:p>
      <w:pPr>
        <w:widowControl/>
        <w:shd w:val="clear" w:color="auto" w:fill="FFFFFF"/>
        <w:snapToGrid w:val="0"/>
        <w:spacing w:line="320" w:lineRule="atLeast"/>
        <w:ind w:firstLine="480"/>
        <w:jc w:val="left"/>
        <w:rPr>
          <w:rFonts w:hint="eastAsia" w:ascii="仿宋" w:hAnsi="仿宋" w:eastAsia="仿宋" w:cs="宋体"/>
          <w:color w:val="auto"/>
          <w:kern w:val="0"/>
          <w:szCs w:val="21"/>
          <w:highlight w:val="none"/>
        </w:rPr>
      </w:pPr>
      <w:r>
        <w:rPr>
          <w:rFonts w:hint="eastAsia" w:ascii="仿宋" w:hAnsi="仿宋" w:eastAsia="仿宋" w:cs="宋体"/>
          <w:color w:val="auto"/>
          <w:kern w:val="0"/>
          <w:szCs w:val="21"/>
          <w:highlight w:val="none"/>
        </w:rPr>
        <w:t>根据政府采购项目（</w:t>
      </w:r>
      <w:r>
        <w:rPr>
          <w:rFonts w:hint="eastAsia" w:ascii="仿宋" w:hAnsi="仿宋" w:eastAsia="仿宋" w:cs="宋体"/>
          <w:color w:val="auto"/>
          <w:kern w:val="0"/>
          <w:szCs w:val="21"/>
          <w:highlight w:val="none"/>
          <w:u w:val="single"/>
        </w:rPr>
        <w:t>采购合同编号：</w:t>
      </w:r>
      <w:r>
        <w:rPr>
          <w:rFonts w:hint="eastAsia" w:ascii="仿宋" w:hAnsi="仿宋" w:eastAsia="仿宋" w:cs="宋体"/>
          <w:color w:val="auto"/>
          <w:kern w:val="0"/>
          <w:szCs w:val="21"/>
          <w:highlight w:val="none"/>
          <w:u w:val="single"/>
        </w:rPr>
        <w:softHyphen/>
      </w:r>
      <w:r>
        <w:rPr>
          <w:rFonts w:hint="eastAsia" w:ascii="仿宋" w:hAnsi="仿宋" w:eastAsia="仿宋" w:cs="宋体"/>
          <w:color w:val="auto"/>
          <w:kern w:val="0"/>
          <w:szCs w:val="21"/>
          <w:highlight w:val="none"/>
          <w:u w:val="single"/>
        </w:rPr>
        <w:t xml:space="preserve"> </w:t>
      </w:r>
      <w:r>
        <w:rPr>
          <w:rFonts w:hint="eastAsia" w:ascii="仿宋" w:hAnsi="仿宋" w:eastAsia="仿宋" w:cs="宋体"/>
          <w:color w:val="auto"/>
          <w:kern w:val="0"/>
          <w:szCs w:val="21"/>
          <w:highlight w:val="none"/>
        </w:rPr>
        <w:t>）的约定，我单位对（</w:t>
      </w:r>
      <w:r>
        <w:rPr>
          <w:rFonts w:hint="eastAsia" w:ascii="仿宋" w:hAnsi="仿宋" w:eastAsia="仿宋" w:cs="宋体"/>
          <w:color w:val="auto"/>
          <w:kern w:val="0"/>
          <w:szCs w:val="21"/>
          <w:highlight w:val="none"/>
          <w:u w:val="single"/>
        </w:rPr>
        <w:t xml:space="preserve"> 项目名称 </w:t>
      </w:r>
      <w:r>
        <w:rPr>
          <w:rFonts w:hint="eastAsia" w:ascii="仿宋" w:hAnsi="仿宋" w:eastAsia="仿宋" w:cs="宋体"/>
          <w:color w:val="auto"/>
          <w:kern w:val="0"/>
          <w:szCs w:val="21"/>
          <w:highlight w:val="none"/>
        </w:rPr>
        <w:t>） 政府采购项目成交供应商（</w:t>
      </w:r>
      <w:r>
        <w:rPr>
          <w:rFonts w:hint="eastAsia" w:ascii="仿宋" w:hAnsi="仿宋" w:eastAsia="仿宋" w:cs="宋体"/>
          <w:color w:val="auto"/>
          <w:kern w:val="0"/>
          <w:szCs w:val="21"/>
          <w:highlight w:val="none"/>
          <w:u w:val="single"/>
        </w:rPr>
        <w:t xml:space="preserve"> 公司名称 </w:t>
      </w:r>
      <w:r>
        <w:rPr>
          <w:rFonts w:hint="eastAsia" w:ascii="仿宋" w:hAnsi="仿宋" w:eastAsia="仿宋" w:cs="宋体"/>
          <w:color w:val="auto"/>
          <w:kern w:val="0"/>
          <w:szCs w:val="21"/>
          <w:highlight w:val="none"/>
        </w:rPr>
        <w:t>） 提供的货物（或者工程、服务）进行了验收，验收情况如下：</w:t>
      </w:r>
    </w:p>
    <w:tbl>
      <w:tblPr>
        <w:tblStyle w:val="17"/>
        <w:tblW w:w="0" w:type="auto"/>
        <w:jc w:val="center"/>
        <w:tblLayout w:type="fixed"/>
        <w:tblCellMar>
          <w:top w:w="0" w:type="dxa"/>
          <w:left w:w="0" w:type="dxa"/>
          <w:bottom w:w="0" w:type="dxa"/>
          <w:right w:w="0" w:type="dxa"/>
        </w:tblCellMar>
      </w:tblPr>
      <w:tblGrid>
        <w:gridCol w:w="804"/>
        <w:gridCol w:w="825"/>
        <w:gridCol w:w="1623"/>
        <w:gridCol w:w="798"/>
        <w:gridCol w:w="102"/>
        <w:gridCol w:w="2002"/>
        <w:gridCol w:w="178"/>
        <w:gridCol w:w="685"/>
        <w:gridCol w:w="1428"/>
      </w:tblGrid>
      <w:tr>
        <w:tblPrEx>
          <w:tblCellMar>
            <w:top w:w="0" w:type="dxa"/>
            <w:left w:w="0" w:type="dxa"/>
            <w:bottom w:w="0" w:type="dxa"/>
            <w:right w:w="0" w:type="dxa"/>
          </w:tblCellMar>
        </w:tblPrEx>
        <w:trPr>
          <w:trHeight w:val="497" w:hRule="atLeast"/>
          <w:jc w:val="center"/>
        </w:trPr>
        <w:tc>
          <w:tcPr>
            <w:tcW w:w="3252" w:type="dxa"/>
            <w:gridSpan w:val="3"/>
            <w:tcBorders>
              <w:top w:val="single" w:color="auto" w:sz="8" w:space="0"/>
              <w:left w:val="single" w:color="auto" w:sz="8" w:space="0"/>
              <w:bottom w:val="single" w:color="auto" w:sz="8" w:space="0"/>
              <w:right w:val="single" w:color="auto" w:sz="8" w:space="0"/>
            </w:tcBorders>
            <w:noWrap w:val="0"/>
            <w:vAlign w:val="center"/>
          </w:tcPr>
          <w:p>
            <w:pPr>
              <w:widowControl/>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验收方式：</w:t>
            </w:r>
          </w:p>
        </w:tc>
        <w:tc>
          <w:tcPr>
            <w:tcW w:w="5193" w:type="dxa"/>
            <w:gridSpan w:val="6"/>
            <w:tcBorders>
              <w:top w:val="single" w:color="auto" w:sz="8" w:space="0"/>
              <w:left w:val="nil"/>
              <w:bottom w:val="single" w:color="auto" w:sz="8" w:space="0"/>
              <w:right w:val="single" w:color="auto" w:sz="8" w:space="0"/>
            </w:tcBorders>
            <w:noWrap w:val="0"/>
            <w:vAlign w:val="center"/>
          </w:tcPr>
          <w:p>
            <w:pPr>
              <w:widowControl/>
              <w:snapToGrid w:val="0"/>
              <w:spacing w:before="100" w:beforeAutospacing="1" w:after="100" w:afterAutospacing="1" w:line="320" w:lineRule="atLeast"/>
              <w:jc w:val="center"/>
              <w:rPr>
                <w:rFonts w:ascii="Verdana" w:hAnsi="Verdana" w:cs="宋体"/>
                <w:color w:val="auto"/>
                <w:kern w:val="0"/>
                <w:szCs w:val="21"/>
                <w:highlight w:val="none"/>
              </w:rPr>
            </w:pPr>
            <w:r>
              <w:rPr>
                <w:rFonts w:ascii="Verdana" w:hAnsi="Verdana" w:cs="宋体"/>
                <w:color w:val="auto"/>
                <w:kern w:val="0"/>
                <w:szCs w:val="21"/>
                <w:highlight w:val="none"/>
              </w:rPr>
              <w:sym w:font="Wingdings 2" w:char="00A3"/>
            </w:r>
            <w:r>
              <w:rPr>
                <w:rFonts w:ascii="Verdana" w:hAnsi="Verdana" w:cs="宋体"/>
                <w:color w:val="auto"/>
                <w:kern w:val="0"/>
                <w:szCs w:val="21"/>
                <w:highlight w:val="none"/>
              </w:rPr>
              <w:t xml:space="preserve">自行验收 </w:t>
            </w:r>
            <w:r>
              <w:rPr>
                <w:rFonts w:ascii="Verdana" w:hAnsi="Verdana" w:cs="宋体"/>
                <w:color w:val="auto"/>
                <w:kern w:val="0"/>
                <w:szCs w:val="21"/>
                <w:highlight w:val="none"/>
              </w:rPr>
              <w:sym w:font="Wingdings 2" w:char="00A3"/>
            </w:r>
            <w:r>
              <w:rPr>
                <w:rFonts w:ascii="Verdana" w:hAnsi="Verdana" w:cs="宋体"/>
                <w:color w:val="auto"/>
                <w:kern w:val="0"/>
                <w:szCs w:val="21"/>
                <w:highlight w:val="none"/>
              </w:rPr>
              <w:t>委托验收</w:t>
            </w:r>
          </w:p>
        </w:tc>
      </w:tr>
      <w:tr>
        <w:tblPrEx>
          <w:tblCellMar>
            <w:top w:w="0" w:type="dxa"/>
            <w:left w:w="0" w:type="dxa"/>
            <w:bottom w:w="0" w:type="dxa"/>
            <w:right w:w="0" w:type="dxa"/>
          </w:tblCellMar>
        </w:tblPrEx>
        <w:trPr>
          <w:trHeight w:val="622" w:hRule="atLeast"/>
          <w:jc w:val="center"/>
        </w:trPr>
        <w:tc>
          <w:tcPr>
            <w:tcW w:w="804" w:type="dxa"/>
            <w:tcBorders>
              <w:top w:val="nil"/>
              <w:left w:val="single" w:color="auto" w:sz="8" w:space="0"/>
              <w:bottom w:val="single" w:color="auto" w:sz="8" w:space="0"/>
              <w:right w:val="single" w:color="auto" w:sz="8" w:space="0"/>
            </w:tcBorders>
            <w:noWrap w:val="0"/>
            <w:vAlign w:val="center"/>
          </w:tcPr>
          <w:p>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序号</w:t>
            </w:r>
          </w:p>
        </w:tc>
        <w:tc>
          <w:tcPr>
            <w:tcW w:w="2448" w:type="dxa"/>
            <w:gridSpan w:val="2"/>
            <w:tcBorders>
              <w:top w:val="nil"/>
              <w:left w:val="nil"/>
              <w:bottom w:val="single" w:color="auto" w:sz="8" w:space="0"/>
              <w:right w:val="single" w:color="auto" w:sz="8" w:space="0"/>
            </w:tcBorders>
            <w:noWrap w:val="0"/>
            <w:vAlign w:val="center"/>
          </w:tcPr>
          <w:p>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名称</w:t>
            </w:r>
          </w:p>
        </w:tc>
        <w:tc>
          <w:tcPr>
            <w:tcW w:w="2902" w:type="dxa"/>
            <w:gridSpan w:val="3"/>
            <w:tcBorders>
              <w:top w:val="nil"/>
              <w:left w:val="nil"/>
              <w:bottom w:val="single" w:color="auto" w:sz="8" w:space="0"/>
              <w:right w:val="single" w:color="auto" w:sz="8" w:space="0"/>
            </w:tcBorders>
            <w:noWrap w:val="0"/>
            <w:vAlign w:val="center"/>
          </w:tcPr>
          <w:p>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货物型号规格、标准及配置等（或者服务内容、标准）</w:t>
            </w:r>
          </w:p>
        </w:tc>
        <w:tc>
          <w:tcPr>
            <w:tcW w:w="863" w:type="dxa"/>
            <w:gridSpan w:val="2"/>
            <w:tcBorders>
              <w:top w:val="nil"/>
              <w:left w:val="nil"/>
              <w:bottom w:val="single" w:color="auto" w:sz="8" w:space="0"/>
              <w:right w:val="single" w:color="auto" w:sz="8" w:space="0"/>
            </w:tcBorders>
            <w:noWrap w:val="0"/>
            <w:vAlign w:val="center"/>
          </w:tcPr>
          <w:p>
            <w:pPr>
              <w:widowControl/>
              <w:snapToGrid w:val="0"/>
              <w:spacing w:before="100" w:beforeAutospacing="1" w:after="100" w:afterAutospacing="1" w:line="320" w:lineRule="atLeast"/>
              <w:jc w:val="center"/>
              <w:rPr>
                <w:rFonts w:ascii="Verdana" w:hAnsi="Verdana" w:cs="宋体"/>
                <w:color w:val="auto"/>
                <w:kern w:val="0"/>
                <w:szCs w:val="21"/>
                <w:highlight w:val="none"/>
              </w:rPr>
            </w:pPr>
            <w:r>
              <w:rPr>
                <w:rFonts w:ascii="Verdana" w:hAnsi="Verdana" w:cs="宋体"/>
                <w:color w:val="auto"/>
                <w:kern w:val="0"/>
                <w:szCs w:val="21"/>
                <w:highlight w:val="none"/>
              </w:rPr>
              <w:t>数量</w:t>
            </w:r>
          </w:p>
        </w:tc>
        <w:tc>
          <w:tcPr>
            <w:tcW w:w="1428" w:type="dxa"/>
            <w:tcBorders>
              <w:top w:val="nil"/>
              <w:left w:val="nil"/>
              <w:bottom w:val="single" w:color="auto" w:sz="8" w:space="0"/>
              <w:right w:val="single" w:color="auto" w:sz="8" w:space="0"/>
            </w:tcBorders>
            <w:noWrap w:val="0"/>
            <w:vAlign w:val="center"/>
          </w:tcPr>
          <w:p>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金额</w:t>
            </w:r>
          </w:p>
        </w:tc>
      </w:tr>
      <w:tr>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noWrap w:val="0"/>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2448" w:type="dxa"/>
            <w:gridSpan w:val="2"/>
            <w:tcBorders>
              <w:top w:val="nil"/>
              <w:left w:val="nil"/>
              <w:bottom w:val="single" w:color="auto" w:sz="8" w:space="0"/>
              <w:right w:val="single" w:color="auto" w:sz="8" w:space="0"/>
            </w:tcBorders>
            <w:noWrap w:val="0"/>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noWrap w:val="0"/>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r>
      <w:tr>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noWrap w:val="0"/>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2448" w:type="dxa"/>
            <w:gridSpan w:val="2"/>
            <w:tcBorders>
              <w:top w:val="nil"/>
              <w:left w:val="nil"/>
              <w:bottom w:val="single" w:color="auto" w:sz="8" w:space="0"/>
              <w:right w:val="single" w:color="auto" w:sz="8" w:space="0"/>
            </w:tcBorders>
            <w:noWrap w:val="0"/>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noWrap w:val="0"/>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r>
      <w:tr>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noWrap w:val="0"/>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2448" w:type="dxa"/>
            <w:gridSpan w:val="2"/>
            <w:tcBorders>
              <w:top w:val="nil"/>
              <w:left w:val="nil"/>
              <w:bottom w:val="single" w:color="auto" w:sz="8" w:space="0"/>
              <w:right w:val="single" w:color="auto" w:sz="8" w:space="0"/>
            </w:tcBorders>
            <w:noWrap w:val="0"/>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noWrap w:val="0"/>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r>
      <w:tr>
        <w:tblPrEx>
          <w:tblCellMar>
            <w:top w:w="0" w:type="dxa"/>
            <w:left w:w="0" w:type="dxa"/>
            <w:bottom w:w="0" w:type="dxa"/>
            <w:right w:w="0" w:type="dxa"/>
          </w:tblCellMar>
        </w:tblPrEx>
        <w:trPr>
          <w:trHeight w:val="487" w:hRule="atLeast"/>
          <w:jc w:val="center"/>
        </w:trPr>
        <w:tc>
          <w:tcPr>
            <w:tcW w:w="6154" w:type="dxa"/>
            <w:gridSpan w:val="6"/>
            <w:tcBorders>
              <w:top w:val="nil"/>
              <w:left w:val="single" w:color="auto" w:sz="8" w:space="0"/>
              <w:bottom w:val="single" w:color="auto" w:sz="8" w:space="0"/>
              <w:right w:val="single" w:color="auto" w:sz="8" w:space="0"/>
            </w:tcBorders>
            <w:noWrap w:val="0"/>
            <w:vAlign w:val="center"/>
          </w:tcPr>
          <w:p>
            <w:pPr>
              <w:widowControl/>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合 计</w:t>
            </w:r>
          </w:p>
        </w:tc>
        <w:tc>
          <w:tcPr>
            <w:tcW w:w="863" w:type="dxa"/>
            <w:gridSpan w:val="2"/>
            <w:tcBorders>
              <w:top w:val="nil"/>
              <w:left w:val="nil"/>
              <w:bottom w:val="single" w:color="auto" w:sz="8" w:space="0"/>
              <w:right w:val="single" w:color="auto" w:sz="8" w:space="0"/>
            </w:tcBorders>
            <w:noWrap w:val="0"/>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noWrap w:val="0"/>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r>
      <w:tr>
        <w:tblPrEx>
          <w:tblCellMar>
            <w:top w:w="0" w:type="dxa"/>
            <w:left w:w="0" w:type="dxa"/>
            <w:bottom w:w="0" w:type="dxa"/>
            <w:right w:w="0" w:type="dxa"/>
          </w:tblCellMar>
        </w:tblPrEx>
        <w:trPr>
          <w:trHeight w:val="641" w:hRule="atLeast"/>
          <w:jc w:val="center"/>
        </w:trPr>
        <w:tc>
          <w:tcPr>
            <w:tcW w:w="8445" w:type="dxa"/>
            <w:gridSpan w:val="9"/>
            <w:tcBorders>
              <w:top w:val="nil"/>
              <w:left w:val="single" w:color="auto" w:sz="8" w:space="0"/>
              <w:bottom w:val="single" w:color="auto" w:sz="8" w:space="0"/>
              <w:right w:val="single" w:color="auto" w:sz="8" w:space="0"/>
            </w:tcBorders>
            <w:noWrap w:val="0"/>
            <w:vAlign w:val="center"/>
          </w:tcPr>
          <w:p>
            <w:pPr>
              <w:widowControl/>
              <w:snapToGrid w:val="0"/>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 xml:space="preserve">合计大写金额：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仟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佰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拾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万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仟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佰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拾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元</w:t>
            </w:r>
          </w:p>
        </w:tc>
      </w:tr>
      <w:tr>
        <w:tblPrEx>
          <w:tblCellMar>
            <w:top w:w="0" w:type="dxa"/>
            <w:left w:w="0" w:type="dxa"/>
            <w:bottom w:w="0" w:type="dxa"/>
            <w:right w:w="0" w:type="dxa"/>
          </w:tblCellMar>
        </w:tblPrEx>
        <w:trPr>
          <w:trHeight w:val="641" w:hRule="atLeast"/>
          <w:jc w:val="center"/>
        </w:trPr>
        <w:tc>
          <w:tcPr>
            <w:tcW w:w="1629" w:type="dxa"/>
            <w:gridSpan w:val="2"/>
            <w:tcBorders>
              <w:top w:val="nil"/>
              <w:left w:val="single" w:color="auto" w:sz="8" w:space="0"/>
              <w:bottom w:val="single" w:color="auto" w:sz="8" w:space="0"/>
              <w:right w:val="single" w:color="auto" w:sz="8" w:space="0"/>
            </w:tcBorders>
            <w:noWrap w:val="0"/>
            <w:vAlign w:val="center"/>
          </w:tcPr>
          <w:p>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实际供货日期</w:t>
            </w:r>
          </w:p>
        </w:tc>
        <w:tc>
          <w:tcPr>
            <w:tcW w:w="2421" w:type="dxa"/>
            <w:gridSpan w:val="2"/>
            <w:tcBorders>
              <w:top w:val="nil"/>
              <w:left w:val="nil"/>
              <w:bottom w:val="single" w:color="auto" w:sz="8" w:space="0"/>
              <w:right w:val="single" w:color="auto" w:sz="8" w:space="0"/>
            </w:tcBorders>
            <w:noWrap w:val="0"/>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noWrap w:val="0"/>
            <w:vAlign w:val="center"/>
          </w:tcPr>
          <w:p>
            <w:pPr>
              <w:widowControl/>
              <w:snapToGrid w:val="0"/>
              <w:spacing w:before="100" w:beforeAutospacing="1" w:after="100" w:afterAutospacing="1" w:line="320" w:lineRule="atLeast"/>
              <w:ind w:firstLine="46"/>
              <w:jc w:val="center"/>
              <w:rPr>
                <w:rFonts w:ascii="Verdana" w:hAnsi="Verdana" w:cs="宋体"/>
                <w:color w:val="auto"/>
                <w:kern w:val="0"/>
                <w:szCs w:val="21"/>
                <w:highlight w:val="none"/>
              </w:rPr>
            </w:pPr>
            <w:r>
              <w:rPr>
                <w:rFonts w:ascii="Verdana" w:hAnsi="Verdana" w:cs="宋体"/>
                <w:color w:val="auto"/>
                <w:kern w:val="0"/>
                <w:szCs w:val="21"/>
                <w:highlight w:val="none"/>
              </w:rPr>
              <w:t>合同交货验收日期</w:t>
            </w:r>
          </w:p>
        </w:tc>
        <w:tc>
          <w:tcPr>
            <w:tcW w:w="2113" w:type="dxa"/>
            <w:gridSpan w:val="2"/>
            <w:tcBorders>
              <w:top w:val="nil"/>
              <w:left w:val="nil"/>
              <w:bottom w:val="single" w:color="auto" w:sz="8" w:space="0"/>
              <w:right w:val="single" w:color="auto" w:sz="8" w:space="0"/>
            </w:tcBorders>
            <w:noWrap w:val="0"/>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r>
      <w:tr>
        <w:tblPrEx>
          <w:tblCellMar>
            <w:top w:w="0" w:type="dxa"/>
            <w:left w:w="0" w:type="dxa"/>
            <w:bottom w:w="0" w:type="dxa"/>
            <w:right w:w="0" w:type="dxa"/>
          </w:tblCellMar>
        </w:tblPrEx>
        <w:trPr>
          <w:trHeight w:val="693" w:hRule="atLeast"/>
          <w:jc w:val="center"/>
        </w:trPr>
        <w:tc>
          <w:tcPr>
            <w:tcW w:w="1629" w:type="dxa"/>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验收具体内容</w:t>
            </w:r>
          </w:p>
        </w:tc>
        <w:tc>
          <w:tcPr>
            <w:tcW w:w="6816" w:type="dxa"/>
            <w:gridSpan w:val="7"/>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（应按采购合同、</w:t>
            </w:r>
            <w:r>
              <w:rPr>
                <w:rFonts w:hint="eastAsia" w:ascii="Verdana" w:hAnsi="Verdana" w:cs="宋体"/>
                <w:color w:val="auto"/>
                <w:kern w:val="0"/>
                <w:szCs w:val="21"/>
                <w:highlight w:val="none"/>
                <w:lang w:eastAsia="zh-CN"/>
              </w:rPr>
              <w:t>招标文件、</w:t>
            </w:r>
            <w:r>
              <w:rPr>
                <w:rFonts w:ascii="Verdana" w:hAnsi="Verdana" w:cs="宋体"/>
                <w:color w:val="auto"/>
                <w:kern w:val="0"/>
                <w:szCs w:val="21"/>
                <w:highlight w:val="none"/>
              </w:rPr>
              <w:t>磋商文件、</w:t>
            </w:r>
            <w:r>
              <w:rPr>
                <w:rFonts w:hint="eastAsia" w:ascii="Verdana" w:hAnsi="Verdana" w:cs="宋体"/>
                <w:color w:val="auto"/>
                <w:kern w:val="0"/>
                <w:szCs w:val="21"/>
                <w:highlight w:val="none"/>
                <w:lang w:eastAsia="zh-CN"/>
              </w:rPr>
              <w:t>投标</w:t>
            </w:r>
            <w:r>
              <w:rPr>
                <w:rFonts w:ascii="Verdana" w:hAnsi="Verdana" w:cs="宋体"/>
                <w:color w:val="auto"/>
                <w:kern w:val="0"/>
                <w:szCs w:val="21"/>
                <w:highlight w:val="none"/>
              </w:rPr>
              <w:t>响应文件及验收方案等进行验收；并核对成交供应商在安装调试等方面是否违反合同约定或者服务规范要求、提供的质量保证证明材料是否齐全、应有的配件及附件是否达到合同约定等。可附件)</w:t>
            </w:r>
          </w:p>
        </w:tc>
      </w:tr>
      <w:tr>
        <w:tblPrEx>
          <w:tblCellMar>
            <w:top w:w="0" w:type="dxa"/>
            <w:left w:w="0" w:type="dxa"/>
            <w:bottom w:w="0" w:type="dxa"/>
            <w:right w:w="0" w:type="dxa"/>
          </w:tblCellMar>
        </w:tblPrEx>
        <w:trPr>
          <w:trHeight w:val="1281" w:hRule="atLeast"/>
          <w:jc w:val="center"/>
        </w:trPr>
        <w:tc>
          <w:tcPr>
            <w:tcW w:w="1629" w:type="dxa"/>
            <w:gridSpan w:val="2"/>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验收小组意见</w:t>
            </w:r>
          </w:p>
        </w:tc>
        <w:tc>
          <w:tcPr>
            <w:tcW w:w="6816" w:type="dxa"/>
            <w:gridSpan w:val="7"/>
            <w:tcBorders>
              <w:top w:val="nil"/>
              <w:left w:val="nil"/>
              <w:bottom w:val="single" w:color="auto" w:sz="8" w:space="0"/>
              <w:right w:val="single" w:color="auto" w:sz="8" w:space="0"/>
            </w:tcBorders>
            <w:noWrap w:val="0"/>
            <w:vAlign w:val="center"/>
          </w:tcPr>
          <w:p>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验收结论性意见：</w:t>
            </w:r>
          </w:p>
        </w:tc>
      </w:tr>
      <w:tr>
        <w:tblPrEx>
          <w:tblCellMar>
            <w:top w:w="0" w:type="dxa"/>
            <w:left w:w="0" w:type="dxa"/>
            <w:bottom w:w="0" w:type="dxa"/>
            <w:right w:w="0" w:type="dxa"/>
          </w:tblCellMar>
        </w:tblPrEx>
        <w:trPr>
          <w:trHeight w:val="607" w:hRule="atLeast"/>
          <w:jc w:val="center"/>
        </w:trPr>
        <w:tc>
          <w:tcPr>
            <w:tcW w:w="1629" w:type="dxa"/>
            <w:gridSpan w:val="2"/>
            <w:vMerge w:val="continue"/>
            <w:tcBorders>
              <w:top w:val="nil"/>
              <w:left w:val="single" w:color="auto" w:sz="8" w:space="0"/>
              <w:bottom w:val="single" w:color="auto" w:sz="8" w:space="0"/>
              <w:right w:val="single" w:color="auto" w:sz="8" w:space="0"/>
            </w:tcBorders>
            <w:noWrap w:val="0"/>
            <w:vAlign w:val="center"/>
          </w:tcPr>
          <w:p>
            <w:pPr>
              <w:widowControl/>
              <w:jc w:val="left"/>
              <w:rPr>
                <w:rFonts w:ascii="Verdana" w:hAnsi="Verdana" w:cs="宋体"/>
                <w:color w:val="auto"/>
                <w:kern w:val="0"/>
                <w:szCs w:val="21"/>
                <w:highlight w:val="none"/>
              </w:rPr>
            </w:pPr>
          </w:p>
        </w:tc>
        <w:tc>
          <w:tcPr>
            <w:tcW w:w="6816" w:type="dxa"/>
            <w:gridSpan w:val="7"/>
            <w:tcBorders>
              <w:top w:val="nil"/>
              <w:left w:val="nil"/>
              <w:bottom w:val="single" w:color="auto" w:sz="8" w:space="0"/>
              <w:right w:val="single" w:color="auto" w:sz="8" w:space="0"/>
            </w:tcBorders>
            <w:noWrap w:val="0"/>
            <w:vAlign w:val="center"/>
          </w:tcPr>
          <w:p>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有异议的意见和说明理由：</w:t>
            </w:r>
          </w:p>
          <w:p>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签字：</w:t>
            </w:r>
          </w:p>
        </w:tc>
      </w:tr>
      <w:tr>
        <w:tblPrEx>
          <w:tblCellMar>
            <w:top w:w="0" w:type="dxa"/>
            <w:left w:w="0" w:type="dxa"/>
            <w:bottom w:w="0" w:type="dxa"/>
            <w:right w:w="0" w:type="dxa"/>
          </w:tblCellMar>
        </w:tblPrEx>
        <w:trPr>
          <w:trHeight w:val="507" w:hRule="atLeast"/>
          <w:jc w:val="center"/>
        </w:trPr>
        <w:tc>
          <w:tcPr>
            <w:tcW w:w="8445" w:type="dxa"/>
            <w:gridSpan w:val="9"/>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验收小组成员签字：</w:t>
            </w:r>
          </w:p>
        </w:tc>
      </w:tr>
      <w:tr>
        <w:tblPrEx>
          <w:tblCellMar>
            <w:top w:w="0" w:type="dxa"/>
            <w:left w:w="0" w:type="dxa"/>
            <w:bottom w:w="0" w:type="dxa"/>
            <w:right w:w="0" w:type="dxa"/>
          </w:tblCellMar>
        </w:tblPrEx>
        <w:trPr>
          <w:trHeight w:val="736" w:hRule="atLeast"/>
          <w:jc w:val="center"/>
        </w:trPr>
        <w:tc>
          <w:tcPr>
            <w:tcW w:w="8445" w:type="dxa"/>
            <w:gridSpan w:val="9"/>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监督人员或者其他相关人员签字：</w:t>
            </w:r>
          </w:p>
          <w:p>
            <w:pPr>
              <w:widowControl/>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或者受邀机构的意见（盖章）：</w:t>
            </w:r>
          </w:p>
        </w:tc>
      </w:tr>
      <w:tr>
        <w:tblPrEx>
          <w:tblCellMar>
            <w:top w:w="0" w:type="dxa"/>
            <w:left w:w="0" w:type="dxa"/>
            <w:bottom w:w="0" w:type="dxa"/>
            <w:right w:w="0" w:type="dxa"/>
          </w:tblCellMar>
        </w:tblPrEx>
        <w:trPr>
          <w:trHeight w:val="758" w:hRule="atLeast"/>
          <w:jc w:val="center"/>
        </w:trPr>
        <w:tc>
          <w:tcPr>
            <w:tcW w:w="4152" w:type="dxa"/>
            <w:gridSpan w:val="5"/>
            <w:tcBorders>
              <w:top w:val="nil"/>
              <w:left w:val="single" w:color="auto" w:sz="8" w:space="0"/>
              <w:bottom w:val="single" w:color="auto" w:sz="8" w:space="0"/>
              <w:right w:val="nil"/>
            </w:tcBorders>
            <w:noWrap w:val="0"/>
            <w:tcMar>
              <w:top w:w="0" w:type="dxa"/>
              <w:left w:w="108" w:type="dxa"/>
              <w:bottom w:w="0" w:type="dxa"/>
              <w:right w:w="108" w:type="dxa"/>
            </w:tcMar>
            <w:vAlign w:val="center"/>
          </w:tcPr>
          <w:p>
            <w:pPr>
              <w:widowControl/>
              <w:spacing w:before="100" w:beforeAutospacing="1" w:after="100" w:afterAutospacing="1" w:line="320" w:lineRule="atLeast"/>
              <w:jc w:val="left"/>
              <w:rPr>
                <w:rFonts w:ascii="Verdana" w:hAnsi="Verdana" w:cs="宋体"/>
                <w:color w:val="auto"/>
                <w:kern w:val="0"/>
                <w:szCs w:val="21"/>
                <w:highlight w:val="none"/>
              </w:rPr>
            </w:pPr>
            <w:r>
              <w:rPr>
                <w:rFonts w:hint="eastAsia" w:ascii="Verdana" w:hAnsi="Verdana" w:cs="宋体"/>
                <w:color w:val="auto"/>
                <w:kern w:val="0"/>
                <w:szCs w:val="21"/>
                <w:highlight w:val="none"/>
                <w:lang w:eastAsia="zh-CN"/>
              </w:rPr>
              <w:t>中标</w:t>
            </w:r>
            <w:r>
              <w:rPr>
                <w:rFonts w:hint="eastAsia" w:ascii="Verdana" w:hAnsi="Verdana" w:cs="宋体"/>
                <w:color w:val="auto"/>
                <w:kern w:val="0"/>
                <w:szCs w:val="21"/>
                <w:highlight w:val="none"/>
                <w:lang w:val="en-US" w:eastAsia="zh-CN"/>
              </w:rPr>
              <w:t>/</w:t>
            </w:r>
            <w:r>
              <w:rPr>
                <w:rFonts w:ascii="Verdana" w:hAnsi="Verdana" w:cs="宋体"/>
                <w:color w:val="auto"/>
                <w:kern w:val="0"/>
                <w:szCs w:val="21"/>
                <w:highlight w:val="none"/>
              </w:rPr>
              <w:t>成交供应商负责人签字或者盖章：</w:t>
            </w:r>
          </w:p>
          <w:p>
            <w:pPr>
              <w:widowControl/>
              <w:spacing w:before="100" w:beforeAutospacing="1" w:after="100" w:afterAutospacing="1" w:line="320" w:lineRule="atLeast"/>
              <w:jc w:val="left"/>
              <w:rPr>
                <w:rFonts w:ascii="Verdana" w:hAnsi="Verdana" w:cs="宋体"/>
                <w:color w:val="auto"/>
                <w:kern w:val="0"/>
                <w:szCs w:val="21"/>
                <w:highlight w:val="none"/>
              </w:rPr>
            </w:pPr>
          </w:p>
          <w:p>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年</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月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日</w:t>
            </w:r>
          </w:p>
        </w:tc>
        <w:tc>
          <w:tcPr>
            <w:tcW w:w="4293" w:type="dxa"/>
            <w:gridSpan w:val="4"/>
            <w:tcBorders>
              <w:top w:val="nil"/>
              <w:left w:val="nil"/>
              <w:bottom w:val="single" w:color="auto" w:sz="8" w:space="0"/>
              <w:right w:val="single" w:color="auto" w:sz="8" w:space="0"/>
            </w:tcBorders>
            <w:noWrap w:val="0"/>
            <w:vAlign w:val="center"/>
          </w:tcPr>
          <w:p>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采购人或者受托机构的意见（盖章）：</w:t>
            </w:r>
          </w:p>
          <w:p>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p>
          <w:p>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联系电话：</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年</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月</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日</w:t>
            </w:r>
          </w:p>
        </w:tc>
      </w:tr>
    </w:tbl>
    <w:p>
      <w:pPr>
        <w:pStyle w:val="10"/>
        <w:ind w:left="479" w:leftChars="114" w:hanging="240" w:hangingChars="100"/>
        <w:rPr>
          <w:rFonts w:hAnsi="宋体"/>
          <w:color w:val="auto"/>
          <w:highlight w:val="none"/>
        </w:rPr>
      </w:pPr>
      <w:r>
        <w:rPr>
          <w:rFonts w:hAnsi="宋体"/>
          <w:color w:val="auto"/>
          <w:highlight w:val="none"/>
        </w:rPr>
        <w:br w:type="page"/>
      </w:r>
    </w:p>
    <w:p>
      <w:pPr>
        <w:pStyle w:val="10"/>
        <w:ind w:left="479" w:leftChars="114" w:hanging="240" w:hangingChars="100"/>
        <w:rPr>
          <w:rFonts w:hAnsi="宋体"/>
          <w:color w:val="auto"/>
          <w:highlight w:val="none"/>
        </w:rPr>
      </w:pPr>
    </w:p>
    <w:p>
      <w:pPr>
        <w:pStyle w:val="10"/>
        <w:ind w:left="479" w:leftChars="114" w:hanging="240" w:hangingChars="100"/>
        <w:rPr>
          <w:rFonts w:hAnsi="宋体"/>
          <w:color w:val="auto"/>
          <w:highlight w:val="none"/>
        </w:rPr>
      </w:pPr>
    </w:p>
    <w:p>
      <w:pPr>
        <w:pStyle w:val="10"/>
        <w:ind w:left="479" w:leftChars="114" w:hanging="240" w:hangingChars="100"/>
        <w:rPr>
          <w:rFonts w:hint="eastAsia" w:hAnsi="宋体"/>
          <w:color w:val="auto"/>
          <w:highlight w:val="none"/>
        </w:rPr>
      </w:pPr>
    </w:p>
    <w:p>
      <w:pPr>
        <w:pStyle w:val="12"/>
        <w:snapToGrid w:val="0"/>
        <w:spacing w:before="120" w:after="120"/>
        <w:rPr>
          <w:rFonts w:hint="eastAsia" w:hAnsi="宋体"/>
          <w:color w:val="auto"/>
          <w:highlight w:val="none"/>
        </w:rPr>
      </w:pPr>
    </w:p>
    <w:p>
      <w:pPr>
        <w:pStyle w:val="12"/>
        <w:snapToGrid w:val="0"/>
        <w:spacing w:before="120" w:after="120"/>
        <w:rPr>
          <w:rFonts w:hint="eastAsia" w:hAnsi="宋体"/>
          <w:color w:val="auto"/>
          <w:highlight w:val="none"/>
        </w:rPr>
      </w:pPr>
    </w:p>
    <w:p>
      <w:pPr>
        <w:pStyle w:val="12"/>
        <w:snapToGrid w:val="0"/>
        <w:spacing w:before="120" w:after="120"/>
        <w:rPr>
          <w:rFonts w:hint="eastAsia" w:hAnsi="宋体"/>
          <w:color w:val="auto"/>
          <w:highlight w:val="none"/>
        </w:rPr>
      </w:pPr>
    </w:p>
    <w:p>
      <w:pPr>
        <w:pStyle w:val="12"/>
        <w:snapToGrid w:val="0"/>
        <w:spacing w:before="120" w:after="120"/>
        <w:rPr>
          <w:rFonts w:hint="eastAsia" w:hAnsi="宋体"/>
          <w:color w:val="auto"/>
          <w:highlight w:val="none"/>
        </w:rPr>
      </w:pPr>
    </w:p>
    <w:p>
      <w:pPr>
        <w:pStyle w:val="12"/>
        <w:snapToGrid w:val="0"/>
        <w:spacing w:before="120" w:after="120"/>
        <w:rPr>
          <w:rFonts w:hint="eastAsia" w:hAnsi="宋体"/>
          <w:color w:val="auto"/>
          <w:highlight w:val="none"/>
        </w:rPr>
      </w:pPr>
    </w:p>
    <w:p>
      <w:pPr>
        <w:pStyle w:val="12"/>
        <w:snapToGrid w:val="0"/>
        <w:spacing w:before="120" w:after="120"/>
        <w:rPr>
          <w:rFonts w:hint="eastAsia" w:hAnsi="宋体"/>
          <w:color w:val="auto"/>
          <w:highlight w:val="none"/>
        </w:rPr>
      </w:pPr>
    </w:p>
    <w:p>
      <w:pPr>
        <w:pStyle w:val="12"/>
        <w:snapToGrid w:val="0"/>
        <w:spacing w:before="120" w:after="120"/>
        <w:rPr>
          <w:rFonts w:hint="eastAsia" w:hAnsi="宋体"/>
          <w:color w:val="auto"/>
          <w:highlight w:val="none"/>
        </w:rPr>
      </w:pPr>
    </w:p>
    <w:p>
      <w:pPr>
        <w:pStyle w:val="12"/>
        <w:snapToGrid w:val="0"/>
        <w:spacing w:before="120" w:after="120"/>
        <w:rPr>
          <w:rFonts w:hint="eastAsia" w:hAnsi="宋体"/>
          <w:color w:val="auto"/>
          <w:highlight w:val="none"/>
        </w:rPr>
      </w:pPr>
    </w:p>
    <w:p>
      <w:pPr>
        <w:pStyle w:val="12"/>
        <w:snapToGrid w:val="0"/>
        <w:spacing w:before="120" w:after="120"/>
        <w:rPr>
          <w:rFonts w:hint="eastAsia" w:hAnsi="宋体"/>
          <w:color w:val="auto"/>
          <w:highlight w:val="none"/>
        </w:rPr>
      </w:pPr>
    </w:p>
    <w:p>
      <w:pPr>
        <w:pStyle w:val="2"/>
        <w:jc w:val="center"/>
        <w:rPr>
          <w:rFonts w:hint="eastAsia"/>
          <w:color w:val="auto"/>
          <w:highlight w:val="none"/>
        </w:rPr>
      </w:pPr>
      <w:bookmarkStart w:id="143" w:name="_Toc74320803"/>
      <w:bookmarkStart w:id="144" w:name="_Toc254970548"/>
      <w:bookmarkStart w:id="145" w:name="_Toc330456896"/>
      <w:bookmarkStart w:id="146" w:name="_Toc254970689"/>
      <w:r>
        <w:rPr>
          <w:rFonts w:hint="eastAsia"/>
          <w:color w:val="auto"/>
          <w:highlight w:val="none"/>
        </w:rPr>
        <w:t>第四章  评标方法及评标标准</w:t>
      </w:r>
      <w:bookmarkEnd w:id="143"/>
      <w:bookmarkEnd w:id="144"/>
      <w:bookmarkEnd w:id="145"/>
      <w:bookmarkEnd w:id="146"/>
    </w:p>
    <w:p>
      <w:pPr>
        <w:pStyle w:val="12"/>
        <w:spacing w:before="120" w:after="120"/>
        <w:outlineLvl w:val="0"/>
        <w:rPr>
          <w:rFonts w:hint="eastAsia" w:hAnsi="宋体"/>
          <w:b/>
          <w:color w:val="auto"/>
          <w:highlight w:val="none"/>
        </w:rPr>
      </w:pPr>
      <w:bookmarkStart w:id="147" w:name="_Toc254970690"/>
      <w:bookmarkStart w:id="148" w:name="_Toc254970549"/>
    </w:p>
    <w:bookmarkEnd w:id="147"/>
    <w:bookmarkEnd w:id="148"/>
    <w:p>
      <w:pPr>
        <w:pStyle w:val="12"/>
        <w:spacing w:before="120" w:after="120"/>
        <w:outlineLvl w:val="0"/>
        <w:rPr>
          <w:rFonts w:hint="eastAsia" w:hAnsi="宋体"/>
          <w:bCs/>
          <w:color w:val="auto"/>
          <w:sz w:val="32"/>
          <w:szCs w:val="32"/>
          <w:highlight w:val="none"/>
        </w:rPr>
      </w:pPr>
    </w:p>
    <w:p>
      <w:pPr>
        <w:pStyle w:val="12"/>
        <w:spacing w:before="120" w:after="120"/>
        <w:outlineLvl w:val="0"/>
        <w:rPr>
          <w:rFonts w:hint="eastAsia" w:hAnsi="宋体"/>
          <w:bCs/>
          <w:color w:val="auto"/>
          <w:sz w:val="32"/>
          <w:szCs w:val="32"/>
          <w:highlight w:val="none"/>
        </w:rPr>
      </w:pPr>
    </w:p>
    <w:p>
      <w:pPr>
        <w:pStyle w:val="12"/>
        <w:spacing w:before="120" w:after="120"/>
        <w:outlineLvl w:val="0"/>
        <w:rPr>
          <w:rFonts w:hint="eastAsia" w:hAnsi="宋体"/>
          <w:bCs/>
          <w:color w:val="auto"/>
          <w:sz w:val="32"/>
          <w:szCs w:val="32"/>
          <w:highlight w:val="none"/>
        </w:rPr>
      </w:pPr>
    </w:p>
    <w:p>
      <w:pPr>
        <w:spacing w:before="120" w:beforeLines="50" w:after="120" w:afterLines="50" w:line="400" w:lineRule="exact"/>
        <w:rPr>
          <w:rFonts w:hint="eastAsia" w:ascii="宋体" w:hAnsi="宋体"/>
          <w:b/>
          <w:color w:val="auto"/>
          <w:sz w:val="24"/>
          <w:highlight w:val="none"/>
        </w:rPr>
      </w:pPr>
    </w:p>
    <w:p>
      <w:pPr>
        <w:spacing w:before="120" w:beforeLines="50" w:after="120" w:afterLines="50" w:line="400" w:lineRule="exact"/>
        <w:rPr>
          <w:rFonts w:hint="eastAsia" w:ascii="宋体" w:hAnsi="宋体"/>
          <w:b/>
          <w:color w:val="auto"/>
          <w:sz w:val="24"/>
          <w:highlight w:val="none"/>
        </w:rPr>
      </w:pPr>
    </w:p>
    <w:p>
      <w:pPr>
        <w:spacing w:before="120" w:beforeLines="50" w:after="120" w:afterLines="50" w:line="400" w:lineRule="exact"/>
        <w:rPr>
          <w:rFonts w:hint="eastAsia" w:ascii="宋体" w:hAnsi="宋体"/>
          <w:b/>
          <w:color w:val="auto"/>
          <w:sz w:val="24"/>
          <w:highlight w:val="none"/>
        </w:rPr>
      </w:pPr>
    </w:p>
    <w:p>
      <w:pPr>
        <w:spacing w:before="120" w:beforeLines="50" w:after="120" w:afterLines="50" w:line="400" w:lineRule="exact"/>
        <w:rPr>
          <w:rFonts w:hint="eastAsia" w:ascii="宋体" w:hAnsi="宋体"/>
          <w:b/>
          <w:color w:val="auto"/>
          <w:sz w:val="24"/>
          <w:highlight w:val="none"/>
        </w:rPr>
      </w:pPr>
    </w:p>
    <w:p>
      <w:pPr>
        <w:spacing w:before="120" w:beforeLines="50" w:after="120" w:afterLines="50" w:line="400" w:lineRule="exact"/>
        <w:rPr>
          <w:rFonts w:hint="eastAsia" w:ascii="宋体" w:hAnsi="宋体"/>
          <w:b/>
          <w:color w:val="auto"/>
          <w:sz w:val="24"/>
          <w:highlight w:val="none"/>
        </w:rPr>
      </w:pPr>
    </w:p>
    <w:p>
      <w:pPr>
        <w:spacing w:before="120" w:beforeLines="50" w:after="120" w:afterLines="50" w:line="400" w:lineRule="exact"/>
        <w:rPr>
          <w:rFonts w:hint="eastAsia" w:ascii="宋体" w:hAnsi="宋体"/>
          <w:b/>
          <w:color w:val="auto"/>
          <w:sz w:val="24"/>
          <w:highlight w:val="none"/>
        </w:rPr>
      </w:pPr>
    </w:p>
    <w:p>
      <w:pPr>
        <w:spacing w:before="120" w:beforeLines="50" w:after="120" w:afterLines="50" w:line="400" w:lineRule="exact"/>
        <w:rPr>
          <w:rFonts w:hint="eastAsia" w:ascii="宋体" w:hAnsi="宋体"/>
          <w:b/>
          <w:color w:val="auto"/>
          <w:sz w:val="24"/>
          <w:highlight w:val="none"/>
        </w:rPr>
      </w:pPr>
    </w:p>
    <w:p>
      <w:pPr>
        <w:pStyle w:val="12"/>
        <w:spacing w:line="360" w:lineRule="exact"/>
        <w:rPr>
          <w:rFonts w:hint="eastAsia" w:hAnsi="宋体"/>
          <w:b/>
          <w:color w:val="auto"/>
          <w:sz w:val="24"/>
          <w:highlight w:val="none"/>
        </w:rPr>
      </w:pPr>
    </w:p>
    <w:p>
      <w:pPr>
        <w:pStyle w:val="4"/>
        <w:keepNext w:val="0"/>
        <w:keepLines w:val="0"/>
        <w:jc w:val="center"/>
        <w:rPr>
          <w:color w:val="auto"/>
          <w:sz w:val="30"/>
          <w:szCs w:val="30"/>
          <w:highlight w:val="none"/>
        </w:rPr>
      </w:pPr>
      <w:r>
        <w:rPr>
          <w:rFonts w:hint="eastAsia"/>
          <w:color w:val="auto"/>
          <w:sz w:val="30"/>
          <w:szCs w:val="30"/>
          <w:highlight w:val="none"/>
        </w:rPr>
        <w:br w:type="page"/>
      </w:r>
      <w:r>
        <w:rPr>
          <w:rFonts w:hint="eastAsia"/>
          <w:color w:val="auto"/>
          <w:sz w:val="30"/>
          <w:szCs w:val="30"/>
          <w:highlight w:val="none"/>
        </w:rPr>
        <w:t>一、评标方法</w:t>
      </w:r>
    </w:p>
    <w:p>
      <w:pPr>
        <w:pStyle w:val="12"/>
        <w:spacing w:line="360" w:lineRule="auto"/>
        <w:ind w:firstLine="420"/>
        <w:rPr>
          <w:rFonts w:hAnsi="宋体"/>
          <w:color w:val="auto"/>
          <w:sz w:val="21"/>
          <w:highlight w:val="none"/>
        </w:rPr>
      </w:pPr>
      <w:r>
        <w:rPr>
          <w:rFonts w:hint="eastAsia" w:hAnsi="宋体"/>
          <w:color w:val="auto"/>
          <w:sz w:val="21"/>
          <w:highlight w:val="none"/>
        </w:rPr>
        <w:t>综合评分法，是指投标文件满足招标文件全部实质性要求，且按照评审因素的量化指标评审得分最高的投标人为中标候选人的评标方法。</w:t>
      </w:r>
    </w:p>
    <w:p>
      <w:pPr>
        <w:pStyle w:val="4"/>
        <w:keepNext w:val="0"/>
        <w:keepLines w:val="0"/>
        <w:jc w:val="center"/>
        <w:rPr>
          <w:rFonts w:hint="eastAsia"/>
          <w:color w:val="auto"/>
          <w:sz w:val="30"/>
          <w:szCs w:val="30"/>
          <w:highlight w:val="none"/>
        </w:rPr>
      </w:pPr>
      <w:r>
        <w:rPr>
          <w:rFonts w:hint="eastAsia"/>
          <w:color w:val="auto"/>
          <w:sz w:val="30"/>
          <w:szCs w:val="30"/>
          <w:highlight w:val="none"/>
        </w:rPr>
        <w:t>二、评标程序</w:t>
      </w:r>
    </w:p>
    <w:p>
      <w:pPr>
        <w:pStyle w:val="5"/>
        <w:keepNext w:val="0"/>
        <w:keepLines w:val="0"/>
        <w:spacing w:before="0" w:after="0" w:line="360" w:lineRule="auto"/>
        <w:ind w:left="420" w:leftChars="200"/>
        <w:rPr>
          <w:rFonts w:hint="eastAsia" w:ascii="宋体" w:hAnsi="宋体"/>
          <w:color w:val="auto"/>
          <w:sz w:val="21"/>
          <w:szCs w:val="21"/>
          <w:highlight w:val="none"/>
        </w:rPr>
      </w:pPr>
      <w:r>
        <w:rPr>
          <w:rFonts w:hint="eastAsia" w:ascii="宋体" w:hAnsi="宋体"/>
          <w:color w:val="auto"/>
          <w:sz w:val="21"/>
          <w:szCs w:val="21"/>
          <w:highlight w:val="none"/>
        </w:rPr>
        <w:t>1.符合性审查</w:t>
      </w:r>
    </w:p>
    <w:p>
      <w:pPr>
        <w:pStyle w:val="12"/>
        <w:snapToGrid w:val="0"/>
        <w:spacing w:line="360" w:lineRule="auto"/>
        <w:ind w:left="1" w:firstLine="420"/>
        <w:rPr>
          <w:rFonts w:hint="eastAsia" w:hAnsi="宋体"/>
          <w:b/>
          <w:color w:val="auto"/>
          <w:kern w:val="2"/>
          <w:sz w:val="21"/>
          <w:highlight w:val="none"/>
        </w:rPr>
      </w:pPr>
      <w:r>
        <w:rPr>
          <w:rFonts w:hint="eastAsia" w:hAnsi="宋体"/>
          <w:b/>
          <w:color w:val="auto"/>
          <w:kern w:val="2"/>
          <w:sz w:val="21"/>
          <w:highlight w:val="none"/>
        </w:rPr>
        <w:t>评标委员会应当对符合资格的投标人的投标文件进行投标报价、商务、技术等实质性内容符合性审查，以确定其是否满足招标文件的实质性要求。</w:t>
      </w:r>
    </w:p>
    <w:p>
      <w:pPr>
        <w:pStyle w:val="5"/>
        <w:keepNext w:val="0"/>
        <w:keepLines w:val="0"/>
        <w:spacing w:before="0" w:after="0" w:line="360" w:lineRule="auto"/>
        <w:ind w:left="420" w:leftChars="200"/>
        <w:rPr>
          <w:rFonts w:hint="eastAsia" w:ascii="宋体" w:hAnsi="宋体"/>
          <w:color w:val="auto"/>
          <w:sz w:val="21"/>
          <w:szCs w:val="21"/>
          <w:highlight w:val="none"/>
        </w:rPr>
      </w:pPr>
      <w:r>
        <w:rPr>
          <w:rFonts w:hint="eastAsia" w:ascii="宋体" w:hAnsi="宋体"/>
          <w:color w:val="auto"/>
          <w:sz w:val="21"/>
          <w:szCs w:val="21"/>
          <w:highlight w:val="none"/>
        </w:rPr>
        <w:t>2</w:t>
      </w:r>
      <w:r>
        <w:rPr>
          <w:rFonts w:ascii="宋体" w:hAnsi="宋体"/>
          <w:color w:val="auto"/>
          <w:sz w:val="21"/>
          <w:szCs w:val="21"/>
          <w:highlight w:val="none"/>
        </w:rPr>
        <w:t>.</w:t>
      </w:r>
      <w:r>
        <w:rPr>
          <w:rFonts w:hint="eastAsia" w:ascii="宋体" w:hAnsi="宋体"/>
          <w:color w:val="auto"/>
          <w:sz w:val="21"/>
          <w:szCs w:val="21"/>
          <w:highlight w:val="none"/>
        </w:rPr>
        <w:t>符合性审查不通过而导致投标无效的情形</w:t>
      </w:r>
    </w:p>
    <w:p>
      <w:pPr>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投标人的投标文件中存在对招标文件的任何实质性要求和条件的负偏离，将被视为投标无效。</w:t>
      </w:r>
    </w:p>
    <w:p>
      <w:pPr>
        <w:pStyle w:val="5"/>
        <w:keepNext w:val="0"/>
        <w:keepLines w:val="0"/>
        <w:spacing w:before="0" w:after="0" w:line="360" w:lineRule="auto"/>
        <w:ind w:left="420" w:leftChars="200"/>
        <w:rPr>
          <w:rFonts w:hint="eastAsia" w:ascii="宋体" w:hAnsi="宋体"/>
          <w:color w:val="auto"/>
          <w:sz w:val="21"/>
          <w:szCs w:val="21"/>
          <w:highlight w:val="none"/>
        </w:rPr>
      </w:pPr>
      <w:r>
        <w:rPr>
          <w:rFonts w:hint="eastAsia" w:ascii="宋体" w:hAnsi="宋体"/>
          <w:color w:val="auto"/>
          <w:sz w:val="21"/>
          <w:szCs w:val="21"/>
          <w:highlight w:val="none"/>
        </w:rPr>
        <w:t>2.1在报价评审时，如发现下列情形之一的，将被视为投标无效：</w:t>
      </w:r>
    </w:p>
    <w:p>
      <w:pPr>
        <w:pStyle w:val="6"/>
        <w:numPr>
          <w:ilvl w:val="0"/>
          <w:numId w:val="10"/>
        </w:numPr>
        <w:spacing w:line="360" w:lineRule="auto"/>
        <w:ind w:firstLine="422"/>
        <w:rPr>
          <w:rFonts w:hint="eastAsia" w:ascii="宋体" w:hAnsi="宋体"/>
          <w:b/>
          <w:color w:val="auto"/>
          <w:szCs w:val="21"/>
          <w:highlight w:val="none"/>
        </w:rPr>
      </w:pPr>
      <w:r>
        <w:rPr>
          <w:rFonts w:hint="eastAsia" w:ascii="宋体" w:hAnsi="宋体"/>
          <w:b/>
          <w:color w:val="auto"/>
          <w:spacing w:val="-6"/>
          <w:szCs w:val="21"/>
          <w:highlight w:val="none"/>
        </w:rPr>
        <w:t>报价文件</w:t>
      </w:r>
      <w:r>
        <w:rPr>
          <w:rFonts w:hint="eastAsia" w:ascii="宋体" w:hAnsi="宋体"/>
          <w:b/>
          <w:color w:val="auto"/>
          <w:szCs w:val="21"/>
          <w:highlight w:val="none"/>
        </w:rPr>
        <w:t>未提供“投标人须知前附表”第13.1条规定中“必须提供”的文件资料的；</w:t>
      </w:r>
    </w:p>
    <w:p>
      <w:pPr>
        <w:pStyle w:val="6"/>
        <w:numPr>
          <w:ilvl w:val="0"/>
          <w:numId w:val="10"/>
        </w:numPr>
        <w:spacing w:line="360" w:lineRule="auto"/>
        <w:ind w:firstLine="422"/>
        <w:rPr>
          <w:rFonts w:hint="eastAsia" w:ascii="宋体" w:hAnsi="宋体"/>
          <w:b/>
          <w:color w:val="auto"/>
          <w:szCs w:val="21"/>
          <w:highlight w:val="none"/>
        </w:rPr>
      </w:pPr>
      <w:r>
        <w:rPr>
          <w:rFonts w:hint="eastAsia" w:ascii="宋体" w:hAnsi="宋体"/>
          <w:b/>
          <w:color w:val="auto"/>
          <w:szCs w:val="21"/>
          <w:highlight w:val="none"/>
        </w:rPr>
        <w:t>未采用人民币报价或者未按照招标文件标明的币种报价的；</w:t>
      </w:r>
    </w:p>
    <w:p>
      <w:pPr>
        <w:pStyle w:val="6"/>
        <w:numPr>
          <w:ilvl w:val="0"/>
          <w:numId w:val="10"/>
        </w:numPr>
        <w:spacing w:line="360" w:lineRule="auto"/>
        <w:ind w:firstLine="422"/>
        <w:rPr>
          <w:rFonts w:hint="eastAsia" w:ascii="宋体" w:hAnsi="宋体"/>
          <w:b/>
          <w:color w:val="auto"/>
          <w:szCs w:val="21"/>
          <w:highlight w:val="none"/>
        </w:rPr>
      </w:pPr>
      <w:r>
        <w:rPr>
          <w:rFonts w:hint="eastAsia" w:ascii="宋体" w:hAnsi="宋体"/>
          <w:b/>
          <w:color w:val="auto"/>
          <w:szCs w:val="21"/>
          <w:highlight w:val="none"/>
        </w:rPr>
        <w:t>各分标报价超出招标文件相应分标规定最高限价，或者超出相应分标采购预算金额的；</w:t>
      </w:r>
    </w:p>
    <w:p>
      <w:pPr>
        <w:pStyle w:val="6"/>
        <w:numPr>
          <w:ilvl w:val="0"/>
          <w:numId w:val="10"/>
        </w:numPr>
        <w:spacing w:line="360" w:lineRule="auto"/>
        <w:ind w:firstLine="422"/>
        <w:rPr>
          <w:rFonts w:hint="eastAsia" w:ascii="宋体" w:hAnsi="宋体"/>
          <w:b/>
          <w:color w:val="auto"/>
          <w:szCs w:val="21"/>
          <w:highlight w:val="none"/>
        </w:rPr>
      </w:pPr>
      <w:r>
        <w:rPr>
          <w:rFonts w:hint="eastAsia" w:ascii="宋体" w:hAnsi="宋体"/>
          <w:b/>
          <w:color w:val="auto"/>
          <w:szCs w:val="21"/>
          <w:highlight w:val="none"/>
        </w:rPr>
        <w:t>投标人未就所投分标进行报价或者存在漏项报价；投标人未就所投分标的单项内容作唯一报价；投标人未就所投分标的全部内容作完整唯一总价报价；存在有选择、有条件报价的（招标文件允许有备选方案或者其他约定的除外）；</w:t>
      </w:r>
    </w:p>
    <w:p>
      <w:pPr>
        <w:pStyle w:val="6"/>
        <w:numPr>
          <w:ilvl w:val="0"/>
          <w:numId w:val="10"/>
        </w:numPr>
        <w:spacing w:line="360" w:lineRule="auto"/>
        <w:ind w:firstLine="422"/>
        <w:rPr>
          <w:rFonts w:hint="eastAsia" w:ascii="宋体" w:hAnsi="宋体"/>
          <w:b/>
          <w:color w:val="auto"/>
          <w:szCs w:val="21"/>
          <w:highlight w:val="none"/>
        </w:rPr>
      </w:pPr>
      <w:r>
        <w:rPr>
          <w:rFonts w:hint="eastAsia" w:ascii="宋体" w:hAnsi="宋体"/>
          <w:b/>
          <w:color w:val="auto"/>
          <w:szCs w:val="21"/>
          <w:highlight w:val="none"/>
        </w:rPr>
        <w:t>修正后的报价，投标人不确认的；</w:t>
      </w:r>
    </w:p>
    <w:p>
      <w:pPr>
        <w:pStyle w:val="6"/>
        <w:numPr>
          <w:ilvl w:val="0"/>
          <w:numId w:val="10"/>
        </w:numPr>
        <w:spacing w:line="360" w:lineRule="auto"/>
        <w:ind w:firstLine="422"/>
        <w:rPr>
          <w:rFonts w:hint="eastAsia" w:ascii="宋体" w:hAnsi="宋体"/>
          <w:b/>
          <w:color w:val="auto"/>
          <w:szCs w:val="21"/>
          <w:highlight w:val="none"/>
        </w:rPr>
      </w:pPr>
      <w:r>
        <w:rPr>
          <w:rFonts w:hint="eastAsia" w:ascii="宋体" w:hAnsi="宋体"/>
          <w:b/>
          <w:color w:val="auto"/>
          <w:szCs w:val="21"/>
          <w:highlight w:val="none"/>
        </w:rPr>
        <w:t>投标人属于本章第</w:t>
      </w:r>
      <w:r>
        <w:rPr>
          <w:rFonts w:ascii="宋体" w:hAnsi="宋体"/>
          <w:b/>
          <w:color w:val="auto"/>
          <w:szCs w:val="21"/>
          <w:highlight w:val="none"/>
        </w:rPr>
        <w:t>5</w:t>
      </w:r>
      <w:r>
        <w:rPr>
          <w:rFonts w:hint="eastAsia" w:ascii="宋体" w:hAnsi="宋体"/>
          <w:b/>
          <w:color w:val="auto"/>
          <w:szCs w:val="21"/>
          <w:highlight w:val="none"/>
        </w:rPr>
        <w:t>条（2）情形的；</w:t>
      </w:r>
    </w:p>
    <w:p>
      <w:pPr>
        <w:pStyle w:val="6"/>
        <w:numPr>
          <w:ilvl w:val="0"/>
          <w:numId w:val="10"/>
        </w:numPr>
        <w:spacing w:line="360" w:lineRule="auto"/>
        <w:ind w:firstLine="422"/>
        <w:rPr>
          <w:rFonts w:hint="eastAsia" w:ascii="宋体" w:hAnsi="宋体"/>
          <w:b/>
          <w:color w:val="auto"/>
          <w:szCs w:val="21"/>
          <w:highlight w:val="none"/>
        </w:rPr>
      </w:pPr>
      <w:r>
        <w:rPr>
          <w:rFonts w:hint="eastAsia" w:ascii="宋体" w:hAnsi="宋体"/>
          <w:b/>
          <w:color w:val="auto"/>
          <w:spacing w:val="-6"/>
          <w:szCs w:val="21"/>
          <w:highlight w:val="none"/>
        </w:rPr>
        <w:t>报价文件</w:t>
      </w:r>
      <w:r>
        <w:rPr>
          <w:rFonts w:hint="eastAsia" w:ascii="宋体" w:hAnsi="宋体"/>
          <w:b/>
          <w:color w:val="auto"/>
          <w:szCs w:val="21"/>
          <w:highlight w:val="none"/>
        </w:rPr>
        <w:t>响应的标的数量及单位与招标文件要求实质性不一致的。</w:t>
      </w:r>
    </w:p>
    <w:p>
      <w:pPr>
        <w:pStyle w:val="5"/>
        <w:keepNext w:val="0"/>
        <w:keepLines w:val="0"/>
        <w:spacing w:before="0" w:after="0" w:line="360" w:lineRule="auto"/>
        <w:ind w:left="420" w:leftChars="200"/>
        <w:rPr>
          <w:rFonts w:hint="eastAsia" w:ascii="宋体" w:hAnsi="宋体"/>
          <w:color w:val="auto"/>
          <w:sz w:val="21"/>
          <w:szCs w:val="21"/>
          <w:highlight w:val="none"/>
        </w:rPr>
      </w:pPr>
      <w:r>
        <w:rPr>
          <w:rFonts w:hint="eastAsia" w:ascii="宋体" w:hAnsi="宋体"/>
          <w:color w:val="auto"/>
          <w:sz w:val="21"/>
          <w:szCs w:val="21"/>
          <w:highlight w:val="none"/>
        </w:rPr>
        <w:t>2.2在商务评审时，如发现下列情形之一的，将被视为投标无效：</w:t>
      </w:r>
    </w:p>
    <w:p>
      <w:pPr>
        <w:numPr>
          <w:ilvl w:val="0"/>
          <w:numId w:val="11"/>
        </w:numPr>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投标文件未按招标文件要求签署、盖章的；</w:t>
      </w:r>
    </w:p>
    <w:p>
      <w:pPr>
        <w:numPr>
          <w:ilvl w:val="0"/>
          <w:numId w:val="11"/>
        </w:numPr>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委托代理人未能出具有效身份证或者出具的身份证与授权委托书中的信息不符的；</w:t>
      </w:r>
    </w:p>
    <w:p>
      <w:pPr>
        <w:numPr>
          <w:ilvl w:val="0"/>
          <w:numId w:val="11"/>
        </w:numPr>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为无效投标保证金的或者未按照招标文件的规定提交投标保证金的；</w:t>
      </w:r>
    </w:p>
    <w:p>
      <w:pPr>
        <w:numPr>
          <w:ilvl w:val="0"/>
          <w:numId w:val="11"/>
        </w:numPr>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投标文件未提供“投标人须知前附表”第13.</w:t>
      </w:r>
      <w:r>
        <w:rPr>
          <w:rFonts w:ascii="宋体" w:hAnsi="宋体"/>
          <w:b/>
          <w:color w:val="auto"/>
          <w:szCs w:val="21"/>
          <w:highlight w:val="none"/>
        </w:rPr>
        <w:t>1</w:t>
      </w:r>
      <w:r>
        <w:rPr>
          <w:rFonts w:hint="eastAsia" w:ascii="宋体" w:hAnsi="宋体"/>
          <w:b/>
          <w:color w:val="auto"/>
          <w:szCs w:val="21"/>
          <w:highlight w:val="none"/>
        </w:rPr>
        <w:t>条规定中“必须提供”或者“委托时必须提供”的文件资料的；</w:t>
      </w:r>
    </w:p>
    <w:p>
      <w:pPr>
        <w:numPr>
          <w:ilvl w:val="0"/>
          <w:numId w:val="11"/>
        </w:numPr>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商务要求评审允许负偏离的条款数超过“投标人须知前附表”规定项数的；</w:t>
      </w:r>
    </w:p>
    <w:p>
      <w:pPr>
        <w:numPr>
          <w:ilvl w:val="0"/>
          <w:numId w:val="11"/>
        </w:numPr>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投标文件的实质性内容未使用中文表述、使用计量单位不符合招标文件要求的；</w:t>
      </w:r>
    </w:p>
    <w:p>
      <w:pPr>
        <w:numPr>
          <w:ilvl w:val="0"/>
          <w:numId w:val="11"/>
        </w:numPr>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投标文件中的文件资料因填写不齐全或者内容虚假或者出现其他情形而导致被评标委员会认定无效的；</w:t>
      </w:r>
    </w:p>
    <w:p>
      <w:pPr>
        <w:numPr>
          <w:ilvl w:val="0"/>
          <w:numId w:val="11"/>
        </w:numPr>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投标文件含有采购人不能接受的附加条件的；</w:t>
      </w:r>
    </w:p>
    <w:p>
      <w:pPr>
        <w:numPr>
          <w:ilvl w:val="0"/>
          <w:numId w:val="11"/>
        </w:numPr>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属于投标人须知正文第</w:t>
      </w:r>
      <w:r>
        <w:rPr>
          <w:rFonts w:ascii="宋体" w:hAnsi="宋体"/>
          <w:b/>
          <w:color w:val="auto"/>
          <w:szCs w:val="21"/>
          <w:highlight w:val="none"/>
        </w:rPr>
        <w:t>9.2</w:t>
      </w:r>
      <w:r>
        <w:rPr>
          <w:rFonts w:hint="eastAsia" w:ascii="宋体" w:hAnsi="宋体"/>
          <w:b/>
          <w:color w:val="auto"/>
          <w:szCs w:val="21"/>
          <w:highlight w:val="none"/>
        </w:rPr>
        <w:t>条情形的；</w:t>
      </w:r>
    </w:p>
    <w:p>
      <w:pPr>
        <w:numPr>
          <w:ilvl w:val="0"/>
          <w:numId w:val="11"/>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投标文件标注的项目名称或者项目编号与招标文件标注的项目名称或者项目编号不一致的；</w:t>
      </w:r>
    </w:p>
    <w:p>
      <w:pPr>
        <w:numPr>
          <w:ilvl w:val="0"/>
          <w:numId w:val="11"/>
        </w:numPr>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招标文件明确不允许分包，投标文件拟分包的；</w:t>
      </w:r>
    </w:p>
    <w:p>
      <w:pPr>
        <w:numPr>
          <w:ilvl w:val="0"/>
          <w:numId w:val="11"/>
        </w:numPr>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未响应招标文件实质性要求的；</w:t>
      </w:r>
    </w:p>
    <w:p>
      <w:pPr>
        <w:numPr>
          <w:ilvl w:val="0"/>
          <w:numId w:val="11"/>
        </w:numPr>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法律、法规和招标文件规定的其他无效情形。</w:t>
      </w:r>
    </w:p>
    <w:p>
      <w:pPr>
        <w:pStyle w:val="5"/>
        <w:keepNext w:val="0"/>
        <w:keepLines w:val="0"/>
        <w:spacing w:before="0" w:after="0" w:line="360" w:lineRule="auto"/>
        <w:ind w:left="420" w:leftChars="200"/>
        <w:rPr>
          <w:rFonts w:hint="eastAsia" w:ascii="宋体" w:hAnsi="宋体"/>
          <w:color w:val="auto"/>
          <w:sz w:val="21"/>
          <w:szCs w:val="21"/>
          <w:highlight w:val="none"/>
        </w:rPr>
      </w:pPr>
      <w:r>
        <w:rPr>
          <w:rFonts w:hint="eastAsia" w:ascii="宋体" w:hAnsi="宋体"/>
          <w:color w:val="auto"/>
          <w:sz w:val="21"/>
          <w:szCs w:val="21"/>
          <w:highlight w:val="none"/>
        </w:rPr>
        <w:t>2.3在技术评审时，如发现下列情形之一的，将被视为投标无效：</w:t>
      </w:r>
    </w:p>
    <w:p>
      <w:pPr>
        <w:pStyle w:val="11"/>
        <w:snapToGrid w:val="0"/>
        <w:spacing w:line="360" w:lineRule="auto"/>
        <w:ind w:firstLine="413" w:firstLineChars="196"/>
        <w:rPr>
          <w:rFonts w:hint="eastAsia" w:ascii="宋体" w:hAnsi="宋体" w:eastAsia="宋体"/>
          <w:b/>
          <w:color w:val="auto"/>
          <w:kern w:val="2"/>
          <w:sz w:val="21"/>
          <w:szCs w:val="21"/>
          <w:highlight w:val="none"/>
        </w:rPr>
      </w:pPr>
      <w:r>
        <w:rPr>
          <w:rFonts w:hint="eastAsia" w:ascii="宋体" w:hAnsi="宋体" w:eastAsia="宋体"/>
          <w:b/>
          <w:color w:val="auto"/>
          <w:kern w:val="2"/>
          <w:sz w:val="21"/>
          <w:szCs w:val="21"/>
          <w:highlight w:val="none"/>
        </w:rPr>
        <w:t>（1）技术要求评审允许负偏离的条款数超过“投标人须知前附表”规定项数的；</w:t>
      </w:r>
    </w:p>
    <w:p>
      <w:pPr>
        <w:pStyle w:val="11"/>
        <w:snapToGrid w:val="0"/>
        <w:spacing w:line="360" w:lineRule="auto"/>
        <w:ind w:firstLine="413" w:firstLineChars="196"/>
        <w:rPr>
          <w:rFonts w:hint="eastAsia" w:ascii="宋体" w:hAnsi="宋体" w:eastAsia="宋体"/>
          <w:b/>
          <w:color w:val="auto"/>
          <w:kern w:val="2"/>
          <w:sz w:val="21"/>
          <w:szCs w:val="21"/>
          <w:highlight w:val="none"/>
        </w:rPr>
      </w:pPr>
      <w:r>
        <w:rPr>
          <w:rFonts w:hint="eastAsia" w:ascii="宋体" w:hAnsi="宋体" w:eastAsia="宋体"/>
          <w:b/>
          <w:color w:val="auto"/>
          <w:kern w:val="2"/>
          <w:sz w:val="21"/>
          <w:szCs w:val="21"/>
          <w:highlight w:val="none"/>
        </w:rPr>
        <w:t>（2）投标文件未提供“投标人须知前附表”第13.</w:t>
      </w:r>
      <w:r>
        <w:rPr>
          <w:rFonts w:ascii="宋体" w:hAnsi="宋体" w:eastAsia="宋体"/>
          <w:b/>
          <w:color w:val="auto"/>
          <w:kern w:val="2"/>
          <w:sz w:val="21"/>
          <w:szCs w:val="21"/>
          <w:highlight w:val="none"/>
        </w:rPr>
        <w:t>1</w:t>
      </w:r>
      <w:r>
        <w:rPr>
          <w:rFonts w:hint="eastAsia" w:ascii="宋体" w:hAnsi="宋体" w:eastAsia="宋体"/>
          <w:b/>
          <w:color w:val="auto"/>
          <w:kern w:val="2"/>
          <w:sz w:val="21"/>
          <w:szCs w:val="21"/>
          <w:highlight w:val="none"/>
        </w:rPr>
        <w:t>条规定中“必须提供”的文件资料的；</w:t>
      </w:r>
    </w:p>
    <w:p>
      <w:pPr>
        <w:pStyle w:val="11"/>
        <w:snapToGrid w:val="0"/>
        <w:spacing w:line="360" w:lineRule="auto"/>
        <w:ind w:firstLine="413" w:firstLineChars="196"/>
        <w:rPr>
          <w:rFonts w:hint="eastAsia" w:ascii="宋体" w:hAnsi="宋体" w:eastAsia="宋体"/>
          <w:b/>
          <w:color w:val="auto"/>
          <w:kern w:val="2"/>
          <w:sz w:val="21"/>
          <w:szCs w:val="21"/>
          <w:highlight w:val="none"/>
        </w:rPr>
      </w:pPr>
      <w:r>
        <w:rPr>
          <w:rFonts w:hint="eastAsia" w:ascii="宋体" w:hAnsi="宋体" w:eastAsia="宋体"/>
          <w:b/>
          <w:color w:val="auto"/>
          <w:kern w:val="2"/>
          <w:sz w:val="21"/>
          <w:szCs w:val="21"/>
          <w:highlight w:val="none"/>
        </w:rPr>
        <w:t>（3）虚假投标，或者出现其他情形而导致被评标委员会认定无效的；</w:t>
      </w:r>
    </w:p>
    <w:p>
      <w:pPr>
        <w:pStyle w:val="11"/>
        <w:snapToGrid w:val="0"/>
        <w:spacing w:line="360" w:lineRule="auto"/>
        <w:ind w:firstLine="413" w:firstLineChars="196"/>
        <w:rPr>
          <w:rFonts w:ascii="宋体" w:hAnsi="宋体" w:eastAsia="宋体"/>
          <w:b/>
          <w:color w:val="auto"/>
          <w:kern w:val="2"/>
          <w:sz w:val="21"/>
          <w:szCs w:val="21"/>
          <w:highlight w:val="none"/>
        </w:rPr>
      </w:pPr>
      <w:r>
        <w:rPr>
          <w:rFonts w:hint="eastAsia" w:ascii="宋体" w:hAnsi="宋体" w:eastAsia="宋体"/>
          <w:b/>
          <w:color w:val="auto"/>
          <w:kern w:val="2"/>
          <w:sz w:val="21"/>
          <w:szCs w:val="21"/>
          <w:highlight w:val="none"/>
        </w:rPr>
        <w:t>（4）</w:t>
      </w:r>
      <w:bookmarkStart w:id="149" w:name="_Hlk71706244"/>
      <w:r>
        <w:rPr>
          <w:rFonts w:hint="eastAsia" w:ascii="宋体" w:hAnsi="宋体" w:eastAsia="宋体"/>
          <w:b/>
          <w:color w:val="auto"/>
          <w:kern w:val="2"/>
          <w:sz w:val="21"/>
          <w:szCs w:val="21"/>
          <w:highlight w:val="none"/>
        </w:rPr>
        <w:t>招标文件未载明允许提供备选（替代）投标方案或明确不允许提供备选（替代）投标方案时，投标人提供了备选（替代）投标方案的；</w:t>
      </w:r>
      <w:bookmarkEnd w:id="149"/>
    </w:p>
    <w:p>
      <w:pPr>
        <w:pStyle w:val="11"/>
        <w:snapToGrid w:val="0"/>
        <w:spacing w:line="360" w:lineRule="auto"/>
        <w:ind w:firstLine="413" w:firstLineChars="196"/>
        <w:rPr>
          <w:rFonts w:hint="eastAsia" w:ascii="宋体" w:hAnsi="宋体" w:eastAsia="宋体"/>
          <w:b/>
          <w:color w:val="auto"/>
          <w:kern w:val="2"/>
          <w:sz w:val="21"/>
          <w:szCs w:val="21"/>
          <w:highlight w:val="none"/>
        </w:rPr>
      </w:pPr>
      <w:r>
        <w:rPr>
          <w:rFonts w:hint="eastAsia" w:ascii="宋体" w:hAnsi="宋体" w:eastAsia="宋体"/>
          <w:b/>
          <w:color w:val="auto"/>
          <w:kern w:val="2"/>
          <w:sz w:val="21"/>
          <w:szCs w:val="21"/>
          <w:highlight w:val="none"/>
        </w:rPr>
        <w:t>（5）未响应招标文件实质性要求的。</w:t>
      </w:r>
    </w:p>
    <w:p>
      <w:pPr>
        <w:pStyle w:val="11"/>
        <w:snapToGrid w:val="0"/>
        <w:spacing w:line="360" w:lineRule="auto"/>
        <w:ind w:firstLine="413" w:firstLineChars="196"/>
        <w:rPr>
          <w:rFonts w:ascii="宋体" w:hAnsi="宋体" w:eastAsia="宋体"/>
          <w:b/>
          <w:color w:val="auto"/>
          <w:kern w:val="2"/>
          <w:sz w:val="21"/>
          <w:szCs w:val="21"/>
          <w:highlight w:val="none"/>
        </w:rPr>
      </w:pPr>
      <w:r>
        <w:rPr>
          <w:rFonts w:hint="eastAsia" w:ascii="宋体" w:hAnsi="宋体" w:eastAsia="宋体"/>
          <w:b/>
          <w:color w:val="auto"/>
          <w:kern w:val="2"/>
          <w:sz w:val="21"/>
          <w:szCs w:val="21"/>
          <w:highlight w:val="none"/>
        </w:rPr>
        <w:t>2.4通过符合性审查的投标人不足3家，评标委员会不得继续评标，并出具评标报告。</w:t>
      </w:r>
    </w:p>
    <w:p>
      <w:pPr>
        <w:pStyle w:val="5"/>
        <w:keepNext w:val="0"/>
        <w:keepLines w:val="0"/>
        <w:spacing w:before="0" w:after="0" w:line="360" w:lineRule="auto"/>
        <w:ind w:left="420" w:leftChars="200"/>
        <w:rPr>
          <w:rFonts w:hint="eastAsia" w:ascii="宋体" w:hAnsi="宋体"/>
          <w:color w:val="auto"/>
          <w:sz w:val="21"/>
          <w:szCs w:val="21"/>
          <w:highlight w:val="none"/>
        </w:rPr>
      </w:pPr>
      <w:r>
        <w:rPr>
          <w:rFonts w:hint="eastAsia" w:ascii="宋体" w:hAnsi="宋体"/>
          <w:color w:val="auto"/>
          <w:sz w:val="21"/>
          <w:szCs w:val="21"/>
          <w:highlight w:val="none"/>
        </w:rPr>
        <w:t>3</w:t>
      </w:r>
      <w:r>
        <w:rPr>
          <w:rFonts w:ascii="宋体" w:hAnsi="宋体"/>
          <w:color w:val="auto"/>
          <w:sz w:val="21"/>
          <w:szCs w:val="21"/>
          <w:highlight w:val="none"/>
        </w:rPr>
        <w:t>.</w:t>
      </w:r>
      <w:r>
        <w:rPr>
          <w:rFonts w:hint="eastAsia" w:ascii="宋体" w:hAnsi="宋体"/>
          <w:color w:val="auto"/>
          <w:sz w:val="21"/>
          <w:szCs w:val="21"/>
          <w:highlight w:val="none"/>
        </w:rPr>
        <w:t>澄清补正</w:t>
      </w:r>
    </w:p>
    <w:p>
      <w:pPr>
        <w:snapToGrid w:val="0"/>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对投标文件中含义不明确、同类问题表述不一致或者有明显文字和计算错误的内容，评标委员会以书面形式要求投标人在规定时间内作出必要的澄清、说明或者纠正。投标人的澄清、说明或者补正必须采用书面形式，并加盖公章，或者由法定代表人或者其授权的代表签字。投标人的澄清、说明或者补正不得超出投标文件的范围或者改变投标文件的实质性内容。</w:t>
      </w:r>
    </w:p>
    <w:p>
      <w:pPr>
        <w:pStyle w:val="5"/>
        <w:keepNext w:val="0"/>
        <w:keepLines w:val="0"/>
        <w:spacing w:before="0" w:after="0" w:line="360" w:lineRule="auto"/>
        <w:ind w:left="420" w:leftChars="200"/>
        <w:rPr>
          <w:rFonts w:hint="eastAsia" w:ascii="宋体" w:hAnsi="宋体"/>
          <w:color w:val="auto"/>
          <w:sz w:val="21"/>
          <w:szCs w:val="21"/>
          <w:highlight w:val="none"/>
        </w:rPr>
      </w:pPr>
      <w:r>
        <w:rPr>
          <w:rFonts w:ascii="宋体" w:hAnsi="宋体"/>
          <w:color w:val="auto"/>
          <w:sz w:val="21"/>
          <w:szCs w:val="21"/>
          <w:highlight w:val="none"/>
        </w:rPr>
        <w:t>4.</w:t>
      </w:r>
      <w:r>
        <w:rPr>
          <w:rFonts w:hint="eastAsia" w:ascii="宋体" w:hAnsi="宋体"/>
          <w:color w:val="auto"/>
          <w:sz w:val="21"/>
          <w:szCs w:val="21"/>
          <w:highlight w:val="none"/>
        </w:rPr>
        <w:t>投标文件修正</w:t>
      </w:r>
    </w:p>
    <w:p>
      <w:pPr>
        <w:pStyle w:val="5"/>
        <w:keepNext w:val="0"/>
        <w:keepLines w:val="0"/>
        <w:spacing w:before="0" w:after="0" w:line="360" w:lineRule="auto"/>
        <w:ind w:left="420" w:leftChars="200"/>
        <w:rPr>
          <w:rFonts w:hint="eastAsia" w:ascii="宋体" w:hAnsi="宋体"/>
          <w:b w:val="0"/>
          <w:color w:val="auto"/>
          <w:sz w:val="21"/>
          <w:szCs w:val="21"/>
          <w:highlight w:val="none"/>
        </w:rPr>
      </w:pPr>
      <w:r>
        <w:rPr>
          <w:rFonts w:ascii="宋体" w:hAnsi="宋体"/>
          <w:b w:val="0"/>
          <w:color w:val="auto"/>
          <w:sz w:val="21"/>
          <w:szCs w:val="21"/>
          <w:highlight w:val="none"/>
        </w:rPr>
        <w:t>4</w:t>
      </w:r>
      <w:r>
        <w:rPr>
          <w:rFonts w:hint="eastAsia" w:ascii="宋体" w:hAnsi="宋体"/>
          <w:b w:val="0"/>
          <w:color w:val="auto"/>
          <w:sz w:val="21"/>
          <w:szCs w:val="21"/>
          <w:highlight w:val="none"/>
        </w:rPr>
        <w:t xml:space="preserve">.1投标文件报价出现前后不一致的，按照下列规定修正： </w:t>
      </w:r>
    </w:p>
    <w:p>
      <w:pPr>
        <w:pStyle w:val="12"/>
        <w:snapToGrid w:val="0"/>
        <w:spacing w:line="360" w:lineRule="auto"/>
        <w:ind w:firstLine="420" w:firstLineChars="200"/>
        <w:rPr>
          <w:rFonts w:hAnsi="宋体"/>
          <w:color w:val="auto"/>
          <w:sz w:val="21"/>
          <w:highlight w:val="none"/>
        </w:rPr>
      </w:pPr>
      <w:r>
        <w:rPr>
          <w:rFonts w:hint="eastAsia" w:hAnsi="宋体"/>
          <w:color w:val="auto"/>
          <w:sz w:val="21"/>
          <w:highlight w:val="none"/>
        </w:rPr>
        <w:t>（1）投标文件中开标一览表（报价表）内容与投标文件中相应内容不一致的，以开标一览表（报价表）为准；</w:t>
      </w:r>
    </w:p>
    <w:p>
      <w:pPr>
        <w:pStyle w:val="12"/>
        <w:snapToGrid w:val="0"/>
        <w:spacing w:line="360" w:lineRule="auto"/>
        <w:ind w:firstLine="420" w:firstLineChars="200"/>
        <w:rPr>
          <w:rFonts w:hAnsi="宋体"/>
          <w:color w:val="auto"/>
          <w:sz w:val="21"/>
          <w:highlight w:val="none"/>
        </w:rPr>
      </w:pPr>
      <w:r>
        <w:rPr>
          <w:rFonts w:hint="eastAsia" w:hAnsi="宋体"/>
          <w:color w:val="auto"/>
          <w:sz w:val="21"/>
          <w:highlight w:val="none"/>
        </w:rPr>
        <w:t>（2）大写金额和小写金额不一致的，以大写金额为准；</w:t>
      </w:r>
    </w:p>
    <w:p>
      <w:pPr>
        <w:pStyle w:val="12"/>
        <w:snapToGrid w:val="0"/>
        <w:spacing w:line="360" w:lineRule="auto"/>
        <w:ind w:firstLine="420" w:firstLineChars="200"/>
        <w:rPr>
          <w:rFonts w:hAnsi="宋体"/>
          <w:color w:val="auto"/>
          <w:sz w:val="21"/>
          <w:highlight w:val="none"/>
        </w:rPr>
      </w:pPr>
      <w:r>
        <w:rPr>
          <w:rFonts w:hint="eastAsia" w:hAnsi="宋体"/>
          <w:color w:val="auto"/>
          <w:sz w:val="21"/>
          <w:highlight w:val="none"/>
        </w:rPr>
        <w:t>（3）单价金额小数点或者百分比有明显错位的，以开标一览表的总价为准，并修改单价；</w:t>
      </w:r>
    </w:p>
    <w:p>
      <w:pPr>
        <w:pStyle w:val="12"/>
        <w:snapToGrid w:val="0"/>
        <w:spacing w:line="360" w:lineRule="auto"/>
        <w:ind w:firstLine="420" w:firstLineChars="200"/>
        <w:rPr>
          <w:rFonts w:hAnsi="宋体"/>
          <w:color w:val="auto"/>
          <w:sz w:val="21"/>
          <w:highlight w:val="none"/>
        </w:rPr>
      </w:pPr>
      <w:r>
        <w:rPr>
          <w:rFonts w:hint="eastAsia" w:hAnsi="宋体"/>
          <w:color w:val="auto"/>
          <w:sz w:val="21"/>
          <w:highlight w:val="none"/>
        </w:rPr>
        <w:t>（4）总价金额与按单价汇总金额不一致的，以单价金额计算结果为准。</w:t>
      </w:r>
    </w:p>
    <w:p>
      <w:pPr>
        <w:pStyle w:val="12"/>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同时出现两种以上不一致的，按照以上（1）-（4）规定的顺序修正。修正后的报价经投标人确认后产生约束力，投标人不确认的，</w:t>
      </w:r>
      <w:r>
        <w:rPr>
          <w:rFonts w:hint="eastAsia" w:hAnsi="宋体"/>
          <w:b/>
          <w:color w:val="auto"/>
          <w:kern w:val="2"/>
          <w:sz w:val="21"/>
          <w:highlight w:val="none"/>
        </w:rPr>
        <w:t>其投标无效</w:t>
      </w:r>
      <w:r>
        <w:rPr>
          <w:rFonts w:hint="eastAsia" w:hAnsi="宋体"/>
          <w:color w:val="auto"/>
          <w:sz w:val="21"/>
          <w:highlight w:val="none"/>
        </w:rPr>
        <w:t>。</w:t>
      </w:r>
    </w:p>
    <w:p>
      <w:pPr>
        <w:pStyle w:val="5"/>
        <w:keepNext w:val="0"/>
        <w:keepLines w:val="0"/>
        <w:spacing w:before="0" w:after="0" w:line="360" w:lineRule="auto"/>
        <w:rPr>
          <w:rFonts w:hint="eastAsia" w:ascii="宋体" w:hAnsi="宋体"/>
          <w:b w:val="0"/>
          <w:color w:val="auto"/>
          <w:sz w:val="21"/>
          <w:szCs w:val="21"/>
          <w:highlight w:val="none"/>
        </w:rPr>
      </w:pPr>
      <w:r>
        <w:rPr>
          <w:rFonts w:ascii="宋体" w:hAnsi="宋体"/>
          <w:b w:val="0"/>
          <w:color w:val="auto"/>
          <w:sz w:val="21"/>
          <w:szCs w:val="21"/>
          <w:highlight w:val="none"/>
        </w:rPr>
        <w:t xml:space="preserve">    4</w:t>
      </w:r>
      <w:r>
        <w:rPr>
          <w:rFonts w:hint="eastAsia" w:ascii="宋体" w:hAnsi="宋体"/>
          <w:b w:val="0"/>
          <w:color w:val="auto"/>
          <w:sz w:val="21"/>
          <w:szCs w:val="21"/>
          <w:highlight w:val="none"/>
        </w:rPr>
        <w:t>.2经投标人确认修正后的报价若超过采购预算金额或者最高限价，</w:t>
      </w:r>
      <w:r>
        <w:rPr>
          <w:rFonts w:hint="eastAsia" w:ascii="宋体" w:hAnsi="宋体"/>
          <w:color w:val="auto"/>
          <w:sz w:val="21"/>
          <w:szCs w:val="21"/>
          <w:highlight w:val="none"/>
        </w:rPr>
        <w:t>投标人的投标文件作无效投标处理</w:t>
      </w:r>
      <w:r>
        <w:rPr>
          <w:rFonts w:hint="eastAsia" w:ascii="宋体" w:hAnsi="宋体"/>
          <w:b w:val="0"/>
          <w:color w:val="auto"/>
          <w:sz w:val="21"/>
          <w:szCs w:val="21"/>
          <w:highlight w:val="none"/>
        </w:rPr>
        <w:t>。</w:t>
      </w:r>
    </w:p>
    <w:p>
      <w:pPr>
        <w:snapToGrid w:val="0"/>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.3经投标人确认修正后的报价作为签订合同的依据，并以此报价计算价格分。</w:t>
      </w:r>
    </w:p>
    <w:p>
      <w:pPr>
        <w:pStyle w:val="5"/>
        <w:keepNext w:val="0"/>
        <w:keepLines w:val="0"/>
        <w:spacing w:before="0" w:after="0" w:line="360" w:lineRule="auto"/>
        <w:ind w:left="420" w:leftChars="200"/>
        <w:rPr>
          <w:rFonts w:hint="eastAsia" w:ascii="宋体" w:hAnsi="宋体"/>
          <w:color w:val="auto"/>
          <w:sz w:val="21"/>
          <w:szCs w:val="21"/>
          <w:highlight w:val="none"/>
        </w:rPr>
      </w:pPr>
      <w:r>
        <w:rPr>
          <w:rFonts w:ascii="宋体" w:hAnsi="宋体"/>
          <w:color w:val="auto"/>
          <w:sz w:val="21"/>
          <w:szCs w:val="21"/>
          <w:highlight w:val="none"/>
        </w:rPr>
        <w:t>5.</w:t>
      </w:r>
      <w:r>
        <w:rPr>
          <w:rFonts w:hint="eastAsia" w:ascii="宋体" w:hAnsi="宋体"/>
          <w:color w:val="auto"/>
          <w:sz w:val="21"/>
          <w:szCs w:val="21"/>
          <w:highlight w:val="none"/>
        </w:rPr>
        <w:t>比较与评价</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（1）评标委员会按照招标文件中规定的评标方法及评标标准，对符合性审查合格的投标文件进行商务和技术评估，综合比较与评价。</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（2）评标委员会独立对每个投标人的投标文件进行评价，并汇总每个投标人的得分。</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宋体" w:hAnsi="宋体"/>
          <w:b/>
          <w:color w:val="auto"/>
          <w:szCs w:val="21"/>
          <w:highlight w:val="none"/>
        </w:rPr>
        <w:t>投标人不能证明其报价合理性的，评标委员会将其作为无效投标处理</w:t>
      </w:r>
      <w:r>
        <w:rPr>
          <w:rFonts w:hint="eastAsia" w:ascii="宋体" w:hAnsi="宋体"/>
          <w:color w:val="auto"/>
          <w:szCs w:val="21"/>
          <w:highlight w:val="none"/>
        </w:rPr>
        <w:t>。</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（3）评标委员会按照招标文件中规定的评标方法和标准计算各投标人的报价得分。在计算过程中，不得去掉最高报价或者最低报价。</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（4）各投标人的得分为所有评委的有效评分的算术平均数。</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（5）评标委员会按照招标文件中的规定推荐中标候选人。</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pPr>
        <w:snapToGrid w:val="0"/>
        <w:spacing w:line="360" w:lineRule="auto"/>
        <w:ind w:firstLine="424" w:firstLineChars="202"/>
        <w:jc w:val="center"/>
        <w:rPr>
          <w:rFonts w:hint="eastAsia"/>
          <w:color w:val="auto"/>
          <w:highlight w:val="none"/>
        </w:rPr>
      </w:pPr>
      <w:r>
        <w:rPr>
          <w:color w:val="auto"/>
          <w:highlight w:val="none"/>
        </w:rPr>
        <w:br w:type="page"/>
      </w:r>
      <w:r>
        <w:rPr>
          <w:rFonts w:ascii="宋体" w:hAnsi="宋体" w:cs="宋体"/>
          <w:b/>
          <w:bCs/>
          <w:color w:val="auto"/>
          <w:sz w:val="32"/>
          <w:szCs w:val="32"/>
          <w:highlight w:val="none"/>
        </w:rPr>
        <w:t>三</w:t>
      </w:r>
      <w:r>
        <w:rPr>
          <w:rFonts w:hint="eastAsia" w:ascii="宋体" w:hAnsi="宋体" w:cs="宋体"/>
          <w:b/>
          <w:bCs/>
          <w:color w:val="auto"/>
          <w:sz w:val="32"/>
          <w:szCs w:val="32"/>
          <w:highlight w:val="none"/>
        </w:rPr>
        <w:t>、评标标准</w:t>
      </w:r>
    </w:p>
    <w:p>
      <w:pPr>
        <w:pStyle w:val="4"/>
        <w:keepNext w:val="0"/>
        <w:keepLines w:val="0"/>
        <w:jc w:val="center"/>
        <w:rPr>
          <w:rFonts w:hint="eastAsia"/>
          <w:b w:val="0"/>
          <w:bCs w:val="0"/>
          <w:color w:val="auto"/>
          <w:highlight w:val="none"/>
        </w:rPr>
      </w:pPr>
      <w:r>
        <w:rPr>
          <w:rFonts w:hint="eastAsia"/>
          <w:color w:val="auto"/>
          <w:highlight w:val="none"/>
        </w:rPr>
        <w:t>综合评分法</w:t>
      </w:r>
      <w:r>
        <w:rPr>
          <w:rFonts w:hint="eastAsia"/>
          <w:color w:val="auto"/>
          <w:highlight w:val="none"/>
          <w:lang w:val="en-US" w:eastAsia="zh-CN"/>
        </w:rPr>
        <w:t>一</w:t>
      </w:r>
      <w:r>
        <w:rPr>
          <w:rFonts w:hint="eastAsia"/>
          <w:color w:val="auto"/>
          <w:highlight w:val="none"/>
        </w:rPr>
        <w:t>（适用</w:t>
      </w:r>
      <w:r>
        <w:rPr>
          <w:rFonts w:hint="eastAsia"/>
          <w:color w:val="auto"/>
          <w:highlight w:val="none"/>
          <w:lang w:val="en-US" w:eastAsia="zh-CN"/>
        </w:rPr>
        <w:t>标项：1、2、3、4、6、</w:t>
      </w:r>
      <w:r>
        <w:rPr>
          <w:rFonts w:hint="eastAsia"/>
          <w:color w:val="auto"/>
          <w:highlight w:val="none"/>
          <w:lang w:val="en-US" w:eastAsia="zh-CN"/>
        </w:rPr>
        <w:t>7、</w:t>
      </w:r>
      <w:r>
        <w:rPr>
          <w:rFonts w:hint="eastAsia"/>
          <w:color w:val="auto"/>
          <w:highlight w:val="none"/>
          <w:lang w:val="en-US" w:eastAsia="zh-CN"/>
        </w:rPr>
        <w:t>10、11、12、13、14、15、16、17、18</w:t>
      </w:r>
      <w:r>
        <w:rPr>
          <w:rFonts w:hint="eastAsia"/>
          <w:color w:val="auto"/>
          <w:highlight w:val="none"/>
        </w:rPr>
        <w:t>）</w:t>
      </w:r>
    </w:p>
    <w:tbl>
      <w:tblPr>
        <w:tblStyle w:val="17"/>
        <w:tblpPr w:leftFromText="180" w:rightFromText="180" w:vertAnchor="text" w:horzAnchor="page" w:tblpX="1170" w:tblpY="980"/>
        <w:tblOverlap w:val="never"/>
        <w:tblW w:w="97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2382"/>
        <w:gridCol w:w="1428"/>
        <w:gridCol w:w="5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30" w:type="dxa"/>
            <w:noWrap w:val="0"/>
            <w:vAlign w:val="center"/>
          </w:tcPr>
          <w:p>
            <w:pPr>
              <w:pStyle w:val="12"/>
              <w:spacing w:line="360" w:lineRule="auto"/>
              <w:rPr>
                <w:rFonts w:hint="eastAsia" w:hAnsi="宋体"/>
                <w:bCs/>
                <w:color w:val="auto"/>
                <w:sz w:val="21"/>
                <w:highlight w:val="none"/>
              </w:rPr>
            </w:pPr>
            <w:r>
              <w:rPr>
                <w:rFonts w:hint="eastAsia" w:hAnsi="宋体"/>
                <w:bCs/>
                <w:color w:val="auto"/>
                <w:sz w:val="21"/>
                <w:highlight w:val="none"/>
              </w:rPr>
              <w:t>序号</w:t>
            </w:r>
          </w:p>
        </w:tc>
        <w:tc>
          <w:tcPr>
            <w:tcW w:w="2382" w:type="dxa"/>
            <w:noWrap w:val="0"/>
            <w:vAlign w:val="center"/>
          </w:tcPr>
          <w:p>
            <w:pPr>
              <w:pStyle w:val="12"/>
              <w:spacing w:line="360" w:lineRule="auto"/>
              <w:ind w:firstLine="420"/>
              <w:rPr>
                <w:rFonts w:hint="eastAsia" w:hAnsi="宋体"/>
                <w:bCs/>
                <w:color w:val="auto"/>
                <w:sz w:val="21"/>
                <w:highlight w:val="none"/>
              </w:rPr>
            </w:pPr>
            <w:r>
              <w:rPr>
                <w:rFonts w:hint="eastAsia" w:hAnsi="宋体"/>
                <w:bCs/>
                <w:color w:val="auto"/>
                <w:sz w:val="21"/>
                <w:highlight w:val="none"/>
              </w:rPr>
              <w:t>评审因素</w:t>
            </w:r>
          </w:p>
        </w:tc>
        <w:tc>
          <w:tcPr>
            <w:tcW w:w="6623" w:type="dxa"/>
            <w:gridSpan w:val="2"/>
            <w:noWrap w:val="0"/>
            <w:vAlign w:val="center"/>
          </w:tcPr>
          <w:p>
            <w:pPr>
              <w:pStyle w:val="12"/>
              <w:spacing w:line="360" w:lineRule="auto"/>
              <w:ind w:firstLine="420"/>
              <w:rPr>
                <w:rFonts w:hint="eastAsia" w:hAnsi="宋体"/>
                <w:bCs/>
                <w:color w:val="auto"/>
                <w:sz w:val="21"/>
                <w:highlight w:val="none"/>
              </w:rPr>
            </w:pPr>
            <w:r>
              <w:rPr>
                <w:rFonts w:hint="eastAsia" w:hAnsi="宋体"/>
                <w:bCs/>
                <w:color w:val="auto"/>
                <w:sz w:val="21"/>
                <w:highlight w:val="none"/>
              </w:rPr>
              <w:t>评标标准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30" w:type="dxa"/>
            <w:noWrap w:val="0"/>
            <w:vAlign w:val="center"/>
          </w:tcPr>
          <w:p>
            <w:pPr>
              <w:pStyle w:val="12"/>
              <w:spacing w:line="360" w:lineRule="auto"/>
              <w:ind w:firstLine="420"/>
              <w:rPr>
                <w:rFonts w:hint="eastAsia" w:hAnsi="宋体"/>
                <w:bCs/>
                <w:color w:val="auto"/>
                <w:sz w:val="21"/>
                <w:highlight w:val="none"/>
              </w:rPr>
            </w:pPr>
            <w:r>
              <w:rPr>
                <w:rFonts w:hint="eastAsia" w:hAnsi="宋体"/>
                <w:bCs/>
                <w:color w:val="auto"/>
                <w:sz w:val="21"/>
                <w:highlight w:val="none"/>
              </w:rPr>
              <w:t>1</w:t>
            </w:r>
          </w:p>
        </w:tc>
        <w:tc>
          <w:tcPr>
            <w:tcW w:w="2382" w:type="dxa"/>
            <w:noWrap w:val="0"/>
            <w:vAlign w:val="center"/>
          </w:tcPr>
          <w:p>
            <w:pPr>
              <w:pStyle w:val="12"/>
              <w:spacing w:line="360" w:lineRule="auto"/>
              <w:rPr>
                <w:rFonts w:hint="eastAsia" w:hAnsi="宋体"/>
                <w:bCs/>
                <w:color w:val="auto"/>
                <w:sz w:val="21"/>
                <w:highlight w:val="none"/>
              </w:rPr>
            </w:pPr>
            <w:r>
              <w:rPr>
                <w:rFonts w:hint="eastAsia" w:hAnsi="宋体"/>
                <w:bCs/>
                <w:color w:val="auto"/>
                <w:sz w:val="21"/>
                <w:highlight w:val="none"/>
              </w:rPr>
              <w:t>投标报价（满分30分）</w:t>
            </w:r>
          </w:p>
        </w:tc>
        <w:tc>
          <w:tcPr>
            <w:tcW w:w="6623" w:type="dxa"/>
            <w:gridSpan w:val="2"/>
            <w:noWrap w:val="0"/>
            <w:vAlign w:val="center"/>
          </w:tcPr>
          <w:p>
            <w:pPr>
              <w:pStyle w:val="12"/>
              <w:numPr>
                <w:ilvl w:val="0"/>
                <w:numId w:val="0"/>
              </w:numPr>
              <w:spacing w:line="360" w:lineRule="auto"/>
              <w:rPr>
                <w:rFonts w:hint="eastAsia" w:hAnsi="宋体"/>
                <w:bCs/>
                <w:color w:val="auto"/>
                <w:sz w:val="21"/>
                <w:highlight w:val="none"/>
              </w:rPr>
            </w:pPr>
            <w:r>
              <w:rPr>
                <w:rFonts w:hint="eastAsia" w:hAnsi="宋体"/>
                <w:bCs/>
                <w:color w:val="auto"/>
                <w:sz w:val="21"/>
                <w:highlight w:val="none"/>
              </w:rPr>
              <w:t>评标基准价的确定方法</w:t>
            </w:r>
          </w:p>
          <w:p>
            <w:pPr>
              <w:pStyle w:val="12"/>
              <w:spacing w:line="360" w:lineRule="auto"/>
              <w:rPr>
                <w:rFonts w:hint="eastAsia" w:hAnsi="宋体"/>
                <w:bCs/>
                <w:color w:val="auto"/>
                <w:sz w:val="21"/>
                <w:highlight w:val="none"/>
              </w:rPr>
            </w:pPr>
            <w:r>
              <w:rPr>
                <w:rFonts w:hint="eastAsia" w:hAnsi="宋体"/>
                <w:bCs/>
                <w:color w:val="auto"/>
                <w:sz w:val="21"/>
                <w:highlight w:val="none"/>
              </w:rPr>
              <w:t>（1）按照《政府采购促进中小企业发展管理办法》（财库[2020]46 号）、《关于进一步加大政府采购支持中小企业力度的通知》（财库〔2022〕19 号）规定：①投标人提供的货物全部由符合政策要求的小型、微型企业制造，投标文件中提供《中小企业声明函》的，投标人投标报价给予 20%的扣除，扣除后的价格为评标报价，即投标人的评标报价=投标报价×（1-20%）；</w:t>
            </w:r>
          </w:p>
          <w:p>
            <w:pPr>
              <w:pStyle w:val="12"/>
              <w:spacing w:line="360" w:lineRule="auto"/>
              <w:rPr>
                <w:rFonts w:hint="eastAsia" w:hAnsi="宋体"/>
                <w:bCs/>
                <w:color w:val="auto"/>
                <w:sz w:val="21"/>
                <w:highlight w:val="none"/>
              </w:rPr>
            </w:pPr>
            <w:r>
              <w:rPr>
                <w:rFonts w:hint="eastAsia" w:hAnsi="宋体"/>
                <w:bCs/>
                <w:color w:val="auto"/>
                <w:sz w:val="21"/>
                <w:highlight w:val="none"/>
              </w:rPr>
              <w:t>②投标人为大中型企业与小型、微型企业组成联合体参与投标的，其中小型、微型企业的协议合同金额占到联合体协议合同总金额 30%以上（含 30%）的（供应商须于《联合体协议书》中明确约定小型、</w:t>
            </w:r>
          </w:p>
          <w:p>
            <w:pPr>
              <w:pStyle w:val="12"/>
              <w:spacing w:line="360" w:lineRule="auto"/>
              <w:rPr>
                <w:rFonts w:hint="eastAsia" w:hAnsi="宋体"/>
                <w:bCs/>
                <w:color w:val="auto"/>
                <w:sz w:val="21"/>
                <w:highlight w:val="none"/>
              </w:rPr>
            </w:pPr>
            <w:r>
              <w:rPr>
                <w:rFonts w:hint="eastAsia" w:hAnsi="宋体"/>
                <w:bCs/>
                <w:color w:val="auto"/>
                <w:sz w:val="21"/>
                <w:highlight w:val="none"/>
              </w:rPr>
              <w:t>微型企业的协议合同金额及所占比例，该金额应与投标报价表所报金额对应一致），联合体供应商最后报价给予 4%的价格扣除，扣除后的价格为评审报价，即评审报价=最后报价×（1-4%）；</w:t>
            </w:r>
          </w:p>
          <w:p>
            <w:pPr>
              <w:pStyle w:val="12"/>
              <w:spacing w:line="360" w:lineRule="auto"/>
              <w:rPr>
                <w:rFonts w:hint="eastAsia" w:hAnsi="宋体"/>
                <w:bCs/>
                <w:color w:val="auto"/>
                <w:sz w:val="21"/>
                <w:highlight w:val="none"/>
              </w:rPr>
            </w:pPr>
            <w:r>
              <w:rPr>
                <w:rFonts w:hint="eastAsia" w:hAnsi="宋体"/>
                <w:bCs/>
                <w:color w:val="auto"/>
                <w:sz w:val="21"/>
                <w:highlight w:val="none"/>
              </w:rPr>
              <w:t>③除上述情况外，评标报价=投标报价。</w:t>
            </w:r>
          </w:p>
          <w:p>
            <w:pPr>
              <w:pStyle w:val="12"/>
              <w:spacing w:line="360" w:lineRule="auto"/>
              <w:rPr>
                <w:rFonts w:hint="eastAsia" w:hAnsi="宋体"/>
                <w:bCs/>
                <w:color w:val="auto"/>
                <w:sz w:val="21"/>
                <w:highlight w:val="none"/>
              </w:rPr>
            </w:pPr>
            <w:r>
              <w:rPr>
                <w:rFonts w:hint="eastAsia" w:hAnsi="宋体"/>
                <w:bCs/>
                <w:color w:val="auto"/>
                <w:sz w:val="21"/>
                <w:highlight w:val="none"/>
              </w:rPr>
              <w:t>注：①小型、微型企业提供中型企业制造的货物的，视同为中型企业。</w:t>
            </w:r>
          </w:p>
          <w:p>
            <w:pPr>
              <w:pStyle w:val="12"/>
              <w:spacing w:line="360" w:lineRule="auto"/>
              <w:rPr>
                <w:rFonts w:hint="eastAsia" w:hAnsi="宋体"/>
                <w:bCs/>
                <w:color w:val="auto"/>
                <w:sz w:val="21"/>
                <w:highlight w:val="none"/>
              </w:rPr>
            </w:pPr>
            <w:r>
              <w:rPr>
                <w:rFonts w:hint="eastAsia" w:hAnsi="宋体"/>
                <w:bCs/>
                <w:color w:val="auto"/>
                <w:sz w:val="21"/>
                <w:highlight w:val="none"/>
              </w:rPr>
              <w:t>④评标报价为投标人的投标报价进行政策性扣除后的价格，评标报价只是作为评标时使用。最终中标人的中标金额＝投标报价。</w:t>
            </w:r>
          </w:p>
          <w:p>
            <w:pPr>
              <w:pStyle w:val="12"/>
              <w:spacing w:line="360" w:lineRule="auto"/>
              <w:rPr>
                <w:rFonts w:hint="eastAsia" w:hAnsi="宋体"/>
                <w:bCs/>
                <w:color w:val="auto"/>
                <w:sz w:val="21"/>
                <w:highlight w:val="none"/>
              </w:rPr>
            </w:pPr>
            <w:r>
              <w:rPr>
                <w:rFonts w:hint="eastAsia" w:hAnsi="宋体"/>
                <w:bCs/>
                <w:color w:val="auto"/>
                <w:sz w:val="21"/>
                <w:highlight w:val="none"/>
              </w:rPr>
              <w:t>（2）根据《关于政府采购支持监狱企业发展有关问题的通知》（财库[2014]68 号）和《关于促进残疾人就业政府采购政策的通知》（财库[2017]141 号），监狱企业和符合条件的残疾人福利性单位视同小型、微型企业，享受小型、微型企业评审中价格扣除的政府采购政策。残疾人福利性单位属于小型、微型企业的，不重复享受政策。</w:t>
            </w:r>
          </w:p>
          <w:p>
            <w:pPr>
              <w:pStyle w:val="12"/>
              <w:spacing w:line="360" w:lineRule="auto"/>
              <w:rPr>
                <w:rFonts w:hint="eastAsia" w:hAnsi="宋体"/>
                <w:bCs/>
                <w:color w:val="auto"/>
                <w:sz w:val="21"/>
                <w:highlight w:val="none"/>
              </w:rPr>
            </w:pPr>
            <w:r>
              <w:rPr>
                <w:rFonts w:hint="eastAsia" w:hAnsi="宋体"/>
                <w:bCs/>
                <w:color w:val="auto"/>
                <w:sz w:val="21"/>
                <w:highlight w:val="none"/>
              </w:rPr>
              <w:t>（3）满足招标文件要求且投标价格最低的投标报价为评标基准价，得 30 分。</w:t>
            </w:r>
          </w:p>
          <w:p>
            <w:pPr>
              <w:pStyle w:val="12"/>
              <w:spacing w:line="360" w:lineRule="auto"/>
              <w:rPr>
                <w:rFonts w:hint="eastAsia" w:hAnsi="宋体"/>
                <w:bCs/>
                <w:color w:val="auto"/>
                <w:sz w:val="21"/>
                <w:highlight w:val="none"/>
              </w:rPr>
            </w:pPr>
            <w:r>
              <w:rPr>
                <w:rFonts w:hint="eastAsia" w:hAnsi="宋体"/>
                <w:bCs/>
                <w:color w:val="auto"/>
                <w:sz w:val="21"/>
                <w:highlight w:val="none"/>
              </w:rPr>
              <w:t>二、报价分评分标准（满分30.00分）</w:t>
            </w:r>
          </w:p>
          <w:p>
            <w:pPr>
              <w:pStyle w:val="12"/>
              <w:spacing w:line="360" w:lineRule="auto"/>
              <w:rPr>
                <w:rFonts w:hint="eastAsia" w:hAnsi="宋体"/>
                <w:bCs/>
                <w:color w:val="auto"/>
                <w:sz w:val="21"/>
                <w:highlight w:val="none"/>
              </w:rPr>
            </w:pPr>
            <w:r>
              <w:rPr>
                <w:rFonts w:hint="eastAsia" w:hAnsi="宋体"/>
                <w:bCs/>
                <w:color w:val="auto"/>
                <w:sz w:val="21"/>
                <w:highlight w:val="none"/>
              </w:rPr>
              <w:t>价格分计算公式：报价得分=（</w:t>
            </w:r>
            <w:r>
              <w:rPr>
                <w:rFonts w:hint="eastAsia" w:hAnsi="宋体"/>
                <w:bCs/>
                <w:color w:val="auto"/>
                <w:sz w:val="21"/>
                <w:highlight w:val="none"/>
                <w:lang w:val="en-US" w:eastAsia="zh-CN"/>
              </w:rPr>
              <w:t>评标</w:t>
            </w:r>
            <w:r>
              <w:rPr>
                <w:rFonts w:hint="eastAsia" w:hAnsi="宋体"/>
                <w:bCs/>
                <w:color w:val="auto"/>
                <w:sz w:val="21"/>
                <w:highlight w:val="none"/>
              </w:rPr>
              <w:t>基准价/</w:t>
            </w:r>
            <w:r>
              <w:rPr>
                <w:rFonts w:hint="eastAsia" w:hAnsi="宋体"/>
                <w:bCs/>
                <w:color w:val="auto"/>
                <w:sz w:val="21"/>
                <w:highlight w:val="none"/>
                <w:lang w:val="en-US" w:eastAsia="zh-CN"/>
              </w:rPr>
              <w:t>某</w:t>
            </w:r>
            <w:r>
              <w:rPr>
                <w:rFonts w:hint="eastAsia" w:hAnsi="宋体"/>
                <w:bCs/>
                <w:color w:val="auto"/>
                <w:sz w:val="21"/>
                <w:highlight w:val="none"/>
              </w:rPr>
              <w:t>投标人评标报价）× 30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30" w:type="dxa"/>
            <w:vMerge w:val="restart"/>
            <w:noWrap w:val="0"/>
            <w:vAlign w:val="center"/>
          </w:tcPr>
          <w:p>
            <w:pPr>
              <w:pStyle w:val="12"/>
              <w:spacing w:line="360" w:lineRule="auto"/>
              <w:ind w:firstLine="420"/>
              <w:rPr>
                <w:rFonts w:hint="eastAsia" w:hAnsi="宋体"/>
                <w:bCs/>
                <w:color w:val="auto"/>
                <w:sz w:val="21"/>
                <w:highlight w:val="none"/>
              </w:rPr>
            </w:pPr>
            <w:r>
              <w:rPr>
                <w:rFonts w:hint="eastAsia" w:hAnsi="宋体"/>
                <w:bCs/>
                <w:color w:val="auto"/>
                <w:sz w:val="21"/>
                <w:highlight w:val="none"/>
              </w:rPr>
              <w:t>2</w:t>
            </w:r>
          </w:p>
        </w:tc>
        <w:tc>
          <w:tcPr>
            <w:tcW w:w="2382" w:type="dxa"/>
            <w:vMerge w:val="restart"/>
            <w:noWrap w:val="0"/>
            <w:vAlign w:val="center"/>
          </w:tcPr>
          <w:p>
            <w:pPr>
              <w:pStyle w:val="12"/>
              <w:spacing w:line="360" w:lineRule="auto"/>
              <w:ind w:firstLine="420"/>
              <w:rPr>
                <w:rFonts w:hint="eastAsia" w:hAnsi="宋体"/>
                <w:bCs/>
                <w:color w:val="auto"/>
                <w:sz w:val="21"/>
                <w:highlight w:val="none"/>
              </w:rPr>
            </w:pPr>
            <w:r>
              <w:rPr>
                <w:rFonts w:hint="eastAsia" w:hAnsi="宋体"/>
                <w:bCs/>
                <w:color w:val="auto"/>
                <w:sz w:val="21"/>
                <w:highlight w:val="none"/>
              </w:rPr>
              <w:t>技术分（</w:t>
            </w:r>
            <w:r>
              <w:rPr>
                <w:rFonts w:hint="eastAsia" w:hAnsi="宋体"/>
                <w:bCs/>
                <w:color w:val="auto"/>
                <w:sz w:val="21"/>
                <w:highlight w:val="none"/>
                <w:lang w:val="en-US" w:eastAsia="zh-CN"/>
              </w:rPr>
              <w:t>48</w:t>
            </w:r>
            <w:r>
              <w:rPr>
                <w:rFonts w:hint="eastAsia" w:hAnsi="宋体"/>
                <w:bCs/>
                <w:color w:val="auto"/>
                <w:sz w:val="21"/>
                <w:highlight w:val="none"/>
              </w:rPr>
              <w:t>分）</w:t>
            </w:r>
          </w:p>
        </w:tc>
        <w:tc>
          <w:tcPr>
            <w:tcW w:w="1428" w:type="dxa"/>
            <w:noWrap w:val="0"/>
            <w:vAlign w:val="center"/>
          </w:tcPr>
          <w:p>
            <w:pPr>
              <w:pStyle w:val="12"/>
              <w:spacing w:line="360" w:lineRule="auto"/>
              <w:rPr>
                <w:rFonts w:hint="eastAsia" w:hAnsi="宋体"/>
                <w:bCs/>
                <w:color w:val="auto"/>
                <w:sz w:val="21"/>
                <w:highlight w:val="none"/>
              </w:rPr>
            </w:pPr>
            <w:r>
              <w:rPr>
                <w:rFonts w:hint="eastAsia" w:hAnsi="宋体"/>
                <w:bCs/>
                <w:color w:val="auto"/>
                <w:sz w:val="21"/>
                <w:highlight w:val="none"/>
              </w:rPr>
              <w:t>设备性能分（满分</w:t>
            </w:r>
            <w:r>
              <w:rPr>
                <w:rFonts w:hint="eastAsia" w:hAnsi="宋体"/>
                <w:bCs/>
                <w:color w:val="auto"/>
                <w:sz w:val="21"/>
                <w:highlight w:val="none"/>
                <w:lang w:val="en-US" w:eastAsia="zh-CN"/>
              </w:rPr>
              <w:t>15</w:t>
            </w:r>
            <w:r>
              <w:rPr>
                <w:rFonts w:hint="eastAsia" w:hAnsi="宋体"/>
                <w:bCs/>
                <w:color w:val="auto"/>
                <w:sz w:val="21"/>
                <w:highlight w:val="none"/>
              </w:rPr>
              <w:t>分）</w:t>
            </w:r>
          </w:p>
        </w:tc>
        <w:tc>
          <w:tcPr>
            <w:tcW w:w="5195" w:type="dxa"/>
            <w:noWrap w:val="0"/>
            <w:vAlign w:val="center"/>
          </w:tcPr>
          <w:p>
            <w:pPr>
              <w:pStyle w:val="12"/>
              <w:spacing w:line="360" w:lineRule="auto"/>
              <w:rPr>
                <w:rFonts w:hint="eastAsia" w:hAnsi="宋体"/>
                <w:bCs/>
                <w:color w:val="auto"/>
                <w:sz w:val="21"/>
                <w:highlight w:val="none"/>
              </w:rPr>
            </w:pPr>
            <w:r>
              <w:rPr>
                <w:rFonts w:hint="eastAsia" w:hAnsi="宋体"/>
                <w:bCs/>
                <w:color w:val="auto"/>
                <w:sz w:val="21"/>
                <w:highlight w:val="none"/>
              </w:rPr>
              <w:t>一、技术需求中，标“★”参数为实质性要求和保证投标设备档次的必须条件，如有不满足的，做废标处理；同时投标人须提供证书（检测报告、授权文件）复印件或官网截图或彩页截图等证明材料，并加盖供应商公章，否则视为不满足；所有参数全部满足的，得</w:t>
            </w:r>
            <w:r>
              <w:rPr>
                <w:rFonts w:hint="eastAsia" w:hAnsi="宋体"/>
                <w:bCs/>
                <w:color w:val="auto"/>
                <w:sz w:val="21"/>
                <w:highlight w:val="none"/>
                <w:lang w:val="en-US" w:eastAsia="zh-CN"/>
              </w:rPr>
              <w:t>基准分9</w:t>
            </w:r>
            <w:r>
              <w:rPr>
                <w:rFonts w:hint="eastAsia" w:hAnsi="宋体"/>
                <w:bCs/>
                <w:color w:val="auto"/>
                <w:sz w:val="21"/>
                <w:highlight w:val="none"/>
              </w:rPr>
              <w:t>分；</w:t>
            </w:r>
          </w:p>
          <w:p>
            <w:pPr>
              <w:pStyle w:val="12"/>
              <w:spacing w:line="360" w:lineRule="auto"/>
              <w:rPr>
                <w:rFonts w:hint="eastAsia" w:hAnsi="宋体"/>
                <w:bCs/>
                <w:color w:val="auto"/>
                <w:sz w:val="21"/>
                <w:highlight w:val="none"/>
              </w:rPr>
            </w:pPr>
            <w:r>
              <w:rPr>
                <w:rFonts w:hint="eastAsia" w:hAnsi="宋体"/>
                <w:bCs/>
                <w:color w:val="auto"/>
                <w:sz w:val="21"/>
                <w:highlight w:val="none"/>
                <w:lang w:val="en-US" w:eastAsia="zh-CN"/>
              </w:rPr>
              <w:t>二</w:t>
            </w:r>
            <w:r>
              <w:rPr>
                <w:rFonts w:hint="eastAsia" w:hAnsi="宋体"/>
                <w:bCs/>
                <w:color w:val="auto"/>
                <w:sz w:val="21"/>
                <w:highlight w:val="none"/>
              </w:rPr>
              <w:t>、正偏离得分：非标注符号的普通参数有正偏离的，每有一项得2分，三项以上得满分</w:t>
            </w:r>
            <w:r>
              <w:rPr>
                <w:rFonts w:hint="eastAsia" w:hAnsi="宋体"/>
                <w:bCs/>
                <w:color w:val="auto"/>
                <w:sz w:val="21"/>
                <w:highlight w:val="none"/>
                <w:lang w:val="en-US" w:eastAsia="zh-CN"/>
              </w:rPr>
              <w:t>6</w:t>
            </w:r>
            <w:r>
              <w:rPr>
                <w:rFonts w:hint="eastAsia" w:hAnsi="宋体"/>
                <w:bCs/>
                <w:color w:val="auto"/>
                <w:sz w:val="21"/>
                <w:highlight w:val="none"/>
              </w:rPr>
              <w:t>分。（正偏离项需提供须提供证书（检测报告、授权文件）复印件或官网截图或彩页截图等证明材料，并加盖供应商公章，否则视为不满足；）</w:t>
            </w:r>
          </w:p>
          <w:p>
            <w:pPr>
              <w:pStyle w:val="12"/>
              <w:spacing w:line="360" w:lineRule="auto"/>
              <w:rPr>
                <w:rFonts w:hint="eastAsia" w:hAnsi="宋体"/>
                <w:bCs/>
                <w:color w:val="auto"/>
                <w:sz w:val="21"/>
                <w:highlight w:val="none"/>
              </w:rPr>
            </w:pPr>
            <w:r>
              <w:rPr>
                <w:rFonts w:hint="eastAsia" w:hAnsi="宋体"/>
                <w:bCs/>
                <w:color w:val="auto"/>
                <w:sz w:val="21"/>
                <w:highlight w:val="none"/>
                <w:lang w:val="en-US" w:eastAsia="zh-CN"/>
              </w:rPr>
              <w:t>三</w:t>
            </w:r>
            <w:r>
              <w:rPr>
                <w:rFonts w:hint="eastAsia" w:hAnsi="宋体"/>
                <w:bCs/>
                <w:color w:val="auto"/>
                <w:sz w:val="21"/>
                <w:highlight w:val="none"/>
              </w:rPr>
              <w:t>、负偏离扣分：非标注符号的普通参数发生负偏离的，每有一项扣</w:t>
            </w:r>
            <w:r>
              <w:rPr>
                <w:rFonts w:hint="eastAsia" w:hAnsi="宋体"/>
                <w:bCs/>
                <w:color w:val="auto"/>
                <w:sz w:val="21"/>
                <w:highlight w:val="none"/>
                <w:lang w:val="en-US" w:eastAsia="zh-CN"/>
              </w:rPr>
              <w:t>5</w:t>
            </w:r>
            <w:r>
              <w:rPr>
                <w:rFonts w:hint="eastAsia" w:hAnsi="宋体"/>
                <w:bCs/>
                <w:color w:val="auto"/>
                <w:sz w:val="21"/>
                <w:highlight w:val="none"/>
              </w:rPr>
              <w:t>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30" w:type="dxa"/>
            <w:vMerge w:val="continue"/>
            <w:noWrap w:val="0"/>
            <w:vAlign w:val="center"/>
          </w:tcPr>
          <w:p>
            <w:pPr>
              <w:pStyle w:val="12"/>
              <w:spacing w:line="360" w:lineRule="auto"/>
              <w:ind w:firstLine="420"/>
              <w:rPr>
                <w:rFonts w:hint="eastAsia" w:hAnsi="宋体"/>
                <w:bCs/>
                <w:color w:val="auto"/>
                <w:sz w:val="21"/>
                <w:highlight w:val="none"/>
              </w:rPr>
            </w:pPr>
          </w:p>
        </w:tc>
        <w:tc>
          <w:tcPr>
            <w:tcW w:w="2382" w:type="dxa"/>
            <w:vMerge w:val="continue"/>
            <w:noWrap w:val="0"/>
            <w:vAlign w:val="center"/>
          </w:tcPr>
          <w:p>
            <w:pPr>
              <w:pStyle w:val="12"/>
              <w:spacing w:line="360" w:lineRule="auto"/>
              <w:ind w:firstLine="420"/>
              <w:rPr>
                <w:rFonts w:hint="eastAsia" w:hAnsi="宋体"/>
                <w:bCs/>
                <w:color w:val="auto"/>
                <w:sz w:val="21"/>
                <w:highlight w:val="none"/>
              </w:rPr>
            </w:pPr>
          </w:p>
        </w:tc>
        <w:tc>
          <w:tcPr>
            <w:tcW w:w="1428" w:type="dxa"/>
            <w:noWrap w:val="0"/>
            <w:vAlign w:val="center"/>
          </w:tcPr>
          <w:p>
            <w:pPr>
              <w:pStyle w:val="12"/>
              <w:spacing w:line="360" w:lineRule="auto"/>
              <w:rPr>
                <w:rFonts w:hint="eastAsia" w:hAnsi="宋体"/>
                <w:bCs/>
                <w:color w:val="auto"/>
                <w:sz w:val="21"/>
                <w:highlight w:val="none"/>
              </w:rPr>
            </w:pPr>
            <w:r>
              <w:rPr>
                <w:rFonts w:hint="eastAsia" w:hAnsi="宋体"/>
                <w:bCs/>
                <w:color w:val="auto"/>
                <w:sz w:val="21"/>
                <w:highlight w:val="none"/>
              </w:rPr>
              <w:t>项目实施方案分（满分</w:t>
            </w:r>
            <w:r>
              <w:rPr>
                <w:rFonts w:hint="eastAsia" w:hAnsi="宋体"/>
                <w:bCs/>
                <w:color w:val="auto"/>
                <w:sz w:val="21"/>
                <w:highlight w:val="none"/>
                <w:lang w:val="en-US" w:eastAsia="zh-CN"/>
              </w:rPr>
              <w:t>15</w:t>
            </w:r>
            <w:r>
              <w:rPr>
                <w:rFonts w:hint="eastAsia" w:hAnsi="宋体"/>
                <w:bCs/>
                <w:color w:val="auto"/>
                <w:sz w:val="21"/>
                <w:highlight w:val="none"/>
              </w:rPr>
              <w:t>分）</w:t>
            </w:r>
          </w:p>
        </w:tc>
        <w:tc>
          <w:tcPr>
            <w:tcW w:w="5195" w:type="dxa"/>
            <w:noWrap w:val="0"/>
            <w:vAlign w:val="center"/>
          </w:tcPr>
          <w:p>
            <w:pPr>
              <w:pStyle w:val="12"/>
              <w:spacing w:line="360" w:lineRule="auto"/>
              <w:ind w:firstLine="420"/>
              <w:rPr>
                <w:rFonts w:hint="eastAsia" w:hAnsi="宋体"/>
                <w:bCs/>
                <w:color w:val="auto"/>
                <w:sz w:val="21"/>
                <w:highlight w:val="none"/>
              </w:rPr>
            </w:pPr>
            <w:r>
              <w:rPr>
                <w:rFonts w:hint="eastAsia" w:hAnsi="宋体"/>
                <w:bCs/>
                <w:color w:val="auto"/>
                <w:sz w:val="21"/>
                <w:highlight w:val="none"/>
              </w:rPr>
              <w:t>一档（</w:t>
            </w:r>
            <w:r>
              <w:rPr>
                <w:rFonts w:hint="eastAsia" w:hAnsi="宋体"/>
                <w:bCs/>
                <w:color w:val="auto"/>
                <w:sz w:val="21"/>
                <w:highlight w:val="none"/>
                <w:lang w:val="en-US" w:eastAsia="zh-CN"/>
              </w:rPr>
              <w:t>5</w:t>
            </w:r>
            <w:r>
              <w:rPr>
                <w:rFonts w:hint="eastAsia" w:hAnsi="宋体"/>
                <w:bCs/>
                <w:color w:val="auto"/>
                <w:sz w:val="21"/>
                <w:highlight w:val="none"/>
              </w:rPr>
              <w:t>分）：项目实施方案不符合实际情况，有实施步骤和要求描述，项目技术力量、配件清单，项目质量保障方案、人员配置内容不详细；</w:t>
            </w:r>
          </w:p>
          <w:p>
            <w:pPr>
              <w:pStyle w:val="12"/>
              <w:spacing w:line="360" w:lineRule="auto"/>
              <w:ind w:firstLine="420"/>
              <w:rPr>
                <w:rFonts w:hint="eastAsia" w:hAnsi="宋体"/>
                <w:bCs/>
                <w:color w:val="auto"/>
                <w:sz w:val="21"/>
                <w:highlight w:val="none"/>
              </w:rPr>
            </w:pPr>
            <w:r>
              <w:rPr>
                <w:rFonts w:hint="eastAsia" w:hAnsi="宋体"/>
                <w:bCs/>
                <w:color w:val="auto"/>
                <w:sz w:val="21"/>
                <w:highlight w:val="none"/>
              </w:rPr>
              <w:t>二档（</w:t>
            </w:r>
            <w:r>
              <w:rPr>
                <w:rFonts w:hint="eastAsia" w:hAnsi="宋体"/>
                <w:bCs/>
                <w:color w:val="auto"/>
                <w:sz w:val="21"/>
                <w:highlight w:val="none"/>
                <w:lang w:val="en-US" w:eastAsia="zh-CN"/>
              </w:rPr>
              <w:t>10</w:t>
            </w:r>
            <w:r>
              <w:rPr>
                <w:rFonts w:hint="eastAsia" w:hAnsi="宋体"/>
                <w:bCs/>
                <w:color w:val="auto"/>
                <w:sz w:val="21"/>
                <w:highlight w:val="none"/>
              </w:rPr>
              <w:t>分）：项目实施方案合理；项目技术力量、配件清单、具体实施步骤和要求描述较为简单，项目管理及设备的安装、调试进度安排较为合理，项目质量保障方案内容、人员配置等内容较为详细；</w:t>
            </w:r>
          </w:p>
          <w:p>
            <w:pPr>
              <w:pStyle w:val="12"/>
              <w:spacing w:line="360" w:lineRule="auto"/>
              <w:ind w:firstLine="420"/>
              <w:rPr>
                <w:rFonts w:hint="eastAsia" w:hAnsi="宋体"/>
                <w:bCs/>
                <w:color w:val="auto"/>
                <w:sz w:val="21"/>
                <w:highlight w:val="none"/>
              </w:rPr>
            </w:pPr>
            <w:r>
              <w:rPr>
                <w:rFonts w:hint="eastAsia" w:hAnsi="宋体"/>
                <w:bCs/>
                <w:color w:val="auto"/>
                <w:sz w:val="21"/>
                <w:highlight w:val="none"/>
              </w:rPr>
              <w:t>三档（</w:t>
            </w:r>
            <w:r>
              <w:rPr>
                <w:rFonts w:hint="eastAsia" w:hAnsi="宋体"/>
                <w:bCs/>
                <w:color w:val="auto"/>
                <w:sz w:val="21"/>
                <w:highlight w:val="none"/>
                <w:lang w:val="en-US" w:eastAsia="zh-CN"/>
              </w:rPr>
              <w:t>15</w:t>
            </w:r>
            <w:r>
              <w:rPr>
                <w:rFonts w:hint="eastAsia" w:hAnsi="宋体"/>
                <w:bCs/>
                <w:color w:val="auto"/>
                <w:sz w:val="21"/>
                <w:highlight w:val="none"/>
              </w:rPr>
              <w:t>分）：项目实施方案有针对性、可行性高；具体实施步骤和要求描述全面，项目技术力量、配件清单、项目管理及设备的安装、调试进度安排合理、项目质量保障方案内容、人员配置等内容详细；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0" w:hRule="atLeast"/>
        </w:trPr>
        <w:tc>
          <w:tcPr>
            <w:tcW w:w="730" w:type="dxa"/>
            <w:vMerge w:val="continue"/>
            <w:noWrap w:val="0"/>
            <w:vAlign w:val="center"/>
          </w:tcPr>
          <w:p>
            <w:pPr>
              <w:pStyle w:val="12"/>
              <w:spacing w:line="360" w:lineRule="auto"/>
              <w:ind w:firstLine="420"/>
              <w:rPr>
                <w:rFonts w:hint="eastAsia" w:hAnsi="宋体"/>
                <w:bCs/>
                <w:color w:val="auto"/>
                <w:sz w:val="21"/>
                <w:highlight w:val="none"/>
              </w:rPr>
            </w:pPr>
          </w:p>
        </w:tc>
        <w:tc>
          <w:tcPr>
            <w:tcW w:w="2382" w:type="dxa"/>
            <w:vMerge w:val="continue"/>
            <w:noWrap w:val="0"/>
            <w:vAlign w:val="center"/>
          </w:tcPr>
          <w:p>
            <w:pPr>
              <w:pStyle w:val="12"/>
              <w:spacing w:line="360" w:lineRule="auto"/>
              <w:ind w:firstLine="420"/>
              <w:rPr>
                <w:rFonts w:hint="eastAsia" w:hAnsi="宋体"/>
                <w:bCs/>
                <w:color w:val="auto"/>
                <w:sz w:val="21"/>
                <w:highlight w:val="none"/>
              </w:rPr>
            </w:pPr>
          </w:p>
        </w:tc>
        <w:tc>
          <w:tcPr>
            <w:tcW w:w="1428" w:type="dxa"/>
            <w:noWrap w:val="0"/>
            <w:vAlign w:val="center"/>
          </w:tcPr>
          <w:p>
            <w:pPr>
              <w:pStyle w:val="12"/>
              <w:spacing w:line="360" w:lineRule="auto"/>
              <w:rPr>
                <w:rFonts w:hint="eastAsia" w:hAnsi="宋体"/>
                <w:bCs/>
                <w:color w:val="auto"/>
                <w:sz w:val="21"/>
                <w:highlight w:val="none"/>
              </w:rPr>
            </w:pPr>
            <w:r>
              <w:rPr>
                <w:rFonts w:hint="eastAsia" w:hAnsi="宋体"/>
                <w:bCs/>
                <w:color w:val="auto"/>
                <w:sz w:val="21"/>
                <w:highlight w:val="none"/>
              </w:rPr>
              <w:t>培训方案分（满分</w:t>
            </w:r>
            <w:r>
              <w:rPr>
                <w:rFonts w:hint="eastAsia" w:hAnsi="宋体"/>
                <w:bCs/>
                <w:color w:val="auto"/>
                <w:sz w:val="21"/>
                <w:highlight w:val="none"/>
                <w:lang w:val="en-US" w:eastAsia="zh-CN"/>
              </w:rPr>
              <w:t>8</w:t>
            </w:r>
            <w:r>
              <w:rPr>
                <w:rFonts w:hint="eastAsia" w:hAnsi="宋体"/>
                <w:bCs/>
                <w:color w:val="auto"/>
                <w:sz w:val="21"/>
                <w:highlight w:val="none"/>
              </w:rPr>
              <w:t>分）</w:t>
            </w:r>
          </w:p>
        </w:tc>
        <w:tc>
          <w:tcPr>
            <w:tcW w:w="5195" w:type="dxa"/>
            <w:noWrap w:val="0"/>
            <w:vAlign w:val="center"/>
          </w:tcPr>
          <w:p>
            <w:pPr>
              <w:pStyle w:val="12"/>
              <w:spacing w:line="360" w:lineRule="auto"/>
              <w:ind w:firstLine="420"/>
              <w:rPr>
                <w:rFonts w:hint="eastAsia" w:hAnsi="宋体"/>
                <w:bCs/>
                <w:color w:val="auto"/>
                <w:sz w:val="21"/>
                <w:highlight w:val="none"/>
              </w:rPr>
            </w:pPr>
            <w:r>
              <w:rPr>
                <w:rFonts w:hint="eastAsia" w:hAnsi="宋体"/>
                <w:bCs/>
                <w:color w:val="auto"/>
                <w:sz w:val="21"/>
                <w:highlight w:val="none"/>
              </w:rPr>
              <w:t>一档（</w:t>
            </w:r>
            <w:r>
              <w:rPr>
                <w:rFonts w:hint="eastAsia" w:hAnsi="宋体"/>
                <w:bCs/>
                <w:color w:val="auto"/>
                <w:sz w:val="21"/>
                <w:highlight w:val="none"/>
                <w:lang w:val="en-US" w:eastAsia="zh-CN"/>
              </w:rPr>
              <w:t>2</w:t>
            </w:r>
            <w:r>
              <w:rPr>
                <w:rFonts w:hint="eastAsia" w:hAnsi="宋体"/>
                <w:bCs/>
                <w:color w:val="auto"/>
                <w:sz w:val="21"/>
                <w:highlight w:val="none"/>
              </w:rPr>
              <w:t>分）：培训方案仅满足招标文件的要求，设备培训讲师不少于1人。</w:t>
            </w:r>
          </w:p>
          <w:p>
            <w:pPr>
              <w:pStyle w:val="12"/>
              <w:spacing w:line="360" w:lineRule="auto"/>
              <w:ind w:firstLine="420"/>
              <w:rPr>
                <w:rFonts w:hint="eastAsia" w:hAnsi="宋体"/>
                <w:bCs/>
                <w:color w:val="auto"/>
                <w:sz w:val="21"/>
                <w:highlight w:val="none"/>
              </w:rPr>
            </w:pPr>
            <w:r>
              <w:rPr>
                <w:rFonts w:hint="eastAsia" w:hAnsi="宋体"/>
                <w:bCs/>
                <w:color w:val="auto"/>
                <w:sz w:val="21"/>
                <w:highlight w:val="none"/>
              </w:rPr>
              <w:t>二档（</w:t>
            </w:r>
            <w:r>
              <w:rPr>
                <w:rFonts w:hint="eastAsia" w:hAnsi="宋体"/>
                <w:bCs/>
                <w:color w:val="auto"/>
                <w:sz w:val="21"/>
                <w:highlight w:val="none"/>
                <w:lang w:val="en-US" w:eastAsia="zh-CN"/>
              </w:rPr>
              <w:t>5</w:t>
            </w:r>
            <w:r>
              <w:rPr>
                <w:rFonts w:hint="eastAsia" w:hAnsi="宋体"/>
                <w:bCs/>
                <w:color w:val="auto"/>
                <w:sz w:val="21"/>
                <w:highlight w:val="none"/>
              </w:rPr>
              <w:t>分）：满足一档的基础上，设备培训讲师不少于2人；有过培训讲解经验，可提供跟台服务、使用后继续培训服务，对项目有效保障。</w:t>
            </w:r>
          </w:p>
          <w:p>
            <w:pPr>
              <w:pStyle w:val="12"/>
              <w:spacing w:line="360" w:lineRule="auto"/>
              <w:ind w:firstLine="420"/>
              <w:rPr>
                <w:rFonts w:hint="eastAsia" w:hAnsi="宋体"/>
                <w:bCs/>
                <w:color w:val="auto"/>
                <w:sz w:val="21"/>
                <w:highlight w:val="none"/>
              </w:rPr>
            </w:pPr>
            <w:r>
              <w:rPr>
                <w:rFonts w:hint="eastAsia" w:hAnsi="宋体"/>
                <w:bCs/>
                <w:color w:val="auto"/>
                <w:sz w:val="21"/>
                <w:highlight w:val="none"/>
              </w:rPr>
              <w:t>三档（</w:t>
            </w:r>
            <w:r>
              <w:rPr>
                <w:rFonts w:hint="eastAsia" w:hAnsi="宋体"/>
                <w:bCs/>
                <w:color w:val="auto"/>
                <w:sz w:val="21"/>
                <w:highlight w:val="none"/>
                <w:lang w:val="en-US" w:eastAsia="zh-CN"/>
              </w:rPr>
              <w:t>8</w:t>
            </w:r>
            <w:r>
              <w:rPr>
                <w:rFonts w:hint="eastAsia" w:hAnsi="宋体"/>
                <w:bCs/>
                <w:color w:val="auto"/>
                <w:sz w:val="21"/>
                <w:highlight w:val="none"/>
              </w:rPr>
              <w:t>分）：满足二档的基础上，设备培训讲师不少于 2 人；可对临床医务人员培训应用技巧和操作技巧、培训医院维修人员熟悉产品维修手册、电气原理图，操作规范流程图等，对项目保障力度高效；培训形式多样化容易被接受（现场操作演示、现场问答、线上网络授课、头脑风暴等），提供培训应用技巧和操作技巧、产品维修手册、电气原理图，操作规范流程图等全部培训资料，培训方案还应包括定期更新知识和技能，保持与行业前沿的接轨，整体方案优于用户需求。</w:t>
            </w:r>
          </w:p>
          <w:p>
            <w:pPr>
              <w:pStyle w:val="12"/>
              <w:spacing w:line="360" w:lineRule="auto"/>
              <w:ind w:firstLine="420"/>
              <w:rPr>
                <w:rFonts w:hint="eastAsia" w:hAnsi="宋体"/>
                <w:bCs/>
                <w:color w:val="auto"/>
                <w:sz w:val="21"/>
                <w:highlight w:val="none"/>
              </w:rPr>
            </w:pPr>
            <w:r>
              <w:rPr>
                <w:rFonts w:hint="eastAsia" w:hAnsi="宋体"/>
                <w:bCs/>
                <w:color w:val="auto"/>
                <w:sz w:val="21"/>
                <w:highlight w:val="none"/>
              </w:rPr>
              <w:t>备注：未提供方案或不符合最低进档要求的，不予进档，得 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30" w:type="dxa"/>
            <w:vMerge w:val="continue"/>
            <w:noWrap w:val="0"/>
            <w:vAlign w:val="center"/>
          </w:tcPr>
          <w:p>
            <w:pPr>
              <w:pStyle w:val="12"/>
              <w:spacing w:line="360" w:lineRule="auto"/>
              <w:ind w:firstLine="420"/>
              <w:rPr>
                <w:rFonts w:hint="eastAsia" w:hAnsi="宋体"/>
                <w:bCs/>
                <w:color w:val="auto"/>
                <w:sz w:val="21"/>
                <w:highlight w:val="none"/>
              </w:rPr>
            </w:pPr>
          </w:p>
        </w:tc>
        <w:tc>
          <w:tcPr>
            <w:tcW w:w="2382" w:type="dxa"/>
            <w:vMerge w:val="continue"/>
            <w:noWrap w:val="0"/>
            <w:vAlign w:val="center"/>
          </w:tcPr>
          <w:p>
            <w:pPr>
              <w:pStyle w:val="12"/>
              <w:spacing w:line="360" w:lineRule="auto"/>
              <w:ind w:firstLine="420"/>
              <w:rPr>
                <w:rFonts w:hint="eastAsia" w:hAnsi="宋体"/>
                <w:bCs/>
                <w:color w:val="auto"/>
                <w:sz w:val="21"/>
                <w:highlight w:val="none"/>
              </w:rPr>
            </w:pPr>
          </w:p>
        </w:tc>
        <w:tc>
          <w:tcPr>
            <w:tcW w:w="1428" w:type="dxa"/>
            <w:noWrap w:val="0"/>
            <w:vAlign w:val="center"/>
          </w:tcPr>
          <w:p>
            <w:pPr>
              <w:pStyle w:val="12"/>
              <w:spacing w:line="360" w:lineRule="auto"/>
              <w:rPr>
                <w:rFonts w:hint="eastAsia" w:hAnsi="宋体"/>
                <w:bCs/>
                <w:color w:val="auto"/>
                <w:sz w:val="21"/>
                <w:highlight w:val="none"/>
              </w:rPr>
            </w:pPr>
            <w:r>
              <w:rPr>
                <w:rFonts w:hint="eastAsia" w:hAnsi="宋体"/>
                <w:bCs/>
                <w:color w:val="auto"/>
                <w:sz w:val="21"/>
                <w:highlight w:val="none"/>
                <w:lang w:eastAsia="zh-CN"/>
              </w:rPr>
              <w:t>应急预案分</w:t>
            </w:r>
            <w:r>
              <w:rPr>
                <w:rFonts w:hint="eastAsia" w:hAnsi="宋体"/>
                <w:bCs/>
                <w:color w:val="auto"/>
                <w:sz w:val="21"/>
                <w:highlight w:val="none"/>
              </w:rPr>
              <w:t>（</w:t>
            </w:r>
            <w:r>
              <w:rPr>
                <w:rFonts w:hint="eastAsia" w:hAnsi="宋体"/>
                <w:bCs/>
                <w:color w:val="auto"/>
                <w:sz w:val="21"/>
                <w:highlight w:val="none"/>
                <w:lang w:val="en-US" w:eastAsia="zh-CN"/>
              </w:rPr>
              <w:t>10</w:t>
            </w:r>
            <w:r>
              <w:rPr>
                <w:rFonts w:hint="eastAsia" w:hAnsi="宋体"/>
                <w:bCs/>
                <w:color w:val="auto"/>
                <w:sz w:val="21"/>
                <w:highlight w:val="none"/>
              </w:rPr>
              <w:t>分）</w:t>
            </w:r>
          </w:p>
        </w:tc>
        <w:tc>
          <w:tcPr>
            <w:tcW w:w="5195" w:type="dxa"/>
            <w:noWrap w:val="0"/>
            <w:vAlign w:val="center"/>
          </w:tcPr>
          <w:p>
            <w:pPr>
              <w:pStyle w:val="12"/>
              <w:spacing w:line="360" w:lineRule="auto"/>
              <w:rPr>
                <w:rFonts w:hint="eastAsia" w:hAnsi="宋体"/>
                <w:bCs/>
                <w:color w:val="auto"/>
                <w:sz w:val="21"/>
                <w:highlight w:val="none"/>
              </w:rPr>
            </w:pPr>
            <w:r>
              <w:rPr>
                <w:rFonts w:hint="eastAsia" w:hAnsi="宋体"/>
                <w:bCs/>
                <w:color w:val="auto"/>
                <w:sz w:val="21"/>
                <w:highlight w:val="none"/>
              </w:rPr>
              <w:t>一档（</w:t>
            </w:r>
            <w:r>
              <w:rPr>
                <w:rFonts w:hint="eastAsia" w:hAnsi="宋体"/>
                <w:bCs/>
                <w:color w:val="auto"/>
                <w:sz w:val="21"/>
                <w:highlight w:val="none"/>
                <w:lang w:val="en-US" w:eastAsia="zh-CN"/>
              </w:rPr>
              <w:t>4</w:t>
            </w:r>
            <w:r>
              <w:rPr>
                <w:rFonts w:hint="eastAsia" w:hAnsi="宋体"/>
                <w:bCs/>
                <w:color w:val="auto"/>
                <w:sz w:val="21"/>
                <w:highlight w:val="none"/>
              </w:rPr>
              <w:t>分）：提供的应急处理预案内容简单，突发情况的人员安排仅 1 名技术负责人，解决方案可实施但稍有欠缺；</w:t>
            </w:r>
          </w:p>
          <w:p>
            <w:pPr>
              <w:pStyle w:val="12"/>
              <w:spacing w:line="360" w:lineRule="auto"/>
              <w:rPr>
                <w:rFonts w:hint="eastAsia" w:hAnsi="宋体"/>
                <w:bCs/>
                <w:color w:val="auto"/>
                <w:sz w:val="21"/>
                <w:highlight w:val="none"/>
              </w:rPr>
            </w:pPr>
            <w:r>
              <w:rPr>
                <w:rFonts w:hint="eastAsia" w:hAnsi="宋体"/>
                <w:bCs/>
                <w:color w:val="auto"/>
                <w:sz w:val="21"/>
                <w:highlight w:val="none"/>
              </w:rPr>
              <w:t>二档（</w:t>
            </w:r>
            <w:r>
              <w:rPr>
                <w:rFonts w:hint="eastAsia" w:hAnsi="宋体"/>
                <w:bCs/>
                <w:color w:val="auto"/>
                <w:sz w:val="21"/>
                <w:highlight w:val="none"/>
                <w:lang w:val="en-US" w:eastAsia="zh-CN"/>
              </w:rPr>
              <w:t>7</w:t>
            </w:r>
            <w:r>
              <w:rPr>
                <w:rFonts w:hint="eastAsia" w:hAnsi="宋体"/>
                <w:bCs/>
                <w:color w:val="auto"/>
                <w:sz w:val="21"/>
                <w:highlight w:val="none"/>
              </w:rPr>
              <w:t xml:space="preserve">分）：提供的应急处理预案内容详细、可行；突发情况的人员安排能提供至少 </w:t>
            </w:r>
            <w:r>
              <w:rPr>
                <w:rFonts w:hint="eastAsia" w:hAnsi="宋体"/>
                <w:bCs/>
                <w:color w:val="auto"/>
                <w:sz w:val="21"/>
                <w:highlight w:val="none"/>
                <w:lang w:val="en-US" w:eastAsia="zh-CN"/>
              </w:rPr>
              <w:t>1</w:t>
            </w:r>
            <w:r>
              <w:rPr>
                <w:rFonts w:hint="eastAsia" w:hAnsi="宋体"/>
                <w:bCs/>
                <w:color w:val="auto"/>
                <w:sz w:val="21"/>
                <w:highlight w:val="none"/>
              </w:rPr>
              <w:t xml:space="preserve"> 名技术负责人 ，解决方案有具体的解决办法和措施、措施有条分理，且规划合理；</w:t>
            </w:r>
          </w:p>
          <w:p>
            <w:pPr>
              <w:pStyle w:val="12"/>
              <w:spacing w:line="360" w:lineRule="auto"/>
              <w:rPr>
                <w:rFonts w:hint="eastAsia" w:hAnsi="宋体"/>
                <w:bCs/>
                <w:color w:val="auto"/>
                <w:sz w:val="21"/>
                <w:highlight w:val="none"/>
              </w:rPr>
            </w:pPr>
            <w:r>
              <w:rPr>
                <w:rFonts w:hint="eastAsia" w:hAnsi="宋体"/>
                <w:bCs/>
                <w:color w:val="auto"/>
                <w:sz w:val="21"/>
                <w:highlight w:val="none"/>
              </w:rPr>
              <w:t>三档（</w:t>
            </w:r>
            <w:r>
              <w:rPr>
                <w:rFonts w:hint="eastAsia" w:hAnsi="宋体"/>
                <w:bCs/>
                <w:color w:val="auto"/>
                <w:sz w:val="21"/>
                <w:highlight w:val="none"/>
                <w:lang w:val="en-US" w:eastAsia="zh-CN"/>
              </w:rPr>
              <w:t>10</w:t>
            </w:r>
            <w:r>
              <w:rPr>
                <w:rFonts w:hint="eastAsia" w:hAnsi="宋体"/>
                <w:bCs/>
                <w:color w:val="auto"/>
                <w:sz w:val="21"/>
                <w:highlight w:val="none"/>
              </w:rPr>
              <w:t>分）：提供的应急处理预案内容详实、科学合理，具有完整性、可行性、针对性；突发情况的人员安排能提供至少2 名技术负责人</w:t>
            </w:r>
            <w:r>
              <w:rPr>
                <w:rFonts w:hint="eastAsia" w:hAnsi="宋体"/>
                <w:bCs/>
                <w:color w:val="auto"/>
                <w:sz w:val="21"/>
                <w:highlight w:val="none"/>
                <w:lang w:eastAsia="zh-CN"/>
              </w:rPr>
              <w:t>，</w:t>
            </w:r>
            <w:r>
              <w:rPr>
                <w:rFonts w:hint="eastAsia" w:hAnsi="宋体"/>
                <w:bCs/>
                <w:color w:val="auto"/>
                <w:sz w:val="21"/>
                <w:highlight w:val="none"/>
              </w:rPr>
              <w:t>解决方案详细、应急组织机构健全，分工明确，能够提供替代品或配件方案；有具体的解决办法和措施保障，规范及方案、进度及目标、预期达到的效果、管理、组织协调、实施细则等切合实际，科学合理，措施高效，内容完整且描述清晰。</w:t>
            </w:r>
          </w:p>
          <w:p>
            <w:pPr>
              <w:pStyle w:val="12"/>
              <w:spacing w:line="360" w:lineRule="auto"/>
              <w:ind w:firstLine="420" w:firstLineChars="200"/>
              <w:rPr>
                <w:rFonts w:hint="eastAsia" w:hAnsi="宋体"/>
                <w:bCs/>
                <w:color w:val="auto"/>
                <w:sz w:val="21"/>
                <w:highlight w:val="none"/>
              </w:rPr>
            </w:pPr>
            <w:r>
              <w:rPr>
                <w:rFonts w:hint="eastAsia" w:hAnsi="宋体"/>
                <w:bCs/>
                <w:color w:val="auto"/>
                <w:sz w:val="21"/>
                <w:highlight w:val="none"/>
              </w:rPr>
              <w:t>备注：投标文件中未提供或不可行，不切实际与本项目无关的；得0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30" w:type="dxa"/>
            <w:vMerge w:val="restart"/>
            <w:noWrap w:val="0"/>
            <w:vAlign w:val="center"/>
          </w:tcPr>
          <w:p>
            <w:pPr>
              <w:pStyle w:val="12"/>
              <w:spacing w:line="360" w:lineRule="auto"/>
              <w:ind w:firstLine="420"/>
              <w:rPr>
                <w:rFonts w:hint="eastAsia" w:hAnsi="宋体"/>
                <w:bCs/>
                <w:color w:val="auto"/>
                <w:sz w:val="21"/>
                <w:highlight w:val="none"/>
              </w:rPr>
            </w:pPr>
            <w:r>
              <w:rPr>
                <w:rFonts w:hint="eastAsia" w:hAnsi="宋体"/>
                <w:bCs/>
                <w:color w:val="auto"/>
                <w:sz w:val="21"/>
                <w:highlight w:val="none"/>
              </w:rPr>
              <w:t>3</w:t>
            </w:r>
          </w:p>
        </w:tc>
        <w:tc>
          <w:tcPr>
            <w:tcW w:w="2382" w:type="dxa"/>
            <w:vMerge w:val="restart"/>
            <w:noWrap w:val="0"/>
            <w:vAlign w:val="center"/>
          </w:tcPr>
          <w:p>
            <w:pPr>
              <w:pStyle w:val="12"/>
              <w:spacing w:line="360" w:lineRule="auto"/>
              <w:rPr>
                <w:rFonts w:hint="eastAsia" w:hAnsi="宋体"/>
                <w:bCs/>
                <w:color w:val="auto"/>
                <w:sz w:val="21"/>
                <w:highlight w:val="none"/>
              </w:rPr>
            </w:pPr>
            <w:r>
              <w:rPr>
                <w:rFonts w:hint="eastAsia" w:hAnsi="宋体"/>
                <w:bCs/>
                <w:color w:val="auto"/>
                <w:sz w:val="21"/>
                <w:highlight w:val="none"/>
              </w:rPr>
              <w:t>履约能力（满分</w:t>
            </w:r>
            <w:r>
              <w:rPr>
                <w:rFonts w:hint="eastAsia" w:hAnsi="宋体"/>
                <w:bCs/>
                <w:color w:val="auto"/>
                <w:sz w:val="21"/>
                <w:highlight w:val="none"/>
                <w:lang w:val="en-US" w:eastAsia="zh-CN"/>
              </w:rPr>
              <w:t>8</w:t>
            </w:r>
            <w:r>
              <w:rPr>
                <w:rFonts w:hint="eastAsia" w:hAnsi="宋体"/>
                <w:bCs/>
                <w:color w:val="auto"/>
                <w:sz w:val="21"/>
                <w:highlight w:val="none"/>
              </w:rPr>
              <w:t>分</w:t>
            </w:r>
            <w:r>
              <w:rPr>
                <w:rFonts w:hint="eastAsia" w:hAnsi="宋体"/>
                <w:bCs/>
                <w:color w:val="auto"/>
                <w:sz w:val="21"/>
                <w:highlight w:val="none"/>
              </w:rPr>
              <w:t>）</w:t>
            </w:r>
          </w:p>
        </w:tc>
        <w:tc>
          <w:tcPr>
            <w:tcW w:w="1428" w:type="dxa"/>
            <w:noWrap w:val="0"/>
            <w:vAlign w:val="center"/>
          </w:tcPr>
          <w:p>
            <w:pPr>
              <w:pStyle w:val="12"/>
              <w:spacing w:line="360" w:lineRule="auto"/>
              <w:rPr>
                <w:rFonts w:hint="eastAsia" w:hAnsi="宋体"/>
                <w:bCs/>
                <w:color w:val="auto"/>
                <w:sz w:val="21"/>
                <w:highlight w:val="none"/>
              </w:rPr>
            </w:pPr>
            <w:r>
              <w:rPr>
                <w:rFonts w:hint="eastAsia" w:hAnsi="宋体"/>
                <w:bCs/>
                <w:color w:val="auto"/>
                <w:sz w:val="21"/>
                <w:highlight w:val="none"/>
              </w:rPr>
              <w:t>业绩分（</w:t>
            </w:r>
            <w:r>
              <w:rPr>
                <w:rFonts w:hint="eastAsia" w:hAnsi="宋体"/>
                <w:bCs/>
                <w:color w:val="auto"/>
                <w:sz w:val="21"/>
                <w:highlight w:val="none"/>
                <w:lang w:val="en-US" w:eastAsia="zh-CN"/>
              </w:rPr>
              <w:t>6</w:t>
            </w:r>
            <w:r>
              <w:rPr>
                <w:rFonts w:hint="eastAsia" w:hAnsi="宋体"/>
                <w:bCs/>
                <w:color w:val="auto"/>
                <w:sz w:val="21"/>
                <w:highlight w:val="none"/>
              </w:rPr>
              <w:t>分）</w:t>
            </w:r>
          </w:p>
        </w:tc>
        <w:tc>
          <w:tcPr>
            <w:tcW w:w="5195" w:type="dxa"/>
            <w:noWrap w:val="0"/>
            <w:vAlign w:val="center"/>
          </w:tcPr>
          <w:p>
            <w:pPr>
              <w:pStyle w:val="12"/>
              <w:spacing w:line="360" w:lineRule="auto"/>
              <w:ind w:firstLine="420"/>
              <w:rPr>
                <w:rFonts w:hint="eastAsia" w:hAnsi="宋体"/>
                <w:bCs/>
                <w:color w:val="auto"/>
                <w:sz w:val="21"/>
                <w:highlight w:val="none"/>
              </w:rPr>
            </w:pPr>
            <w:r>
              <w:rPr>
                <w:rFonts w:hint="eastAsia" w:hAnsi="宋体"/>
                <w:bCs/>
                <w:color w:val="auto"/>
                <w:sz w:val="21"/>
                <w:highlight w:val="none"/>
              </w:rPr>
              <w:t>202</w:t>
            </w:r>
            <w:r>
              <w:rPr>
                <w:rFonts w:hint="eastAsia" w:hAnsi="宋体"/>
                <w:bCs/>
                <w:color w:val="auto"/>
                <w:sz w:val="21"/>
                <w:highlight w:val="none"/>
                <w:lang w:val="en-US" w:eastAsia="zh-CN"/>
              </w:rPr>
              <w:t>1</w:t>
            </w:r>
            <w:r>
              <w:rPr>
                <w:rFonts w:hint="eastAsia" w:hAnsi="宋体"/>
                <w:bCs/>
                <w:color w:val="auto"/>
                <w:sz w:val="21"/>
                <w:highlight w:val="none"/>
              </w:rPr>
              <w:t>年 1 月至投标截止时间前，</w:t>
            </w:r>
            <w:r>
              <w:rPr>
                <w:rFonts w:hint="eastAsia" w:hAnsi="宋体"/>
                <w:bCs/>
                <w:color w:val="auto"/>
                <w:sz w:val="21"/>
                <w:highlight w:val="none"/>
                <w:lang w:val="en-US" w:eastAsia="zh-CN"/>
              </w:rPr>
              <w:t>供应商或生产厂家</w:t>
            </w:r>
            <w:r>
              <w:rPr>
                <w:rFonts w:hint="eastAsia" w:hAnsi="宋体"/>
                <w:bCs/>
                <w:color w:val="auto"/>
                <w:sz w:val="21"/>
                <w:highlight w:val="none"/>
              </w:rPr>
              <w:t>完成过同类项目业绩，每个得1分；满分</w:t>
            </w:r>
            <w:r>
              <w:rPr>
                <w:rFonts w:hint="eastAsia" w:hAnsi="宋体"/>
                <w:bCs/>
                <w:color w:val="auto"/>
                <w:sz w:val="21"/>
                <w:highlight w:val="none"/>
                <w:lang w:val="en-US" w:eastAsia="zh-CN"/>
              </w:rPr>
              <w:t>6</w:t>
            </w:r>
            <w:r>
              <w:rPr>
                <w:rFonts w:hint="eastAsia" w:hAnsi="宋体"/>
                <w:bCs/>
                <w:color w:val="auto"/>
                <w:sz w:val="21"/>
                <w:highlight w:val="none"/>
              </w:rPr>
              <w:t>分。</w:t>
            </w:r>
          </w:p>
          <w:p>
            <w:pPr>
              <w:pStyle w:val="12"/>
              <w:spacing w:line="360" w:lineRule="auto"/>
              <w:ind w:firstLine="420"/>
              <w:rPr>
                <w:rFonts w:hint="eastAsia" w:hAnsi="宋体"/>
                <w:bCs/>
                <w:color w:val="auto"/>
                <w:sz w:val="21"/>
                <w:highlight w:val="none"/>
              </w:rPr>
            </w:pPr>
            <w:r>
              <w:rPr>
                <w:rFonts w:hint="eastAsia" w:hAnsi="宋体"/>
                <w:bCs/>
                <w:color w:val="auto"/>
                <w:sz w:val="21"/>
                <w:highlight w:val="none"/>
              </w:rPr>
              <w:t>注：提供完整业绩证明扫描件加盖公章，一份完整的业绩证明材料是指中标通知书</w:t>
            </w:r>
            <w:r>
              <w:rPr>
                <w:rFonts w:hint="eastAsia" w:hAnsi="宋体"/>
                <w:bCs/>
                <w:color w:val="auto"/>
                <w:sz w:val="21"/>
                <w:highlight w:val="none"/>
                <w:lang w:val="en-US" w:eastAsia="zh-CN"/>
              </w:rPr>
              <w:t>或</w:t>
            </w:r>
            <w:r>
              <w:rPr>
                <w:rFonts w:hint="eastAsia" w:hAnsi="宋体"/>
                <w:bCs/>
                <w:color w:val="auto"/>
                <w:sz w:val="21"/>
                <w:highlight w:val="none"/>
              </w:rPr>
              <w:t>合同复印件（包括合同首页、合同金额页、合同盖章页），未提供业绩证明材料或业绩证明材料提供不齐全不符合的项目不予计算业绩、不得分。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30" w:type="dxa"/>
            <w:vMerge w:val="continue"/>
            <w:noWrap w:val="0"/>
            <w:vAlign w:val="center"/>
          </w:tcPr>
          <w:p>
            <w:pPr>
              <w:pStyle w:val="12"/>
              <w:spacing w:line="360" w:lineRule="auto"/>
              <w:ind w:firstLine="420"/>
              <w:rPr>
                <w:rFonts w:hint="eastAsia" w:hAnsi="宋体"/>
                <w:bCs/>
                <w:color w:val="auto"/>
                <w:sz w:val="21"/>
                <w:highlight w:val="none"/>
              </w:rPr>
            </w:pPr>
          </w:p>
        </w:tc>
        <w:tc>
          <w:tcPr>
            <w:tcW w:w="2382" w:type="dxa"/>
            <w:vMerge w:val="continue"/>
            <w:noWrap w:val="0"/>
            <w:vAlign w:val="center"/>
          </w:tcPr>
          <w:p>
            <w:pPr>
              <w:pStyle w:val="12"/>
              <w:spacing w:line="360" w:lineRule="auto"/>
              <w:ind w:firstLine="420"/>
              <w:rPr>
                <w:rFonts w:hint="eastAsia" w:hAnsi="宋体"/>
                <w:bCs/>
                <w:color w:val="auto"/>
                <w:sz w:val="21"/>
                <w:highlight w:val="none"/>
              </w:rPr>
            </w:pPr>
          </w:p>
        </w:tc>
        <w:tc>
          <w:tcPr>
            <w:tcW w:w="1428" w:type="dxa"/>
            <w:noWrap w:val="0"/>
            <w:vAlign w:val="center"/>
          </w:tcPr>
          <w:p>
            <w:pPr>
              <w:pStyle w:val="12"/>
              <w:spacing w:line="360" w:lineRule="auto"/>
              <w:rPr>
                <w:rFonts w:hint="eastAsia" w:hAnsi="宋体"/>
                <w:bCs/>
                <w:color w:val="auto"/>
                <w:sz w:val="21"/>
                <w:highlight w:val="none"/>
              </w:rPr>
            </w:pPr>
            <w:r>
              <w:rPr>
                <w:rFonts w:hint="eastAsia" w:hAnsi="宋体"/>
                <w:bCs/>
                <w:color w:val="auto"/>
                <w:sz w:val="21"/>
                <w:highlight w:val="none"/>
              </w:rPr>
              <w:t>企业认证情况（</w:t>
            </w:r>
            <w:r>
              <w:rPr>
                <w:rFonts w:hint="eastAsia" w:hAnsi="宋体"/>
                <w:bCs/>
                <w:color w:val="auto"/>
                <w:sz w:val="21"/>
                <w:highlight w:val="none"/>
                <w:lang w:val="en-US" w:eastAsia="zh-CN"/>
              </w:rPr>
              <w:t>1</w:t>
            </w:r>
            <w:r>
              <w:rPr>
                <w:rFonts w:hint="eastAsia" w:hAnsi="宋体"/>
                <w:bCs/>
                <w:color w:val="auto"/>
                <w:sz w:val="21"/>
                <w:highlight w:val="none"/>
              </w:rPr>
              <w:t>分</w:t>
            </w:r>
            <w:r>
              <w:rPr>
                <w:rFonts w:hint="eastAsia" w:hAnsi="宋体"/>
                <w:bCs/>
                <w:color w:val="auto"/>
                <w:sz w:val="21"/>
                <w:highlight w:val="none"/>
              </w:rPr>
              <w:t>）</w:t>
            </w:r>
          </w:p>
        </w:tc>
        <w:tc>
          <w:tcPr>
            <w:tcW w:w="5195" w:type="dxa"/>
            <w:noWrap w:val="0"/>
            <w:vAlign w:val="center"/>
          </w:tcPr>
          <w:p>
            <w:pPr>
              <w:pStyle w:val="12"/>
              <w:spacing w:line="360" w:lineRule="auto"/>
              <w:ind w:firstLine="420"/>
              <w:rPr>
                <w:rFonts w:hint="eastAsia" w:hAnsi="宋体"/>
                <w:bCs/>
                <w:color w:val="auto"/>
                <w:sz w:val="21"/>
                <w:highlight w:val="none"/>
              </w:rPr>
            </w:pPr>
            <w:r>
              <w:rPr>
                <w:rFonts w:hint="eastAsia" w:hAnsi="宋体"/>
                <w:bCs/>
                <w:color w:val="auto"/>
                <w:sz w:val="21"/>
                <w:highlight w:val="none"/>
                <w:lang w:val="en-US" w:eastAsia="zh-CN"/>
              </w:rPr>
              <w:t>供应商或生产厂家</w:t>
            </w:r>
            <w:r>
              <w:rPr>
                <w:rFonts w:hint="eastAsia" w:hAnsi="宋体"/>
                <w:bCs/>
                <w:color w:val="auto"/>
                <w:sz w:val="21"/>
                <w:highlight w:val="none"/>
              </w:rPr>
              <w:t>具备ISO9001质量管理体系认证证书、ISO14001环境管理体系认证证书、ISO45001职业健康安全管理体系认证证书</w:t>
            </w:r>
            <w:r>
              <w:rPr>
                <w:rFonts w:hint="eastAsia" w:hAnsi="宋体"/>
                <w:bCs/>
                <w:color w:val="auto"/>
                <w:sz w:val="21"/>
                <w:highlight w:val="none"/>
                <w:lang w:val="en-US" w:eastAsia="zh-CN"/>
              </w:rPr>
              <w:t>任意一项</w:t>
            </w:r>
            <w:r>
              <w:rPr>
                <w:rFonts w:hint="eastAsia" w:hAnsi="宋体"/>
                <w:bCs/>
                <w:color w:val="auto"/>
                <w:sz w:val="21"/>
                <w:highlight w:val="none"/>
              </w:rPr>
              <w:t>的，得</w:t>
            </w:r>
            <w:r>
              <w:rPr>
                <w:rFonts w:hint="eastAsia" w:hAnsi="宋体"/>
                <w:bCs/>
                <w:color w:val="auto"/>
                <w:sz w:val="21"/>
                <w:highlight w:val="none"/>
                <w:lang w:val="en-US" w:eastAsia="zh-CN"/>
              </w:rPr>
              <w:t>1</w:t>
            </w:r>
            <w:r>
              <w:rPr>
                <w:rFonts w:hint="eastAsia" w:hAnsi="宋体"/>
                <w:bCs/>
                <w:color w:val="auto"/>
                <w:sz w:val="21"/>
                <w:highlight w:val="none"/>
              </w:rPr>
              <w:t>分</w:t>
            </w:r>
            <w:r>
              <w:rPr>
                <w:rFonts w:hint="eastAsia" w:hAnsi="宋体"/>
                <w:bCs/>
                <w:color w:val="auto"/>
                <w:sz w:val="21"/>
                <w:highlight w:val="none"/>
              </w:rPr>
              <w:t>。</w:t>
            </w:r>
          </w:p>
          <w:p>
            <w:pPr>
              <w:pStyle w:val="12"/>
              <w:spacing w:line="360" w:lineRule="auto"/>
              <w:ind w:firstLine="420"/>
              <w:rPr>
                <w:rFonts w:hint="eastAsia" w:hAnsi="宋体"/>
                <w:bCs/>
                <w:color w:val="auto"/>
                <w:sz w:val="21"/>
                <w:highlight w:val="none"/>
              </w:rPr>
            </w:pPr>
            <w:r>
              <w:rPr>
                <w:rFonts w:hint="eastAsia" w:hAnsi="宋体"/>
                <w:bCs/>
                <w:color w:val="auto"/>
                <w:sz w:val="21"/>
                <w:highlight w:val="none"/>
              </w:rPr>
              <w:t>注：提供有效期内的证书扫描件加盖公章，否则不得分。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30" w:type="dxa"/>
            <w:vMerge w:val="continue"/>
            <w:noWrap w:val="0"/>
            <w:vAlign w:val="center"/>
          </w:tcPr>
          <w:p>
            <w:pPr>
              <w:pStyle w:val="12"/>
              <w:spacing w:line="360" w:lineRule="auto"/>
              <w:ind w:firstLine="420"/>
              <w:rPr>
                <w:rFonts w:hint="eastAsia" w:hAnsi="宋体"/>
                <w:bCs/>
                <w:color w:val="auto"/>
                <w:sz w:val="21"/>
                <w:highlight w:val="none"/>
              </w:rPr>
            </w:pPr>
          </w:p>
        </w:tc>
        <w:tc>
          <w:tcPr>
            <w:tcW w:w="2382" w:type="dxa"/>
            <w:vMerge w:val="continue"/>
            <w:noWrap w:val="0"/>
            <w:vAlign w:val="center"/>
          </w:tcPr>
          <w:p>
            <w:pPr>
              <w:pStyle w:val="12"/>
              <w:spacing w:line="360" w:lineRule="auto"/>
              <w:ind w:firstLine="420"/>
              <w:rPr>
                <w:rFonts w:hint="eastAsia" w:hAnsi="宋体"/>
                <w:bCs/>
                <w:color w:val="auto"/>
                <w:sz w:val="21"/>
                <w:highlight w:val="none"/>
              </w:rPr>
            </w:pPr>
          </w:p>
        </w:tc>
        <w:tc>
          <w:tcPr>
            <w:tcW w:w="1428" w:type="dxa"/>
            <w:noWrap w:val="0"/>
            <w:vAlign w:val="center"/>
          </w:tcPr>
          <w:p>
            <w:pPr>
              <w:keepNext w:val="0"/>
              <w:keepLines w:val="0"/>
              <w:widowControl/>
              <w:suppressLineNumbers w:val="0"/>
              <w:jc w:val="left"/>
              <w:rPr>
                <w:b w:val="0"/>
                <w:bCs w:val="0"/>
                <w:color w:val="auto"/>
                <w:highlight w:val="none"/>
              </w:rPr>
            </w:pPr>
            <w:r>
              <w:rPr>
                <w:rFonts w:hint="eastAsia" w:ascii="宋体" w:hAnsi="宋体" w:eastAsia="宋体" w:cs="宋体"/>
                <w:b w:val="0"/>
                <w:bCs w:val="0"/>
                <w:color w:val="auto"/>
                <w:kern w:val="0"/>
                <w:sz w:val="21"/>
                <w:szCs w:val="21"/>
                <w:highlight w:val="none"/>
                <w:lang w:val="en-US" w:eastAsia="zh-CN" w:bidi="ar"/>
              </w:rPr>
              <w:t xml:space="preserve">节能、环境标 </w:t>
            </w:r>
          </w:p>
          <w:p>
            <w:pPr>
              <w:keepNext w:val="0"/>
              <w:keepLines w:val="0"/>
              <w:widowControl/>
              <w:suppressLineNumbers w:val="0"/>
              <w:jc w:val="left"/>
              <w:rPr>
                <w:rFonts w:hint="eastAsia" w:hAnsi="宋体"/>
                <w:bCs/>
                <w:color w:val="auto"/>
                <w:sz w:val="21"/>
                <w:highlight w:val="none"/>
              </w:rPr>
            </w:pPr>
            <w:r>
              <w:rPr>
                <w:rFonts w:hint="eastAsia" w:ascii="宋体" w:hAnsi="宋体" w:eastAsia="宋体" w:cs="宋体"/>
                <w:b w:val="0"/>
                <w:bCs w:val="0"/>
                <w:color w:val="auto"/>
                <w:kern w:val="0"/>
                <w:sz w:val="21"/>
                <w:szCs w:val="21"/>
                <w:highlight w:val="none"/>
                <w:lang w:val="en-US" w:eastAsia="zh-CN" w:bidi="ar"/>
              </w:rPr>
              <w:t>志产品</w:t>
            </w:r>
            <w:r>
              <w:rPr>
                <w:rFonts w:hint="eastAsia" w:hAnsi="宋体"/>
                <w:bCs/>
                <w:color w:val="auto"/>
                <w:sz w:val="21"/>
                <w:highlight w:val="none"/>
              </w:rPr>
              <w:t>（</w:t>
            </w:r>
            <w:r>
              <w:rPr>
                <w:rFonts w:hint="eastAsia" w:hAnsi="宋体"/>
                <w:bCs/>
                <w:color w:val="auto"/>
                <w:sz w:val="21"/>
                <w:highlight w:val="none"/>
                <w:lang w:val="en-US" w:eastAsia="zh-CN"/>
              </w:rPr>
              <w:t>1</w:t>
            </w:r>
            <w:r>
              <w:rPr>
                <w:rFonts w:hint="eastAsia" w:hAnsi="宋体"/>
                <w:bCs/>
                <w:color w:val="auto"/>
                <w:sz w:val="21"/>
                <w:highlight w:val="none"/>
              </w:rPr>
              <w:t>分）</w:t>
            </w:r>
          </w:p>
        </w:tc>
        <w:tc>
          <w:tcPr>
            <w:tcW w:w="5195" w:type="dxa"/>
            <w:noWrap w:val="0"/>
            <w:vAlign w:val="center"/>
          </w:tcPr>
          <w:p>
            <w:pPr>
              <w:keepNext w:val="0"/>
              <w:keepLines w:val="0"/>
              <w:widowControl/>
              <w:suppressLineNumbers w:val="0"/>
              <w:jc w:val="left"/>
              <w:rPr>
                <w:b w:val="0"/>
                <w:bCs w:val="0"/>
                <w:color w:val="auto"/>
                <w:highlight w:val="none"/>
              </w:rPr>
            </w:pPr>
            <w:r>
              <w:rPr>
                <w:rFonts w:hint="eastAsia" w:ascii="宋体" w:hAnsi="宋体" w:eastAsia="宋体" w:cs="宋体"/>
                <w:color w:val="auto"/>
                <w:kern w:val="0"/>
                <w:sz w:val="21"/>
                <w:szCs w:val="21"/>
                <w:highlight w:val="none"/>
                <w:lang w:val="en-US" w:eastAsia="zh-CN" w:bidi="ar"/>
              </w:rPr>
              <w:t>（1）属于财政部《节能产品政府采购品目清单》内优先采购（清单内未标注“★”的品目）的产品[投标文件中提供有效的认证证书复印件及品目清单（标注出投标产品在品目清单中所属的品目），并加盖投标人电子签章]，根据其所占项目（或</w:t>
            </w:r>
            <w:r>
              <w:rPr>
                <w:rFonts w:hint="eastAsia" w:ascii="宋体" w:hAnsi="宋体" w:eastAsia="宋体" w:cs="宋体"/>
                <w:b w:val="0"/>
                <w:bCs w:val="0"/>
                <w:color w:val="auto"/>
                <w:kern w:val="0"/>
                <w:sz w:val="21"/>
                <w:szCs w:val="21"/>
                <w:highlight w:val="none"/>
                <w:lang w:val="en-US" w:eastAsia="zh-CN" w:bidi="ar"/>
              </w:rPr>
              <w:t>者标项）预算金额比例得 0 至</w:t>
            </w:r>
            <w:r>
              <w:rPr>
                <w:rFonts w:hint="eastAsia" w:ascii="宋体" w:hAnsi="宋体" w:eastAsia="宋体" w:cs="宋体"/>
                <w:b w:val="0"/>
                <w:bCs w:val="0"/>
                <w:color w:val="auto"/>
                <w:kern w:val="0"/>
                <w:sz w:val="21"/>
                <w:szCs w:val="21"/>
                <w:highlight w:val="none"/>
                <w:lang w:val="en-US" w:eastAsia="zh-CN" w:bidi="ar"/>
              </w:rPr>
              <w:t xml:space="preserve"> </w:t>
            </w:r>
            <w:r>
              <w:rPr>
                <w:rFonts w:hint="eastAsia" w:ascii="宋体" w:hAnsi="宋体" w:cs="宋体"/>
                <w:b w:val="0"/>
                <w:bCs w:val="0"/>
                <w:color w:val="auto"/>
                <w:kern w:val="0"/>
                <w:sz w:val="21"/>
                <w:szCs w:val="21"/>
                <w:highlight w:val="none"/>
                <w:lang w:val="en-US" w:eastAsia="zh-CN" w:bidi="ar"/>
              </w:rPr>
              <w:t>0.5</w:t>
            </w:r>
            <w:r>
              <w:rPr>
                <w:rFonts w:hint="eastAsia" w:ascii="宋体" w:hAnsi="宋体" w:eastAsia="宋体" w:cs="宋体"/>
                <w:b w:val="0"/>
                <w:bCs w:val="0"/>
                <w:color w:val="auto"/>
                <w:kern w:val="0"/>
                <w:sz w:val="21"/>
                <w:szCs w:val="21"/>
                <w:highlight w:val="none"/>
                <w:lang w:val="en-US" w:eastAsia="zh-CN" w:bidi="ar"/>
              </w:rPr>
              <w:t xml:space="preserve">分，满分 </w:t>
            </w:r>
            <w:r>
              <w:rPr>
                <w:rFonts w:hint="eastAsia" w:ascii="宋体" w:hAnsi="宋体" w:cs="宋体"/>
                <w:b w:val="0"/>
                <w:bCs w:val="0"/>
                <w:color w:val="auto"/>
                <w:kern w:val="0"/>
                <w:sz w:val="21"/>
                <w:szCs w:val="21"/>
                <w:highlight w:val="none"/>
                <w:lang w:val="en-US" w:eastAsia="zh-CN" w:bidi="ar"/>
              </w:rPr>
              <w:t>0.5</w:t>
            </w:r>
            <w:r>
              <w:rPr>
                <w:rFonts w:hint="eastAsia" w:ascii="宋体" w:hAnsi="宋体" w:eastAsia="宋体" w:cs="宋体"/>
                <w:b w:val="0"/>
                <w:bCs w:val="0"/>
                <w:color w:val="auto"/>
                <w:kern w:val="0"/>
                <w:sz w:val="21"/>
                <w:szCs w:val="21"/>
                <w:highlight w:val="none"/>
                <w:lang w:val="en-US" w:eastAsia="zh-CN" w:bidi="ar"/>
              </w:rPr>
              <w:t>分</w:t>
            </w:r>
            <w:r>
              <w:rPr>
                <w:rFonts w:hint="eastAsia" w:ascii="宋体" w:hAnsi="宋体" w:eastAsia="宋体" w:cs="宋体"/>
                <w:b w:val="0"/>
                <w:bCs w:val="0"/>
                <w:color w:val="auto"/>
                <w:kern w:val="0"/>
                <w:sz w:val="21"/>
                <w:szCs w:val="21"/>
                <w:highlight w:val="none"/>
                <w:lang w:val="en-US" w:eastAsia="zh-CN" w:bidi="ar"/>
              </w:rPr>
              <w:t xml:space="preserve">。 </w:t>
            </w:r>
          </w:p>
          <w:p>
            <w:pPr>
              <w:keepNext w:val="0"/>
              <w:keepLines w:val="0"/>
              <w:widowControl/>
              <w:suppressLineNumbers w:val="0"/>
              <w:jc w:val="left"/>
              <w:rPr>
                <w:color w:val="auto"/>
                <w:highlight w:val="none"/>
              </w:rPr>
            </w:pPr>
            <w:r>
              <w:rPr>
                <w:rFonts w:hint="eastAsia" w:ascii="宋体" w:hAnsi="宋体" w:eastAsia="宋体" w:cs="宋体"/>
                <w:b w:val="0"/>
                <w:bCs w:val="0"/>
                <w:color w:val="auto"/>
                <w:kern w:val="0"/>
                <w:sz w:val="21"/>
                <w:szCs w:val="21"/>
                <w:highlight w:val="none"/>
                <w:lang w:val="en-US" w:eastAsia="zh-CN" w:bidi="ar"/>
              </w:rPr>
              <w:t>（2）属于财政部《环境标志产品政府采购品目清单》内的产品[投标文件中提供有效的认证证书复印件及品目清单（标注出投标产品在品目清单中所属的品目），并加盖投标人电子签章]，根据其所占项目（或者标项）</w:t>
            </w:r>
            <w:r>
              <w:rPr>
                <w:rFonts w:hint="eastAsia" w:ascii="宋体" w:hAnsi="宋体" w:eastAsia="宋体" w:cs="宋体"/>
                <w:color w:val="auto"/>
                <w:kern w:val="0"/>
                <w:sz w:val="21"/>
                <w:szCs w:val="21"/>
                <w:highlight w:val="none"/>
                <w:lang w:val="en-US" w:eastAsia="zh-CN" w:bidi="ar"/>
              </w:rPr>
              <w:t>预算金额比例得 0 至</w:t>
            </w:r>
            <w:r>
              <w:rPr>
                <w:rFonts w:hint="eastAsia" w:ascii="宋体" w:hAnsi="宋体" w:eastAsia="宋体" w:cs="宋体"/>
                <w:color w:val="auto"/>
                <w:kern w:val="0"/>
                <w:sz w:val="21"/>
                <w:szCs w:val="21"/>
                <w:highlight w:val="none"/>
                <w:lang w:val="en-US" w:eastAsia="zh-CN" w:bidi="ar"/>
              </w:rPr>
              <w:t xml:space="preserve"> </w:t>
            </w:r>
            <w:r>
              <w:rPr>
                <w:rFonts w:hint="eastAsia" w:ascii="宋体" w:hAnsi="宋体" w:cs="宋体"/>
                <w:color w:val="auto"/>
                <w:kern w:val="0"/>
                <w:sz w:val="21"/>
                <w:szCs w:val="21"/>
                <w:highlight w:val="none"/>
                <w:lang w:val="en-US" w:eastAsia="zh-CN" w:bidi="ar"/>
              </w:rPr>
              <w:t>0.5</w:t>
            </w:r>
            <w:r>
              <w:rPr>
                <w:rFonts w:hint="eastAsia" w:ascii="宋体" w:hAnsi="宋体" w:eastAsia="宋体" w:cs="宋体"/>
                <w:color w:val="auto"/>
                <w:kern w:val="0"/>
                <w:sz w:val="21"/>
                <w:szCs w:val="21"/>
                <w:highlight w:val="none"/>
                <w:lang w:val="en-US" w:eastAsia="zh-CN" w:bidi="ar"/>
              </w:rPr>
              <w:t xml:space="preserve">分，满分 </w:t>
            </w:r>
            <w:r>
              <w:rPr>
                <w:rFonts w:hint="eastAsia" w:ascii="宋体" w:hAnsi="宋体" w:cs="宋体"/>
                <w:color w:val="auto"/>
                <w:kern w:val="0"/>
                <w:sz w:val="21"/>
                <w:szCs w:val="21"/>
                <w:highlight w:val="none"/>
                <w:lang w:val="en-US" w:eastAsia="zh-CN" w:bidi="ar"/>
              </w:rPr>
              <w:t>0.5</w:t>
            </w:r>
            <w:r>
              <w:rPr>
                <w:rFonts w:hint="eastAsia" w:ascii="宋体" w:hAnsi="宋体" w:eastAsia="宋体" w:cs="宋体"/>
                <w:color w:val="auto"/>
                <w:kern w:val="0"/>
                <w:sz w:val="21"/>
                <w:szCs w:val="21"/>
                <w:highlight w:val="none"/>
                <w:lang w:val="en-US" w:eastAsia="zh-CN" w:bidi="ar"/>
              </w:rPr>
              <w:t xml:space="preserve"> 分</w:t>
            </w:r>
            <w:r>
              <w:rPr>
                <w:rFonts w:hint="eastAsia" w:ascii="宋体" w:hAnsi="宋体" w:eastAsia="宋体" w:cs="宋体"/>
                <w:color w:val="auto"/>
                <w:kern w:val="0"/>
                <w:sz w:val="21"/>
                <w:szCs w:val="21"/>
                <w:highlight w:val="none"/>
                <w:lang w:val="en-US" w:eastAsia="zh-CN" w:bidi="ar"/>
              </w:rPr>
              <w:t xml:space="preserve">； </w:t>
            </w:r>
          </w:p>
          <w:p>
            <w:pPr>
              <w:keepNext w:val="0"/>
              <w:keepLines w:val="0"/>
              <w:widowControl/>
              <w:suppressLineNumbers w:val="0"/>
              <w:jc w:val="left"/>
              <w:rPr>
                <w:rFonts w:hint="eastAsia" w:hAnsi="宋体"/>
                <w:bCs/>
                <w:color w:val="auto"/>
                <w:sz w:val="21"/>
                <w:highlight w:val="none"/>
              </w:rPr>
            </w:pPr>
            <w:r>
              <w:rPr>
                <w:rFonts w:hint="eastAsia" w:ascii="宋体" w:hAnsi="宋体" w:eastAsia="宋体" w:cs="宋体"/>
                <w:color w:val="auto"/>
                <w:kern w:val="0"/>
                <w:sz w:val="21"/>
                <w:szCs w:val="21"/>
                <w:highlight w:val="none"/>
                <w:lang w:val="en-US" w:eastAsia="zh-CN" w:bidi="ar"/>
              </w:rPr>
              <w:t xml:space="preserve">（3）非节能、环境标志产品的不得分。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30" w:type="dxa"/>
            <w:noWrap w:val="0"/>
            <w:vAlign w:val="center"/>
          </w:tcPr>
          <w:p>
            <w:pPr>
              <w:pStyle w:val="12"/>
              <w:spacing w:line="360" w:lineRule="auto"/>
              <w:ind w:firstLine="420"/>
              <w:rPr>
                <w:rFonts w:hint="eastAsia" w:hAnsi="宋体"/>
                <w:bCs/>
                <w:color w:val="auto"/>
                <w:sz w:val="21"/>
                <w:highlight w:val="none"/>
              </w:rPr>
            </w:pPr>
            <w:r>
              <w:rPr>
                <w:rFonts w:hint="eastAsia" w:hAnsi="宋体"/>
                <w:bCs/>
                <w:color w:val="auto"/>
                <w:sz w:val="21"/>
                <w:highlight w:val="none"/>
              </w:rPr>
              <w:t>4</w:t>
            </w:r>
          </w:p>
        </w:tc>
        <w:tc>
          <w:tcPr>
            <w:tcW w:w="2382" w:type="dxa"/>
            <w:noWrap w:val="0"/>
            <w:vAlign w:val="center"/>
          </w:tcPr>
          <w:p>
            <w:pPr>
              <w:pStyle w:val="12"/>
              <w:spacing w:line="360" w:lineRule="auto"/>
              <w:rPr>
                <w:rFonts w:hint="eastAsia" w:hAnsi="宋体"/>
                <w:bCs/>
                <w:color w:val="auto"/>
                <w:sz w:val="21"/>
                <w:highlight w:val="none"/>
              </w:rPr>
            </w:pPr>
            <w:r>
              <w:rPr>
                <w:rFonts w:hint="eastAsia" w:hAnsi="宋体"/>
                <w:bCs/>
                <w:color w:val="auto"/>
                <w:sz w:val="21"/>
                <w:highlight w:val="none"/>
              </w:rPr>
              <w:t>售后服务（满分</w:t>
            </w:r>
            <w:r>
              <w:rPr>
                <w:rFonts w:hint="eastAsia" w:hAnsi="宋体"/>
                <w:bCs/>
                <w:color w:val="auto"/>
                <w:sz w:val="21"/>
                <w:highlight w:val="none"/>
                <w:lang w:val="en-US" w:eastAsia="zh-CN"/>
              </w:rPr>
              <w:t>14</w:t>
            </w:r>
            <w:r>
              <w:rPr>
                <w:rFonts w:hint="eastAsia" w:hAnsi="宋体"/>
                <w:bCs/>
                <w:color w:val="auto"/>
                <w:sz w:val="21"/>
                <w:highlight w:val="none"/>
              </w:rPr>
              <w:t>分</w:t>
            </w:r>
            <w:r>
              <w:rPr>
                <w:rFonts w:hint="eastAsia" w:hAnsi="宋体"/>
                <w:bCs/>
                <w:color w:val="auto"/>
                <w:sz w:val="21"/>
                <w:highlight w:val="none"/>
              </w:rPr>
              <w:t>）</w:t>
            </w:r>
          </w:p>
        </w:tc>
        <w:tc>
          <w:tcPr>
            <w:tcW w:w="6623" w:type="dxa"/>
            <w:gridSpan w:val="2"/>
            <w:noWrap w:val="0"/>
            <w:vAlign w:val="center"/>
          </w:tcPr>
          <w:p>
            <w:pPr>
              <w:pStyle w:val="12"/>
              <w:spacing w:line="360" w:lineRule="auto"/>
              <w:ind w:firstLine="420"/>
              <w:rPr>
                <w:rFonts w:hint="eastAsia" w:hAnsi="宋体"/>
                <w:bCs/>
                <w:color w:val="auto"/>
                <w:sz w:val="21"/>
                <w:highlight w:val="none"/>
              </w:rPr>
            </w:pPr>
            <w:r>
              <w:rPr>
                <w:rFonts w:hint="eastAsia" w:hAnsi="宋体"/>
                <w:bCs/>
                <w:color w:val="auto"/>
                <w:sz w:val="21"/>
                <w:highlight w:val="none"/>
                <w:lang w:eastAsia="zh-CN"/>
              </w:rPr>
              <w:t>（</w:t>
            </w:r>
            <w:r>
              <w:rPr>
                <w:rFonts w:hint="eastAsia" w:hAnsi="宋体"/>
                <w:bCs/>
                <w:color w:val="auto"/>
                <w:sz w:val="21"/>
                <w:highlight w:val="none"/>
                <w:lang w:val="en-US" w:eastAsia="zh-CN"/>
              </w:rPr>
              <w:t>1）</w:t>
            </w:r>
            <w:r>
              <w:rPr>
                <w:rFonts w:hint="eastAsia" w:hAnsi="宋体"/>
                <w:bCs/>
                <w:color w:val="auto"/>
                <w:sz w:val="21"/>
                <w:highlight w:val="none"/>
              </w:rPr>
              <w:t>由评委根据投标人所提供的售后服务方案情况，对比比较各投标人所承诺的免费保修期限、接到通知到达时现场处理故障时间、一般故障承诺解决时间、故障无法排除时的解决方案（是否提供替代品或配件、是否有应急方案等）、是否有本地化售后服务、回访措施、维护措施、维保人员配置等内容确定各投标人所属的档次等级后，在档次内由评委独立打分。</w:t>
            </w:r>
          </w:p>
          <w:p>
            <w:pPr>
              <w:pStyle w:val="12"/>
              <w:spacing w:line="360" w:lineRule="auto"/>
              <w:ind w:firstLine="0"/>
              <w:rPr>
                <w:rFonts w:hint="eastAsia" w:ascii="宋体" w:hAnsi="宋体" w:eastAsia="宋体" w:cs="Times New Roman"/>
                <w:bCs/>
                <w:color w:val="auto"/>
                <w:sz w:val="21"/>
                <w:highlight w:val="none"/>
              </w:rPr>
            </w:pPr>
            <w:r>
              <w:rPr>
                <w:rFonts w:hint="eastAsia" w:ascii="宋体" w:hAnsi="宋体" w:eastAsia="宋体" w:cs="Times New Roman"/>
                <w:bCs/>
                <w:color w:val="auto"/>
                <w:sz w:val="21"/>
                <w:highlight w:val="none"/>
              </w:rPr>
              <w:t>一档（2分）：售后服务方案满足招标文件的要求，提供有技术服务队伍且售后服务人数不少于 2 人。</w:t>
            </w:r>
          </w:p>
          <w:p>
            <w:pPr>
              <w:pStyle w:val="12"/>
              <w:spacing w:line="360" w:lineRule="auto"/>
              <w:ind w:firstLine="0"/>
              <w:rPr>
                <w:rFonts w:hint="eastAsia" w:ascii="宋体" w:hAnsi="宋体" w:eastAsia="宋体" w:cs="Times New Roman"/>
                <w:bCs/>
                <w:color w:val="auto"/>
                <w:sz w:val="21"/>
                <w:highlight w:val="none"/>
              </w:rPr>
            </w:pPr>
            <w:r>
              <w:rPr>
                <w:rFonts w:hint="eastAsia" w:ascii="宋体" w:hAnsi="宋体" w:eastAsia="宋体" w:cs="Times New Roman"/>
                <w:bCs/>
                <w:color w:val="auto"/>
                <w:sz w:val="21"/>
                <w:highlight w:val="none"/>
              </w:rPr>
              <w:t>二档（</w:t>
            </w:r>
            <w:r>
              <w:rPr>
                <w:rFonts w:hint="eastAsia" w:ascii="宋体" w:hAnsi="宋体" w:eastAsia="宋体" w:cs="Times New Roman"/>
                <w:bCs/>
                <w:color w:val="auto"/>
                <w:sz w:val="21"/>
                <w:highlight w:val="none"/>
                <w:lang w:val="en-US" w:eastAsia="zh-CN"/>
              </w:rPr>
              <w:t>6</w:t>
            </w:r>
            <w:r>
              <w:rPr>
                <w:rFonts w:hint="eastAsia" w:ascii="宋体" w:hAnsi="宋体" w:eastAsia="宋体" w:cs="Times New Roman"/>
                <w:bCs/>
                <w:color w:val="auto"/>
                <w:sz w:val="21"/>
                <w:highlight w:val="none"/>
              </w:rPr>
              <w:t>分）：满足一档的基础上，提供有技术服务队伍且售后服务人数不少于 3 人，并提供有简单的售后服务流程及产品的售后服务机构等内容</w:t>
            </w:r>
            <w:r>
              <w:rPr>
                <w:rFonts w:hint="eastAsia" w:ascii="宋体" w:hAnsi="宋体" w:eastAsia="宋体" w:cs="Times New Roman"/>
                <w:bCs/>
                <w:color w:val="auto"/>
                <w:sz w:val="21"/>
                <w:highlight w:val="none"/>
                <w:lang w:eastAsia="zh-CN"/>
              </w:rPr>
              <w:t>，</w:t>
            </w:r>
            <w:r>
              <w:rPr>
                <w:rFonts w:hint="eastAsia" w:ascii="宋体" w:hAnsi="宋体" w:eastAsia="宋体" w:cs="Times New Roman"/>
                <w:bCs/>
                <w:color w:val="auto"/>
                <w:sz w:val="21"/>
                <w:highlight w:val="none"/>
                <w:lang w:val="en-US" w:eastAsia="zh-CN"/>
              </w:rPr>
              <w:t>有</w:t>
            </w:r>
            <w:r>
              <w:rPr>
                <w:rFonts w:hint="eastAsia" w:ascii="宋体" w:hAnsi="宋体" w:eastAsia="宋体" w:cs="Times New Roman"/>
                <w:bCs/>
                <w:color w:val="auto"/>
                <w:sz w:val="21"/>
                <w:highlight w:val="none"/>
              </w:rPr>
              <w:t>耗材和备品备件配备。</w:t>
            </w:r>
          </w:p>
          <w:p>
            <w:pPr>
              <w:pStyle w:val="12"/>
              <w:spacing w:line="360" w:lineRule="auto"/>
              <w:ind w:firstLine="0"/>
              <w:rPr>
                <w:rFonts w:hint="eastAsia" w:ascii="宋体" w:hAnsi="宋体" w:eastAsia="宋体" w:cs="Times New Roman"/>
                <w:bCs/>
                <w:color w:val="auto"/>
                <w:sz w:val="21"/>
                <w:highlight w:val="none"/>
              </w:rPr>
            </w:pPr>
            <w:r>
              <w:rPr>
                <w:rFonts w:hint="eastAsia" w:ascii="宋体" w:hAnsi="宋体" w:eastAsia="宋体" w:cs="Times New Roman"/>
                <w:bCs/>
                <w:color w:val="auto"/>
                <w:sz w:val="21"/>
                <w:highlight w:val="none"/>
              </w:rPr>
              <w:t>三档（1</w:t>
            </w:r>
            <w:r>
              <w:rPr>
                <w:rFonts w:hint="eastAsia" w:ascii="宋体" w:hAnsi="宋体" w:eastAsia="宋体" w:cs="Times New Roman"/>
                <w:bCs/>
                <w:color w:val="auto"/>
                <w:sz w:val="21"/>
                <w:highlight w:val="none"/>
                <w:lang w:val="en-US" w:eastAsia="zh-CN"/>
              </w:rPr>
              <w:t>2</w:t>
            </w:r>
            <w:r>
              <w:rPr>
                <w:rFonts w:hint="eastAsia" w:ascii="宋体" w:hAnsi="宋体" w:eastAsia="宋体" w:cs="Times New Roman"/>
                <w:bCs/>
                <w:color w:val="auto"/>
                <w:sz w:val="21"/>
                <w:highlight w:val="none"/>
              </w:rPr>
              <w:t>分）：满足二档的基础上，提供有技术服务队伍且售后服务人数不少于 3 人，耗材和备品备件配备充足</w:t>
            </w:r>
            <w:r>
              <w:rPr>
                <w:rFonts w:hint="eastAsia" w:ascii="宋体" w:hAnsi="宋体" w:eastAsia="宋体" w:cs="Times New Roman"/>
                <w:bCs/>
                <w:color w:val="auto"/>
                <w:sz w:val="21"/>
                <w:highlight w:val="none"/>
                <w:lang w:eastAsia="zh-CN"/>
              </w:rPr>
              <w:t>，</w:t>
            </w:r>
            <w:r>
              <w:rPr>
                <w:rFonts w:hint="eastAsia" w:ascii="宋体" w:hAnsi="宋体" w:eastAsia="宋体" w:cs="Times New Roman"/>
                <w:bCs/>
                <w:color w:val="auto"/>
                <w:sz w:val="21"/>
                <w:highlight w:val="none"/>
              </w:rPr>
              <w:t>提供服务保障体系，有详细的售后服务流程、产品的售后服务机构、售后紧急情况处理、质量保障方案，投标文件中能提供投标产品生产厂家售后服务承诺书，整体</w:t>
            </w:r>
            <w:r>
              <w:rPr>
                <w:rFonts w:hint="eastAsia" w:ascii="宋体" w:hAnsi="宋体" w:eastAsia="宋体" w:cs="Times New Roman"/>
                <w:bCs/>
                <w:color w:val="auto"/>
                <w:sz w:val="21"/>
                <w:highlight w:val="none"/>
                <w:lang w:eastAsia="zh-CN"/>
              </w:rPr>
              <w:t>售后方案</w:t>
            </w:r>
            <w:r>
              <w:rPr>
                <w:rFonts w:hint="eastAsia" w:ascii="宋体" w:hAnsi="宋体" w:eastAsia="宋体" w:cs="Times New Roman"/>
                <w:bCs/>
                <w:color w:val="auto"/>
                <w:sz w:val="21"/>
                <w:highlight w:val="none"/>
              </w:rPr>
              <w:t>优于采购需求。</w:t>
            </w:r>
          </w:p>
          <w:p>
            <w:pPr>
              <w:pStyle w:val="12"/>
              <w:spacing w:line="360" w:lineRule="auto"/>
              <w:ind w:firstLine="420" w:firstLineChars="200"/>
              <w:rPr>
                <w:rFonts w:hint="eastAsia" w:ascii="宋体" w:hAnsi="宋体" w:eastAsia="宋体" w:cs="Times New Roman"/>
                <w:bCs/>
                <w:color w:val="auto"/>
                <w:sz w:val="21"/>
                <w:highlight w:val="none"/>
              </w:rPr>
            </w:pPr>
            <w:r>
              <w:rPr>
                <w:rFonts w:hint="eastAsia" w:ascii="宋体" w:hAnsi="宋体" w:eastAsia="宋体" w:cs="Times New Roman"/>
                <w:bCs/>
                <w:color w:val="auto"/>
                <w:sz w:val="21"/>
                <w:highlight w:val="none"/>
              </w:rPr>
              <w:t>备注：不符合最低进档要求的，不予进档，得 0 分</w:t>
            </w:r>
          </w:p>
          <w:p>
            <w:pPr>
              <w:pStyle w:val="12"/>
              <w:spacing w:line="360" w:lineRule="auto"/>
              <w:ind w:firstLine="420" w:firstLineChars="200"/>
              <w:rPr>
                <w:rFonts w:hint="eastAsia" w:ascii="宋体" w:hAnsi="宋体" w:eastAsia="宋体" w:cs="Times New Roman"/>
                <w:bCs/>
                <w:color w:val="auto"/>
                <w:sz w:val="21"/>
                <w:highlight w:val="none"/>
              </w:rPr>
            </w:pPr>
            <w:r>
              <w:rPr>
                <w:rFonts w:hint="eastAsia" w:hAnsi="宋体" w:cs="Times New Roman"/>
                <w:bCs/>
                <w:color w:val="auto"/>
                <w:sz w:val="21"/>
                <w:highlight w:val="none"/>
                <w:lang w:eastAsia="zh-CN"/>
              </w:rPr>
              <w:t>（</w:t>
            </w:r>
            <w:r>
              <w:rPr>
                <w:rFonts w:hint="eastAsia" w:hAnsi="宋体" w:cs="Times New Roman"/>
                <w:bCs/>
                <w:color w:val="auto"/>
                <w:sz w:val="21"/>
                <w:highlight w:val="none"/>
                <w:lang w:val="en-US" w:eastAsia="zh-CN"/>
              </w:rPr>
              <w:t>2）</w:t>
            </w:r>
            <w:r>
              <w:rPr>
                <w:rFonts w:hint="eastAsia" w:hAnsi="宋体"/>
                <w:bCs/>
                <w:color w:val="auto"/>
                <w:sz w:val="21"/>
                <w:highlight w:val="none"/>
              </w:rPr>
              <w:t>投标人</w:t>
            </w:r>
            <w:r>
              <w:rPr>
                <w:rFonts w:hint="eastAsia" w:hAnsi="宋体"/>
                <w:bCs/>
                <w:color w:val="auto"/>
                <w:sz w:val="21"/>
                <w:highlight w:val="none"/>
                <w:lang w:val="en-US" w:eastAsia="zh-CN"/>
              </w:rPr>
              <w:t>提供的质保期承诺时间最长的，加2分。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5" w:type="dxa"/>
            <w:gridSpan w:val="4"/>
            <w:noWrap w:val="0"/>
            <w:vAlign w:val="center"/>
          </w:tcPr>
          <w:p>
            <w:pPr>
              <w:pStyle w:val="12"/>
              <w:spacing w:line="360" w:lineRule="auto"/>
              <w:ind w:firstLine="420"/>
              <w:rPr>
                <w:rFonts w:hint="eastAsia" w:hAnsi="宋体"/>
                <w:bCs/>
                <w:color w:val="auto"/>
                <w:sz w:val="21"/>
                <w:highlight w:val="none"/>
              </w:rPr>
            </w:pPr>
            <w:r>
              <w:rPr>
                <w:rFonts w:hint="eastAsia" w:hAnsi="宋体"/>
                <w:bCs/>
                <w:color w:val="auto"/>
                <w:sz w:val="21"/>
                <w:highlight w:val="none"/>
              </w:rPr>
              <w:t>总得分=1+2+3+4。</w:t>
            </w:r>
          </w:p>
        </w:tc>
      </w:tr>
    </w:tbl>
    <w:p>
      <w:pPr>
        <w:pStyle w:val="4"/>
        <w:keepNext w:val="0"/>
        <w:keepLines w:val="0"/>
        <w:jc w:val="center"/>
        <w:rPr>
          <w:rFonts w:hint="eastAsia"/>
          <w:color w:val="auto"/>
          <w:highlight w:val="none"/>
        </w:rPr>
      </w:pPr>
    </w:p>
    <w:p>
      <w:pPr>
        <w:pStyle w:val="4"/>
        <w:keepNext w:val="0"/>
        <w:keepLines w:val="0"/>
        <w:spacing w:line="240" w:lineRule="auto"/>
        <w:jc w:val="center"/>
        <w:rPr>
          <w:rFonts w:hint="eastAsia"/>
          <w:color w:val="auto"/>
          <w:highlight w:val="none"/>
        </w:rPr>
      </w:pPr>
      <w:r>
        <w:rPr>
          <w:rFonts w:hint="eastAsia"/>
          <w:color w:val="auto"/>
          <w:highlight w:val="none"/>
        </w:rPr>
        <w:t>综合评分法</w:t>
      </w:r>
      <w:r>
        <w:rPr>
          <w:rFonts w:hint="eastAsia"/>
          <w:color w:val="auto"/>
          <w:highlight w:val="none"/>
          <w:lang w:val="en-US" w:eastAsia="zh-CN"/>
        </w:rPr>
        <w:t>二</w:t>
      </w:r>
      <w:r>
        <w:rPr>
          <w:rFonts w:hint="eastAsia"/>
          <w:color w:val="auto"/>
          <w:highlight w:val="none"/>
        </w:rPr>
        <w:t>（适用</w:t>
      </w:r>
      <w:r>
        <w:rPr>
          <w:rFonts w:hint="eastAsia"/>
          <w:color w:val="auto"/>
          <w:highlight w:val="none"/>
          <w:lang w:val="en-US" w:eastAsia="zh-CN"/>
        </w:rPr>
        <w:t>标项：5、8、9、19</w:t>
      </w:r>
      <w:r>
        <w:rPr>
          <w:rFonts w:hint="eastAsia"/>
          <w:color w:val="auto"/>
          <w:highlight w:val="none"/>
        </w:rPr>
        <w:t>）</w:t>
      </w:r>
    </w:p>
    <w:tbl>
      <w:tblPr>
        <w:tblStyle w:val="17"/>
        <w:tblpPr w:leftFromText="180" w:rightFromText="180" w:vertAnchor="text" w:horzAnchor="page" w:tblpX="1170" w:tblpY="980"/>
        <w:tblOverlap w:val="never"/>
        <w:tblW w:w="97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2382"/>
        <w:gridCol w:w="1428"/>
        <w:gridCol w:w="5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30" w:type="dxa"/>
            <w:noWrap w:val="0"/>
            <w:vAlign w:val="center"/>
          </w:tcPr>
          <w:p>
            <w:pPr>
              <w:pStyle w:val="12"/>
              <w:spacing w:line="360" w:lineRule="auto"/>
              <w:rPr>
                <w:rFonts w:hint="eastAsia" w:hAnsi="宋体"/>
                <w:bCs/>
                <w:color w:val="auto"/>
                <w:sz w:val="21"/>
                <w:highlight w:val="none"/>
              </w:rPr>
            </w:pPr>
            <w:r>
              <w:rPr>
                <w:rFonts w:hint="eastAsia" w:hAnsi="宋体"/>
                <w:bCs/>
                <w:color w:val="auto"/>
                <w:sz w:val="21"/>
                <w:highlight w:val="none"/>
              </w:rPr>
              <w:t>序号</w:t>
            </w:r>
          </w:p>
        </w:tc>
        <w:tc>
          <w:tcPr>
            <w:tcW w:w="2382" w:type="dxa"/>
            <w:noWrap w:val="0"/>
            <w:vAlign w:val="center"/>
          </w:tcPr>
          <w:p>
            <w:pPr>
              <w:pStyle w:val="12"/>
              <w:spacing w:line="360" w:lineRule="auto"/>
              <w:ind w:firstLine="420"/>
              <w:rPr>
                <w:rFonts w:hint="eastAsia" w:hAnsi="宋体"/>
                <w:bCs/>
                <w:color w:val="auto"/>
                <w:sz w:val="21"/>
                <w:highlight w:val="none"/>
              </w:rPr>
            </w:pPr>
            <w:r>
              <w:rPr>
                <w:rFonts w:hint="eastAsia" w:hAnsi="宋体"/>
                <w:bCs/>
                <w:color w:val="auto"/>
                <w:sz w:val="21"/>
                <w:highlight w:val="none"/>
              </w:rPr>
              <w:t>评审因素</w:t>
            </w:r>
          </w:p>
        </w:tc>
        <w:tc>
          <w:tcPr>
            <w:tcW w:w="6623" w:type="dxa"/>
            <w:gridSpan w:val="2"/>
            <w:noWrap w:val="0"/>
            <w:vAlign w:val="center"/>
          </w:tcPr>
          <w:p>
            <w:pPr>
              <w:pStyle w:val="12"/>
              <w:spacing w:line="360" w:lineRule="auto"/>
              <w:ind w:firstLine="420"/>
              <w:rPr>
                <w:rFonts w:hint="eastAsia" w:hAnsi="宋体"/>
                <w:bCs/>
                <w:color w:val="auto"/>
                <w:sz w:val="21"/>
                <w:highlight w:val="none"/>
              </w:rPr>
            </w:pPr>
            <w:r>
              <w:rPr>
                <w:rFonts w:hint="eastAsia" w:hAnsi="宋体"/>
                <w:bCs/>
                <w:color w:val="auto"/>
                <w:sz w:val="21"/>
                <w:highlight w:val="none"/>
              </w:rPr>
              <w:t>评标标准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30" w:type="dxa"/>
            <w:noWrap w:val="0"/>
            <w:vAlign w:val="center"/>
          </w:tcPr>
          <w:p>
            <w:pPr>
              <w:pStyle w:val="12"/>
              <w:spacing w:line="360" w:lineRule="auto"/>
              <w:ind w:firstLine="420"/>
              <w:rPr>
                <w:rFonts w:hint="eastAsia" w:hAnsi="宋体"/>
                <w:bCs/>
                <w:color w:val="auto"/>
                <w:sz w:val="21"/>
                <w:highlight w:val="none"/>
              </w:rPr>
            </w:pPr>
            <w:r>
              <w:rPr>
                <w:rFonts w:hint="eastAsia" w:hAnsi="宋体"/>
                <w:bCs/>
                <w:color w:val="auto"/>
                <w:sz w:val="21"/>
                <w:highlight w:val="none"/>
              </w:rPr>
              <w:t>1</w:t>
            </w:r>
          </w:p>
        </w:tc>
        <w:tc>
          <w:tcPr>
            <w:tcW w:w="2382" w:type="dxa"/>
            <w:noWrap w:val="0"/>
            <w:vAlign w:val="center"/>
          </w:tcPr>
          <w:p>
            <w:pPr>
              <w:pStyle w:val="12"/>
              <w:spacing w:line="360" w:lineRule="auto"/>
              <w:rPr>
                <w:rFonts w:hint="eastAsia" w:hAnsi="宋体"/>
                <w:bCs/>
                <w:color w:val="auto"/>
                <w:sz w:val="21"/>
                <w:highlight w:val="none"/>
              </w:rPr>
            </w:pPr>
            <w:r>
              <w:rPr>
                <w:rFonts w:hint="eastAsia" w:hAnsi="宋体"/>
                <w:bCs/>
                <w:color w:val="auto"/>
                <w:sz w:val="21"/>
                <w:highlight w:val="none"/>
              </w:rPr>
              <w:t>投标报价（满分</w:t>
            </w:r>
            <w:r>
              <w:rPr>
                <w:rFonts w:hint="eastAsia" w:hAnsi="宋体"/>
                <w:bCs/>
                <w:color w:val="auto"/>
                <w:sz w:val="21"/>
                <w:highlight w:val="none"/>
                <w:lang w:val="en-US" w:eastAsia="zh-CN"/>
              </w:rPr>
              <w:t>60</w:t>
            </w:r>
            <w:r>
              <w:rPr>
                <w:rFonts w:hint="eastAsia" w:hAnsi="宋体"/>
                <w:bCs/>
                <w:color w:val="auto"/>
                <w:sz w:val="21"/>
                <w:highlight w:val="none"/>
              </w:rPr>
              <w:t>分）</w:t>
            </w:r>
          </w:p>
        </w:tc>
        <w:tc>
          <w:tcPr>
            <w:tcW w:w="6623" w:type="dxa"/>
            <w:gridSpan w:val="2"/>
            <w:noWrap w:val="0"/>
            <w:vAlign w:val="center"/>
          </w:tcPr>
          <w:p>
            <w:pPr>
              <w:pStyle w:val="12"/>
              <w:numPr>
                <w:ilvl w:val="0"/>
                <w:numId w:val="0"/>
              </w:numPr>
              <w:spacing w:line="360" w:lineRule="auto"/>
              <w:rPr>
                <w:rFonts w:hint="eastAsia" w:hAnsi="宋体"/>
                <w:bCs/>
                <w:color w:val="auto"/>
                <w:sz w:val="21"/>
                <w:highlight w:val="none"/>
              </w:rPr>
            </w:pPr>
            <w:r>
              <w:rPr>
                <w:rFonts w:hint="eastAsia" w:hAnsi="宋体"/>
                <w:bCs/>
                <w:color w:val="auto"/>
                <w:sz w:val="21"/>
                <w:highlight w:val="none"/>
              </w:rPr>
              <w:t>评标基准价的确定方法</w:t>
            </w:r>
          </w:p>
          <w:p>
            <w:pPr>
              <w:pStyle w:val="12"/>
              <w:spacing w:line="360" w:lineRule="auto"/>
              <w:rPr>
                <w:rFonts w:hint="eastAsia" w:hAnsi="宋体"/>
                <w:bCs/>
                <w:color w:val="auto"/>
                <w:sz w:val="21"/>
                <w:highlight w:val="none"/>
              </w:rPr>
            </w:pPr>
            <w:r>
              <w:rPr>
                <w:rFonts w:hint="eastAsia" w:hAnsi="宋体"/>
                <w:bCs/>
                <w:color w:val="auto"/>
                <w:sz w:val="21"/>
                <w:highlight w:val="none"/>
              </w:rPr>
              <w:t>（1）按照《政府采购促进中小企业发展管理办法》（财库[2020]46 号）、《关于进一步加大政府采购支持中小企业力度的通知》（财库〔2022〕19 号）规定：①投标人提供的货物全部由符合政策要求的小型、微型企业制造，投标文件中提供《中小企业声明函》的，投标人投标报价给予 20%的扣除，扣除后的价格为评标报价，即投标人的评标报价=投标报价×（1-20%）；</w:t>
            </w:r>
          </w:p>
          <w:p>
            <w:pPr>
              <w:pStyle w:val="12"/>
              <w:spacing w:line="360" w:lineRule="auto"/>
              <w:rPr>
                <w:rFonts w:hint="eastAsia" w:hAnsi="宋体"/>
                <w:bCs/>
                <w:color w:val="auto"/>
                <w:sz w:val="21"/>
                <w:highlight w:val="none"/>
              </w:rPr>
            </w:pPr>
            <w:r>
              <w:rPr>
                <w:rFonts w:hint="eastAsia" w:hAnsi="宋体"/>
                <w:bCs/>
                <w:color w:val="auto"/>
                <w:sz w:val="21"/>
                <w:highlight w:val="none"/>
              </w:rPr>
              <w:t>②投标人为大中型企业与小型、微型企业组成联合体参与投标的，其中小型、微型企业的协议合同金额占到联合体协议合同总金额 30%以上（含 30%）的（供应商须于《联合体协议书》中明确约定小型、</w:t>
            </w:r>
          </w:p>
          <w:p>
            <w:pPr>
              <w:pStyle w:val="12"/>
              <w:spacing w:line="360" w:lineRule="auto"/>
              <w:rPr>
                <w:rFonts w:hint="eastAsia" w:hAnsi="宋体"/>
                <w:bCs/>
                <w:color w:val="auto"/>
                <w:sz w:val="21"/>
                <w:highlight w:val="none"/>
              </w:rPr>
            </w:pPr>
            <w:r>
              <w:rPr>
                <w:rFonts w:hint="eastAsia" w:hAnsi="宋体"/>
                <w:bCs/>
                <w:color w:val="auto"/>
                <w:sz w:val="21"/>
                <w:highlight w:val="none"/>
              </w:rPr>
              <w:t>微型企业的协议合同金额及所占比例，该金额应与投标报价表所报金额对应一致），联合体供应商最后报价给予 4%的价格扣除，扣除后的价格为评审报价，即评审报价=最后报价×（1-4%）；</w:t>
            </w:r>
          </w:p>
          <w:p>
            <w:pPr>
              <w:pStyle w:val="12"/>
              <w:spacing w:line="360" w:lineRule="auto"/>
              <w:rPr>
                <w:rFonts w:hint="eastAsia" w:hAnsi="宋体"/>
                <w:bCs/>
                <w:color w:val="auto"/>
                <w:sz w:val="21"/>
                <w:highlight w:val="none"/>
              </w:rPr>
            </w:pPr>
            <w:r>
              <w:rPr>
                <w:rFonts w:hint="eastAsia" w:hAnsi="宋体"/>
                <w:bCs/>
                <w:color w:val="auto"/>
                <w:sz w:val="21"/>
                <w:highlight w:val="none"/>
              </w:rPr>
              <w:t>③除上述情况外，评标报价=投标报价。</w:t>
            </w:r>
          </w:p>
          <w:p>
            <w:pPr>
              <w:pStyle w:val="12"/>
              <w:spacing w:line="360" w:lineRule="auto"/>
              <w:rPr>
                <w:rFonts w:hint="eastAsia" w:hAnsi="宋体"/>
                <w:bCs/>
                <w:color w:val="auto"/>
                <w:sz w:val="21"/>
                <w:highlight w:val="none"/>
              </w:rPr>
            </w:pPr>
            <w:r>
              <w:rPr>
                <w:rFonts w:hint="eastAsia" w:hAnsi="宋体"/>
                <w:bCs/>
                <w:color w:val="auto"/>
                <w:sz w:val="21"/>
                <w:highlight w:val="none"/>
              </w:rPr>
              <w:t>注：①小型、微型企业提供中型企业制造的货物的，视同为中型企业。</w:t>
            </w:r>
          </w:p>
          <w:p>
            <w:pPr>
              <w:pStyle w:val="12"/>
              <w:spacing w:line="360" w:lineRule="auto"/>
              <w:rPr>
                <w:rFonts w:hint="eastAsia" w:hAnsi="宋体"/>
                <w:bCs/>
                <w:color w:val="auto"/>
                <w:sz w:val="21"/>
                <w:highlight w:val="none"/>
              </w:rPr>
            </w:pPr>
            <w:r>
              <w:rPr>
                <w:rFonts w:hint="eastAsia" w:hAnsi="宋体"/>
                <w:bCs/>
                <w:color w:val="auto"/>
                <w:sz w:val="21"/>
                <w:highlight w:val="none"/>
              </w:rPr>
              <w:t>④评标报价为投标人的投标报价进行政策性扣除后的价格，评标报价只是作为评标时使用。最终中标人的中标金额＝投标报价。</w:t>
            </w:r>
          </w:p>
          <w:p>
            <w:pPr>
              <w:pStyle w:val="12"/>
              <w:spacing w:line="360" w:lineRule="auto"/>
              <w:rPr>
                <w:rFonts w:hint="eastAsia" w:hAnsi="宋体"/>
                <w:bCs/>
                <w:color w:val="auto"/>
                <w:sz w:val="21"/>
                <w:highlight w:val="none"/>
              </w:rPr>
            </w:pPr>
            <w:r>
              <w:rPr>
                <w:rFonts w:hint="eastAsia" w:hAnsi="宋体"/>
                <w:bCs/>
                <w:color w:val="auto"/>
                <w:sz w:val="21"/>
                <w:highlight w:val="none"/>
              </w:rPr>
              <w:t>（2）根据《关于政府采购支持监狱企业发展有关问题的通知》（财库[2014]68 号）和《关于促进残疾人就业政府采购政策的通知》（财库[2017]141 号），监狱企业和符合条件的残疾人福利性单位视同小型、微型企业，享受小型、微型企业评审中价格扣除的政府采购政策。残疾人福利性单位属于小型、微型企业的，不重复享受政策。</w:t>
            </w:r>
          </w:p>
          <w:p>
            <w:pPr>
              <w:pStyle w:val="12"/>
              <w:spacing w:line="360" w:lineRule="auto"/>
              <w:rPr>
                <w:rFonts w:hint="eastAsia" w:hAnsi="宋体"/>
                <w:bCs/>
                <w:color w:val="auto"/>
                <w:sz w:val="21"/>
                <w:highlight w:val="none"/>
              </w:rPr>
            </w:pPr>
            <w:r>
              <w:rPr>
                <w:rFonts w:hint="eastAsia" w:hAnsi="宋体"/>
                <w:bCs/>
                <w:color w:val="auto"/>
                <w:sz w:val="21"/>
                <w:highlight w:val="none"/>
              </w:rPr>
              <w:t xml:space="preserve">（3）满足招标文件要求且投标价格最低的投标报价为评标基准价，得 </w:t>
            </w:r>
            <w:r>
              <w:rPr>
                <w:rFonts w:hint="eastAsia" w:hAnsi="宋体"/>
                <w:bCs/>
                <w:color w:val="auto"/>
                <w:sz w:val="21"/>
                <w:highlight w:val="none"/>
                <w:lang w:val="en-US" w:eastAsia="zh-CN"/>
              </w:rPr>
              <w:t>60</w:t>
            </w:r>
            <w:r>
              <w:rPr>
                <w:rFonts w:hint="eastAsia" w:hAnsi="宋体"/>
                <w:bCs/>
                <w:color w:val="auto"/>
                <w:sz w:val="21"/>
                <w:highlight w:val="none"/>
              </w:rPr>
              <w:t xml:space="preserve"> 分。</w:t>
            </w:r>
          </w:p>
          <w:p>
            <w:pPr>
              <w:pStyle w:val="12"/>
              <w:spacing w:line="360" w:lineRule="auto"/>
              <w:rPr>
                <w:rFonts w:hint="eastAsia" w:hAnsi="宋体"/>
                <w:bCs/>
                <w:color w:val="auto"/>
                <w:sz w:val="21"/>
                <w:highlight w:val="none"/>
              </w:rPr>
            </w:pPr>
            <w:r>
              <w:rPr>
                <w:rFonts w:hint="eastAsia" w:hAnsi="宋体"/>
                <w:bCs/>
                <w:color w:val="auto"/>
                <w:sz w:val="21"/>
                <w:highlight w:val="none"/>
              </w:rPr>
              <w:t>二、报价分评分标准（满分</w:t>
            </w:r>
            <w:r>
              <w:rPr>
                <w:rFonts w:hint="eastAsia" w:hAnsi="宋体"/>
                <w:bCs/>
                <w:color w:val="auto"/>
                <w:sz w:val="21"/>
                <w:highlight w:val="none"/>
                <w:lang w:val="en-US" w:eastAsia="zh-CN"/>
              </w:rPr>
              <w:t>6</w:t>
            </w:r>
            <w:r>
              <w:rPr>
                <w:rFonts w:hint="eastAsia" w:hAnsi="宋体"/>
                <w:bCs/>
                <w:color w:val="auto"/>
                <w:sz w:val="21"/>
                <w:highlight w:val="none"/>
              </w:rPr>
              <w:t>0.00分）</w:t>
            </w:r>
          </w:p>
          <w:p>
            <w:pPr>
              <w:pStyle w:val="12"/>
              <w:spacing w:line="360" w:lineRule="auto"/>
              <w:rPr>
                <w:rFonts w:hint="eastAsia" w:hAnsi="宋体"/>
                <w:bCs/>
                <w:color w:val="auto"/>
                <w:sz w:val="21"/>
                <w:highlight w:val="none"/>
              </w:rPr>
            </w:pPr>
            <w:r>
              <w:rPr>
                <w:rFonts w:hint="eastAsia" w:hAnsi="宋体"/>
                <w:bCs/>
                <w:color w:val="auto"/>
                <w:sz w:val="21"/>
                <w:highlight w:val="none"/>
              </w:rPr>
              <w:t>价格分计算公式：报价得分=（</w:t>
            </w:r>
            <w:r>
              <w:rPr>
                <w:rFonts w:hint="eastAsia" w:hAnsi="宋体"/>
                <w:bCs/>
                <w:color w:val="auto"/>
                <w:sz w:val="21"/>
                <w:highlight w:val="none"/>
                <w:lang w:val="en-US" w:eastAsia="zh-CN"/>
              </w:rPr>
              <w:t>评标</w:t>
            </w:r>
            <w:r>
              <w:rPr>
                <w:rFonts w:hint="eastAsia" w:hAnsi="宋体"/>
                <w:bCs/>
                <w:color w:val="auto"/>
                <w:sz w:val="21"/>
                <w:highlight w:val="none"/>
              </w:rPr>
              <w:t>基准价/</w:t>
            </w:r>
            <w:r>
              <w:rPr>
                <w:rFonts w:hint="eastAsia" w:hAnsi="宋体"/>
                <w:bCs/>
                <w:color w:val="auto"/>
                <w:sz w:val="21"/>
                <w:highlight w:val="none"/>
                <w:lang w:val="en-US" w:eastAsia="zh-CN"/>
              </w:rPr>
              <w:t>某</w:t>
            </w:r>
            <w:r>
              <w:rPr>
                <w:rFonts w:hint="eastAsia" w:hAnsi="宋体"/>
                <w:bCs/>
                <w:color w:val="auto"/>
                <w:sz w:val="21"/>
                <w:highlight w:val="none"/>
              </w:rPr>
              <w:t xml:space="preserve">投标人评标报价）× </w:t>
            </w:r>
            <w:r>
              <w:rPr>
                <w:rFonts w:hint="eastAsia" w:hAnsi="宋体"/>
                <w:bCs/>
                <w:color w:val="auto"/>
                <w:sz w:val="21"/>
                <w:highlight w:val="none"/>
                <w:lang w:val="en-US" w:eastAsia="zh-CN"/>
              </w:rPr>
              <w:t>60</w:t>
            </w:r>
            <w:r>
              <w:rPr>
                <w:rFonts w:hint="eastAsia" w:hAnsi="宋体"/>
                <w:bCs/>
                <w:color w:val="auto"/>
                <w:sz w:val="21"/>
                <w:highlight w:val="none"/>
              </w:rPr>
              <w:t xml:space="preserve">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30" w:type="dxa"/>
            <w:vMerge w:val="restart"/>
            <w:noWrap w:val="0"/>
            <w:vAlign w:val="center"/>
          </w:tcPr>
          <w:p>
            <w:pPr>
              <w:pStyle w:val="12"/>
              <w:spacing w:line="360" w:lineRule="auto"/>
              <w:ind w:firstLine="420"/>
              <w:rPr>
                <w:rFonts w:hint="eastAsia" w:hAnsi="宋体"/>
                <w:bCs/>
                <w:color w:val="auto"/>
                <w:sz w:val="21"/>
                <w:highlight w:val="none"/>
              </w:rPr>
            </w:pPr>
            <w:r>
              <w:rPr>
                <w:rFonts w:hint="eastAsia" w:hAnsi="宋体"/>
                <w:bCs/>
                <w:color w:val="auto"/>
                <w:sz w:val="21"/>
                <w:highlight w:val="none"/>
              </w:rPr>
              <w:t>2</w:t>
            </w:r>
          </w:p>
        </w:tc>
        <w:tc>
          <w:tcPr>
            <w:tcW w:w="2382" w:type="dxa"/>
            <w:vMerge w:val="restart"/>
            <w:noWrap w:val="0"/>
            <w:vAlign w:val="center"/>
          </w:tcPr>
          <w:p>
            <w:pPr>
              <w:pStyle w:val="12"/>
              <w:spacing w:line="360" w:lineRule="auto"/>
              <w:ind w:firstLine="420"/>
              <w:rPr>
                <w:rFonts w:hint="eastAsia" w:hAnsi="宋体"/>
                <w:bCs/>
                <w:color w:val="auto"/>
                <w:sz w:val="21"/>
                <w:highlight w:val="none"/>
              </w:rPr>
            </w:pPr>
            <w:r>
              <w:rPr>
                <w:rFonts w:hint="eastAsia" w:hAnsi="宋体"/>
                <w:bCs/>
                <w:color w:val="auto"/>
                <w:sz w:val="21"/>
                <w:highlight w:val="none"/>
              </w:rPr>
              <w:t>技术分（</w:t>
            </w:r>
            <w:r>
              <w:rPr>
                <w:rFonts w:hint="eastAsia" w:hAnsi="宋体"/>
                <w:bCs/>
                <w:color w:val="auto"/>
                <w:sz w:val="21"/>
                <w:highlight w:val="none"/>
                <w:lang w:val="en-US" w:eastAsia="zh-CN"/>
              </w:rPr>
              <w:t>25</w:t>
            </w:r>
            <w:r>
              <w:rPr>
                <w:rFonts w:hint="eastAsia" w:hAnsi="宋体"/>
                <w:bCs/>
                <w:color w:val="auto"/>
                <w:sz w:val="21"/>
                <w:highlight w:val="none"/>
              </w:rPr>
              <w:t>分）</w:t>
            </w:r>
          </w:p>
        </w:tc>
        <w:tc>
          <w:tcPr>
            <w:tcW w:w="1428" w:type="dxa"/>
            <w:noWrap w:val="0"/>
            <w:vAlign w:val="center"/>
          </w:tcPr>
          <w:p>
            <w:pPr>
              <w:pStyle w:val="12"/>
              <w:spacing w:line="360" w:lineRule="auto"/>
              <w:rPr>
                <w:rFonts w:hint="eastAsia" w:hAnsi="宋体"/>
                <w:bCs/>
                <w:color w:val="auto"/>
                <w:sz w:val="21"/>
                <w:highlight w:val="none"/>
              </w:rPr>
            </w:pPr>
            <w:r>
              <w:rPr>
                <w:rFonts w:hint="eastAsia" w:hAnsi="宋体"/>
                <w:bCs/>
                <w:color w:val="auto"/>
                <w:sz w:val="21"/>
                <w:highlight w:val="none"/>
              </w:rPr>
              <w:t>设备性能分（满分</w:t>
            </w:r>
            <w:r>
              <w:rPr>
                <w:rFonts w:hint="eastAsia" w:hAnsi="宋体"/>
                <w:bCs/>
                <w:color w:val="auto"/>
                <w:sz w:val="21"/>
                <w:highlight w:val="none"/>
                <w:lang w:val="en-US" w:eastAsia="zh-CN"/>
              </w:rPr>
              <w:t>5</w:t>
            </w:r>
            <w:r>
              <w:rPr>
                <w:rFonts w:hint="eastAsia" w:hAnsi="宋体"/>
                <w:bCs/>
                <w:color w:val="auto"/>
                <w:sz w:val="21"/>
                <w:highlight w:val="none"/>
              </w:rPr>
              <w:t>分）</w:t>
            </w:r>
          </w:p>
        </w:tc>
        <w:tc>
          <w:tcPr>
            <w:tcW w:w="5195" w:type="dxa"/>
            <w:noWrap w:val="0"/>
            <w:vAlign w:val="center"/>
          </w:tcPr>
          <w:p>
            <w:pPr>
              <w:pStyle w:val="12"/>
              <w:numPr>
                <w:ilvl w:val="0"/>
                <w:numId w:val="12"/>
              </w:numPr>
              <w:spacing w:line="360" w:lineRule="auto"/>
              <w:rPr>
                <w:rFonts w:hint="eastAsia" w:hAnsi="宋体"/>
                <w:bCs/>
                <w:color w:val="auto"/>
                <w:sz w:val="21"/>
                <w:highlight w:val="none"/>
              </w:rPr>
            </w:pPr>
            <w:r>
              <w:rPr>
                <w:rFonts w:hint="eastAsia" w:hAnsi="宋体"/>
                <w:bCs/>
                <w:color w:val="auto"/>
                <w:sz w:val="21"/>
                <w:highlight w:val="none"/>
              </w:rPr>
              <w:t>技术需求中，标“</w:t>
            </w:r>
            <w:r>
              <w:rPr>
                <w:rFonts w:hint="eastAsia" w:hAnsi="宋体" w:cs="宋体"/>
                <w:bCs/>
                <w:color w:val="auto"/>
                <w:sz w:val="21"/>
                <w:highlight w:val="none"/>
              </w:rPr>
              <w:t>★</w:t>
            </w:r>
            <w:r>
              <w:rPr>
                <w:rFonts w:hint="eastAsia" w:hAnsi="宋体"/>
                <w:bCs/>
                <w:color w:val="auto"/>
                <w:sz w:val="21"/>
                <w:highlight w:val="none"/>
              </w:rPr>
              <w:t>”参数为实质性要求和保证投标设备档次的必须条件，</w:t>
            </w:r>
            <w:r>
              <w:rPr>
                <w:rFonts w:hint="eastAsia" w:hAnsi="宋体"/>
                <w:bCs/>
                <w:color w:val="auto"/>
                <w:sz w:val="21"/>
                <w:highlight w:val="none"/>
                <w:lang w:val="en-US" w:eastAsia="zh-CN"/>
              </w:rPr>
              <w:t>全部满足得3分；</w:t>
            </w:r>
            <w:r>
              <w:rPr>
                <w:rFonts w:hint="eastAsia" w:hAnsi="宋体"/>
                <w:bCs/>
                <w:color w:val="auto"/>
                <w:sz w:val="21"/>
                <w:highlight w:val="none"/>
              </w:rPr>
              <w:t>如有不满足的，做废标处理；同时投标人须提供证书（检测报告、授权文件）复印件或官网截图或彩页截图等证明材料，并加盖供应商公章，否则视为不满足；</w:t>
            </w:r>
          </w:p>
          <w:p>
            <w:pPr>
              <w:pStyle w:val="12"/>
              <w:spacing w:line="360" w:lineRule="auto"/>
              <w:rPr>
                <w:rFonts w:hint="eastAsia" w:hAnsi="宋体"/>
                <w:bCs/>
                <w:color w:val="auto"/>
                <w:sz w:val="21"/>
                <w:highlight w:val="none"/>
              </w:rPr>
            </w:pPr>
            <w:r>
              <w:rPr>
                <w:rFonts w:hint="eastAsia" w:hAnsi="宋体"/>
                <w:bCs/>
                <w:color w:val="auto"/>
                <w:sz w:val="21"/>
                <w:highlight w:val="none"/>
                <w:lang w:val="en-US" w:eastAsia="zh-CN"/>
              </w:rPr>
              <w:t>正偏离得分：</w:t>
            </w:r>
            <w:r>
              <w:rPr>
                <w:rFonts w:hint="eastAsia" w:hAnsi="宋体"/>
                <w:bCs/>
                <w:color w:val="auto"/>
                <w:sz w:val="21"/>
                <w:highlight w:val="none"/>
              </w:rPr>
              <w:t>非标注符号的普通参数</w:t>
            </w:r>
            <w:r>
              <w:rPr>
                <w:rFonts w:hint="eastAsia" w:hAnsi="宋体"/>
                <w:bCs/>
                <w:color w:val="auto"/>
                <w:sz w:val="21"/>
                <w:highlight w:val="none"/>
                <w:lang w:val="en-US" w:eastAsia="zh-CN"/>
              </w:rPr>
              <w:t>有正</w:t>
            </w:r>
            <w:r>
              <w:rPr>
                <w:rFonts w:hint="eastAsia" w:hAnsi="宋体"/>
                <w:bCs/>
                <w:color w:val="auto"/>
                <w:sz w:val="21"/>
                <w:highlight w:val="none"/>
              </w:rPr>
              <w:t>偏离的，每有一项</w:t>
            </w:r>
            <w:r>
              <w:rPr>
                <w:rFonts w:hint="eastAsia" w:hAnsi="宋体"/>
                <w:bCs/>
                <w:color w:val="auto"/>
                <w:sz w:val="21"/>
                <w:highlight w:val="none"/>
                <w:lang w:val="en-US" w:eastAsia="zh-CN"/>
              </w:rPr>
              <w:t>得1</w:t>
            </w:r>
            <w:r>
              <w:rPr>
                <w:rFonts w:hint="eastAsia" w:hAnsi="宋体"/>
                <w:bCs/>
                <w:color w:val="auto"/>
                <w:sz w:val="21"/>
                <w:highlight w:val="none"/>
              </w:rPr>
              <w:t>分，</w:t>
            </w:r>
            <w:r>
              <w:rPr>
                <w:rFonts w:hint="eastAsia" w:hAnsi="宋体"/>
                <w:bCs/>
                <w:color w:val="auto"/>
                <w:sz w:val="21"/>
                <w:highlight w:val="none"/>
                <w:lang w:val="en-US" w:eastAsia="zh-CN"/>
              </w:rPr>
              <w:t>两项以上得满分2分</w:t>
            </w:r>
            <w:r>
              <w:rPr>
                <w:rFonts w:hint="eastAsia" w:hAnsi="宋体"/>
                <w:bCs/>
                <w:color w:val="auto"/>
                <w:sz w:val="21"/>
                <w:highlight w:val="none"/>
              </w:rPr>
              <w:t>。（正偏离项需提供须提供证书（检测报告、授权文件）复印件或官网截图或彩页截图等证明材料，并加盖供应商公章，否则视为不满足；）</w:t>
            </w:r>
          </w:p>
          <w:p>
            <w:pPr>
              <w:pStyle w:val="12"/>
              <w:spacing w:line="360" w:lineRule="auto"/>
              <w:rPr>
                <w:rFonts w:hint="eastAsia" w:hAnsi="宋体"/>
                <w:bCs/>
                <w:color w:val="auto"/>
                <w:sz w:val="21"/>
                <w:highlight w:val="none"/>
              </w:rPr>
            </w:pPr>
            <w:r>
              <w:rPr>
                <w:rFonts w:hint="eastAsia" w:hAnsi="宋体"/>
                <w:bCs/>
                <w:color w:val="auto"/>
                <w:sz w:val="21"/>
                <w:highlight w:val="none"/>
                <w:lang w:val="en-US" w:eastAsia="zh-CN"/>
              </w:rPr>
              <w:t>三、</w:t>
            </w:r>
            <w:r>
              <w:rPr>
                <w:rFonts w:hint="eastAsia" w:hAnsi="宋体"/>
                <w:bCs/>
                <w:color w:val="auto"/>
                <w:sz w:val="21"/>
                <w:highlight w:val="none"/>
              </w:rPr>
              <w:t>负偏离扣分：非标注符号的普通参数发生负偏离的，每有一项扣</w:t>
            </w:r>
            <w:r>
              <w:rPr>
                <w:rFonts w:hint="eastAsia" w:hAnsi="宋体"/>
                <w:bCs/>
                <w:color w:val="auto"/>
                <w:sz w:val="21"/>
                <w:highlight w:val="none"/>
                <w:lang w:val="en-US" w:eastAsia="zh-CN"/>
              </w:rPr>
              <w:t>2</w:t>
            </w:r>
            <w:r>
              <w:rPr>
                <w:rFonts w:hint="eastAsia" w:hAnsi="宋体"/>
                <w:bCs/>
                <w:color w:val="auto"/>
                <w:sz w:val="21"/>
                <w:highlight w:val="none"/>
              </w:rPr>
              <w:t>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30" w:type="dxa"/>
            <w:vMerge w:val="continue"/>
            <w:noWrap w:val="0"/>
            <w:vAlign w:val="center"/>
          </w:tcPr>
          <w:p>
            <w:pPr>
              <w:pStyle w:val="12"/>
              <w:spacing w:line="360" w:lineRule="auto"/>
              <w:ind w:firstLine="420"/>
              <w:rPr>
                <w:rFonts w:hint="eastAsia" w:hAnsi="宋体"/>
                <w:bCs/>
                <w:color w:val="auto"/>
                <w:sz w:val="21"/>
                <w:highlight w:val="none"/>
              </w:rPr>
            </w:pPr>
          </w:p>
        </w:tc>
        <w:tc>
          <w:tcPr>
            <w:tcW w:w="2382" w:type="dxa"/>
            <w:vMerge w:val="continue"/>
            <w:noWrap w:val="0"/>
            <w:vAlign w:val="center"/>
          </w:tcPr>
          <w:p>
            <w:pPr>
              <w:pStyle w:val="12"/>
              <w:spacing w:line="360" w:lineRule="auto"/>
              <w:ind w:firstLine="420"/>
              <w:rPr>
                <w:rFonts w:hint="eastAsia" w:hAnsi="宋体"/>
                <w:bCs/>
                <w:color w:val="auto"/>
                <w:sz w:val="21"/>
                <w:highlight w:val="none"/>
              </w:rPr>
            </w:pPr>
          </w:p>
        </w:tc>
        <w:tc>
          <w:tcPr>
            <w:tcW w:w="1428" w:type="dxa"/>
            <w:noWrap w:val="0"/>
            <w:vAlign w:val="center"/>
          </w:tcPr>
          <w:p>
            <w:pPr>
              <w:pStyle w:val="12"/>
              <w:spacing w:line="360" w:lineRule="auto"/>
              <w:rPr>
                <w:rFonts w:hint="eastAsia" w:hAnsi="宋体"/>
                <w:bCs/>
                <w:color w:val="auto"/>
                <w:sz w:val="21"/>
                <w:highlight w:val="none"/>
              </w:rPr>
            </w:pPr>
            <w:r>
              <w:rPr>
                <w:rFonts w:hint="eastAsia" w:hAnsi="宋体"/>
                <w:bCs/>
                <w:color w:val="auto"/>
                <w:sz w:val="21"/>
                <w:highlight w:val="none"/>
              </w:rPr>
              <w:t>项目实施方案分（满分</w:t>
            </w:r>
            <w:r>
              <w:rPr>
                <w:rFonts w:hint="eastAsia" w:hAnsi="宋体"/>
                <w:bCs/>
                <w:color w:val="auto"/>
                <w:sz w:val="21"/>
                <w:highlight w:val="none"/>
                <w:lang w:val="en-US" w:eastAsia="zh-CN"/>
              </w:rPr>
              <w:t>10</w:t>
            </w:r>
            <w:r>
              <w:rPr>
                <w:rFonts w:hint="eastAsia" w:hAnsi="宋体"/>
                <w:bCs/>
                <w:color w:val="auto"/>
                <w:sz w:val="21"/>
                <w:highlight w:val="none"/>
              </w:rPr>
              <w:t>分）</w:t>
            </w:r>
          </w:p>
        </w:tc>
        <w:tc>
          <w:tcPr>
            <w:tcW w:w="5195" w:type="dxa"/>
            <w:noWrap w:val="0"/>
            <w:vAlign w:val="center"/>
          </w:tcPr>
          <w:p>
            <w:pPr>
              <w:pStyle w:val="12"/>
              <w:spacing w:line="360" w:lineRule="auto"/>
              <w:ind w:firstLine="420"/>
              <w:rPr>
                <w:rFonts w:hint="eastAsia" w:hAnsi="宋体"/>
                <w:bCs/>
                <w:color w:val="auto"/>
                <w:sz w:val="21"/>
                <w:highlight w:val="none"/>
              </w:rPr>
            </w:pPr>
            <w:r>
              <w:rPr>
                <w:rFonts w:hint="eastAsia" w:hAnsi="宋体"/>
                <w:bCs/>
                <w:color w:val="auto"/>
                <w:sz w:val="21"/>
                <w:highlight w:val="none"/>
              </w:rPr>
              <w:t>一档（</w:t>
            </w:r>
            <w:r>
              <w:rPr>
                <w:rFonts w:hint="eastAsia" w:hAnsi="宋体"/>
                <w:bCs/>
                <w:color w:val="auto"/>
                <w:sz w:val="21"/>
                <w:highlight w:val="none"/>
                <w:lang w:val="en-US" w:eastAsia="zh-CN"/>
              </w:rPr>
              <w:t>1</w:t>
            </w:r>
            <w:r>
              <w:rPr>
                <w:rFonts w:hint="eastAsia" w:hAnsi="宋体"/>
                <w:bCs/>
                <w:color w:val="auto"/>
                <w:sz w:val="21"/>
                <w:highlight w:val="none"/>
              </w:rPr>
              <w:t>分）：项目实施方案不符合实际情况，有实施步骤和要求描述，项目技术力量、配件清单，项目质量保障方案、人员配置内容不详细；</w:t>
            </w:r>
          </w:p>
          <w:p>
            <w:pPr>
              <w:pStyle w:val="12"/>
              <w:spacing w:line="360" w:lineRule="auto"/>
              <w:ind w:firstLine="420"/>
              <w:rPr>
                <w:rFonts w:hint="eastAsia" w:hAnsi="宋体"/>
                <w:bCs/>
                <w:color w:val="auto"/>
                <w:sz w:val="21"/>
                <w:highlight w:val="none"/>
              </w:rPr>
            </w:pPr>
            <w:r>
              <w:rPr>
                <w:rFonts w:hint="eastAsia" w:hAnsi="宋体"/>
                <w:bCs/>
                <w:color w:val="auto"/>
                <w:sz w:val="21"/>
                <w:highlight w:val="none"/>
              </w:rPr>
              <w:t>二档（</w:t>
            </w:r>
            <w:r>
              <w:rPr>
                <w:rFonts w:hint="eastAsia" w:hAnsi="宋体"/>
                <w:bCs/>
                <w:color w:val="auto"/>
                <w:sz w:val="21"/>
                <w:highlight w:val="none"/>
                <w:lang w:val="en-US" w:eastAsia="zh-CN"/>
              </w:rPr>
              <w:t>6</w:t>
            </w:r>
            <w:r>
              <w:rPr>
                <w:rFonts w:hint="eastAsia" w:hAnsi="宋体"/>
                <w:bCs/>
                <w:color w:val="auto"/>
                <w:sz w:val="21"/>
                <w:highlight w:val="none"/>
              </w:rPr>
              <w:t>分）：项目实施方案合理；项目技术力量、配件清单、具体实施步骤和要求描述较为简单，项目管理及设备的安装、调试进度安排较为合理，项目质量保障方案内容、人员配置等内容较为详细；</w:t>
            </w:r>
          </w:p>
          <w:p>
            <w:pPr>
              <w:pStyle w:val="12"/>
              <w:spacing w:line="360" w:lineRule="auto"/>
              <w:ind w:firstLine="420"/>
              <w:rPr>
                <w:rFonts w:hint="eastAsia" w:hAnsi="宋体"/>
                <w:bCs/>
                <w:color w:val="auto"/>
                <w:sz w:val="21"/>
                <w:highlight w:val="none"/>
              </w:rPr>
            </w:pPr>
            <w:r>
              <w:rPr>
                <w:rFonts w:hint="eastAsia" w:hAnsi="宋体"/>
                <w:bCs/>
                <w:color w:val="auto"/>
                <w:sz w:val="21"/>
                <w:highlight w:val="none"/>
              </w:rPr>
              <w:t>三档（</w:t>
            </w:r>
            <w:r>
              <w:rPr>
                <w:rFonts w:hint="eastAsia" w:hAnsi="宋体"/>
                <w:bCs/>
                <w:color w:val="auto"/>
                <w:sz w:val="21"/>
                <w:highlight w:val="none"/>
                <w:lang w:val="en-US" w:eastAsia="zh-CN"/>
              </w:rPr>
              <w:t>10</w:t>
            </w:r>
            <w:r>
              <w:rPr>
                <w:rFonts w:hint="eastAsia" w:hAnsi="宋体"/>
                <w:bCs/>
                <w:color w:val="auto"/>
                <w:sz w:val="21"/>
                <w:highlight w:val="none"/>
              </w:rPr>
              <w:t>分）：项目实施方案有针对性、可行性高；具体实施步骤和要求描述全面，项目技术力量、配件清单、项目管理及设备的安装、调试进度安排合理、项目质量保障方案内容、人员配置等内容详细；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0" w:hRule="atLeast"/>
        </w:trPr>
        <w:tc>
          <w:tcPr>
            <w:tcW w:w="730" w:type="dxa"/>
            <w:vMerge w:val="continue"/>
            <w:noWrap w:val="0"/>
            <w:vAlign w:val="center"/>
          </w:tcPr>
          <w:p>
            <w:pPr>
              <w:pStyle w:val="12"/>
              <w:spacing w:line="360" w:lineRule="auto"/>
              <w:ind w:firstLine="420"/>
              <w:rPr>
                <w:rFonts w:hint="eastAsia" w:hAnsi="宋体"/>
                <w:bCs/>
                <w:color w:val="auto"/>
                <w:sz w:val="21"/>
                <w:highlight w:val="none"/>
              </w:rPr>
            </w:pPr>
          </w:p>
        </w:tc>
        <w:tc>
          <w:tcPr>
            <w:tcW w:w="2382" w:type="dxa"/>
            <w:vMerge w:val="continue"/>
            <w:noWrap w:val="0"/>
            <w:vAlign w:val="center"/>
          </w:tcPr>
          <w:p>
            <w:pPr>
              <w:pStyle w:val="12"/>
              <w:spacing w:line="360" w:lineRule="auto"/>
              <w:ind w:firstLine="420"/>
              <w:rPr>
                <w:rFonts w:hint="eastAsia" w:hAnsi="宋体"/>
                <w:bCs/>
                <w:color w:val="auto"/>
                <w:sz w:val="21"/>
                <w:highlight w:val="none"/>
              </w:rPr>
            </w:pPr>
          </w:p>
        </w:tc>
        <w:tc>
          <w:tcPr>
            <w:tcW w:w="1428" w:type="dxa"/>
            <w:noWrap w:val="0"/>
            <w:vAlign w:val="center"/>
          </w:tcPr>
          <w:p>
            <w:pPr>
              <w:pStyle w:val="12"/>
              <w:spacing w:line="360" w:lineRule="auto"/>
              <w:rPr>
                <w:rFonts w:hint="eastAsia" w:hAnsi="宋体"/>
                <w:bCs/>
                <w:color w:val="auto"/>
                <w:sz w:val="21"/>
                <w:highlight w:val="none"/>
              </w:rPr>
            </w:pPr>
            <w:r>
              <w:rPr>
                <w:rFonts w:hint="eastAsia" w:hAnsi="宋体"/>
                <w:bCs/>
                <w:color w:val="auto"/>
                <w:sz w:val="21"/>
                <w:highlight w:val="none"/>
              </w:rPr>
              <w:t>培训方案分（满分</w:t>
            </w:r>
            <w:r>
              <w:rPr>
                <w:rFonts w:hint="eastAsia" w:hAnsi="宋体"/>
                <w:bCs/>
                <w:color w:val="auto"/>
                <w:sz w:val="21"/>
                <w:highlight w:val="none"/>
                <w:lang w:val="en-US" w:eastAsia="zh-CN"/>
              </w:rPr>
              <w:t>4</w:t>
            </w:r>
            <w:r>
              <w:rPr>
                <w:rFonts w:hint="eastAsia" w:hAnsi="宋体"/>
                <w:bCs/>
                <w:color w:val="auto"/>
                <w:sz w:val="21"/>
                <w:highlight w:val="none"/>
              </w:rPr>
              <w:t>分）</w:t>
            </w:r>
          </w:p>
        </w:tc>
        <w:tc>
          <w:tcPr>
            <w:tcW w:w="5195" w:type="dxa"/>
            <w:noWrap w:val="0"/>
            <w:vAlign w:val="center"/>
          </w:tcPr>
          <w:p>
            <w:pPr>
              <w:pStyle w:val="12"/>
              <w:spacing w:line="360" w:lineRule="auto"/>
              <w:ind w:firstLine="420"/>
              <w:rPr>
                <w:rFonts w:hint="eastAsia" w:hAnsi="宋体"/>
                <w:bCs/>
                <w:color w:val="auto"/>
                <w:sz w:val="21"/>
                <w:highlight w:val="none"/>
              </w:rPr>
            </w:pPr>
            <w:r>
              <w:rPr>
                <w:rFonts w:hint="eastAsia" w:hAnsi="宋体"/>
                <w:bCs/>
                <w:color w:val="auto"/>
                <w:sz w:val="21"/>
                <w:highlight w:val="none"/>
              </w:rPr>
              <w:t>一档（</w:t>
            </w:r>
            <w:r>
              <w:rPr>
                <w:rFonts w:hint="eastAsia" w:hAnsi="宋体"/>
                <w:bCs/>
                <w:color w:val="auto"/>
                <w:sz w:val="21"/>
                <w:highlight w:val="none"/>
                <w:lang w:val="en-US" w:eastAsia="zh-CN"/>
              </w:rPr>
              <w:t>1</w:t>
            </w:r>
            <w:r>
              <w:rPr>
                <w:rFonts w:hint="eastAsia" w:hAnsi="宋体"/>
                <w:bCs/>
                <w:color w:val="auto"/>
                <w:sz w:val="21"/>
                <w:highlight w:val="none"/>
              </w:rPr>
              <w:t>分）：培训方案仅满足招标文件的要求，设备培训讲师不少于1人。</w:t>
            </w:r>
          </w:p>
          <w:p>
            <w:pPr>
              <w:pStyle w:val="12"/>
              <w:spacing w:line="360" w:lineRule="auto"/>
              <w:ind w:firstLine="420"/>
              <w:rPr>
                <w:rFonts w:hint="eastAsia" w:hAnsi="宋体"/>
                <w:bCs/>
                <w:color w:val="auto"/>
                <w:sz w:val="21"/>
                <w:highlight w:val="none"/>
              </w:rPr>
            </w:pPr>
            <w:r>
              <w:rPr>
                <w:rFonts w:hint="eastAsia" w:hAnsi="宋体"/>
                <w:bCs/>
                <w:color w:val="auto"/>
                <w:sz w:val="21"/>
                <w:highlight w:val="none"/>
              </w:rPr>
              <w:t>二档（</w:t>
            </w:r>
            <w:r>
              <w:rPr>
                <w:rFonts w:hint="eastAsia" w:hAnsi="宋体"/>
                <w:bCs/>
                <w:color w:val="auto"/>
                <w:sz w:val="21"/>
                <w:highlight w:val="none"/>
                <w:lang w:val="en-US" w:eastAsia="zh-CN"/>
              </w:rPr>
              <w:t>2</w:t>
            </w:r>
            <w:r>
              <w:rPr>
                <w:rFonts w:hint="eastAsia" w:hAnsi="宋体"/>
                <w:bCs/>
                <w:color w:val="auto"/>
                <w:sz w:val="21"/>
                <w:highlight w:val="none"/>
              </w:rPr>
              <w:t>分）：满足一档的基础上，设备培训讲师不少于2人；有过培训讲解经验，可提供跟台服务、使用后继续培训服务，对项目有效保障。</w:t>
            </w:r>
          </w:p>
          <w:p>
            <w:pPr>
              <w:pStyle w:val="12"/>
              <w:spacing w:line="360" w:lineRule="auto"/>
              <w:ind w:firstLine="420"/>
              <w:rPr>
                <w:rFonts w:hint="eastAsia" w:hAnsi="宋体"/>
                <w:bCs/>
                <w:color w:val="auto"/>
                <w:sz w:val="21"/>
                <w:highlight w:val="none"/>
              </w:rPr>
            </w:pPr>
            <w:r>
              <w:rPr>
                <w:rFonts w:hint="eastAsia" w:hAnsi="宋体"/>
                <w:bCs/>
                <w:color w:val="auto"/>
                <w:sz w:val="21"/>
                <w:highlight w:val="none"/>
              </w:rPr>
              <w:t>三档（</w:t>
            </w:r>
            <w:r>
              <w:rPr>
                <w:rFonts w:hint="eastAsia" w:hAnsi="宋体"/>
                <w:bCs/>
                <w:color w:val="auto"/>
                <w:sz w:val="21"/>
                <w:highlight w:val="none"/>
                <w:lang w:val="en-US" w:eastAsia="zh-CN"/>
              </w:rPr>
              <w:t>4</w:t>
            </w:r>
            <w:r>
              <w:rPr>
                <w:rFonts w:hint="eastAsia" w:hAnsi="宋体"/>
                <w:bCs/>
                <w:color w:val="auto"/>
                <w:sz w:val="21"/>
                <w:highlight w:val="none"/>
              </w:rPr>
              <w:t>分）：满足二档的基础上，设备培训讲师不少于 2 人；可对临床医务人员培训应用技巧和操作技巧、培训医院维修人员熟悉产品维修手册、电气原理图，操作规范流程图等，对项目保障力度高效；培训形式多样化容易被接受（现场操作演示、现场问答、线上网络授课、头脑风暴等），提供培训应用技巧和操作技巧、产品维修手册、电气原理图，操作规范流程图等全部培训资料，培训方案还应包括定期更新知识和技能，保持与行业前沿的接轨，整体方案优于用户需求。</w:t>
            </w:r>
          </w:p>
          <w:p>
            <w:pPr>
              <w:pStyle w:val="12"/>
              <w:spacing w:line="360" w:lineRule="auto"/>
              <w:ind w:firstLine="420"/>
              <w:rPr>
                <w:rFonts w:hint="eastAsia" w:hAnsi="宋体"/>
                <w:bCs/>
                <w:color w:val="auto"/>
                <w:sz w:val="21"/>
                <w:highlight w:val="none"/>
              </w:rPr>
            </w:pPr>
            <w:r>
              <w:rPr>
                <w:rFonts w:hint="eastAsia" w:hAnsi="宋体"/>
                <w:bCs/>
                <w:color w:val="auto"/>
                <w:sz w:val="21"/>
                <w:highlight w:val="none"/>
              </w:rPr>
              <w:t>备注：未提供方案或不符合最低进档要求的，不予进档，得 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30" w:type="dxa"/>
            <w:vMerge w:val="continue"/>
            <w:noWrap w:val="0"/>
            <w:vAlign w:val="center"/>
          </w:tcPr>
          <w:p>
            <w:pPr>
              <w:pStyle w:val="12"/>
              <w:spacing w:line="360" w:lineRule="auto"/>
              <w:ind w:firstLine="420"/>
              <w:rPr>
                <w:rFonts w:hint="eastAsia" w:hAnsi="宋体"/>
                <w:bCs/>
                <w:color w:val="auto"/>
                <w:sz w:val="21"/>
                <w:highlight w:val="none"/>
              </w:rPr>
            </w:pPr>
          </w:p>
        </w:tc>
        <w:tc>
          <w:tcPr>
            <w:tcW w:w="2382" w:type="dxa"/>
            <w:vMerge w:val="continue"/>
            <w:noWrap w:val="0"/>
            <w:vAlign w:val="center"/>
          </w:tcPr>
          <w:p>
            <w:pPr>
              <w:pStyle w:val="12"/>
              <w:spacing w:line="360" w:lineRule="auto"/>
              <w:ind w:firstLine="420"/>
              <w:rPr>
                <w:rFonts w:hint="eastAsia" w:hAnsi="宋体"/>
                <w:bCs/>
                <w:color w:val="auto"/>
                <w:sz w:val="21"/>
                <w:highlight w:val="none"/>
              </w:rPr>
            </w:pPr>
          </w:p>
        </w:tc>
        <w:tc>
          <w:tcPr>
            <w:tcW w:w="1428" w:type="dxa"/>
            <w:noWrap w:val="0"/>
            <w:vAlign w:val="center"/>
          </w:tcPr>
          <w:p>
            <w:pPr>
              <w:pStyle w:val="12"/>
              <w:spacing w:line="360" w:lineRule="auto"/>
              <w:rPr>
                <w:rFonts w:hint="eastAsia" w:hAnsi="宋体"/>
                <w:bCs/>
                <w:color w:val="auto"/>
                <w:sz w:val="21"/>
                <w:highlight w:val="none"/>
              </w:rPr>
            </w:pPr>
            <w:r>
              <w:rPr>
                <w:rFonts w:hint="eastAsia" w:hAnsi="宋体"/>
                <w:bCs/>
                <w:color w:val="auto"/>
                <w:sz w:val="21"/>
                <w:highlight w:val="none"/>
                <w:lang w:eastAsia="zh-CN"/>
              </w:rPr>
              <w:t>应急预案分</w:t>
            </w:r>
            <w:r>
              <w:rPr>
                <w:rFonts w:hint="eastAsia" w:hAnsi="宋体"/>
                <w:bCs/>
                <w:color w:val="auto"/>
                <w:sz w:val="21"/>
                <w:highlight w:val="none"/>
              </w:rPr>
              <w:t>（</w:t>
            </w:r>
            <w:r>
              <w:rPr>
                <w:rFonts w:hint="eastAsia" w:hAnsi="宋体"/>
                <w:bCs/>
                <w:color w:val="auto"/>
                <w:sz w:val="21"/>
                <w:highlight w:val="none"/>
                <w:lang w:val="en-US" w:eastAsia="zh-CN"/>
              </w:rPr>
              <w:t>6</w:t>
            </w:r>
            <w:r>
              <w:rPr>
                <w:rFonts w:hint="eastAsia" w:hAnsi="宋体"/>
                <w:bCs/>
                <w:color w:val="auto"/>
                <w:sz w:val="21"/>
                <w:highlight w:val="none"/>
              </w:rPr>
              <w:t>分）</w:t>
            </w:r>
          </w:p>
        </w:tc>
        <w:tc>
          <w:tcPr>
            <w:tcW w:w="5195" w:type="dxa"/>
            <w:noWrap w:val="0"/>
            <w:vAlign w:val="center"/>
          </w:tcPr>
          <w:p>
            <w:pPr>
              <w:pStyle w:val="12"/>
              <w:spacing w:line="360" w:lineRule="auto"/>
              <w:rPr>
                <w:rFonts w:hint="eastAsia" w:hAnsi="宋体"/>
                <w:bCs/>
                <w:color w:val="auto"/>
                <w:sz w:val="21"/>
                <w:highlight w:val="none"/>
              </w:rPr>
            </w:pPr>
            <w:r>
              <w:rPr>
                <w:rFonts w:hint="eastAsia" w:hAnsi="宋体"/>
                <w:bCs/>
                <w:color w:val="auto"/>
                <w:sz w:val="21"/>
                <w:highlight w:val="none"/>
              </w:rPr>
              <w:t>一档（</w:t>
            </w:r>
            <w:r>
              <w:rPr>
                <w:rFonts w:hint="eastAsia" w:hAnsi="宋体"/>
                <w:bCs/>
                <w:color w:val="auto"/>
                <w:sz w:val="21"/>
                <w:highlight w:val="none"/>
                <w:lang w:val="en-US" w:eastAsia="zh-CN"/>
              </w:rPr>
              <w:t>1</w:t>
            </w:r>
            <w:r>
              <w:rPr>
                <w:rFonts w:hint="eastAsia" w:hAnsi="宋体"/>
                <w:bCs/>
                <w:color w:val="auto"/>
                <w:sz w:val="21"/>
                <w:highlight w:val="none"/>
              </w:rPr>
              <w:t>分）：提供的应急处理预案内容简单，突发情况的人员安排仅 1 名技术负责人，解决方案可实施但稍有欠缺；</w:t>
            </w:r>
          </w:p>
          <w:p>
            <w:pPr>
              <w:pStyle w:val="12"/>
              <w:spacing w:line="360" w:lineRule="auto"/>
              <w:rPr>
                <w:rFonts w:hint="eastAsia" w:hAnsi="宋体"/>
                <w:bCs/>
                <w:color w:val="auto"/>
                <w:sz w:val="21"/>
                <w:highlight w:val="none"/>
              </w:rPr>
            </w:pPr>
            <w:r>
              <w:rPr>
                <w:rFonts w:hint="eastAsia" w:hAnsi="宋体"/>
                <w:bCs/>
                <w:color w:val="auto"/>
                <w:sz w:val="21"/>
                <w:highlight w:val="none"/>
              </w:rPr>
              <w:t>二档（</w:t>
            </w:r>
            <w:r>
              <w:rPr>
                <w:rFonts w:hint="eastAsia" w:hAnsi="宋体"/>
                <w:bCs/>
                <w:color w:val="auto"/>
                <w:sz w:val="21"/>
                <w:highlight w:val="none"/>
                <w:lang w:val="en-US" w:eastAsia="zh-CN"/>
              </w:rPr>
              <w:t>3</w:t>
            </w:r>
            <w:r>
              <w:rPr>
                <w:rFonts w:hint="eastAsia" w:hAnsi="宋体"/>
                <w:bCs/>
                <w:color w:val="auto"/>
                <w:sz w:val="21"/>
                <w:highlight w:val="none"/>
              </w:rPr>
              <w:t xml:space="preserve">分）：提供的应急处理预案内容详细、可行；突发情况的人员安排能提供至少 </w:t>
            </w:r>
            <w:r>
              <w:rPr>
                <w:rFonts w:hint="eastAsia" w:hAnsi="宋体"/>
                <w:bCs/>
                <w:color w:val="auto"/>
                <w:sz w:val="21"/>
                <w:highlight w:val="none"/>
                <w:lang w:val="en-US" w:eastAsia="zh-CN"/>
              </w:rPr>
              <w:t>1</w:t>
            </w:r>
            <w:r>
              <w:rPr>
                <w:rFonts w:hint="eastAsia" w:hAnsi="宋体"/>
                <w:bCs/>
                <w:color w:val="auto"/>
                <w:sz w:val="21"/>
                <w:highlight w:val="none"/>
              </w:rPr>
              <w:t xml:space="preserve"> 名技术负责人 ，解决方案有具体的解决办法和措施、措施有条分理，且规划合理；</w:t>
            </w:r>
          </w:p>
          <w:p>
            <w:pPr>
              <w:pStyle w:val="12"/>
              <w:spacing w:line="360" w:lineRule="auto"/>
              <w:rPr>
                <w:rFonts w:hint="eastAsia" w:hAnsi="宋体"/>
                <w:bCs/>
                <w:color w:val="auto"/>
                <w:sz w:val="21"/>
                <w:highlight w:val="none"/>
              </w:rPr>
            </w:pPr>
            <w:r>
              <w:rPr>
                <w:rFonts w:hint="eastAsia" w:hAnsi="宋体"/>
                <w:bCs/>
                <w:color w:val="auto"/>
                <w:sz w:val="21"/>
                <w:highlight w:val="none"/>
              </w:rPr>
              <w:t>三档（</w:t>
            </w:r>
            <w:r>
              <w:rPr>
                <w:rFonts w:hint="eastAsia" w:hAnsi="宋体"/>
                <w:bCs/>
                <w:color w:val="auto"/>
                <w:sz w:val="21"/>
                <w:highlight w:val="none"/>
                <w:lang w:val="en-US" w:eastAsia="zh-CN"/>
              </w:rPr>
              <w:t>6</w:t>
            </w:r>
            <w:r>
              <w:rPr>
                <w:rFonts w:hint="eastAsia" w:hAnsi="宋体"/>
                <w:bCs/>
                <w:color w:val="auto"/>
                <w:sz w:val="21"/>
                <w:highlight w:val="none"/>
              </w:rPr>
              <w:t>分）：提供的应急处理预案内容详实、科学合理，具有完整性、可行性、针对性；突发情况的人员安排能提供至少2 名技术负责人</w:t>
            </w:r>
            <w:r>
              <w:rPr>
                <w:rFonts w:hint="eastAsia" w:hAnsi="宋体"/>
                <w:bCs/>
                <w:color w:val="auto"/>
                <w:sz w:val="21"/>
                <w:highlight w:val="none"/>
                <w:lang w:eastAsia="zh-CN"/>
              </w:rPr>
              <w:t>，</w:t>
            </w:r>
            <w:r>
              <w:rPr>
                <w:rFonts w:hint="eastAsia" w:hAnsi="宋体"/>
                <w:bCs/>
                <w:color w:val="auto"/>
                <w:sz w:val="21"/>
                <w:highlight w:val="none"/>
              </w:rPr>
              <w:t>解决方案详细、应急组织机构健全，分工明确，能够提供替代品或配件方案；有具体的解决办法和措施保障，规范及方案、进度及目标、预期达到的效果、管理、组织协调、实施细则等切合实际，科学合理，措施高效，内容完整且描述清晰。</w:t>
            </w:r>
          </w:p>
          <w:p>
            <w:pPr>
              <w:pStyle w:val="12"/>
              <w:spacing w:line="360" w:lineRule="auto"/>
              <w:ind w:firstLine="420" w:firstLineChars="200"/>
              <w:rPr>
                <w:rFonts w:hint="eastAsia" w:hAnsi="宋体"/>
                <w:bCs/>
                <w:color w:val="auto"/>
                <w:sz w:val="21"/>
                <w:highlight w:val="none"/>
              </w:rPr>
            </w:pPr>
            <w:r>
              <w:rPr>
                <w:rFonts w:hint="eastAsia" w:hAnsi="宋体"/>
                <w:bCs/>
                <w:color w:val="auto"/>
                <w:sz w:val="21"/>
                <w:highlight w:val="none"/>
              </w:rPr>
              <w:t>备注：投标文件中未提供或不可行，不切实际与本项目无关的；得0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30" w:type="dxa"/>
            <w:vMerge w:val="restart"/>
            <w:noWrap w:val="0"/>
            <w:vAlign w:val="center"/>
          </w:tcPr>
          <w:p>
            <w:pPr>
              <w:pStyle w:val="12"/>
              <w:spacing w:line="360" w:lineRule="auto"/>
              <w:ind w:firstLine="420"/>
              <w:rPr>
                <w:rFonts w:hint="eastAsia" w:hAnsi="宋体"/>
                <w:bCs/>
                <w:color w:val="auto"/>
                <w:sz w:val="21"/>
                <w:highlight w:val="none"/>
              </w:rPr>
            </w:pPr>
            <w:r>
              <w:rPr>
                <w:rFonts w:hint="eastAsia" w:hAnsi="宋体"/>
                <w:bCs/>
                <w:color w:val="auto"/>
                <w:sz w:val="21"/>
                <w:highlight w:val="none"/>
              </w:rPr>
              <w:t>3</w:t>
            </w:r>
          </w:p>
        </w:tc>
        <w:tc>
          <w:tcPr>
            <w:tcW w:w="2382" w:type="dxa"/>
            <w:vMerge w:val="restart"/>
            <w:noWrap w:val="0"/>
            <w:vAlign w:val="center"/>
          </w:tcPr>
          <w:p>
            <w:pPr>
              <w:pStyle w:val="12"/>
              <w:spacing w:line="360" w:lineRule="auto"/>
              <w:rPr>
                <w:rFonts w:hint="eastAsia" w:hAnsi="宋体"/>
                <w:bCs/>
                <w:color w:val="auto"/>
                <w:sz w:val="21"/>
                <w:highlight w:val="none"/>
              </w:rPr>
            </w:pPr>
            <w:r>
              <w:rPr>
                <w:rFonts w:hint="eastAsia" w:hAnsi="宋体"/>
                <w:bCs/>
                <w:color w:val="auto"/>
                <w:sz w:val="21"/>
                <w:highlight w:val="none"/>
              </w:rPr>
              <w:t>履约能力（满分</w:t>
            </w:r>
            <w:r>
              <w:rPr>
                <w:rFonts w:hint="eastAsia" w:hAnsi="宋体"/>
                <w:bCs/>
                <w:color w:val="auto"/>
                <w:sz w:val="21"/>
                <w:highlight w:val="none"/>
                <w:lang w:val="en-US" w:eastAsia="zh-CN"/>
              </w:rPr>
              <w:t>8</w:t>
            </w:r>
            <w:r>
              <w:rPr>
                <w:rFonts w:hint="eastAsia" w:hAnsi="宋体"/>
                <w:bCs/>
                <w:color w:val="auto"/>
                <w:sz w:val="21"/>
                <w:highlight w:val="none"/>
              </w:rPr>
              <w:t>分</w:t>
            </w:r>
            <w:r>
              <w:rPr>
                <w:rFonts w:hint="eastAsia" w:hAnsi="宋体"/>
                <w:bCs/>
                <w:color w:val="auto"/>
                <w:sz w:val="21"/>
                <w:highlight w:val="none"/>
              </w:rPr>
              <w:t>）</w:t>
            </w:r>
          </w:p>
        </w:tc>
        <w:tc>
          <w:tcPr>
            <w:tcW w:w="1428" w:type="dxa"/>
            <w:noWrap w:val="0"/>
            <w:vAlign w:val="center"/>
          </w:tcPr>
          <w:p>
            <w:pPr>
              <w:pStyle w:val="12"/>
              <w:spacing w:line="360" w:lineRule="auto"/>
              <w:rPr>
                <w:rFonts w:hint="eastAsia" w:hAnsi="宋体"/>
                <w:bCs/>
                <w:color w:val="auto"/>
                <w:sz w:val="21"/>
                <w:highlight w:val="none"/>
              </w:rPr>
            </w:pPr>
            <w:r>
              <w:rPr>
                <w:rFonts w:hint="eastAsia" w:hAnsi="宋体"/>
                <w:bCs/>
                <w:color w:val="auto"/>
                <w:sz w:val="21"/>
                <w:highlight w:val="none"/>
              </w:rPr>
              <w:t>业绩分（</w:t>
            </w:r>
            <w:r>
              <w:rPr>
                <w:rFonts w:hint="eastAsia" w:hAnsi="宋体"/>
                <w:bCs/>
                <w:color w:val="auto"/>
                <w:sz w:val="21"/>
                <w:highlight w:val="none"/>
                <w:lang w:val="en-US" w:eastAsia="zh-CN"/>
              </w:rPr>
              <w:t>6</w:t>
            </w:r>
            <w:r>
              <w:rPr>
                <w:rFonts w:hint="eastAsia" w:hAnsi="宋体"/>
                <w:bCs/>
                <w:color w:val="auto"/>
                <w:sz w:val="21"/>
                <w:highlight w:val="none"/>
              </w:rPr>
              <w:t>分）</w:t>
            </w:r>
          </w:p>
        </w:tc>
        <w:tc>
          <w:tcPr>
            <w:tcW w:w="5195" w:type="dxa"/>
            <w:noWrap w:val="0"/>
            <w:vAlign w:val="center"/>
          </w:tcPr>
          <w:p>
            <w:pPr>
              <w:pStyle w:val="12"/>
              <w:spacing w:line="360" w:lineRule="auto"/>
              <w:ind w:firstLine="420"/>
              <w:rPr>
                <w:rFonts w:hint="eastAsia" w:hAnsi="宋体"/>
                <w:bCs/>
                <w:color w:val="auto"/>
                <w:sz w:val="21"/>
                <w:highlight w:val="none"/>
              </w:rPr>
            </w:pPr>
            <w:r>
              <w:rPr>
                <w:rFonts w:hint="eastAsia" w:hAnsi="宋体"/>
                <w:bCs/>
                <w:color w:val="auto"/>
                <w:sz w:val="21"/>
                <w:highlight w:val="none"/>
              </w:rPr>
              <w:t>202</w:t>
            </w:r>
            <w:r>
              <w:rPr>
                <w:rFonts w:hint="eastAsia" w:hAnsi="宋体"/>
                <w:bCs/>
                <w:color w:val="auto"/>
                <w:sz w:val="21"/>
                <w:highlight w:val="none"/>
                <w:lang w:val="en-US" w:eastAsia="zh-CN"/>
              </w:rPr>
              <w:t>1</w:t>
            </w:r>
            <w:r>
              <w:rPr>
                <w:rFonts w:hint="eastAsia" w:hAnsi="宋体"/>
                <w:bCs/>
                <w:color w:val="auto"/>
                <w:sz w:val="21"/>
                <w:highlight w:val="none"/>
              </w:rPr>
              <w:t>年 1 月至投标截止时间前，</w:t>
            </w:r>
            <w:r>
              <w:rPr>
                <w:rFonts w:hint="eastAsia" w:hAnsi="宋体"/>
                <w:bCs/>
                <w:color w:val="auto"/>
                <w:sz w:val="21"/>
                <w:highlight w:val="none"/>
                <w:lang w:val="en-US" w:eastAsia="zh-CN"/>
              </w:rPr>
              <w:t>供应商或生产厂家</w:t>
            </w:r>
            <w:r>
              <w:rPr>
                <w:rFonts w:hint="eastAsia" w:hAnsi="宋体"/>
                <w:bCs/>
                <w:color w:val="auto"/>
                <w:sz w:val="21"/>
                <w:highlight w:val="none"/>
              </w:rPr>
              <w:t>完成过同类项目业绩，每个得1分；满分</w:t>
            </w:r>
            <w:r>
              <w:rPr>
                <w:rFonts w:hint="eastAsia" w:hAnsi="宋体"/>
                <w:bCs/>
                <w:color w:val="auto"/>
                <w:sz w:val="21"/>
                <w:highlight w:val="none"/>
                <w:lang w:val="en-US" w:eastAsia="zh-CN"/>
              </w:rPr>
              <w:t>6</w:t>
            </w:r>
            <w:r>
              <w:rPr>
                <w:rFonts w:hint="eastAsia" w:hAnsi="宋体"/>
                <w:bCs/>
                <w:color w:val="auto"/>
                <w:sz w:val="21"/>
                <w:highlight w:val="none"/>
              </w:rPr>
              <w:t>分。</w:t>
            </w:r>
          </w:p>
          <w:p>
            <w:pPr>
              <w:pStyle w:val="12"/>
              <w:spacing w:line="360" w:lineRule="auto"/>
              <w:ind w:firstLine="420"/>
              <w:rPr>
                <w:rFonts w:hint="eastAsia" w:hAnsi="宋体"/>
                <w:bCs/>
                <w:color w:val="auto"/>
                <w:sz w:val="21"/>
                <w:highlight w:val="none"/>
              </w:rPr>
            </w:pPr>
            <w:r>
              <w:rPr>
                <w:rFonts w:hint="eastAsia" w:hAnsi="宋体"/>
                <w:bCs/>
                <w:color w:val="auto"/>
                <w:sz w:val="21"/>
                <w:highlight w:val="none"/>
              </w:rPr>
              <w:t>注：提供完整业绩证明扫描件加盖公章，一份完整的业绩证明材料是指中标通知书</w:t>
            </w:r>
            <w:r>
              <w:rPr>
                <w:rFonts w:hint="eastAsia" w:hAnsi="宋体"/>
                <w:bCs/>
                <w:color w:val="auto"/>
                <w:sz w:val="21"/>
                <w:highlight w:val="none"/>
                <w:lang w:val="en-US" w:eastAsia="zh-CN"/>
              </w:rPr>
              <w:t>或</w:t>
            </w:r>
            <w:r>
              <w:rPr>
                <w:rFonts w:hint="eastAsia" w:hAnsi="宋体"/>
                <w:bCs/>
                <w:color w:val="auto"/>
                <w:sz w:val="21"/>
                <w:highlight w:val="none"/>
              </w:rPr>
              <w:t>合同复印件（包括合同首页、合同金额页、合同盖章页），未提供业绩证明材料或业绩证明材料提供不齐全不符合的项目不予计算业绩、不得分。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30" w:type="dxa"/>
            <w:vMerge w:val="continue"/>
            <w:noWrap w:val="0"/>
            <w:vAlign w:val="center"/>
          </w:tcPr>
          <w:p>
            <w:pPr>
              <w:pStyle w:val="12"/>
              <w:spacing w:line="360" w:lineRule="auto"/>
              <w:ind w:firstLine="420"/>
              <w:rPr>
                <w:rFonts w:hint="eastAsia" w:hAnsi="宋体"/>
                <w:bCs/>
                <w:color w:val="auto"/>
                <w:sz w:val="21"/>
                <w:highlight w:val="none"/>
              </w:rPr>
            </w:pPr>
          </w:p>
        </w:tc>
        <w:tc>
          <w:tcPr>
            <w:tcW w:w="2382" w:type="dxa"/>
            <w:vMerge w:val="continue"/>
            <w:noWrap w:val="0"/>
            <w:vAlign w:val="center"/>
          </w:tcPr>
          <w:p>
            <w:pPr>
              <w:pStyle w:val="12"/>
              <w:spacing w:line="360" w:lineRule="auto"/>
              <w:ind w:firstLine="420"/>
              <w:rPr>
                <w:rFonts w:hint="eastAsia" w:hAnsi="宋体"/>
                <w:bCs/>
                <w:color w:val="auto"/>
                <w:sz w:val="21"/>
                <w:highlight w:val="none"/>
              </w:rPr>
            </w:pPr>
          </w:p>
        </w:tc>
        <w:tc>
          <w:tcPr>
            <w:tcW w:w="1428" w:type="dxa"/>
            <w:noWrap w:val="0"/>
            <w:vAlign w:val="center"/>
          </w:tcPr>
          <w:p>
            <w:pPr>
              <w:pStyle w:val="12"/>
              <w:spacing w:line="360" w:lineRule="auto"/>
              <w:rPr>
                <w:rFonts w:hint="eastAsia" w:hAnsi="宋体"/>
                <w:bCs/>
                <w:color w:val="auto"/>
                <w:sz w:val="21"/>
                <w:highlight w:val="none"/>
              </w:rPr>
            </w:pPr>
            <w:r>
              <w:rPr>
                <w:rFonts w:hint="eastAsia" w:hAnsi="宋体"/>
                <w:bCs/>
                <w:color w:val="auto"/>
                <w:sz w:val="21"/>
                <w:highlight w:val="none"/>
              </w:rPr>
              <w:t>企业认证情况</w:t>
            </w:r>
            <w:r>
              <w:rPr>
                <w:rFonts w:hint="eastAsia" w:hAnsi="宋体"/>
                <w:bCs/>
                <w:color w:val="auto"/>
                <w:sz w:val="21"/>
                <w:highlight w:val="none"/>
              </w:rPr>
              <w:t>（</w:t>
            </w:r>
            <w:r>
              <w:rPr>
                <w:rFonts w:hint="eastAsia" w:hAnsi="宋体"/>
                <w:bCs/>
                <w:color w:val="auto"/>
                <w:sz w:val="21"/>
                <w:highlight w:val="none"/>
                <w:lang w:val="en-US" w:eastAsia="zh-CN"/>
              </w:rPr>
              <w:t>1</w:t>
            </w:r>
            <w:r>
              <w:rPr>
                <w:rFonts w:hint="eastAsia" w:hAnsi="宋体"/>
                <w:bCs/>
                <w:color w:val="auto"/>
                <w:sz w:val="21"/>
                <w:highlight w:val="none"/>
              </w:rPr>
              <w:t>分）</w:t>
            </w:r>
          </w:p>
        </w:tc>
        <w:tc>
          <w:tcPr>
            <w:tcW w:w="5195" w:type="dxa"/>
            <w:noWrap w:val="0"/>
            <w:vAlign w:val="center"/>
          </w:tcPr>
          <w:p>
            <w:pPr>
              <w:pStyle w:val="12"/>
              <w:spacing w:line="360" w:lineRule="auto"/>
              <w:ind w:firstLine="420"/>
              <w:rPr>
                <w:rFonts w:hint="eastAsia" w:hAnsi="宋体"/>
                <w:bCs/>
                <w:color w:val="auto"/>
                <w:sz w:val="21"/>
                <w:highlight w:val="none"/>
              </w:rPr>
            </w:pPr>
            <w:r>
              <w:rPr>
                <w:rFonts w:hint="eastAsia" w:hAnsi="宋体"/>
                <w:bCs/>
                <w:color w:val="auto"/>
                <w:sz w:val="21"/>
                <w:highlight w:val="none"/>
                <w:lang w:val="en-US" w:eastAsia="zh-CN"/>
              </w:rPr>
              <w:t>供应商或生产厂家</w:t>
            </w:r>
            <w:r>
              <w:rPr>
                <w:rFonts w:hint="eastAsia" w:hAnsi="宋体"/>
                <w:bCs/>
                <w:color w:val="auto"/>
                <w:sz w:val="21"/>
                <w:highlight w:val="none"/>
              </w:rPr>
              <w:t>具备ISO9001质量管理体系认证证书、ISO14001环境管理体系认证证书、ISO45001职业健康安全管理体系认证证书</w:t>
            </w:r>
            <w:r>
              <w:rPr>
                <w:rFonts w:hint="eastAsia" w:hAnsi="宋体"/>
                <w:bCs/>
                <w:color w:val="auto"/>
                <w:sz w:val="21"/>
                <w:highlight w:val="none"/>
                <w:lang w:val="en-US" w:eastAsia="zh-CN"/>
              </w:rPr>
              <w:t>任意一项</w:t>
            </w:r>
            <w:r>
              <w:rPr>
                <w:rFonts w:hint="eastAsia" w:hAnsi="宋体"/>
                <w:bCs/>
                <w:color w:val="auto"/>
                <w:sz w:val="21"/>
                <w:highlight w:val="none"/>
              </w:rPr>
              <w:t>的，得</w:t>
            </w:r>
            <w:r>
              <w:rPr>
                <w:rFonts w:hint="eastAsia" w:hAnsi="宋体"/>
                <w:bCs/>
                <w:color w:val="auto"/>
                <w:sz w:val="21"/>
                <w:highlight w:val="none"/>
                <w:lang w:val="en-US" w:eastAsia="zh-CN"/>
              </w:rPr>
              <w:t>1</w:t>
            </w:r>
            <w:r>
              <w:rPr>
                <w:rFonts w:hint="eastAsia" w:hAnsi="宋体"/>
                <w:bCs/>
                <w:color w:val="auto"/>
                <w:sz w:val="21"/>
                <w:highlight w:val="none"/>
              </w:rPr>
              <w:t>分</w:t>
            </w:r>
            <w:r>
              <w:rPr>
                <w:rFonts w:hint="eastAsia" w:hAnsi="宋体"/>
                <w:bCs/>
                <w:color w:val="auto"/>
                <w:sz w:val="21"/>
                <w:highlight w:val="none"/>
              </w:rPr>
              <w:t>。</w:t>
            </w:r>
          </w:p>
          <w:p>
            <w:pPr>
              <w:pStyle w:val="12"/>
              <w:spacing w:line="360" w:lineRule="auto"/>
              <w:ind w:firstLine="420"/>
              <w:rPr>
                <w:rFonts w:hint="eastAsia" w:hAnsi="宋体"/>
                <w:bCs/>
                <w:color w:val="auto"/>
                <w:sz w:val="21"/>
                <w:highlight w:val="none"/>
              </w:rPr>
            </w:pPr>
            <w:r>
              <w:rPr>
                <w:rFonts w:hint="eastAsia" w:hAnsi="宋体"/>
                <w:bCs/>
                <w:color w:val="auto"/>
                <w:sz w:val="21"/>
                <w:highlight w:val="none"/>
              </w:rPr>
              <w:t>注：提供有效期内的证书扫描件加盖公章，否则不得分。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30" w:type="dxa"/>
            <w:vMerge w:val="continue"/>
            <w:noWrap w:val="0"/>
            <w:vAlign w:val="center"/>
          </w:tcPr>
          <w:p>
            <w:pPr>
              <w:pStyle w:val="12"/>
              <w:spacing w:line="360" w:lineRule="auto"/>
              <w:ind w:firstLine="420"/>
              <w:rPr>
                <w:rFonts w:hint="eastAsia" w:hAnsi="宋体"/>
                <w:bCs/>
                <w:color w:val="auto"/>
                <w:sz w:val="21"/>
                <w:highlight w:val="none"/>
              </w:rPr>
            </w:pPr>
          </w:p>
        </w:tc>
        <w:tc>
          <w:tcPr>
            <w:tcW w:w="2382" w:type="dxa"/>
            <w:vMerge w:val="continue"/>
            <w:noWrap w:val="0"/>
            <w:vAlign w:val="center"/>
          </w:tcPr>
          <w:p>
            <w:pPr>
              <w:pStyle w:val="12"/>
              <w:spacing w:line="360" w:lineRule="auto"/>
              <w:ind w:firstLine="420"/>
              <w:rPr>
                <w:rFonts w:hint="eastAsia" w:hAnsi="宋体"/>
                <w:bCs/>
                <w:color w:val="auto"/>
                <w:sz w:val="21"/>
                <w:highlight w:val="none"/>
              </w:rPr>
            </w:pPr>
          </w:p>
        </w:tc>
        <w:tc>
          <w:tcPr>
            <w:tcW w:w="1428" w:type="dxa"/>
            <w:noWrap w:val="0"/>
            <w:vAlign w:val="center"/>
          </w:tcPr>
          <w:p>
            <w:pPr>
              <w:keepNext w:val="0"/>
              <w:keepLines w:val="0"/>
              <w:widowControl/>
              <w:suppressLineNumbers w:val="0"/>
              <w:jc w:val="left"/>
              <w:rPr>
                <w:b w:val="0"/>
                <w:bCs w:val="0"/>
                <w:color w:val="auto"/>
                <w:highlight w:val="none"/>
              </w:rPr>
            </w:pPr>
            <w:r>
              <w:rPr>
                <w:rFonts w:hint="eastAsia" w:ascii="宋体" w:hAnsi="宋体" w:eastAsia="宋体" w:cs="宋体"/>
                <w:b w:val="0"/>
                <w:bCs w:val="0"/>
                <w:color w:val="auto"/>
                <w:kern w:val="0"/>
                <w:sz w:val="21"/>
                <w:szCs w:val="21"/>
                <w:highlight w:val="none"/>
                <w:lang w:val="en-US" w:eastAsia="zh-CN" w:bidi="ar"/>
              </w:rPr>
              <w:t xml:space="preserve">节能、环境标 </w:t>
            </w:r>
          </w:p>
          <w:p>
            <w:pPr>
              <w:keepNext w:val="0"/>
              <w:keepLines w:val="0"/>
              <w:widowControl/>
              <w:suppressLineNumbers w:val="0"/>
              <w:jc w:val="left"/>
              <w:rPr>
                <w:rFonts w:hint="eastAsia" w:hAnsi="宋体"/>
                <w:bCs/>
                <w:color w:val="auto"/>
                <w:sz w:val="21"/>
                <w:highlight w:val="none"/>
              </w:rPr>
            </w:pPr>
            <w:r>
              <w:rPr>
                <w:rFonts w:hint="eastAsia" w:ascii="宋体" w:hAnsi="宋体" w:eastAsia="宋体" w:cs="宋体"/>
                <w:b w:val="0"/>
                <w:bCs w:val="0"/>
                <w:color w:val="auto"/>
                <w:kern w:val="0"/>
                <w:sz w:val="21"/>
                <w:szCs w:val="21"/>
                <w:highlight w:val="none"/>
                <w:lang w:val="en-US" w:eastAsia="zh-CN" w:bidi="ar"/>
              </w:rPr>
              <w:t>志产品</w:t>
            </w:r>
            <w:r>
              <w:rPr>
                <w:rFonts w:hint="eastAsia" w:ascii="宋体" w:hAnsi="宋体" w:eastAsia="宋体" w:cs="宋体"/>
                <w:b/>
                <w:bCs/>
                <w:color w:val="auto"/>
                <w:kern w:val="0"/>
                <w:sz w:val="21"/>
                <w:szCs w:val="21"/>
                <w:highlight w:val="none"/>
                <w:lang w:val="en-US" w:eastAsia="zh-CN" w:bidi="ar"/>
              </w:rPr>
              <w:t xml:space="preserve"> </w:t>
            </w:r>
            <w:r>
              <w:rPr>
                <w:rFonts w:hint="eastAsia" w:hAnsi="宋体"/>
                <w:bCs/>
                <w:color w:val="auto"/>
                <w:sz w:val="21"/>
                <w:highlight w:val="none"/>
              </w:rPr>
              <w:t>（</w:t>
            </w:r>
            <w:r>
              <w:rPr>
                <w:rFonts w:hint="eastAsia" w:hAnsi="宋体"/>
                <w:bCs/>
                <w:color w:val="auto"/>
                <w:sz w:val="21"/>
                <w:highlight w:val="none"/>
                <w:lang w:val="en-US" w:eastAsia="zh-CN"/>
              </w:rPr>
              <w:t>1</w:t>
            </w:r>
            <w:r>
              <w:rPr>
                <w:rFonts w:hint="eastAsia" w:hAnsi="宋体"/>
                <w:bCs/>
                <w:color w:val="auto"/>
                <w:sz w:val="21"/>
                <w:highlight w:val="none"/>
              </w:rPr>
              <w:t>分）</w:t>
            </w:r>
          </w:p>
        </w:tc>
        <w:tc>
          <w:tcPr>
            <w:tcW w:w="5195" w:type="dxa"/>
            <w:noWrap w:val="0"/>
            <w:vAlign w:val="center"/>
          </w:tcPr>
          <w:p>
            <w:pPr>
              <w:keepNext w:val="0"/>
              <w:keepLines w:val="0"/>
              <w:widowControl/>
              <w:suppressLineNumbers w:val="0"/>
              <w:jc w:val="left"/>
              <w:rPr>
                <w:b w:val="0"/>
                <w:bCs w:val="0"/>
                <w:color w:val="auto"/>
                <w:highlight w:val="none"/>
              </w:rPr>
            </w:pPr>
            <w:r>
              <w:rPr>
                <w:rFonts w:hint="eastAsia" w:ascii="宋体" w:hAnsi="宋体" w:eastAsia="宋体" w:cs="宋体"/>
                <w:color w:val="auto"/>
                <w:kern w:val="0"/>
                <w:sz w:val="21"/>
                <w:szCs w:val="21"/>
                <w:highlight w:val="none"/>
                <w:lang w:val="en-US" w:eastAsia="zh-CN" w:bidi="ar"/>
              </w:rPr>
              <w:t>（1）属于财政部《节能产品政府采购品目清单》内优先采购（清单内未标注“★”的品目）的产品[投标文件中提供有效的认证证书复印件及品目清单（标注出投标产品在品目清单中所属的品目），并加盖投标人电子签章]，根据其所占项目（或</w:t>
            </w:r>
            <w:r>
              <w:rPr>
                <w:rFonts w:hint="eastAsia" w:ascii="宋体" w:hAnsi="宋体" w:eastAsia="宋体" w:cs="宋体"/>
                <w:b w:val="0"/>
                <w:bCs w:val="0"/>
                <w:color w:val="auto"/>
                <w:kern w:val="0"/>
                <w:sz w:val="21"/>
                <w:szCs w:val="21"/>
                <w:highlight w:val="none"/>
                <w:lang w:val="en-US" w:eastAsia="zh-CN" w:bidi="ar"/>
              </w:rPr>
              <w:t xml:space="preserve">者标项）预算金额比例得 0 至 </w:t>
            </w:r>
            <w:r>
              <w:rPr>
                <w:rFonts w:hint="eastAsia" w:ascii="宋体" w:hAnsi="宋体" w:cs="宋体"/>
                <w:b w:val="0"/>
                <w:bCs w:val="0"/>
                <w:color w:val="auto"/>
                <w:kern w:val="0"/>
                <w:sz w:val="21"/>
                <w:szCs w:val="21"/>
                <w:highlight w:val="none"/>
                <w:lang w:val="en-US" w:eastAsia="zh-CN" w:bidi="ar"/>
              </w:rPr>
              <w:t>0.5</w:t>
            </w:r>
            <w:r>
              <w:rPr>
                <w:rFonts w:hint="eastAsia" w:ascii="宋体" w:hAnsi="宋体" w:eastAsia="宋体" w:cs="宋体"/>
                <w:b w:val="0"/>
                <w:bCs w:val="0"/>
                <w:color w:val="auto"/>
                <w:kern w:val="0"/>
                <w:sz w:val="21"/>
                <w:szCs w:val="21"/>
                <w:highlight w:val="none"/>
                <w:lang w:val="en-US" w:eastAsia="zh-CN" w:bidi="ar"/>
              </w:rPr>
              <w:t xml:space="preserve"> 分，满分</w:t>
            </w:r>
            <w:r>
              <w:rPr>
                <w:rFonts w:hint="eastAsia" w:ascii="宋体" w:hAnsi="宋体" w:cs="宋体"/>
                <w:b w:val="0"/>
                <w:bCs w:val="0"/>
                <w:color w:val="auto"/>
                <w:kern w:val="0"/>
                <w:sz w:val="21"/>
                <w:szCs w:val="21"/>
                <w:highlight w:val="none"/>
                <w:lang w:val="en-US" w:eastAsia="zh-CN" w:bidi="ar"/>
              </w:rPr>
              <w:t>0.5</w:t>
            </w:r>
            <w:r>
              <w:rPr>
                <w:rFonts w:hint="eastAsia" w:ascii="宋体" w:hAnsi="宋体" w:eastAsia="宋体" w:cs="宋体"/>
                <w:b w:val="0"/>
                <w:bCs w:val="0"/>
                <w:color w:val="auto"/>
                <w:kern w:val="0"/>
                <w:sz w:val="21"/>
                <w:szCs w:val="21"/>
                <w:highlight w:val="none"/>
                <w:lang w:val="en-US" w:eastAsia="zh-CN" w:bidi="ar"/>
              </w:rPr>
              <w:t>分</w:t>
            </w:r>
            <w:r>
              <w:rPr>
                <w:rFonts w:hint="eastAsia" w:ascii="宋体" w:hAnsi="宋体" w:eastAsia="宋体" w:cs="宋体"/>
                <w:b w:val="0"/>
                <w:bCs w:val="0"/>
                <w:color w:val="auto"/>
                <w:kern w:val="0"/>
                <w:sz w:val="21"/>
                <w:szCs w:val="21"/>
                <w:highlight w:val="none"/>
                <w:lang w:val="en-US" w:eastAsia="zh-CN" w:bidi="ar"/>
              </w:rPr>
              <w:t xml:space="preserve">。 </w:t>
            </w:r>
          </w:p>
          <w:p>
            <w:pPr>
              <w:keepNext w:val="0"/>
              <w:keepLines w:val="0"/>
              <w:widowControl/>
              <w:suppressLineNumbers w:val="0"/>
              <w:jc w:val="left"/>
              <w:rPr>
                <w:color w:val="auto"/>
                <w:highlight w:val="none"/>
              </w:rPr>
            </w:pPr>
            <w:r>
              <w:rPr>
                <w:rFonts w:hint="eastAsia" w:ascii="宋体" w:hAnsi="宋体" w:eastAsia="宋体" w:cs="宋体"/>
                <w:b w:val="0"/>
                <w:bCs w:val="0"/>
                <w:color w:val="auto"/>
                <w:kern w:val="0"/>
                <w:sz w:val="21"/>
                <w:szCs w:val="21"/>
                <w:highlight w:val="none"/>
                <w:lang w:val="en-US" w:eastAsia="zh-CN" w:bidi="ar"/>
              </w:rPr>
              <w:t>（2）属于财政部《环境标志产品政府采购品目清单》内的产品[投标文件中提供有效的认证证书复印件及品目清单（标注出投标产品在品目清单中所属的品目），并加盖投标人电子签章]，根据其所占项目（或者标项）</w:t>
            </w:r>
            <w:r>
              <w:rPr>
                <w:rFonts w:hint="eastAsia" w:ascii="宋体" w:hAnsi="宋体" w:eastAsia="宋体" w:cs="宋体"/>
                <w:color w:val="auto"/>
                <w:kern w:val="0"/>
                <w:sz w:val="21"/>
                <w:szCs w:val="21"/>
                <w:highlight w:val="none"/>
                <w:lang w:val="en-US" w:eastAsia="zh-CN" w:bidi="ar"/>
              </w:rPr>
              <w:t>预算金额比例得 0 至</w:t>
            </w:r>
            <w:r>
              <w:rPr>
                <w:rFonts w:hint="eastAsia" w:ascii="宋体" w:hAnsi="宋体" w:eastAsia="宋体" w:cs="宋体"/>
                <w:color w:val="auto"/>
                <w:kern w:val="0"/>
                <w:sz w:val="21"/>
                <w:szCs w:val="21"/>
                <w:highlight w:val="none"/>
                <w:lang w:val="en-US" w:eastAsia="zh-CN" w:bidi="ar"/>
              </w:rPr>
              <w:t xml:space="preserve"> </w:t>
            </w:r>
            <w:r>
              <w:rPr>
                <w:rFonts w:hint="eastAsia" w:ascii="宋体" w:hAnsi="宋体" w:cs="宋体"/>
                <w:color w:val="auto"/>
                <w:kern w:val="0"/>
                <w:sz w:val="21"/>
                <w:szCs w:val="21"/>
                <w:highlight w:val="none"/>
                <w:lang w:val="en-US" w:eastAsia="zh-CN" w:bidi="ar"/>
              </w:rPr>
              <w:t>0.5</w:t>
            </w:r>
            <w:r>
              <w:rPr>
                <w:rFonts w:hint="eastAsia" w:ascii="宋体" w:hAnsi="宋体" w:eastAsia="宋体" w:cs="宋体"/>
                <w:color w:val="auto"/>
                <w:kern w:val="0"/>
                <w:sz w:val="21"/>
                <w:szCs w:val="21"/>
                <w:highlight w:val="none"/>
                <w:lang w:val="en-US" w:eastAsia="zh-CN" w:bidi="ar"/>
              </w:rPr>
              <w:t>分，满分</w:t>
            </w:r>
            <w:r>
              <w:rPr>
                <w:rFonts w:hint="eastAsia" w:ascii="宋体" w:hAnsi="宋体" w:cs="宋体"/>
                <w:color w:val="auto"/>
                <w:kern w:val="0"/>
                <w:sz w:val="21"/>
                <w:szCs w:val="21"/>
                <w:highlight w:val="none"/>
                <w:lang w:val="en-US" w:eastAsia="zh-CN" w:bidi="ar"/>
              </w:rPr>
              <w:t>0.5</w:t>
            </w:r>
            <w:r>
              <w:rPr>
                <w:rFonts w:hint="eastAsia" w:ascii="宋体" w:hAnsi="宋体" w:eastAsia="宋体" w:cs="宋体"/>
                <w:color w:val="auto"/>
                <w:kern w:val="0"/>
                <w:sz w:val="21"/>
                <w:szCs w:val="21"/>
                <w:highlight w:val="none"/>
                <w:lang w:val="en-US" w:eastAsia="zh-CN" w:bidi="ar"/>
              </w:rPr>
              <w:t>分</w:t>
            </w:r>
            <w:r>
              <w:rPr>
                <w:rFonts w:hint="eastAsia" w:ascii="宋体" w:hAnsi="宋体" w:eastAsia="宋体" w:cs="宋体"/>
                <w:color w:val="auto"/>
                <w:kern w:val="0"/>
                <w:sz w:val="21"/>
                <w:szCs w:val="21"/>
                <w:highlight w:val="none"/>
                <w:lang w:val="en-US" w:eastAsia="zh-CN" w:bidi="ar"/>
              </w:rPr>
              <w:t xml:space="preserve">； </w:t>
            </w:r>
          </w:p>
          <w:p>
            <w:pPr>
              <w:keepNext w:val="0"/>
              <w:keepLines w:val="0"/>
              <w:widowControl/>
              <w:suppressLineNumbers w:val="0"/>
              <w:jc w:val="left"/>
              <w:rPr>
                <w:rFonts w:hint="eastAsia" w:hAnsi="宋体"/>
                <w:bCs/>
                <w:color w:val="auto"/>
                <w:sz w:val="21"/>
                <w:highlight w:val="none"/>
              </w:rPr>
            </w:pPr>
            <w:r>
              <w:rPr>
                <w:rFonts w:hint="eastAsia" w:ascii="宋体" w:hAnsi="宋体" w:eastAsia="宋体" w:cs="宋体"/>
                <w:color w:val="auto"/>
                <w:kern w:val="0"/>
                <w:sz w:val="21"/>
                <w:szCs w:val="21"/>
                <w:highlight w:val="none"/>
                <w:lang w:val="en-US" w:eastAsia="zh-CN" w:bidi="ar"/>
              </w:rPr>
              <w:t xml:space="preserve">（3）非节能、环境标志产品的不得分。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30" w:type="dxa"/>
            <w:noWrap w:val="0"/>
            <w:vAlign w:val="center"/>
          </w:tcPr>
          <w:p>
            <w:pPr>
              <w:pStyle w:val="12"/>
              <w:spacing w:line="360" w:lineRule="auto"/>
              <w:ind w:firstLine="420"/>
              <w:rPr>
                <w:rFonts w:hint="eastAsia" w:hAnsi="宋体"/>
                <w:bCs/>
                <w:color w:val="auto"/>
                <w:sz w:val="21"/>
                <w:highlight w:val="none"/>
              </w:rPr>
            </w:pPr>
            <w:r>
              <w:rPr>
                <w:rFonts w:hint="eastAsia" w:hAnsi="宋体"/>
                <w:bCs/>
                <w:color w:val="auto"/>
                <w:sz w:val="21"/>
                <w:highlight w:val="none"/>
              </w:rPr>
              <w:t>4</w:t>
            </w:r>
          </w:p>
        </w:tc>
        <w:tc>
          <w:tcPr>
            <w:tcW w:w="2382" w:type="dxa"/>
            <w:noWrap w:val="0"/>
            <w:vAlign w:val="center"/>
          </w:tcPr>
          <w:p>
            <w:pPr>
              <w:pStyle w:val="12"/>
              <w:spacing w:line="360" w:lineRule="auto"/>
              <w:rPr>
                <w:rFonts w:hint="eastAsia" w:hAnsi="宋体"/>
                <w:bCs/>
                <w:color w:val="auto"/>
                <w:sz w:val="21"/>
                <w:highlight w:val="none"/>
              </w:rPr>
            </w:pPr>
            <w:r>
              <w:rPr>
                <w:rFonts w:hint="eastAsia" w:hAnsi="宋体"/>
                <w:bCs/>
                <w:color w:val="auto"/>
                <w:sz w:val="21"/>
                <w:highlight w:val="none"/>
              </w:rPr>
              <w:t>售后服务（满分</w:t>
            </w:r>
            <w:r>
              <w:rPr>
                <w:rFonts w:hint="eastAsia" w:hAnsi="宋体"/>
                <w:bCs/>
                <w:color w:val="auto"/>
                <w:sz w:val="21"/>
                <w:highlight w:val="none"/>
                <w:lang w:val="en-US" w:eastAsia="zh-CN"/>
              </w:rPr>
              <w:t>7</w:t>
            </w:r>
            <w:r>
              <w:rPr>
                <w:rFonts w:hint="eastAsia" w:hAnsi="宋体"/>
                <w:bCs/>
                <w:color w:val="auto"/>
                <w:sz w:val="21"/>
                <w:highlight w:val="none"/>
              </w:rPr>
              <w:t>分</w:t>
            </w:r>
            <w:r>
              <w:rPr>
                <w:rFonts w:hint="eastAsia" w:hAnsi="宋体"/>
                <w:bCs/>
                <w:color w:val="auto"/>
                <w:sz w:val="21"/>
                <w:highlight w:val="none"/>
              </w:rPr>
              <w:t>）</w:t>
            </w:r>
          </w:p>
        </w:tc>
        <w:tc>
          <w:tcPr>
            <w:tcW w:w="6623" w:type="dxa"/>
            <w:gridSpan w:val="2"/>
            <w:noWrap w:val="0"/>
            <w:vAlign w:val="center"/>
          </w:tcPr>
          <w:p>
            <w:pPr>
              <w:pStyle w:val="12"/>
              <w:spacing w:line="360" w:lineRule="auto"/>
              <w:ind w:firstLine="420"/>
              <w:rPr>
                <w:rFonts w:hint="eastAsia" w:hAnsi="宋体"/>
                <w:bCs/>
                <w:color w:val="auto"/>
                <w:sz w:val="21"/>
                <w:highlight w:val="none"/>
              </w:rPr>
            </w:pPr>
            <w:r>
              <w:rPr>
                <w:rFonts w:hint="eastAsia" w:hAnsi="宋体"/>
                <w:bCs/>
                <w:color w:val="auto"/>
                <w:sz w:val="21"/>
                <w:highlight w:val="none"/>
                <w:lang w:eastAsia="zh-CN"/>
              </w:rPr>
              <w:t>（</w:t>
            </w:r>
            <w:r>
              <w:rPr>
                <w:rFonts w:hint="eastAsia" w:hAnsi="宋体"/>
                <w:bCs/>
                <w:color w:val="auto"/>
                <w:sz w:val="21"/>
                <w:highlight w:val="none"/>
                <w:lang w:val="en-US" w:eastAsia="zh-CN"/>
              </w:rPr>
              <w:t>1）</w:t>
            </w:r>
            <w:r>
              <w:rPr>
                <w:rFonts w:hint="eastAsia" w:hAnsi="宋体"/>
                <w:bCs/>
                <w:color w:val="auto"/>
                <w:sz w:val="21"/>
                <w:highlight w:val="none"/>
              </w:rPr>
              <w:t>由评委根据投标人所提供的售后服务方案情况，对比比较各投标人所承诺的免费保修期限、接到通知到达时现场处理故障时间、一般故障承诺解决时间、故障无法排除时的解决方案（是否提供替代品或配件、是否有应急方案等）、是否有本地化售后服务、回访措施、维护措施、维保人员配置等内容确定各投标人所属的档次等级后，在档次内由评委独立打分。</w:t>
            </w:r>
          </w:p>
          <w:p>
            <w:pPr>
              <w:pStyle w:val="12"/>
              <w:spacing w:line="360" w:lineRule="auto"/>
              <w:ind w:firstLine="0"/>
              <w:rPr>
                <w:rFonts w:hint="eastAsia" w:ascii="宋体" w:hAnsi="宋体" w:eastAsia="宋体" w:cs="Times New Roman"/>
                <w:bCs/>
                <w:color w:val="auto"/>
                <w:sz w:val="21"/>
                <w:highlight w:val="none"/>
              </w:rPr>
            </w:pPr>
            <w:r>
              <w:rPr>
                <w:rFonts w:hint="eastAsia" w:ascii="宋体" w:hAnsi="宋体" w:eastAsia="宋体" w:cs="Times New Roman"/>
                <w:bCs/>
                <w:color w:val="auto"/>
                <w:sz w:val="21"/>
                <w:highlight w:val="none"/>
              </w:rPr>
              <w:t>一档（</w:t>
            </w:r>
            <w:r>
              <w:rPr>
                <w:rFonts w:hint="eastAsia" w:ascii="宋体" w:hAnsi="宋体" w:eastAsia="宋体" w:cs="Times New Roman"/>
                <w:bCs/>
                <w:color w:val="auto"/>
                <w:sz w:val="21"/>
                <w:highlight w:val="none"/>
                <w:lang w:val="en-US" w:eastAsia="zh-CN"/>
              </w:rPr>
              <w:t>1</w:t>
            </w:r>
            <w:r>
              <w:rPr>
                <w:rFonts w:hint="eastAsia" w:ascii="宋体" w:hAnsi="宋体" w:eastAsia="宋体" w:cs="Times New Roman"/>
                <w:bCs/>
                <w:color w:val="auto"/>
                <w:sz w:val="21"/>
                <w:highlight w:val="none"/>
              </w:rPr>
              <w:t>分）：售后服务方案满足招标文件的要求，提供有技术服务队伍且售后服务人数不少于 2 人。</w:t>
            </w:r>
          </w:p>
          <w:p>
            <w:pPr>
              <w:pStyle w:val="12"/>
              <w:spacing w:line="360" w:lineRule="auto"/>
              <w:ind w:firstLine="0"/>
              <w:rPr>
                <w:rFonts w:hint="eastAsia" w:ascii="宋体" w:hAnsi="宋体" w:eastAsia="宋体" w:cs="Times New Roman"/>
                <w:bCs/>
                <w:color w:val="auto"/>
                <w:sz w:val="21"/>
                <w:highlight w:val="none"/>
              </w:rPr>
            </w:pPr>
            <w:r>
              <w:rPr>
                <w:rFonts w:hint="eastAsia" w:ascii="宋体" w:hAnsi="宋体" w:eastAsia="宋体" w:cs="Times New Roman"/>
                <w:bCs/>
                <w:color w:val="auto"/>
                <w:sz w:val="21"/>
                <w:highlight w:val="none"/>
              </w:rPr>
              <w:t>二档（</w:t>
            </w:r>
            <w:r>
              <w:rPr>
                <w:rFonts w:hint="eastAsia" w:ascii="宋体" w:hAnsi="宋体" w:eastAsia="宋体" w:cs="Times New Roman"/>
                <w:bCs/>
                <w:color w:val="auto"/>
                <w:sz w:val="21"/>
                <w:highlight w:val="none"/>
                <w:lang w:val="en-US" w:eastAsia="zh-CN"/>
              </w:rPr>
              <w:t>2</w:t>
            </w:r>
            <w:r>
              <w:rPr>
                <w:rFonts w:hint="eastAsia" w:ascii="宋体" w:hAnsi="宋体" w:eastAsia="宋体" w:cs="Times New Roman"/>
                <w:bCs/>
                <w:color w:val="auto"/>
                <w:sz w:val="21"/>
                <w:highlight w:val="none"/>
              </w:rPr>
              <w:t>分）：满足一档的基础上，提供有技术服务队伍且售后服务人数不少于 3 人，并提供有简单的售后服务流程及产品的售后服务机构等内容</w:t>
            </w:r>
            <w:r>
              <w:rPr>
                <w:rFonts w:hint="eastAsia" w:ascii="宋体" w:hAnsi="宋体" w:eastAsia="宋体" w:cs="Times New Roman"/>
                <w:bCs/>
                <w:color w:val="auto"/>
                <w:sz w:val="21"/>
                <w:highlight w:val="none"/>
                <w:lang w:eastAsia="zh-CN"/>
              </w:rPr>
              <w:t>，</w:t>
            </w:r>
            <w:r>
              <w:rPr>
                <w:rFonts w:hint="eastAsia" w:ascii="宋体" w:hAnsi="宋体" w:eastAsia="宋体" w:cs="Times New Roman"/>
                <w:bCs/>
                <w:color w:val="auto"/>
                <w:sz w:val="21"/>
                <w:highlight w:val="none"/>
                <w:lang w:val="en-US" w:eastAsia="zh-CN"/>
              </w:rPr>
              <w:t>有</w:t>
            </w:r>
            <w:r>
              <w:rPr>
                <w:rFonts w:hint="eastAsia" w:ascii="宋体" w:hAnsi="宋体" w:eastAsia="宋体" w:cs="Times New Roman"/>
                <w:bCs/>
                <w:color w:val="auto"/>
                <w:sz w:val="21"/>
                <w:highlight w:val="none"/>
              </w:rPr>
              <w:t>耗材和备品备件配备。</w:t>
            </w:r>
          </w:p>
          <w:p>
            <w:pPr>
              <w:pStyle w:val="12"/>
              <w:spacing w:line="360" w:lineRule="auto"/>
              <w:ind w:firstLine="0"/>
              <w:rPr>
                <w:rFonts w:hint="eastAsia" w:ascii="宋体" w:hAnsi="宋体" w:eastAsia="宋体" w:cs="Times New Roman"/>
                <w:bCs/>
                <w:color w:val="auto"/>
                <w:sz w:val="21"/>
                <w:highlight w:val="none"/>
              </w:rPr>
            </w:pPr>
            <w:r>
              <w:rPr>
                <w:rFonts w:hint="eastAsia" w:ascii="宋体" w:hAnsi="宋体" w:eastAsia="宋体" w:cs="Times New Roman"/>
                <w:bCs/>
                <w:color w:val="auto"/>
                <w:sz w:val="21"/>
                <w:highlight w:val="none"/>
              </w:rPr>
              <w:t>三档（</w:t>
            </w:r>
            <w:r>
              <w:rPr>
                <w:rFonts w:hint="eastAsia" w:ascii="宋体" w:hAnsi="宋体" w:eastAsia="宋体" w:cs="Times New Roman"/>
                <w:bCs/>
                <w:color w:val="auto"/>
                <w:sz w:val="21"/>
                <w:highlight w:val="none"/>
                <w:lang w:val="en-US" w:eastAsia="zh-CN"/>
              </w:rPr>
              <w:t>5</w:t>
            </w:r>
            <w:r>
              <w:rPr>
                <w:rFonts w:hint="eastAsia" w:ascii="宋体" w:hAnsi="宋体" w:eastAsia="宋体" w:cs="Times New Roman"/>
                <w:bCs/>
                <w:color w:val="auto"/>
                <w:sz w:val="21"/>
                <w:highlight w:val="none"/>
              </w:rPr>
              <w:t>分）：满足二档的基础上，提供有技术服务队伍且售后服务人数不少于 3 人，耗材和备品备件配备充足</w:t>
            </w:r>
            <w:r>
              <w:rPr>
                <w:rFonts w:hint="eastAsia" w:ascii="宋体" w:hAnsi="宋体" w:eastAsia="宋体" w:cs="Times New Roman"/>
                <w:bCs/>
                <w:color w:val="auto"/>
                <w:sz w:val="21"/>
                <w:highlight w:val="none"/>
                <w:lang w:eastAsia="zh-CN"/>
              </w:rPr>
              <w:t>，</w:t>
            </w:r>
            <w:r>
              <w:rPr>
                <w:rFonts w:hint="eastAsia" w:ascii="宋体" w:hAnsi="宋体" w:eastAsia="宋体" w:cs="Times New Roman"/>
                <w:bCs/>
                <w:color w:val="auto"/>
                <w:sz w:val="21"/>
                <w:highlight w:val="none"/>
              </w:rPr>
              <w:t>提供服务保障体系，有详细的售后服务流程、产品的售后服务机构、售后紧急情况处理、质量保障方案，投标文件中能提供投标产品生产厂家售后服务承诺书，整体</w:t>
            </w:r>
            <w:r>
              <w:rPr>
                <w:rFonts w:hint="eastAsia" w:ascii="宋体" w:hAnsi="宋体" w:eastAsia="宋体" w:cs="Times New Roman"/>
                <w:bCs/>
                <w:color w:val="auto"/>
                <w:sz w:val="21"/>
                <w:highlight w:val="none"/>
                <w:lang w:eastAsia="zh-CN"/>
              </w:rPr>
              <w:t>售后方案</w:t>
            </w:r>
            <w:r>
              <w:rPr>
                <w:rFonts w:hint="eastAsia" w:ascii="宋体" w:hAnsi="宋体" w:eastAsia="宋体" w:cs="Times New Roman"/>
                <w:bCs/>
                <w:color w:val="auto"/>
                <w:sz w:val="21"/>
                <w:highlight w:val="none"/>
              </w:rPr>
              <w:t>优于采购需求。</w:t>
            </w:r>
          </w:p>
          <w:p>
            <w:pPr>
              <w:pStyle w:val="12"/>
              <w:spacing w:line="360" w:lineRule="auto"/>
              <w:ind w:firstLine="420" w:firstLineChars="200"/>
              <w:rPr>
                <w:rFonts w:hint="eastAsia" w:hAnsi="宋体" w:cs="Times New Roman"/>
                <w:bCs/>
                <w:color w:val="auto"/>
                <w:sz w:val="21"/>
                <w:highlight w:val="none"/>
                <w:lang w:eastAsia="zh-CN"/>
              </w:rPr>
            </w:pPr>
            <w:r>
              <w:rPr>
                <w:rFonts w:hint="eastAsia" w:ascii="宋体" w:hAnsi="宋体" w:eastAsia="宋体" w:cs="Times New Roman"/>
                <w:bCs/>
                <w:color w:val="auto"/>
                <w:sz w:val="21"/>
                <w:highlight w:val="none"/>
              </w:rPr>
              <w:t>备注：不符合最低进档要求的，不予进档，得 0 分</w:t>
            </w:r>
            <w:r>
              <w:rPr>
                <w:rFonts w:hint="eastAsia" w:hAnsi="宋体" w:cs="Times New Roman"/>
                <w:bCs/>
                <w:color w:val="auto"/>
                <w:sz w:val="21"/>
                <w:highlight w:val="none"/>
                <w:lang w:eastAsia="zh-CN"/>
              </w:rPr>
              <w:t>。</w:t>
            </w:r>
          </w:p>
          <w:p>
            <w:pPr>
              <w:pStyle w:val="12"/>
              <w:spacing w:line="360" w:lineRule="auto"/>
              <w:ind w:firstLine="420" w:firstLineChars="200"/>
              <w:rPr>
                <w:rFonts w:hint="default" w:hAnsi="宋体" w:eastAsia="宋体" w:cs="Times New Roman"/>
                <w:bCs/>
                <w:color w:val="auto"/>
                <w:sz w:val="21"/>
                <w:highlight w:val="none"/>
                <w:lang w:val="en-US" w:eastAsia="zh-CN"/>
              </w:rPr>
            </w:pPr>
            <w:r>
              <w:rPr>
                <w:rFonts w:hint="eastAsia" w:hAnsi="宋体" w:cs="Times New Roman"/>
                <w:bCs/>
                <w:color w:val="auto"/>
                <w:sz w:val="21"/>
                <w:highlight w:val="none"/>
                <w:lang w:eastAsia="zh-CN"/>
              </w:rPr>
              <w:t>（</w:t>
            </w:r>
            <w:r>
              <w:rPr>
                <w:rFonts w:hint="eastAsia" w:hAnsi="宋体" w:cs="Times New Roman"/>
                <w:bCs/>
                <w:color w:val="auto"/>
                <w:sz w:val="21"/>
                <w:highlight w:val="none"/>
                <w:lang w:val="en-US" w:eastAsia="zh-CN"/>
              </w:rPr>
              <w:t>2）</w:t>
            </w:r>
            <w:r>
              <w:rPr>
                <w:rFonts w:hint="eastAsia" w:hAnsi="宋体"/>
                <w:bCs/>
                <w:color w:val="auto"/>
                <w:sz w:val="21"/>
                <w:highlight w:val="none"/>
              </w:rPr>
              <w:t>投标人</w:t>
            </w:r>
            <w:r>
              <w:rPr>
                <w:rFonts w:hint="eastAsia" w:hAnsi="宋体"/>
                <w:bCs/>
                <w:color w:val="auto"/>
                <w:sz w:val="21"/>
                <w:highlight w:val="none"/>
                <w:lang w:val="en-US" w:eastAsia="zh-CN"/>
              </w:rPr>
              <w:t>提供的质保期承诺时间最长的，加2分。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5" w:type="dxa"/>
            <w:gridSpan w:val="4"/>
            <w:noWrap w:val="0"/>
            <w:vAlign w:val="center"/>
          </w:tcPr>
          <w:p>
            <w:pPr>
              <w:pStyle w:val="12"/>
              <w:spacing w:line="360" w:lineRule="auto"/>
              <w:ind w:firstLine="420"/>
              <w:rPr>
                <w:rFonts w:hint="eastAsia" w:hAnsi="宋体"/>
                <w:bCs/>
                <w:color w:val="auto"/>
                <w:sz w:val="21"/>
                <w:highlight w:val="none"/>
              </w:rPr>
            </w:pPr>
            <w:r>
              <w:rPr>
                <w:rFonts w:hint="eastAsia" w:hAnsi="宋体"/>
                <w:bCs/>
                <w:color w:val="auto"/>
                <w:sz w:val="21"/>
                <w:highlight w:val="none"/>
              </w:rPr>
              <w:t>总得分=1+2+3+4。</w:t>
            </w:r>
          </w:p>
        </w:tc>
      </w:tr>
    </w:tbl>
    <w:p>
      <w:pPr>
        <w:pStyle w:val="12"/>
        <w:spacing w:line="360" w:lineRule="auto"/>
        <w:ind w:firstLine="420" w:firstLineChars="200"/>
        <w:rPr>
          <w:rFonts w:hint="eastAsia" w:hAnsi="宋体"/>
          <w:bCs/>
          <w:color w:val="auto"/>
          <w:sz w:val="21"/>
          <w:highlight w:val="none"/>
        </w:rPr>
      </w:pPr>
      <w:r>
        <w:rPr>
          <w:rFonts w:hint="eastAsia" w:hAnsi="宋体"/>
          <w:bCs/>
          <w:color w:val="auto"/>
          <w:sz w:val="21"/>
          <w:highlight w:val="none"/>
        </w:rPr>
        <w:t>注：1.计分方法按四舍五入取至百分位；</w:t>
      </w:r>
    </w:p>
    <w:p>
      <w:pPr>
        <w:pStyle w:val="12"/>
        <w:spacing w:line="360" w:lineRule="auto"/>
        <w:ind w:firstLine="420"/>
        <w:rPr>
          <w:rFonts w:hAnsi="宋体"/>
          <w:bCs/>
          <w:color w:val="auto"/>
          <w:sz w:val="21"/>
          <w:highlight w:val="none"/>
        </w:rPr>
      </w:pPr>
      <w:r>
        <w:rPr>
          <w:rFonts w:hint="eastAsia" w:hAnsi="宋体"/>
          <w:bCs/>
          <w:color w:val="auto"/>
          <w:sz w:val="21"/>
          <w:highlight w:val="none"/>
        </w:rPr>
        <w:t xml:space="preserve">    2.因落实政府采购政策进行价格调整的，以调整后的价格计算评标基准价和投标报价。</w:t>
      </w:r>
    </w:p>
    <w:p>
      <w:pPr>
        <w:spacing w:line="360" w:lineRule="auto"/>
        <w:rPr>
          <w:rFonts w:hint="eastAsia" w:hAnsi="宋体"/>
          <w:color w:val="auto"/>
          <w:highlight w:val="none"/>
        </w:rPr>
      </w:pPr>
    </w:p>
    <w:p>
      <w:pPr>
        <w:pStyle w:val="4"/>
        <w:keepNext w:val="0"/>
        <w:keepLines w:val="0"/>
        <w:jc w:val="center"/>
        <w:rPr>
          <w:color w:val="auto"/>
          <w:sz w:val="30"/>
          <w:szCs w:val="30"/>
          <w:highlight w:val="none"/>
        </w:rPr>
      </w:pPr>
      <w:r>
        <w:rPr>
          <w:rFonts w:hint="eastAsia"/>
          <w:color w:val="auto"/>
          <w:sz w:val="30"/>
          <w:szCs w:val="30"/>
          <w:highlight w:val="none"/>
        </w:rPr>
        <w:t>四、中标候选人推荐原则</w:t>
      </w:r>
    </w:p>
    <w:p>
      <w:pPr>
        <w:pStyle w:val="12"/>
        <w:spacing w:line="360" w:lineRule="auto"/>
        <w:ind w:firstLine="482" w:firstLineChars="200"/>
        <w:contextualSpacing/>
        <w:rPr>
          <w:rFonts w:hint="eastAsia" w:hAnsi="宋体" w:eastAsia="宋体"/>
          <w:b/>
          <w:bCs/>
          <w:color w:val="auto"/>
          <w:sz w:val="24"/>
          <w:szCs w:val="24"/>
          <w:highlight w:val="none"/>
          <w:lang w:eastAsia="zh-CN"/>
        </w:rPr>
      </w:pPr>
      <w:r>
        <w:rPr>
          <w:rFonts w:hint="eastAsia" w:hAnsi="宋体"/>
          <w:b/>
          <w:bCs/>
          <w:color w:val="auto"/>
          <w:sz w:val="24"/>
          <w:szCs w:val="24"/>
          <w:highlight w:val="none"/>
        </w:rPr>
        <w:t>综合评分法</w:t>
      </w:r>
      <w:r>
        <w:rPr>
          <w:rFonts w:hint="eastAsia" w:hAnsi="宋体"/>
          <w:b/>
          <w:bCs/>
          <w:color w:val="auto"/>
          <w:sz w:val="24"/>
          <w:szCs w:val="24"/>
          <w:highlight w:val="none"/>
          <w:lang w:eastAsia="zh-CN"/>
        </w:rPr>
        <w:t>：</w:t>
      </w:r>
    </w:p>
    <w:p>
      <w:pPr>
        <w:spacing w:before="120" w:beforeLines="50" w:after="120" w:afterLines="50" w:line="400" w:lineRule="exact"/>
        <w:ind w:firstLine="420" w:firstLineChars="200"/>
        <w:rPr>
          <w:rFonts w:hint="eastAsia" w:ascii="宋体" w:hAnsi="宋体"/>
          <w:b/>
          <w:color w:val="auto"/>
          <w:sz w:val="24"/>
          <w:highlight w:val="none"/>
        </w:rPr>
      </w:pPr>
      <w:r>
        <w:rPr>
          <w:rFonts w:hint="eastAsia" w:hAnsi="宋体"/>
          <w:color w:val="auto"/>
          <w:sz w:val="21"/>
          <w:highlight w:val="none"/>
        </w:rPr>
        <w:t>评标委员会将根据总得分由高到低排列次序并推荐中标候选人。得分相同的，以投标报价由低到高顺序排列。得分相同且投标报价相同的并列，投标文件满足招标文件全部实质性要求，且按照评审因素的量化指标评审得分最高的投标人为排名第一的中标候选人。</w:t>
      </w:r>
    </w:p>
    <w:p>
      <w:pPr>
        <w:pStyle w:val="3"/>
        <w:keepNext w:val="0"/>
        <w:keepLines w:val="0"/>
        <w:jc w:val="center"/>
        <w:rPr>
          <w:rFonts w:hint="eastAsia"/>
          <w:color w:val="auto"/>
          <w:highlight w:val="none"/>
        </w:rPr>
      </w:pPr>
      <w:r>
        <w:rPr>
          <w:color w:val="auto"/>
          <w:highlight w:val="none"/>
        </w:rPr>
        <w:br w:type="page"/>
      </w:r>
    </w:p>
    <w:p>
      <w:pPr>
        <w:pStyle w:val="3"/>
        <w:keepNext w:val="0"/>
        <w:keepLines w:val="0"/>
        <w:jc w:val="center"/>
        <w:rPr>
          <w:rFonts w:hint="eastAsia"/>
          <w:color w:val="auto"/>
          <w:highlight w:val="none"/>
        </w:rPr>
      </w:pPr>
    </w:p>
    <w:p>
      <w:pPr>
        <w:pStyle w:val="3"/>
        <w:keepNext w:val="0"/>
        <w:keepLines w:val="0"/>
        <w:jc w:val="center"/>
        <w:rPr>
          <w:rFonts w:hint="eastAsia"/>
          <w:color w:val="auto"/>
          <w:highlight w:val="none"/>
        </w:rPr>
      </w:pPr>
    </w:p>
    <w:p>
      <w:pPr>
        <w:pStyle w:val="3"/>
        <w:keepNext w:val="0"/>
        <w:keepLines w:val="0"/>
        <w:jc w:val="center"/>
        <w:rPr>
          <w:rFonts w:hint="eastAsia"/>
          <w:color w:val="auto"/>
          <w:highlight w:val="none"/>
        </w:rPr>
      </w:pPr>
    </w:p>
    <w:p>
      <w:pPr>
        <w:pStyle w:val="3"/>
        <w:keepNext w:val="0"/>
        <w:keepLines w:val="0"/>
        <w:jc w:val="center"/>
        <w:rPr>
          <w:rFonts w:hint="eastAsia"/>
          <w:color w:val="auto"/>
          <w:highlight w:val="none"/>
        </w:rPr>
      </w:pPr>
    </w:p>
    <w:p>
      <w:pPr>
        <w:pStyle w:val="3"/>
        <w:keepNext w:val="0"/>
        <w:keepLines w:val="0"/>
        <w:jc w:val="center"/>
        <w:rPr>
          <w:rFonts w:hint="eastAsia"/>
          <w:color w:val="auto"/>
          <w:highlight w:val="none"/>
        </w:rPr>
      </w:pPr>
    </w:p>
    <w:p>
      <w:pPr>
        <w:pStyle w:val="3"/>
        <w:keepNext w:val="0"/>
        <w:keepLines w:val="0"/>
        <w:jc w:val="center"/>
        <w:rPr>
          <w:rFonts w:hint="eastAsia"/>
          <w:color w:val="auto"/>
          <w:highlight w:val="none"/>
        </w:rPr>
      </w:pPr>
    </w:p>
    <w:p>
      <w:pPr>
        <w:pStyle w:val="2"/>
        <w:jc w:val="center"/>
        <w:rPr>
          <w:rFonts w:hint="eastAsia"/>
          <w:color w:val="auto"/>
          <w:highlight w:val="none"/>
        </w:rPr>
      </w:pPr>
      <w:bookmarkStart w:id="150" w:name="_Toc74320804"/>
      <w:r>
        <w:rPr>
          <w:rFonts w:hint="eastAsia"/>
          <w:color w:val="auto"/>
          <w:highlight w:val="none"/>
        </w:rPr>
        <w:t>第五章  拟签订的合同文本</w:t>
      </w:r>
      <w:bookmarkEnd w:id="150"/>
    </w:p>
    <w:p>
      <w:pPr>
        <w:snapToGrid w:val="0"/>
        <w:jc w:val="center"/>
        <w:rPr>
          <w:rFonts w:hint="eastAsia" w:ascii="宋体" w:hAnsi="宋体"/>
          <w:bCs/>
          <w:color w:val="auto"/>
          <w:sz w:val="32"/>
          <w:szCs w:val="32"/>
          <w:highlight w:val="none"/>
        </w:rPr>
      </w:pPr>
    </w:p>
    <w:p>
      <w:pPr>
        <w:snapToGrid w:val="0"/>
        <w:jc w:val="center"/>
        <w:rPr>
          <w:rFonts w:hint="eastAsia" w:ascii="宋体" w:hAnsi="宋体"/>
          <w:bCs/>
          <w:color w:val="auto"/>
          <w:sz w:val="32"/>
          <w:szCs w:val="32"/>
          <w:highlight w:val="none"/>
        </w:rPr>
      </w:pPr>
    </w:p>
    <w:p>
      <w:pPr>
        <w:pStyle w:val="12"/>
        <w:spacing w:line="400" w:lineRule="exact"/>
        <w:ind w:firstLine="4" w:firstLineChars="2"/>
        <w:rPr>
          <w:rFonts w:hint="eastAsia" w:hAnsi="宋体"/>
          <w:b/>
          <w:bCs/>
          <w:color w:val="auto"/>
          <w:szCs w:val="21"/>
          <w:highlight w:val="none"/>
        </w:rPr>
      </w:pPr>
      <w:r>
        <w:rPr>
          <w:rFonts w:hint="eastAsia" w:hAnsi="宋体"/>
          <w:b/>
          <w:bCs/>
          <w:color w:val="auto"/>
          <w:szCs w:val="21"/>
          <w:highlight w:val="none"/>
        </w:rPr>
        <w:t>（注：本合同样本仅供参考，具体内容由采购人和</w:t>
      </w:r>
      <w:r>
        <w:rPr>
          <w:rFonts w:hint="eastAsia" w:hAnsi="宋体"/>
          <w:b/>
          <w:bCs/>
          <w:color w:val="auto"/>
          <w:szCs w:val="21"/>
          <w:highlight w:val="none"/>
          <w:lang w:val="en-US" w:eastAsia="zh-CN"/>
        </w:rPr>
        <w:t>中标</w:t>
      </w:r>
      <w:r>
        <w:rPr>
          <w:rFonts w:hint="eastAsia" w:hAnsi="宋体"/>
          <w:b/>
          <w:bCs/>
          <w:color w:val="auto"/>
          <w:szCs w:val="21"/>
          <w:highlight w:val="none"/>
        </w:rPr>
        <w:t>供应商协商确定，但补充和修改不得造成与本章格式内容有实质性的违背。）</w:t>
      </w:r>
    </w:p>
    <w:p>
      <w:pPr>
        <w:snapToGrid w:val="0"/>
        <w:jc w:val="center"/>
        <w:rPr>
          <w:rFonts w:hint="eastAsia" w:ascii="宋体" w:hAnsi="宋体"/>
          <w:bCs/>
          <w:color w:val="auto"/>
          <w:sz w:val="32"/>
          <w:szCs w:val="32"/>
          <w:highlight w:val="none"/>
        </w:rPr>
      </w:pPr>
    </w:p>
    <w:p>
      <w:pPr>
        <w:snapToGrid w:val="0"/>
        <w:jc w:val="center"/>
        <w:rPr>
          <w:rFonts w:hint="eastAsia" w:ascii="宋体" w:hAnsi="宋体"/>
          <w:bCs/>
          <w:color w:val="auto"/>
          <w:sz w:val="32"/>
          <w:szCs w:val="32"/>
          <w:highlight w:val="none"/>
        </w:rPr>
      </w:pPr>
    </w:p>
    <w:p>
      <w:pPr>
        <w:snapToGrid w:val="0"/>
        <w:jc w:val="center"/>
        <w:rPr>
          <w:rFonts w:hint="eastAsia" w:ascii="宋体" w:hAnsi="宋体"/>
          <w:bCs/>
          <w:color w:val="auto"/>
          <w:sz w:val="32"/>
          <w:szCs w:val="32"/>
          <w:highlight w:val="none"/>
        </w:rPr>
      </w:pPr>
    </w:p>
    <w:p>
      <w:pPr>
        <w:snapToGrid w:val="0"/>
        <w:jc w:val="center"/>
        <w:rPr>
          <w:rFonts w:hint="eastAsia" w:ascii="宋体" w:hAnsi="宋体"/>
          <w:bCs/>
          <w:color w:val="auto"/>
          <w:sz w:val="32"/>
          <w:szCs w:val="32"/>
          <w:highlight w:val="none"/>
        </w:rPr>
      </w:pPr>
    </w:p>
    <w:p>
      <w:pPr>
        <w:snapToGrid w:val="0"/>
        <w:jc w:val="center"/>
        <w:rPr>
          <w:rFonts w:hint="eastAsia" w:ascii="宋体" w:hAnsi="宋体"/>
          <w:bCs/>
          <w:color w:val="auto"/>
          <w:sz w:val="32"/>
          <w:szCs w:val="32"/>
          <w:highlight w:val="none"/>
        </w:rPr>
      </w:pPr>
    </w:p>
    <w:p>
      <w:pPr>
        <w:snapToGrid w:val="0"/>
        <w:jc w:val="center"/>
        <w:rPr>
          <w:rFonts w:hint="eastAsia" w:ascii="宋体" w:hAnsi="宋体"/>
          <w:bCs/>
          <w:color w:val="auto"/>
          <w:sz w:val="32"/>
          <w:szCs w:val="32"/>
          <w:highlight w:val="none"/>
        </w:rPr>
      </w:pPr>
    </w:p>
    <w:p>
      <w:pPr>
        <w:snapToGrid w:val="0"/>
        <w:jc w:val="center"/>
        <w:rPr>
          <w:rFonts w:hint="eastAsia" w:ascii="宋体" w:hAnsi="宋体"/>
          <w:bCs/>
          <w:color w:val="auto"/>
          <w:sz w:val="32"/>
          <w:szCs w:val="32"/>
          <w:highlight w:val="none"/>
        </w:rPr>
      </w:pPr>
    </w:p>
    <w:p>
      <w:pPr>
        <w:snapToGrid w:val="0"/>
        <w:jc w:val="center"/>
        <w:rPr>
          <w:rFonts w:hint="eastAsia" w:ascii="宋体" w:hAnsi="宋体"/>
          <w:bCs/>
          <w:color w:val="auto"/>
          <w:sz w:val="32"/>
          <w:szCs w:val="32"/>
          <w:highlight w:val="none"/>
        </w:rPr>
      </w:pPr>
    </w:p>
    <w:p>
      <w:pPr>
        <w:snapToGrid w:val="0"/>
        <w:jc w:val="center"/>
        <w:rPr>
          <w:rFonts w:hint="eastAsia" w:ascii="宋体" w:hAnsi="宋体"/>
          <w:bCs/>
          <w:color w:val="auto"/>
          <w:sz w:val="32"/>
          <w:szCs w:val="32"/>
          <w:highlight w:val="none"/>
        </w:rPr>
      </w:pPr>
    </w:p>
    <w:p>
      <w:pPr>
        <w:snapToGrid w:val="0"/>
        <w:jc w:val="center"/>
        <w:rPr>
          <w:rFonts w:hint="eastAsia" w:ascii="宋体" w:hAnsi="宋体"/>
          <w:bCs/>
          <w:color w:val="auto"/>
          <w:sz w:val="32"/>
          <w:szCs w:val="32"/>
          <w:highlight w:val="none"/>
        </w:rPr>
      </w:pPr>
    </w:p>
    <w:p>
      <w:pPr>
        <w:pStyle w:val="12"/>
        <w:spacing w:line="840" w:lineRule="exact"/>
        <w:ind w:firstLine="420"/>
        <w:jc w:val="center"/>
        <w:rPr>
          <w:rFonts w:ascii="宋体" w:hAnsi="宋体"/>
          <w:bCs/>
          <w:color w:val="auto"/>
          <w:sz w:val="32"/>
          <w:szCs w:val="32"/>
          <w:highlight w:val="none"/>
        </w:rPr>
      </w:pPr>
      <w:r>
        <w:rPr>
          <w:rFonts w:ascii="宋体" w:hAnsi="宋体"/>
          <w:bCs/>
          <w:color w:val="auto"/>
          <w:sz w:val="32"/>
          <w:szCs w:val="32"/>
          <w:highlight w:val="none"/>
        </w:rPr>
        <w:br w:type="page"/>
      </w:r>
      <w:bookmarkStart w:id="151" w:name="_Hlk55381736"/>
    </w:p>
    <w:p>
      <w:pPr>
        <w:pStyle w:val="12"/>
        <w:spacing w:line="840" w:lineRule="exact"/>
        <w:ind w:firstLine="420"/>
        <w:jc w:val="center"/>
        <w:rPr>
          <w:rFonts w:hint="default" w:ascii="宋体" w:hAnsi="宋体" w:eastAsia="宋体"/>
          <w:bCs/>
          <w:color w:val="auto"/>
          <w:sz w:val="32"/>
          <w:szCs w:val="32"/>
          <w:highlight w:val="none"/>
          <w:lang w:val="en-US" w:eastAsia="zh-CN"/>
        </w:rPr>
      </w:pPr>
      <w:r>
        <w:rPr>
          <w:rFonts w:hint="eastAsia" w:hAnsi="宋体"/>
          <w:bCs/>
          <w:color w:val="auto"/>
          <w:sz w:val="32"/>
          <w:szCs w:val="32"/>
          <w:highlight w:val="none"/>
          <w:lang w:val="en-US" w:eastAsia="zh-CN"/>
        </w:rPr>
        <w:t xml:space="preserve">                           合同编号：</w:t>
      </w:r>
    </w:p>
    <w:p>
      <w:pPr>
        <w:pStyle w:val="12"/>
        <w:spacing w:line="840" w:lineRule="exact"/>
        <w:ind w:firstLine="420"/>
        <w:jc w:val="center"/>
        <w:rPr>
          <w:rFonts w:ascii="宋体" w:hAnsi="宋体"/>
          <w:bCs/>
          <w:color w:val="auto"/>
          <w:sz w:val="32"/>
          <w:szCs w:val="32"/>
          <w:highlight w:val="none"/>
        </w:rPr>
      </w:pPr>
    </w:p>
    <w:p>
      <w:pPr>
        <w:pStyle w:val="12"/>
        <w:spacing w:line="840" w:lineRule="exact"/>
        <w:ind w:firstLine="420"/>
        <w:jc w:val="center"/>
        <w:rPr>
          <w:rFonts w:hAnsi="宋体" w:cs="宋体"/>
          <w:color w:val="auto"/>
          <w:sz w:val="84"/>
          <w:szCs w:val="84"/>
          <w:highlight w:val="none"/>
        </w:rPr>
      </w:pPr>
      <w:r>
        <w:rPr>
          <w:rFonts w:hint="eastAsia" w:hAnsi="宋体" w:cs="宋体"/>
          <w:color w:val="auto"/>
          <w:sz w:val="84"/>
          <w:szCs w:val="84"/>
          <w:highlight w:val="none"/>
        </w:rPr>
        <w:t>政府采购合同书</w:t>
      </w:r>
    </w:p>
    <w:p>
      <w:pPr>
        <w:pStyle w:val="12"/>
        <w:spacing w:line="340" w:lineRule="exact"/>
        <w:ind w:firstLine="420"/>
        <w:rPr>
          <w:rFonts w:hAnsi="宋体" w:cs="宋体"/>
          <w:color w:val="auto"/>
          <w:sz w:val="24"/>
          <w:szCs w:val="24"/>
          <w:highlight w:val="none"/>
        </w:rPr>
      </w:pPr>
    </w:p>
    <w:p>
      <w:pPr>
        <w:pStyle w:val="12"/>
        <w:spacing w:line="340" w:lineRule="exact"/>
        <w:ind w:firstLine="420"/>
        <w:rPr>
          <w:rFonts w:hAnsi="宋体" w:cs="宋体"/>
          <w:color w:val="auto"/>
          <w:sz w:val="24"/>
          <w:szCs w:val="24"/>
          <w:highlight w:val="none"/>
        </w:rPr>
      </w:pPr>
    </w:p>
    <w:p>
      <w:pPr>
        <w:pStyle w:val="12"/>
        <w:spacing w:line="340" w:lineRule="exact"/>
        <w:ind w:firstLine="420"/>
        <w:rPr>
          <w:rFonts w:hAnsi="宋体" w:cs="宋体"/>
          <w:color w:val="auto"/>
          <w:sz w:val="24"/>
          <w:szCs w:val="24"/>
          <w:highlight w:val="none"/>
        </w:rPr>
      </w:pPr>
    </w:p>
    <w:p>
      <w:pPr>
        <w:pStyle w:val="12"/>
        <w:spacing w:line="340" w:lineRule="exact"/>
        <w:ind w:firstLine="420"/>
        <w:rPr>
          <w:rFonts w:hAnsi="宋体" w:cs="宋体"/>
          <w:color w:val="auto"/>
          <w:sz w:val="24"/>
          <w:szCs w:val="24"/>
          <w:highlight w:val="none"/>
        </w:rPr>
      </w:pPr>
    </w:p>
    <w:p>
      <w:pPr>
        <w:pStyle w:val="12"/>
        <w:spacing w:line="340" w:lineRule="exact"/>
        <w:ind w:firstLine="420"/>
        <w:rPr>
          <w:rFonts w:hAnsi="宋体" w:cs="宋体"/>
          <w:color w:val="auto"/>
          <w:sz w:val="24"/>
          <w:szCs w:val="24"/>
          <w:highlight w:val="none"/>
        </w:rPr>
      </w:pPr>
    </w:p>
    <w:p>
      <w:pPr>
        <w:pStyle w:val="12"/>
        <w:spacing w:line="340" w:lineRule="exact"/>
        <w:ind w:firstLine="420"/>
        <w:rPr>
          <w:rFonts w:hAnsi="宋体" w:cs="宋体"/>
          <w:color w:val="auto"/>
          <w:sz w:val="24"/>
          <w:szCs w:val="24"/>
          <w:highlight w:val="none"/>
        </w:rPr>
      </w:pPr>
    </w:p>
    <w:p>
      <w:pPr>
        <w:pStyle w:val="12"/>
        <w:spacing w:line="340" w:lineRule="exact"/>
        <w:ind w:firstLine="420"/>
        <w:jc w:val="left"/>
        <w:rPr>
          <w:rFonts w:hAnsi="宋体" w:cs="宋体"/>
          <w:color w:val="auto"/>
          <w:sz w:val="24"/>
          <w:szCs w:val="24"/>
          <w:highlight w:val="none"/>
        </w:rPr>
      </w:pPr>
    </w:p>
    <w:p>
      <w:pPr>
        <w:pStyle w:val="12"/>
        <w:spacing w:line="360" w:lineRule="auto"/>
        <w:ind w:firstLine="1280" w:firstLineChars="400"/>
        <w:rPr>
          <w:rFonts w:hAnsi="宋体" w:cs="宋体"/>
          <w:color w:val="auto"/>
          <w:spacing w:val="10"/>
          <w:sz w:val="30"/>
          <w:szCs w:val="30"/>
          <w:highlight w:val="none"/>
        </w:rPr>
      </w:pPr>
      <w:r>
        <w:rPr>
          <w:rFonts w:hint="eastAsia" w:hAnsi="宋体" w:cs="宋体"/>
          <w:color w:val="auto"/>
          <w:spacing w:val="10"/>
          <w:sz w:val="30"/>
          <w:szCs w:val="30"/>
          <w:highlight w:val="none"/>
        </w:rPr>
        <w:t>合同名称：</w:t>
      </w:r>
    </w:p>
    <w:p>
      <w:pPr>
        <w:pStyle w:val="12"/>
        <w:spacing w:line="360" w:lineRule="auto"/>
        <w:ind w:firstLine="1280" w:firstLineChars="400"/>
        <w:rPr>
          <w:rFonts w:hAnsi="宋体" w:cs="宋体"/>
          <w:color w:val="auto"/>
          <w:spacing w:val="10"/>
          <w:sz w:val="30"/>
          <w:szCs w:val="30"/>
          <w:highlight w:val="none"/>
        </w:rPr>
      </w:pPr>
      <w:r>
        <w:rPr>
          <w:rFonts w:hint="eastAsia" w:hAnsi="宋体" w:cs="宋体"/>
          <w:color w:val="auto"/>
          <w:spacing w:val="10"/>
          <w:sz w:val="30"/>
          <w:szCs w:val="30"/>
          <w:highlight w:val="none"/>
        </w:rPr>
        <w:t>合同编号：</w:t>
      </w:r>
    </w:p>
    <w:p>
      <w:pPr>
        <w:pStyle w:val="12"/>
        <w:spacing w:line="360" w:lineRule="auto"/>
        <w:ind w:firstLine="1280" w:firstLineChars="400"/>
        <w:rPr>
          <w:rFonts w:hint="eastAsia" w:hAnsi="宋体" w:cs="宋体"/>
          <w:color w:val="auto"/>
          <w:spacing w:val="10"/>
          <w:sz w:val="30"/>
          <w:szCs w:val="30"/>
          <w:highlight w:val="none"/>
        </w:rPr>
      </w:pPr>
    </w:p>
    <w:p>
      <w:pPr>
        <w:pStyle w:val="12"/>
        <w:spacing w:line="360" w:lineRule="auto"/>
        <w:ind w:firstLine="1280" w:firstLineChars="400"/>
        <w:rPr>
          <w:rFonts w:hint="eastAsia" w:hAnsi="宋体" w:cs="宋体"/>
          <w:color w:val="auto"/>
          <w:spacing w:val="10"/>
          <w:sz w:val="30"/>
          <w:szCs w:val="30"/>
          <w:highlight w:val="none"/>
        </w:rPr>
      </w:pPr>
    </w:p>
    <w:p>
      <w:pPr>
        <w:pStyle w:val="12"/>
        <w:spacing w:line="360" w:lineRule="auto"/>
        <w:ind w:firstLine="1280" w:firstLineChars="400"/>
        <w:rPr>
          <w:rFonts w:hint="default" w:hAnsi="宋体" w:eastAsia="宋体" w:cs="宋体"/>
          <w:color w:val="auto"/>
          <w:spacing w:val="10"/>
          <w:sz w:val="30"/>
          <w:szCs w:val="30"/>
          <w:highlight w:val="none"/>
          <w:lang w:val="en-US" w:eastAsia="zh-CN"/>
        </w:rPr>
      </w:pPr>
      <w:r>
        <w:rPr>
          <w:rFonts w:hint="eastAsia" w:hAnsi="宋体" w:cs="宋体"/>
          <w:color w:val="auto"/>
          <w:spacing w:val="10"/>
          <w:sz w:val="30"/>
          <w:szCs w:val="30"/>
          <w:highlight w:val="none"/>
        </w:rPr>
        <w:t>甲方：</w:t>
      </w:r>
      <w:r>
        <w:rPr>
          <w:rFonts w:hint="eastAsia" w:hAnsi="宋体" w:cs="宋体"/>
          <w:color w:val="auto"/>
          <w:spacing w:val="10"/>
          <w:sz w:val="30"/>
          <w:szCs w:val="30"/>
          <w:highlight w:val="none"/>
          <w:u w:val="single"/>
          <w:lang w:eastAsia="zh-CN"/>
        </w:rPr>
        <w:t>靖西市人民医院</w:t>
      </w:r>
      <w:r>
        <w:rPr>
          <w:rFonts w:hint="eastAsia" w:hAnsi="宋体" w:cs="宋体"/>
          <w:color w:val="auto"/>
          <w:spacing w:val="10"/>
          <w:sz w:val="30"/>
          <w:szCs w:val="30"/>
          <w:highlight w:val="none"/>
          <w:u w:val="single"/>
          <w:lang w:val="en-US" w:eastAsia="zh-CN"/>
        </w:rPr>
        <w:t xml:space="preserve">     </w:t>
      </w:r>
    </w:p>
    <w:p>
      <w:pPr>
        <w:pStyle w:val="12"/>
        <w:spacing w:line="360" w:lineRule="auto"/>
        <w:ind w:firstLine="1257" w:firstLineChars="393"/>
        <w:rPr>
          <w:rFonts w:hint="eastAsia" w:hAnsi="宋体" w:cs="宋体"/>
          <w:color w:val="auto"/>
          <w:spacing w:val="10"/>
          <w:sz w:val="30"/>
          <w:szCs w:val="30"/>
          <w:highlight w:val="none"/>
        </w:rPr>
      </w:pPr>
    </w:p>
    <w:p>
      <w:pPr>
        <w:pStyle w:val="12"/>
        <w:spacing w:line="360" w:lineRule="auto"/>
        <w:ind w:firstLine="1257" w:firstLineChars="393"/>
        <w:rPr>
          <w:rFonts w:hint="eastAsia" w:hAnsi="宋体" w:cs="宋体"/>
          <w:color w:val="auto"/>
          <w:spacing w:val="10"/>
          <w:sz w:val="30"/>
          <w:szCs w:val="30"/>
          <w:highlight w:val="none"/>
          <w:u w:val="single"/>
          <w:lang w:val="en-US" w:eastAsia="zh-CN"/>
        </w:rPr>
      </w:pPr>
      <w:r>
        <w:rPr>
          <w:rFonts w:hint="eastAsia" w:hAnsi="宋体" w:cs="宋体"/>
          <w:color w:val="auto"/>
          <w:spacing w:val="10"/>
          <w:sz w:val="30"/>
          <w:szCs w:val="30"/>
          <w:highlight w:val="none"/>
        </w:rPr>
        <w:t>乙方：</w:t>
      </w:r>
      <w:r>
        <w:rPr>
          <w:rFonts w:hint="eastAsia" w:hAnsi="宋体" w:cs="宋体"/>
          <w:color w:val="auto"/>
          <w:spacing w:val="10"/>
          <w:sz w:val="30"/>
          <w:szCs w:val="30"/>
          <w:highlight w:val="none"/>
          <w:u w:val="single"/>
          <w:lang w:val="en-US" w:eastAsia="zh-CN"/>
        </w:rPr>
        <w:t xml:space="preserve">                  </w:t>
      </w:r>
    </w:p>
    <w:p>
      <w:pPr>
        <w:pStyle w:val="12"/>
        <w:spacing w:line="360" w:lineRule="auto"/>
        <w:ind w:firstLine="1257" w:firstLineChars="393"/>
        <w:rPr>
          <w:rFonts w:hint="eastAsia" w:hAnsi="宋体" w:cs="宋体"/>
          <w:color w:val="auto"/>
          <w:spacing w:val="10"/>
          <w:sz w:val="30"/>
          <w:szCs w:val="30"/>
          <w:highlight w:val="none"/>
        </w:rPr>
      </w:pPr>
    </w:p>
    <w:p>
      <w:pPr>
        <w:pStyle w:val="12"/>
        <w:spacing w:line="360" w:lineRule="auto"/>
        <w:ind w:firstLine="1257" w:firstLineChars="393"/>
        <w:rPr>
          <w:rFonts w:hint="eastAsia" w:hAnsi="宋体" w:cs="宋体"/>
          <w:color w:val="auto"/>
          <w:spacing w:val="10"/>
          <w:sz w:val="30"/>
          <w:szCs w:val="30"/>
          <w:highlight w:val="none"/>
        </w:rPr>
      </w:pPr>
    </w:p>
    <w:p>
      <w:pPr>
        <w:pStyle w:val="12"/>
        <w:spacing w:line="360" w:lineRule="auto"/>
        <w:ind w:firstLine="1257" w:firstLineChars="393"/>
        <w:rPr>
          <w:rFonts w:hint="eastAsia" w:hAnsi="宋体" w:eastAsia="宋体" w:cs="宋体"/>
          <w:color w:val="auto"/>
          <w:spacing w:val="10"/>
          <w:sz w:val="30"/>
          <w:szCs w:val="30"/>
          <w:highlight w:val="none"/>
          <w:lang w:eastAsia="zh-CN"/>
        </w:rPr>
      </w:pPr>
      <w:r>
        <w:rPr>
          <w:rFonts w:hint="eastAsia" w:hAnsi="宋体" w:cs="宋体"/>
          <w:color w:val="auto"/>
          <w:spacing w:val="10"/>
          <w:sz w:val="30"/>
          <w:szCs w:val="30"/>
          <w:highlight w:val="none"/>
        </w:rPr>
        <w:t>签订合同地点：</w:t>
      </w:r>
      <w:r>
        <w:rPr>
          <w:rFonts w:hint="eastAsia" w:hAnsi="宋体" w:cs="宋体"/>
          <w:color w:val="auto"/>
          <w:spacing w:val="10"/>
          <w:sz w:val="30"/>
          <w:szCs w:val="30"/>
          <w:highlight w:val="none"/>
          <w:lang w:eastAsia="zh-CN"/>
        </w:rPr>
        <w:t>靖西市人民医院</w:t>
      </w:r>
    </w:p>
    <w:p>
      <w:pPr>
        <w:pStyle w:val="12"/>
        <w:spacing w:line="360" w:lineRule="auto"/>
        <w:ind w:firstLine="1257" w:firstLineChars="393"/>
        <w:rPr>
          <w:rFonts w:hAnsi="宋体" w:cs="宋体"/>
          <w:color w:val="auto"/>
          <w:spacing w:val="10"/>
          <w:sz w:val="30"/>
          <w:szCs w:val="30"/>
          <w:highlight w:val="none"/>
        </w:rPr>
      </w:pPr>
      <w:r>
        <w:rPr>
          <w:rFonts w:hint="eastAsia" w:hAnsi="宋体" w:cs="宋体"/>
          <w:color w:val="auto"/>
          <w:spacing w:val="10"/>
          <w:sz w:val="30"/>
          <w:szCs w:val="30"/>
          <w:highlight w:val="none"/>
        </w:rPr>
        <w:t>签订合同时间：</w:t>
      </w:r>
      <w:r>
        <w:rPr>
          <w:rFonts w:hint="eastAsia" w:hAnsi="宋体" w:cs="宋体"/>
          <w:color w:val="auto"/>
          <w:spacing w:val="10"/>
          <w:sz w:val="30"/>
          <w:szCs w:val="30"/>
          <w:highlight w:val="none"/>
          <w:lang w:val="en-US" w:eastAsia="zh-CN"/>
        </w:rPr>
        <w:t xml:space="preserve">   </w:t>
      </w:r>
      <w:r>
        <w:rPr>
          <w:rFonts w:hint="eastAsia" w:hAnsi="宋体" w:cs="宋体"/>
          <w:color w:val="auto"/>
          <w:spacing w:val="10"/>
          <w:sz w:val="30"/>
          <w:szCs w:val="30"/>
          <w:highlight w:val="none"/>
        </w:rPr>
        <w:t>年   月    日</w:t>
      </w:r>
    </w:p>
    <w:p>
      <w:pPr>
        <w:pStyle w:val="12"/>
        <w:spacing w:line="360" w:lineRule="auto"/>
        <w:ind w:firstLine="943" w:firstLineChars="393"/>
        <w:jc w:val="center"/>
        <w:rPr>
          <w:rFonts w:hAnsi="宋体" w:cs="宋体"/>
          <w:color w:val="auto"/>
          <w:sz w:val="24"/>
          <w:szCs w:val="24"/>
          <w:highlight w:val="none"/>
        </w:rPr>
        <w:sectPr>
          <w:footerReference r:id="rId4" w:type="default"/>
          <w:pgSz w:w="11906" w:h="16838"/>
          <w:pgMar w:top="1440" w:right="850" w:bottom="1440" w:left="1134" w:header="851" w:footer="992" w:gutter="0"/>
          <w:pgNumType w:fmt="decimal" w:start="1"/>
          <w:cols w:space="720" w:num="1"/>
          <w:docGrid w:type="lines" w:linePitch="312" w:charSpace="0"/>
        </w:sectPr>
      </w:pPr>
    </w:p>
    <w:p>
      <w:pPr>
        <w:pStyle w:val="12"/>
        <w:spacing w:line="480" w:lineRule="auto"/>
        <w:jc w:val="center"/>
        <w:rPr>
          <w:rFonts w:hAnsi="宋体"/>
          <w:color w:val="auto"/>
          <w:sz w:val="44"/>
          <w:szCs w:val="44"/>
          <w:highlight w:val="none"/>
        </w:rPr>
      </w:pPr>
      <w:r>
        <w:rPr>
          <w:rFonts w:hint="eastAsia" w:hAnsi="宋体"/>
          <w:color w:val="auto"/>
          <w:sz w:val="44"/>
          <w:szCs w:val="44"/>
          <w:highlight w:val="none"/>
        </w:rPr>
        <w:t>目    录</w:t>
      </w:r>
    </w:p>
    <w:p>
      <w:pPr>
        <w:pStyle w:val="12"/>
        <w:spacing w:line="480" w:lineRule="auto"/>
        <w:jc w:val="left"/>
        <w:rPr>
          <w:rFonts w:hAnsi="宋体"/>
          <w:color w:val="auto"/>
          <w:sz w:val="28"/>
          <w:szCs w:val="28"/>
          <w:highlight w:val="none"/>
        </w:rPr>
      </w:pPr>
    </w:p>
    <w:p>
      <w:pPr>
        <w:pStyle w:val="12"/>
        <w:spacing w:line="480" w:lineRule="auto"/>
        <w:jc w:val="left"/>
        <w:rPr>
          <w:rFonts w:hAnsi="宋体"/>
          <w:color w:val="auto"/>
          <w:sz w:val="28"/>
          <w:szCs w:val="28"/>
          <w:highlight w:val="none"/>
        </w:rPr>
      </w:pPr>
    </w:p>
    <w:p>
      <w:pPr>
        <w:pStyle w:val="12"/>
        <w:spacing w:line="480" w:lineRule="auto"/>
        <w:jc w:val="left"/>
        <w:rPr>
          <w:rFonts w:hAnsi="宋体"/>
          <w:color w:val="auto"/>
          <w:sz w:val="28"/>
          <w:szCs w:val="28"/>
          <w:highlight w:val="none"/>
        </w:rPr>
      </w:pPr>
    </w:p>
    <w:p>
      <w:pPr>
        <w:pStyle w:val="12"/>
        <w:spacing w:line="360" w:lineRule="auto"/>
        <w:ind w:left="0" w:leftChars="0" w:firstLine="640" w:firstLineChars="200"/>
        <w:jc w:val="left"/>
        <w:rPr>
          <w:rFonts w:hAnsi="宋体"/>
          <w:color w:val="auto"/>
          <w:sz w:val="32"/>
          <w:szCs w:val="32"/>
          <w:highlight w:val="none"/>
        </w:rPr>
      </w:pPr>
      <w:r>
        <w:rPr>
          <w:rFonts w:hint="eastAsia" w:hAnsi="宋体"/>
          <w:color w:val="auto"/>
          <w:sz w:val="32"/>
          <w:szCs w:val="32"/>
          <w:highlight w:val="none"/>
        </w:rPr>
        <w:t>1、合同书</w:t>
      </w:r>
    </w:p>
    <w:p>
      <w:pPr>
        <w:pStyle w:val="12"/>
        <w:spacing w:line="360" w:lineRule="auto"/>
        <w:ind w:left="0" w:leftChars="0" w:firstLine="640" w:firstLineChars="200"/>
        <w:jc w:val="left"/>
        <w:rPr>
          <w:rFonts w:hAnsi="宋体"/>
          <w:color w:val="auto"/>
          <w:sz w:val="32"/>
          <w:szCs w:val="32"/>
          <w:highlight w:val="none"/>
        </w:rPr>
      </w:pPr>
      <w:r>
        <w:rPr>
          <w:rFonts w:hint="eastAsia" w:hAnsi="宋体"/>
          <w:color w:val="auto"/>
          <w:sz w:val="32"/>
          <w:szCs w:val="32"/>
          <w:highlight w:val="none"/>
        </w:rPr>
        <w:t>2、采购需求</w:t>
      </w:r>
    </w:p>
    <w:p>
      <w:pPr>
        <w:pStyle w:val="12"/>
        <w:spacing w:line="360" w:lineRule="auto"/>
        <w:ind w:left="0" w:leftChars="0" w:firstLine="640" w:firstLineChars="200"/>
        <w:jc w:val="left"/>
        <w:rPr>
          <w:rFonts w:hAnsi="宋体"/>
          <w:color w:val="auto"/>
          <w:sz w:val="32"/>
          <w:szCs w:val="32"/>
          <w:highlight w:val="none"/>
        </w:rPr>
      </w:pPr>
      <w:r>
        <w:rPr>
          <w:rFonts w:hint="eastAsia" w:hAnsi="宋体"/>
          <w:color w:val="auto"/>
          <w:sz w:val="32"/>
          <w:szCs w:val="32"/>
          <w:highlight w:val="none"/>
        </w:rPr>
        <w:t>3、</w:t>
      </w:r>
      <w:r>
        <w:rPr>
          <w:rFonts w:hint="eastAsia" w:hAnsi="宋体"/>
          <w:color w:val="auto"/>
          <w:sz w:val="32"/>
          <w:szCs w:val="32"/>
          <w:highlight w:val="none"/>
          <w:lang w:val="en-US" w:eastAsia="zh-CN"/>
        </w:rPr>
        <w:t>投标</w:t>
      </w:r>
      <w:r>
        <w:rPr>
          <w:rFonts w:hint="eastAsia" w:hAnsi="宋体"/>
          <w:color w:val="auto"/>
          <w:sz w:val="32"/>
          <w:szCs w:val="32"/>
          <w:highlight w:val="none"/>
        </w:rPr>
        <w:t>函</w:t>
      </w:r>
    </w:p>
    <w:p>
      <w:pPr>
        <w:pStyle w:val="12"/>
        <w:spacing w:line="360" w:lineRule="auto"/>
        <w:ind w:left="0" w:leftChars="0" w:firstLine="640" w:firstLineChars="200"/>
        <w:jc w:val="left"/>
        <w:rPr>
          <w:rFonts w:hAnsi="宋体"/>
          <w:color w:val="auto"/>
          <w:sz w:val="32"/>
          <w:szCs w:val="32"/>
          <w:highlight w:val="none"/>
        </w:rPr>
      </w:pPr>
      <w:r>
        <w:rPr>
          <w:rFonts w:hint="eastAsia" w:hAnsi="宋体"/>
          <w:color w:val="auto"/>
          <w:sz w:val="32"/>
          <w:szCs w:val="32"/>
          <w:highlight w:val="none"/>
        </w:rPr>
        <w:t>4、</w:t>
      </w:r>
      <w:r>
        <w:rPr>
          <w:rFonts w:hint="eastAsia" w:hAnsi="宋体"/>
          <w:color w:val="auto"/>
          <w:sz w:val="32"/>
          <w:szCs w:val="32"/>
          <w:highlight w:val="none"/>
          <w:lang w:val="en-US" w:eastAsia="zh-CN"/>
        </w:rPr>
        <w:t>投标</w:t>
      </w:r>
      <w:r>
        <w:rPr>
          <w:rFonts w:hint="eastAsia" w:hAnsi="宋体"/>
          <w:color w:val="auto"/>
          <w:sz w:val="32"/>
          <w:szCs w:val="32"/>
          <w:highlight w:val="none"/>
        </w:rPr>
        <w:t>报价表</w:t>
      </w:r>
    </w:p>
    <w:p>
      <w:pPr>
        <w:pStyle w:val="12"/>
        <w:spacing w:line="360" w:lineRule="auto"/>
        <w:ind w:left="0" w:leftChars="0" w:firstLine="640" w:firstLineChars="200"/>
        <w:jc w:val="left"/>
        <w:rPr>
          <w:rFonts w:hAnsi="宋体"/>
          <w:color w:val="auto"/>
          <w:sz w:val="32"/>
          <w:szCs w:val="32"/>
          <w:highlight w:val="none"/>
        </w:rPr>
      </w:pPr>
      <w:r>
        <w:rPr>
          <w:rFonts w:hint="eastAsia" w:hAnsi="宋体"/>
          <w:color w:val="auto"/>
          <w:sz w:val="32"/>
          <w:szCs w:val="32"/>
          <w:highlight w:val="none"/>
        </w:rPr>
        <w:t>5、售后服务方案</w:t>
      </w:r>
    </w:p>
    <w:p>
      <w:pPr>
        <w:pStyle w:val="12"/>
        <w:spacing w:line="360" w:lineRule="auto"/>
        <w:ind w:left="0" w:leftChars="0" w:firstLine="640" w:firstLineChars="200"/>
        <w:jc w:val="left"/>
        <w:rPr>
          <w:color w:val="auto"/>
          <w:highlight w:val="none"/>
        </w:rPr>
        <w:sectPr>
          <w:pgSz w:w="11906" w:h="16838"/>
          <w:pgMar w:top="1440" w:right="850" w:bottom="1440" w:left="1134" w:header="851" w:footer="992" w:gutter="0"/>
          <w:pgNumType w:fmt="decimal"/>
          <w:cols w:space="720" w:num="1"/>
          <w:docGrid w:type="lines" w:linePitch="312" w:charSpace="0"/>
        </w:sectPr>
      </w:pPr>
      <w:r>
        <w:rPr>
          <w:rFonts w:hint="eastAsia" w:hAnsi="宋体"/>
          <w:color w:val="auto"/>
          <w:sz w:val="32"/>
          <w:szCs w:val="32"/>
          <w:highlight w:val="none"/>
        </w:rPr>
        <w:t>6、</w:t>
      </w:r>
      <w:r>
        <w:rPr>
          <w:rFonts w:hint="eastAsia" w:hAnsi="宋体"/>
          <w:color w:val="auto"/>
          <w:sz w:val="32"/>
          <w:szCs w:val="32"/>
          <w:highlight w:val="none"/>
          <w:lang w:val="en-US" w:eastAsia="zh-CN"/>
        </w:rPr>
        <w:t>中标通知书</w:t>
      </w:r>
    </w:p>
    <w:p>
      <w:pPr>
        <w:snapToGrid w:val="0"/>
        <w:spacing w:line="400" w:lineRule="exact"/>
        <w:ind w:right="480"/>
        <w:jc w:val="center"/>
        <w:rPr>
          <w:rFonts w:ascii="宋体" w:hAnsi="宋体"/>
          <w:b/>
          <w:bCs/>
          <w:color w:val="auto"/>
          <w:sz w:val="32"/>
          <w:szCs w:val="32"/>
          <w:highlight w:val="none"/>
        </w:rPr>
      </w:pPr>
      <w:r>
        <w:rPr>
          <w:rFonts w:hint="eastAsia" w:ascii="宋体" w:hAnsi="宋体"/>
          <w:b/>
          <w:bCs/>
          <w:color w:val="auto"/>
          <w:sz w:val="32"/>
          <w:szCs w:val="32"/>
          <w:highlight w:val="none"/>
        </w:rPr>
        <w:t>1、合 同 书</w:t>
      </w:r>
    </w:p>
    <w:p>
      <w:pPr>
        <w:snapToGrid w:val="0"/>
        <w:spacing w:line="400" w:lineRule="exact"/>
        <w:ind w:right="480"/>
        <w:jc w:val="center"/>
        <w:rPr>
          <w:rFonts w:ascii="宋体" w:hAnsi="宋体"/>
          <w:color w:val="auto"/>
          <w:sz w:val="32"/>
          <w:szCs w:val="32"/>
          <w:highlight w:val="none"/>
        </w:rPr>
      </w:pPr>
    </w:p>
    <w:p>
      <w:pPr>
        <w:pStyle w:val="22"/>
        <w:spacing w:line="360" w:lineRule="auto"/>
        <w:rPr>
          <w:rFonts w:ascii="仿宋" w:hAnsi="仿宋" w:eastAsia="仿宋"/>
          <w:color w:val="auto"/>
          <w:highlight w:val="none"/>
        </w:rPr>
      </w:pPr>
      <w:r>
        <w:rPr>
          <w:rFonts w:hint="eastAsia" w:ascii="仿宋" w:hAnsi="仿宋" w:eastAsia="仿宋"/>
          <w:color w:val="auto"/>
          <w:highlight w:val="none"/>
        </w:rPr>
        <w:t>（甲方）采购单位：</w:t>
      </w:r>
      <w:r>
        <w:rPr>
          <w:rFonts w:hint="eastAsia" w:ascii="仿宋" w:hAnsi="仿宋" w:eastAsia="仿宋"/>
          <w:color w:val="auto"/>
          <w:highlight w:val="none"/>
          <w:lang w:eastAsia="zh-CN"/>
        </w:rPr>
        <w:t>靖西市人民医院</w:t>
      </w:r>
      <w:r>
        <w:rPr>
          <w:rFonts w:hint="eastAsia" w:ascii="仿宋" w:hAnsi="仿宋" w:eastAsia="仿宋"/>
          <w:color w:val="auto"/>
          <w:highlight w:val="none"/>
        </w:rPr>
        <w:t xml:space="preserve">                                           </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（乙方）</w:t>
      </w:r>
      <w:r>
        <w:rPr>
          <w:rFonts w:hint="eastAsia" w:ascii="仿宋" w:hAnsi="仿宋" w:eastAsia="仿宋"/>
          <w:color w:val="auto"/>
          <w:highlight w:val="none"/>
          <w:lang w:val="en-US" w:eastAsia="zh-CN"/>
        </w:rPr>
        <w:t>中标</w:t>
      </w:r>
      <w:r>
        <w:rPr>
          <w:rFonts w:hint="eastAsia" w:ascii="仿宋" w:hAnsi="仿宋" w:eastAsia="仿宋"/>
          <w:color w:val="auto"/>
          <w:highlight w:val="none"/>
        </w:rPr>
        <w:t xml:space="preserve">单位：                         </w:t>
      </w:r>
    </w:p>
    <w:p>
      <w:pPr>
        <w:pStyle w:val="22"/>
        <w:spacing w:line="360" w:lineRule="auto"/>
        <w:rPr>
          <w:rFonts w:hint="eastAsia" w:ascii="仿宋" w:hAnsi="仿宋" w:eastAsia="仿宋"/>
          <w:color w:val="auto"/>
          <w:highlight w:val="none"/>
          <w:lang w:eastAsia="zh-CN"/>
        </w:rPr>
      </w:pPr>
      <w:r>
        <w:rPr>
          <w:rFonts w:hint="eastAsia" w:ascii="仿宋" w:hAnsi="仿宋" w:eastAsia="仿宋"/>
          <w:color w:val="auto"/>
          <w:highlight w:val="none"/>
        </w:rPr>
        <w:t>项目名称</w:t>
      </w:r>
      <w:r>
        <w:rPr>
          <w:rFonts w:hint="eastAsia" w:ascii="仿宋" w:hAnsi="仿宋" w:eastAsia="仿宋"/>
          <w:color w:val="auto"/>
          <w:highlight w:val="none"/>
          <w:lang w:eastAsia="zh-CN"/>
        </w:rPr>
        <w:t>：</w:t>
      </w:r>
    </w:p>
    <w:p>
      <w:pPr>
        <w:pStyle w:val="22"/>
        <w:spacing w:line="360" w:lineRule="auto"/>
        <w:rPr>
          <w:rFonts w:hint="eastAsia" w:ascii="仿宋" w:hAnsi="仿宋" w:eastAsia="仿宋"/>
          <w:color w:val="auto"/>
          <w:highlight w:val="none"/>
        </w:rPr>
      </w:pPr>
      <w:r>
        <w:rPr>
          <w:rFonts w:hint="eastAsia" w:ascii="仿宋" w:hAnsi="仿宋" w:eastAsia="仿宋"/>
          <w:color w:val="auto"/>
          <w:highlight w:val="none"/>
          <w:lang w:val="en-US" w:eastAsia="zh-CN"/>
        </w:rPr>
        <w:t>项目</w:t>
      </w:r>
      <w:r>
        <w:rPr>
          <w:rFonts w:hint="eastAsia" w:ascii="仿宋" w:hAnsi="仿宋" w:eastAsia="仿宋"/>
          <w:color w:val="auto"/>
          <w:highlight w:val="none"/>
        </w:rPr>
        <w:t>编号：</w:t>
      </w:r>
    </w:p>
    <w:p>
      <w:pPr>
        <w:pStyle w:val="22"/>
        <w:spacing w:line="360" w:lineRule="auto"/>
        <w:rPr>
          <w:rFonts w:ascii="仿宋" w:hAnsi="仿宋" w:eastAsia="仿宋"/>
          <w:color w:val="auto"/>
          <w:highlight w:val="none"/>
        </w:rPr>
      </w:pPr>
      <w:r>
        <w:rPr>
          <w:rFonts w:hint="eastAsia" w:ascii="仿宋" w:hAnsi="仿宋" w:eastAsia="仿宋"/>
          <w:color w:val="auto"/>
          <w:highlight w:val="none"/>
          <w:lang w:val="en-US" w:eastAsia="zh-CN"/>
        </w:rPr>
        <w:t>采购计划编号：</w:t>
      </w:r>
      <w:r>
        <w:rPr>
          <w:rFonts w:hint="eastAsia" w:ascii="仿宋" w:hAnsi="仿宋" w:eastAsia="仿宋"/>
          <w:color w:val="auto"/>
          <w:highlight w:val="none"/>
        </w:rPr>
        <w:t xml:space="preserve">                        </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签订地点 ：</w:t>
      </w:r>
      <w:r>
        <w:rPr>
          <w:rFonts w:hint="eastAsia" w:ascii="仿宋" w:hAnsi="仿宋" w:eastAsia="仿宋"/>
          <w:color w:val="auto"/>
          <w:highlight w:val="none"/>
          <w:lang w:eastAsia="zh-CN"/>
        </w:rPr>
        <w:t>靖西市人民医院</w:t>
      </w:r>
      <w:r>
        <w:rPr>
          <w:rFonts w:hint="eastAsia" w:ascii="仿宋" w:hAnsi="仿宋" w:eastAsia="仿宋"/>
          <w:color w:val="auto"/>
          <w:highlight w:val="none"/>
        </w:rPr>
        <w:t xml:space="preserve">                                 </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签订时间：</w:t>
      </w:r>
      <w:r>
        <w:rPr>
          <w:rFonts w:hint="eastAsia" w:ascii="仿宋" w:hAnsi="仿宋" w:eastAsia="仿宋"/>
          <w:color w:val="auto"/>
          <w:highlight w:val="none"/>
          <w:u w:val="single"/>
        </w:rPr>
        <w:t xml:space="preserve">    年   月    日</w:t>
      </w:r>
      <w:r>
        <w:rPr>
          <w:rFonts w:hint="eastAsia" w:ascii="仿宋" w:hAnsi="仿宋" w:eastAsia="仿宋"/>
          <w:color w:val="auto"/>
          <w:highlight w:val="none"/>
        </w:rPr>
        <w:t xml:space="preserve">  </w:t>
      </w:r>
    </w:p>
    <w:p>
      <w:pPr>
        <w:pStyle w:val="22"/>
        <w:spacing w:line="360" w:lineRule="auto"/>
        <w:ind w:firstLine="480" w:firstLineChars="200"/>
        <w:rPr>
          <w:rFonts w:ascii="仿宋" w:hAnsi="仿宋" w:eastAsia="仿宋"/>
          <w:color w:val="auto"/>
          <w:highlight w:val="none"/>
        </w:rPr>
      </w:pPr>
      <w:r>
        <w:rPr>
          <w:rFonts w:hint="eastAsia" w:ascii="仿宋" w:hAnsi="仿宋" w:eastAsia="仿宋"/>
          <w:color w:val="auto"/>
          <w:highlight w:val="none"/>
        </w:rPr>
        <w:t>根据《中华人民共和国政府采购法》《中华人民共和国民法典》等法律、法规规定，按照</w:t>
      </w:r>
      <w:r>
        <w:rPr>
          <w:rFonts w:hint="eastAsia" w:ascii="仿宋" w:hAnsi="仿宋" w:eastAsia="仿宋"/>
          <w:color w:val="auto"/>
          <w:highlight w:val="none"/>
          <w:lang w:eastAsia="zh-CN"/>
        </w:rPr>
        <w:t>招标文件</w:t>
      </w:r>
      <w:r>
        <w:rPr>
          <w:rFonts w:hint="eastAsia" w:ascii="仿宋" w:hAnsi="仿宋" w:eastAsia="仿宋"/>
          <w:color w:val="auto"/>
          <w:highlight w:val="none"/>
        </w:rPr>
        <w:t>及响应文件规定条款和</w:t>
      </w:r>
      <w:r>
        <w:rPr>
          <w:rFonts w:hint="eastAsia" w:ascii="仿宋" w:hAnsi="仿宋" w:eastAsia="仿宋"/>
          <w:color w:val="auto"/>
          <w:highlight w:val="none"/>
          <w:lang w:val="en-US" w:eastAsia="zh-CN"/>
        </w:rPr>
        <w:t>中标</w:t>
      </w:r>
      <w:r>
        <w:rPr>
          <w:rFonts w:hint="eastAsia" w:ascii="仿宋" w:hAnsi="仿宋" w:eastAsia="仿宋"/>
          <w:color w:val="auto"/>
          <w:highlight w:val="none"/>
        </w:rPr>
        <w:t>供应商承诺，甲乙双方签订本合同。</w:t>
      </w:r>
    </w:p>
    <w:p>
      <w:pPr>
        <w:pStyle w:val="22"/>
        <w:spacing w:line="360" w:lineRule="auto"/>
        <w:rPr>
          <w:rFonts w:ascii="仿宋" w:hAnsi="仿宋" w:eastAsia="仿宋"/>
          <w:b/>
          <w:bCs/>
          <w:color w:val="auto"/>
          <w:highlight w:val="none"/>
        </w:rPr>
      </w:pPr>
      <w:r>
        <w:rPr>
          <w:rFonts w:hint="eastAsia" w:ascii="仿宋" w:hAnsi="仿宋" w:eastAsia="仿宋"/>
          <w:b/>
          <w:bCs/>
          <w:color w:val="auto"/>
          <w:highlight w:val="none"/>
        </w:rPr>
        <w:t>第一条　合同标的</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1．供货一览表</w:t>
      </w:r>
    </w:p>
    <w:tbl>
      <w:tblPr>
        <w:tblStyle w:val="17"/>
        <w:tblW w:w="9271" w:type="dxa"/>
        <w:tblInd w:w="0" w:type="dxa"/>
        <w:tblLayout w:type="fixed"/>
        <w:tblCellMar>
          <w:top w:w="0" w:type="dxa"/>
          <w:left w:w="108" w:type="dxa"/>
          <w:bottom w:w="0" w:type="dxa"/>
          <w:right w:w="108" w:type="dxa"/>
        </w:tblCellMar>
      </w:tblPr>
      <w:tblGrid>
        <w:gridCol w:w="573"/>
        <w:gridCol w:w="1830"/>
        <w:gridCol w:w="880"/>
        <w:gridCol w:w="935"/>
        <w:gridCol w:w="1248"/>
        <w:gridCol w:w="552"/>
        <w:gridCol w:w="555"/>
        <w:gridCol w:w="1410"/>
        <w:gridCol w:w="1288"/>
      </w:tblGrid>
      <w:tr>
        <w:tc>
          <w:tcPr>
            <w:tcW w:w="573" w:type="dxa"/>
            <w:tcBorders>
              <w:top w:val="single" w:color="000000" w:sz="4" w:space="0"/>
              <w:left w:val="single" w:color="000000" w:sz="4" w:space="0"/>
              <w:bottom w:val="single" w:color="000000" w:sz="4" w:space="0"/>
              <w:right w:val="single" w:color="000000" w:sz="4" w:space="0"/>
            </w:tcBorders>
            <w:noWrap/>
            <w:vAlign w:val="center"/>
          </w:tcPr>
          <w:p>
            <w:pPr>
              <w:pStyle w:val="22"/>
              <w:spacing w:line="360" w:lineRule="auto"/>
              <w:jc w:val="center"/>
              <w:rPr>
                <w:rFonts w:ascii="仿宋" w:hAnsi="仿宋" w:eastAsia="仿宋"/>
                <w:color w:val="auto"/>
                <w:highlight w:val="none"/>
              </w:rPr>
            </w:pPr>
            <w:r>
              <w:rPr>
                <w:rFonts w:hint="eastAsia" w:ascii="仿宋" w:hAnsi="仿宋" w:eastAsia="仿宋"/>
                <w:color w:val="auto"/>
                <w:highlight w:val="none"/>
              </w:rPr>
              <w:t>序号</w:t>
            </w:r>
          </w:p>
        </w:tc>
        <w:tc>
          <w:tcPr>
            <w:tcW w:w="1830" w:type="dxa"/>
            <w:tcBorders>
              <w:top w:val="single" w:color="000000" w:sz="4" w:space="0"/>
              <w:left w:val="single" w:color="000000" w:sz="4" w:space="0"/>
              <w:bottom w:val="single" w:color="000000" w:sz="4" w:space="0"/>
              <w:right w:val="single" w:color="000000" w:sz="4" w:space="0"/>
            </w:tcBorders>
            <w:noWrap/>
            <w:vAlign w:val="center"/>
          </w:tcPr>
          <w:p>
            <w:pPr>
              <w:pStyle w:val="22"/>
              <w:spacing w:line="360" w:lineRule="auto"/>
              <w:jc w:val="center"/>
              <w:rPr>
                <w:rFonts w:ascii="仿宋" w:hAnsi="仿宋" w:eastAsia="仿宋"/>
                <w:color w:val="auto"/>
                <w:highlight w:val="none"/>
              </w:rPr>
            </w:pPr>
            <w:r>
              <w:rPr>
                <w:rFonts w:hint="eastAsia" w:ascii="仿宋" w:hAnsi="仿宋" w:eastAsia="仿宋"/>
                <w:color w:val="auto"/>
                <w:highlight w:val="none"/>
              </w:rPr>
              <w:t>产品名称</w:t>
            </w:r>
          </w:p>
        </w:tc>
        <w:tc>
          <w:tcPr>
            <w:tcW w:w="880" w:type="dxa"/>
            <w:tcBorders>
              <w:top w:val="single" w:color="000000" w:sz="4" w:space="0"/>
              <w:left w:val="single" w:color="000000" w:sz="4" w:space="0"/>
              <w:bottom w:val="single" w:color="000000" w:sz="4" w:space="0"/>
              <w:right w:val="single" w:color="000000" w:sz="4" w:space="0"/>
            </w:tcBorders>
            <w:noWrap/>
            <w:vAlign w:val="center"/>
          </w:tcPr>
          <w:p>
            <w:pPr>
              <w:pStyle w:val="22"/>
              <w:spacing w:line="360" w:lineRule="auto"/>
              <w:jc w:val="center"/>
              <w:rPr>
                <w:rFonts w:ascii="仿宋" w:hAnsi="仿宋" w:eastAsia="仿宋"/>
                <w:color w:val="auto"/>
                <w:highlight w:val="none"/>
              </w:rPr>
            </w:pPr>
            <w:r>
              <w:rPr>
                <w:rFonts w:hint="eastAsia" w:ascii="仿宋" w:hAnsi="仿宋" w:eastAsia="仿宋"/>
                <w:color w:val="auto"/>
                <w:highlight w:val="none"/>
              </w:rPr>
              <w:t>商标品牌</w:t>
            </w:r>
          </w:p>
        </w:tc>
        <w:tc>
          <w:tcPr>
            <w:tcW w:w="935" w:type="dxa"/>
            <w:tcBorders>
              <w:top w:val="single" w:color="000000" w:sz="4" w:space="0"/>
              <w:left w:val="single" w:color="000000" w:sz="4" w:space="0"/>
              <w:bottom w:val="single" w:color="000000" w:sz="4" w:space="0"/>
              <w:right w:val="single" w:color="000000" w:sz="4" w:space="0"/>
            </w:tcBorders>
            <w:noWrap/>
            <w:vAlign w:val="center"/>
          </w:tcPr>
          <w:p>
            <w:pPr>
              <w:pStyle w:val="22"/>
              <w:spacing w:line="360" w:lineRule="auto"/>
              <w:jc w:val="center"/>
              <w:rPr>
                <w:rFonts w:ascii="仿宋" w:hAnsi="仿宋" w:eastAsia="仿宋"/>
                <w:color w:val="auto"/>
                <w:highlight w:val="none"/>
              </w:rPr>
            </w:pPr>
            <w:r>
              <w:rPr>
                <w:rFonts w:hint="eastAsia" w:ascii="仿宋" w:hAnsi="仿宋" w:eastAsia="仿宋"/>
                <w:color w:val="auto"/>
                <w:highlight w:val="none"/>
              </w:rPr>
              <w:t>型号规格</w:t>
            </w:r>
          </w:p>
        </w:tc>
        <w:tc>
          <w:tcPr>
            <w:tcW w:w="1248" w:type="dxa"/>
            <w:tcBorders>
              <w:top w:val="single" w:color="000000" w:sz="4" w:space="0"/>
              <w:left w:val="single" w:color="000000" w:sz="4" w:space="0"/>
              <w:bottom w:val="single" w:color="000000" w:sz="4" w:space="0"/>
              <w:right w:val="single" w:color="000000" w:sz="4" w:space="0"/>
            </w:tcBorders>
            <w:noWrap/>
            <w:vAlign w:val="center"/>
          </w:tcPr>
          <w:p>
            <w:pPr>
              <w:pStyle w:val="22"/>
              <w:spacing w:line="360" w:lineRule="auto"/>
              <w:jc w:val="center"/>
              <w:rPr>
                <w:rFonts w:ascii="仿宋" w:hAnsi="仿宋" w:eastAsia="仿宋"/>
                <w:color w:val="auto"/>
                <w:highlight w:val="none"/>
              </w:rPr>
            </w:pPr>
            <w:r>
              <w:rPr>
                <w:rFonts w:hint="eastAsia" w:ascii="仿宋" w:hAnsi="仿宋" w:eastAsia="仿宋"/>
                <w:color w:val="auto"/>
                <w:highlight w:val="none"/>
              </w:rPr>
              <w:t>生产厂家</w:t>
            </w:r>
          </w:p>
        </w:tc>
        <w:tc>
          <w:tcPr>
            <w:tcW w:w="552" w:type="dxa"/>
            <w:tcBorders>
              <w:top w:val="single" w:color="000000" w:sz="4" w:space="0"/>
              <w:left w:val="single" w:color="000000" w:sz="4" w:space="0"/>
              <w:bottom w:val="single" w:color="000000" w:sz="4" w:space="0"/>
              <w:right w:val="single" w:color="000000" w:sz="4" w:space="0"/>
            </w:tcBorders>
            <w:noWrap/>
            <w:vAlign w:val="center"/>
          </w:tcPr>
          <w:p>
            <w:pPr>
              <w:pStyle w:val="22"/>
              <w:spacing w:line="360" w:lineRule="auto"/>
              <w:jc w:val="center"/>
              <w:rPr>
                <w:rFonts w:ascii="仿宋" w:hAnsi="仿宋" w:eastAsia="仿宋"/>
                <w:color w:val="auto"/>
                <w:highlight w:val="none"/>
              </w:rPr>
            </w:pPr>
            <w:r>
              <w:rPr>
                <w:rFonts w:hint="eastAsia" w:ascii="仿宋" w:hAnsi="仿宋" w:eastAsia="仿宋"/>
                <w:color w:val="auto"/>
                <w:highlight w:val="none"/>
              </w:rPr>
              <w:t>数量</w:t>
            </w:r>
          </w:p>
        </w:tc>
        <w:tc>
          <w:tcPr>
            <w:tcW w:w="555" w:type="dxa"/>
            <w:tcBorders>
              <w:top w:val="single" w:color="000000" w:sz="4" w:space="0"/>
              <w:left w:val="single" w:color="000000" w:sz="4" w:space="0"/>
              <w:bottom w:val="single" w:color="000000" w:sz="4" w:space="0"/>
              <w:right w:val="single" w:color="000000" w:sz="4" w:space="0"/>
            </w:tcBorders>
            <w:noWrap/>
            <w:vAlign w:val="center"/>
          </w:tcPr>
          <w:p>
            <w:pPr>
              <w:pStyle w:val="22"/>
              <w:spacing w:line="360" w:lineRule="auto"/>
              <w:jc w:val="center"/>
              <w:rPr>
                <w:rFonts w:ascii="仿宋" w:hAnsi="仿宋" w:eastAsia="仿宋"/>
                <w:color w:val="auto"/>
                <w:highlight w:val="none"/>
              </w:rPr>
            </w:pPr>
            <w:r>
              <w:rPr>
                <w:rFonts w:hint="eastAsia" w:ascii="仿宋" w:hAnsi="仿宋" w:eastAsia="仿宋"/>
                <w:color w:val="auto"/>
                <w:highlight w:val="none"/>
              </w:rPr>
              <w:t>单位</w:t>
            </w:r>
          </w:p>
        </w:tc>
        <w:tc>
          <w:tcPr>
            <w:tcW w:w="1410" w:type="dxa"/>
            <w:tcBorders>
              <w:top w:val="single" w:color="000000" w:sz="4" w:space="0"/>
              <w:left w:val="single" w:color="000000" w:sz="4" w:space="0"/>
              <w:bottom w:val="single" w:color="000000" w:sz="4" w:space="0"/>
              <w:right w:val="single" w:color="000000" w:sz="4" w:space="0"/>
            </w:tcBorders>
            <w:noWrap/>
            <w:vAlign w:val="center"/>
          </w:tcPr>
          <w:p>
            <w:pPr>
              <w:pStyle w:val="22"/>
              <w:spacing w:line="360" w:lineRule="auto"/>
              <w:jc w:val="center"/>
              <w:rPr>
                <w:rFonts w:ascii="仿宋" w:hAnsi="仿宋" w:eastAsia="仿宋"/>
                <w:color w:val="auto"/>
                <w:highlight w:val="none"/>
              </w:rPr>
            </w:pPr>
            <w:r>
              <w:rPr>
                <w:rFonts w:hint="eastAsia" w:ascii="仿宋" w:hAnsi="仿宋" w:eastAsia="仿宋"/>
                <w:color w:val="auto"/>
                <w:highlight w:val="none"/>
              </w:rPr>
              <w:t>单价（元）</w:t>
            </w:r>
          </w:p>
        </w:tc>
        <w:tc>
          <w:tcPr>
            <w:tcW w:w="1288" w:type="dxa"/>
            <w:tcBorders>
              <w:top w:val="single" w:color="000000" w:sz="4" w:space="0"/>
              <w:left w:val="single" w:color="000000" w:sz="4" w:space="0"/>
              <w:bottom w:val="single" w:color="000000" w:sz="4" w:space="0"/>
              <w:right w:val="single" w:color="000000" w:sz="4" w:space="0"/>
            </w:tcBorders>
            <w:noWrap/>
            <w:vAlign w:val="center"/>
          </w:tcPr>
          <w:p>
            <w:pPr>
              <w:pStyle w:val="22"/>
              <w:spacing w:line="360" w:lineRule="auto"/>
              <w:jc w:val="center"/>
              <w:rPr>
                <w:rFonts w:ascii="仿宋" w:hAnsi="仿宋" w:eastAsia="仿宋"/>
                <w:color w:val="auto"/>
                <w:highlight w:val="none"/>
              </w:rPr>
            </w:pPr>
            <w:r>
              <w:rPr>
                <w:rFonts w:hint="eastAsia" w:ascii="仿宋" w:hAnsi="仿宋" w:eastAsia="仿宋"/>
                <w:color w:val="auto"/>
                <w:highlight w:val="none"/>
              </w:rPr>
              <w:t>金额（元）</w:t>
            </w:r>
          </w:p>
        </w:tc>
      </w:tr>
      <w:tr>
        <w:tblPrEx>
          <w:tblCellMar>
            <w:top w:w="0" w:type="dxa"/>
            <w:left w:w="108" w:type="dxa"/>
            <w:bottom w:w="0" w:type="dxa"/>
            <w:right w:w="108" w:type="dxa"/>
          </w:tblCellMar>
        </w:tblPrEx>
        <w:trPr>
          <w:trHeight w:val="819" w:hRule="atLeast"/>
        </w:trPr>
        <w:tc>
          <w:tcPr>
            <w:tcW w:w="573" w:type="dxa"/>
            <w:tcBorders>
              <w:top w:val="single" w:color="000000" w:sz="4" w:space="0"/>
              <w:left w:val="single" w:color="000000" w:sz="4" w:space="0"/>
              <w:bottom w:val="single" w:color="000000" w:sz="4" w:space="0"/>
              <w:right w:val="single" w:color="000000" w:sz="4" w:space="0"/>
            </w:tcBorders>
            <w:noWrap/>
            <w:vAlign w:val="center"/>
          </w:tcPr>
          <w:p>
            <w:pPr>
              <w:pStyle w:val="22"/>
              <w:spacing w:line="360" w:lineRule="auto"/>
              <w:jc w:val="center"/>
              <w:rPr>
                <w:rFonts w:ascii="仿宋" w:hAnsi="仿宋" w:eastAsia="仿宋"/>
                <w:color w:val="auto"/>
                <w:highlight w:val="none"/>
              </w:rPr>
            </w:pPr>
            <w:r>
              <w:rPr>
                <w:rFonts w:hint="eastAsia" w:ascii="仿宋" w:hAnsi="仿宋" w:eastAsia="仿宋"/>
                <w:color w:val="auto"/>
                <w:highlight w:val="none"/>
              </w:rPr>
              <w:t>1</w:t>
            </w:r>
          </w:p>
        </w:tc>
        <w:tc>
          <w:tcPr>
            <w:tcW w:w="1830" w:type="dxa"/>
            <w:tcBorders>
              <w:top w:val="single" w:color="000000" w:sz="4" w:space="0"/>
              <w:left w:val="single" w:color="000000" w:sz="4" w:space="0"/>
              <w:bottom w:val="single" w:color="000000" w:sz="4" w:space="0"/>
              <w:right w:val="single" w:color="000000" w:sz="4" w:space="0"/>
            </w:tcBorders>
            <w:noWrap/>
            <w:vAlign w:val="center"/>
          </w:tcPr>
          <w:p>
            <w:pPr>
              <w:pStyle w:val="22"/>
              <w:spacing w:line="360" w:lineRule="auto"/>
              <w:jc w:val="center"/>
              <w:rPr>
                <w:rFonts w:ascii="仿宋" w:hAnsi="仿宋" w:eastAsia="仿宋"/>
                <w:color w:val="auto"/>
                <w:highlight w:val="none"/>
              </w:rPr>
            </w:pPr>
          </w:p>
        </w:tc>
        <w:tc>
          <w:tcPr>
            <w:tcW w:w="880" w:type="dxa"/>
            <w:tcBorders>
              <w:top w:val="single" w:color="000000" w:sz="4" w:space="0"/>
              <w:left w:val="single" w:color="000000" w:sz="4" w:space="0"/>
              <w:bottom w:val="single" w:color="000000" w:sz="4" w:space="0"/>
              <w:right w:val="single" w:color="000000" w:sz="4" w:space="0"/>
            </w:tcBorders>
            <w:noWrap/>
            <w:vAlign w:val="center"/>
          </w:tcPr>
          <w:p>
            <w:pPr>
              <w:pStyle w:val="22"/>
              <w:spacing w:line="360" w:lineRule="auto"/>
              <w:jc w:val="center"/>
              <w:rPr>
                <w:rFonts w:ascii="仿宋" w:hAnsi="仿宋" w:eastAsia="仿宋"/>
                <w:color w:val="auto"/>
                <w:highlight w:val="none"/>
              </w:rPr>
            </w:pPr>
          </w:p>
        </w:tc>
        <w:tc>
          <w:tcPr>
            <w:tcW w:w="935" w:type="dxa"/>
            <w:tcBorders>
              <w:top w:val="single" w:color="000000" w:sz="4" w:space="0"/>
              <w:left w:val="single" w:color="000000" w:sz="4" w:space="0"/>
              <w:bottom w:val="single" w:color="000000" w:sz="4" w:space="0"/>
              <w:right w:val="single" w:color="000000" w:sz="4" w:space="0"/>
            </w:tcBorders>
            <w:noWrap/>
            <w:vAlign w:val="center"/>
          </w:tcPr>
          <w:p>
            <w:pPr>
              <w:pStyle w:val="22"/>
              <w:spacing w:line="360" w:lineRule="auto"/>
              <w:jc w:val="center"/>
              <w:rPr>
                <w:rFonts w:ascii="仿宋" w:hAnsi="仿宋" w:eastAsia="仿宋"/>
                <w:color w:val="auto"/>
                <w:highlight w:val="none"/>
              </w:rPr>
            </w:pPr>
          </w:p>
        </w:tc>
        <w:tc>
          <w:tcPr>
            <w:tcW w:w="1248" w:type="dxa"/>
            <w:tcBorders>
              <w:top w:val="single" w:color="000000" w:sz="4" w:space="0"/>
              <w:left w:val="single" w:color="000000" w:sz="4" w:space="0"/>
              <w:bottom w:val="single" w:color="000000" w:sz="4" w:space="0"/>
              <w:right w:val="single" w:color="000000" w:sz="4" w:space="0"/>
            </w:tcBorders>
            <w:noWrap/>
            <w:vAlign w:val="center"/>
          </w:tcPr>
          <w:p>
            <w:pPr>
              <w:pStyle w:val="22"/>
              <w:spacing w:line="360" w:lineRule="auto"/>
              <w:jc w:val="center"/>
              <w:rPr>
                <w:rFonts w:ascii="仿宋" w:hAnsi="仿宋" w:eastAsia="仿宋"/>
                <w:color w:val="auto"/>
                <w:highlight w:val="none"/>
              </w:rPr>
            </w:pPr>
          </w:p>
        </w:tc>
        <w:tc>
          <w:tcPr>
            <w:tcW w:w="552" w:type="dxa"/>
            <w:tcBorders>
              <w:top w:val="single" w:color="000000" w:sz="4" w:space="0"/>
              <w:left w:val="single" w:color="000000" w:sz="4" w:space="0"/>
              <w:bottom w:val="single" w:color="000000" w:sz="4" w:space="0"/>
              <w:right w:val="single" w:color="000000" w:sz="4" w:space="0"/>
            </w:tcBorders>
            <w:noWrap/>
            <w:vAlign w:val="center"/>
          </w:tcPr>
          <w:p>
            <w:pPr>
              <w:pStyle w:val="22"/>
              <w:spacing w:line="360" w:lineRule="auto"/>
              <w:jc w:val="center"/>
              <w:rPr>
                <w:rFonts w:ascii="仿宋" w:hAnsi="仿宋" w:eastAsia="仿宋"/>
                <w:color w:val="auto"/>
                <w:highlight w:val="none"/>
              </w:rPr>
            </w:pPr>
          </w:p>
        </w:tc>
        <w:tc>
          <w:tcPr>
            <w:tcW w:w="555" w:type="dxa"/>
            <w:tcBorders>
              <w:top w:val="single" w:color="000000" w:sz="4" w:space="0"/>
              <w:left w:val="single" w:color="000000" w:sz="4" w:space="0"/>
              <w:bottom w:val="single" w:color="000000" w:sz="4" w:space="0"/>
              <w:right w:val="single" w:color="000000" w:sz="4" w:space="0"/>
            </w:tcBorders>
            <w:noWrap/>
            <w:vAlign w:val="center"/>
          </w:tcPr>
          <w:p>
            <w:pPr>
              <w:pStyle w:val="22"/>
              <w:spacing w:line="360" w:lineRule="auto"/>
              <w:jc w:val="center"/>
              <w:rPr>
                <w:rFonts w:ascii="仿宋" w:hAnsi="仿宋" w:eastAsia="仿宋"/>
                <w:color w:val="auto"/>
                <w:highlight w:val="none"/>
              </w:rPr>
            </w:pPr>
          </w:p>
        </w:tc>
        <w:tc>
          <w:tcPr>
            <w:tcW w:w="141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 w:hAnsi="仿宋" w:eastAsia="仿宋" w:cs="仿宋"/>
                <w:color w:val="auto"/>
                <w:sz w:val="24"/>
                <w:highlight w:val="none"/>
              </w:rPr>
            </w:pPr>
          </w:p>
        </w:tc>
        <w:tc>
          <w:tcPr>
            <w:tcW w:w="128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 w:hAnsi="仿宋" w:eastAsia="仿宋" w:cs="仿宋"/>
                <w:color w:val="auto"/>
                <w:sz w:val="24"/>
                <w:highlight w:val="none"/>
              </w:rPr>
            </w:pPr>
          </w:p>
        </w:tc>
      </w:tr>
      <w:tr>
        <w:tblPrEx>
          <w:tblCellMar>
            <w:top w:w="0" w:type="dxa"/>
            <w:left w:w="108" w:type="dxa"/>
            <w:bottom w:w="0" w:type="dxa"/>
            <w:right w:w="108" w:type="dxa"/>
          </w:tblCellMar>
        </w:tblPrEx>
        <w:tc>
          <w:tcPr>
            <w:tcW w:w="9271" w:type="dxa"/>
            <w:gridSpan w:val="9"/>
            <w:tcBorders>
              <w:top w:val="single" w:color="000000" w:sz="4" w:space="0"/>
              <w:left w:val="single" w:color="000000" w:sz="4" w:space="0"/>
              <w:bottom w:val="single" w:color="000000" w:sz="4" w:space="0"/>
              <w:right w:val="single" w:color="000000" w:sz="4" w:space="0"/>
            </w:tcBorders>
            <w:noWrap/>
            <w:vAlign w:val="top"/>
          </w:tcPr>
          <w:p>
            <w:pPr>
              <w:pStyle w:val="22"/>
              <w:spacing w:line="360" w:lineRule="auto"/>
              <w:rPr>
                <w:rFonts w:ascii="仿宋" w:hAnsi="仿宋" w:eastAsia="仿宋"/>
                <w:color w:val="auto"/>
                <w:highlight w:val="none"/>
              </w:rPr>
            </w:pPr>
            <w:r>
              <w:rPr>
                <w:rFonts w:hint="eastAsia" w:ascii="仿宋" w:hAnsi="仿宋" w:eastAsia="仿宋"/>
                <w:color w:val="auto"/>
                <w:highlight w:val="none"/>
              </w:rPr>
              <w:t>人民币合计金额：         元整（￥       元）</w:t>
            </w:r>
          </w:p>
        </w:tc>
      </w:tr>
    </w:tbl>
    <w:p>
      <w:pPr>
        <w:pStyle w:val="22"/>
        <w:spacing w:line="360" w:lineRule="auto"/>
        <w:rPr>
          <w:rFonts w:ascii="仿宋" w:hAnsi="仿宋" w:eastAsia="仿宋"/>
          <w:color w:val="auto"/>
          <w:highlight w:val="none"/>
        </w:rPr>
      </w:pPr>
      <w:r>
        <w:rPr>
          <w:rFonts w:hint="eastAsia" w:ascii="仿宋" w:hAnsi="仿宋" w:eastAsia="仿宋"/>
          <w:color w:val="auto"/>
          <w:highlight w:val="none"/>
        </w:rPr>
        <w:t>2．合同合计金额</w:t>
      </w:r>
      <w:r>
        <w:rPr>
          <w:rFonts w:hint="eastAsia" w:ascii="仿宋" w:hAnsi="仿宋" w:eastAsia="仿宋"/>
          <w:color w:val="auto"/>
          <w:highlight w:val="none"/>
          <w:lang w:val="zh-CN"/>
        </w:rPr>
        <w:t>报价包括设备、设备包装、装卸运输、保险、税费、设备安装以及调试、验收、技术服务（包括技术资料的提供）、质保期保障、设备检测、培训</w:t>
      </w:r>
      <w:r>
        <w:rPr>
          <w:rFonts w:ascii="宋体" w:hAnsi="宋体" w:eastAsia="宋体" w:cs="宋体"/>
          <w:color w:val="auto"/>
          <w:spacing w:val="0"/>
          <w:sz w:val="24"/>
          <w:szCs w:val="24"/>
          <w:highlight w:val="none"/>
        </w:rPr>
        <w:t>及与医院信息系统对接的接口费</w:t>
      </w:r>
      <w:r>
        <w:rPr>
          <w:rFonts w:hint="eastAsia" w:ascii="仿宋" w:hAnsi="仿宋" w:eastAsia="仿宋"/>
          <w:color w:val="auto"/>
          <w:highlight w:val="none"/>
          <w:lang w:val="zh-CN"/>
        </w:rPr>
        <w:t>等</w:t>
      </w:r>
      <w:r>
        <w:rPr>
          <w:rFonts w:hint="eastAsia" w:ascii="仿宋" w:hAnsi="仿宋" w:eastAsia="仿宋"/>
          <w:color w:val="auto"/>
          <w:highlight w:val="none"/>
          <w:lang w:val="zh-CN"/>
        </w:rPr>
        <w:t>所发生的一切费用</w:t>
      </w:r>
      <w:r>
        <w:rPr>
          <w:rFonts w:hint="eastAsia" w:ascii="仿宋" w:hAnsi="仿宋" w:eastAsia="仿宋"/>
          <w:color w:val="auto"/>
          <w:highlight w:val="none"/>
        </w:rPr>
        <w:t>。如</w:t>
      </w:r>
      <w:r>
        <w:rPr>
          <w:rFonts w:hint="eastAsia" w:ascii="仿宋" w:hAnsi="仿宋" w:eastAsia="仿宋"/>
          <w:color w:val="auto"/>
          <w:highlight w:val="none"/>
          <w:lang w:eastAsia="zh-CN"/>
        </w:rPr>
        <w:t>招标文件</w:t>
      </w:r>
      <w:r>
        <w:rPr>
          <w:rFonts w:hint="eastAsia" w:ascii="仿宋" w:hAnsi="仿宋" w:eastAsia="仿宋"/>
          <w:color w:val="auto"/>
          <w:highlight w:val="none"/>
        </w:rPr>
        <w:t>及</w:t>
      </w:r>
      <w:r>
        <w:rPr>
          <w:rFonts w:hint="eastAsia" w:ascii="仿宋" w:hAnsi="仿宋" w:eastAsia="仿宋"/>
          <w:color w:val="auto"/>
          <w:highlight w:val="none"/>
          <w:lang w:eastAsia="zh-CN"/>
        </w:rPr>
        <w:t>投标</w:t>
      </w:r>
      <w:r>
        <w:rPr>
          <w:rFonts w:hint="eastAsia" w:ascii="仿宋" w:hAnsi="仿宋" w:eastAsia="仿宋"/>
          <w:color w:val="auto"/>
          <w:highlight w:val="none"/>
        </w:rPr>
        <w:t>文件对其另有约定的，从其约定。</w:t>
      </w:r>
    </w:p>
    <w:p>
      <w:pPr>
        <w:pStyle w:val="22"/>
        <w:spacing w:line="360" w:lineRule="auto"/>
        <w:ind w:right="-508" w:rightChars="-242"/>
        <w:rPr>
          <w:rFonts w:ascii="仿宋" w:hAnsi="仿宋" w:eastAsia="仿宋"/>
          <w:b/>
          <w:bCs/>
          <w:color w:val="auto"/>
          <w:highlight w:val="none"/>
        </w:rPr>
      </w:pPr>
      <w:r>
        <w:rPr>
          <w:rFonts w:hint="eastAsia" w:ascii="仿宋" w:hAnsi="仿宋" w:eastAsia="仿宋"/>
          <w:b/>
          <w:bCs/>
          <w:color w:val="auto"/>
          <w:highlight w:val="none"/>
        </w:rPr>
        <w:t>第二条  质量保证</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1．乙方所提供的货物型号、技术规格、技术参数等质量必须与</w:t>
      </w:r>
      <w:r>
        <w:rPr>
          <w:rFonts w:hint="eastAsia" w:ascii="仿宋" w:hAnsi="仿宋" w:eastAsia="仿宋"/>
          <w:color w:val="auto"/>
          <w:highlight w:val="none"/>
          <w:lang w:eastAsia="zh-CN"/>
        </w:rPr>
        <w:t>招标文件</w:t>
      </w:r>
      <w:r>
        <w:rPr>
          <w:rFonts w:hint="eastAsia" w:ascii="仿宋" w:hAnsi="仿宋" w:eastAsia="仿宋"/>
          <w:color w:val="auto"/>
          <w:highlight w:val="none"/>
        </w:rPr>
        <w:t>相一致。乙方提供的节能和环保产品必须是列入政府采购清单的产品。</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2．合同提供设备的生产日期不得超过半年，乙方所提供的货物必须是全新、未使用的原装产品，且在正常使用和保养条件下，其使用寿命期内各项指标均达到质量要求。</w:t>
      </w:r>
    </w:p>
    <w:p>
      <w:pPr>
        <w:pStyle w:val="22"/>
        <w:spacing w:line="360" w:lineRule="auto"/>
        <w:rPr>
          <w:rFonts w:ascii="仿宋" w:hAnsi="仿宋" w:eastAsia="仿宋"/>
          <w:b/>
          <w:bCs/>
          <w:color w:val="auto"/>
          <w:highlight w:val="none"/>
        </w:rPr>
      </w:pPr>
      <w:r>
        <w:rPr>
          <w:rFonts w:hint="eastAsia" w:ascii="仿宋" w:hAnsi="仿宋" w:eastAsia="仿宋"/>
          <w:b/>
          <w:bCs/>
          <w:color w:val="auto"/>
          <w:highlight w:val="none"/>
        </w:rPr>
        <w:t>第三条  权利保证</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1．乙方对合同标的享有合法、完整的所有权，合同标的不存在租赁、担保或保留所有权等权利瑕疵的情形，乙方应保证所提供货物在使用时不会侵犯任何第三方的专利权、商标权、工业设计权或其他权利。</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乙方应按</w:t>
      </w:r>
      <w:r>
        <w:rPr>
          <w:rFonts w:hint="eastAsia" w:ascii="仿宋" w:hAnsi="仿宋" w:eastAsia="仿宋"/>
          <w:color w:val="auto"/>
          <w:highlight w:val="none"/>
          <w:lang w:eastAsia="zh-CN"/>
        </w:rPr>
        <w:t>招标文件</w:t>
      </w:r>
      <w:r>
        <w:rPr>
          <w:rFonts w:hint="eastAsia" w:ascii="仿宋" w:hAnsi="仿宋" w:eastAsia="仿宋"/>
          <w:color w:val="auto"/>
          <w:highlight w:val="none"/>
        </w:rPr>
        <w:t>规定的时间向甲方提供使用货物的有关技术资料。</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2．没有甲方事先书面同意，乙方不得将由甲方提供的有关合同或任何合同条文、规格、计划、图纸、样品或资料提供给与本合同无关的任何其他人。即使向履行本合同有关的人员提供，也应该注意保密并限于履行合同的必需范围。</w:t>
      </w:r>
    </w:p>
    <w:p>
      <w:pPr>
        <w:pStyle w:val="22"/>
        <w:spacing w:line="360" w:lineRule="auto"/>
        <w:rPr>
          <w:rFonts w:ascii="仿宋" w:hAnsi="仿宋" w:eastAsia="仿宋"/>
          <w:b/>
          <w:bCs/>
          <w:color w:val="auto"/>
          <w:highlight w:val="none"/>
        </w:rPr>
      </w:pPr>
      <w:r>
        <w:rPr>
          <w:rFonts w:hint="eastAsia" w:ascii="仿宋" w:hAnsi="仿宋" w:eastAsia="仿宋"/>
          <w:b/>
          <w:bCs/>
          <w:color w:val="auto"/>
          <w:highlight w:val="none"/>
        </w:rPr>
        <w:t>第四条  包装和运输</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1．乙方提供的货物均应按</w:t>
      </w:r>
      <w:r>
        <w:rPr>
          <w:rFonts w:hint="eastAsia" w:ascii="仿宋" w:hAnsi="仿宋" w:eastAsia="仿宋"/>
          <w:color w:val="auto"/>
          <w:highlight w:val="none"/>
          <w:lang w:eastAsia="zh-CN"/>
        </w:rPr>
        <w:t>招标文件</w:t>
      </w:r>
      <w:r>
        <w:rPr>
          <w:rFonts w:hint="eastAsia" w:ascii="仿宋" w:hAnsi="仿宋" w:eastAsia="仿宋"/>
          <w:color w:val="auto"/>
          <w:highlight w:val="none"/>
        </w:rPr>
        <w:t>及响应文件要求的包装材料、包装标准、包装方式进行包装，每一包装单元内应附详细的装箱单和质量合格证。</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 xml:space="preserve"> 2．货物的运输：由乙方负责。</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3．乙方负责货物运输，货物运输合理损耗及计算方法：无。</w:t>
      </w:r>
    </w:p>
    <w:p>
      <w:pPr>
        <w:pStyle w:val="22"/>
        <w:spacing w:line="360" w:lineRule="auto"/>
        <w:rPr>
          <w:rFonts w:ascii="仿宋" w:hAnsi="仿宋" w:eastAsia="仿宋"/>
          <w:b/>
          <w:bCs/>
          <w:color w:val="auto"/>
          <w:highlight w:val="none"/>
        </w:rPr>
      </w:pPr>
      <w:r>
        <w:rPr>
          <w:rFonts w:hint="eastAsia" w:ascii="仿宋" w:hAnsi="仿宋" w:eastAsia="仿宋"/>
          <w:b/>
          <w:bCs/>
          <w:color w:val="auto"/>
          <w:highlight w:val="none"/>
        </w:rPr>
        <w:t>第五条  交付和验收</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1．交货期：合同生效</w:t>
      </w:r>
      <w:r>
        <w:rPr>
          <w:rFonts w:hint="eastAsia" w:ascii="仿宋" w:hAnsi="仿宋" w:eastAsia="仿宋"/>
          <w:color w:val="auto"/>
          <w:highlight w:val="none"/>
          <w:u w:val="single"/>
        </w:rPr>
        <w:t>后    日</w:t>
      </w:r>
      <w:r>
        <w:rPr>
          <w:rFonts w:hint="eastAsia" w:ascii="仿宋" w:hAnsi="仿宋" w:eastAsia="仿宋"/>
          <w:color w:val="auto"/>
          <w:highlight w:val="none"/>
        </w:rPr>
        <w:t>历日天内交货完毕。地点：采购单位指定地点。</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2．乙方提供不符合</w:t>
      </w:r>
      <w:r>
        <w:rPr>
          <w:rFonts w:hint="eastAsia" w:ascii="仿宋" w:hAnsi="仿宋" w:eastAsia="仿宋"/>
          <w:color w:val="auto"/>
          <w:highlight w:val="none"/>
          <w:lang w:eastAsia="zh-CN"/>
        </w:rPr>
        <w:t>招标文件</w:t>
      </w:r>
      <w:r>
        <w:rPr>
          <w:rFonts w:hint="eastAsia" w:ascii="仿宋" w:hAnsi="仿宋" w:eastAsia="仿宋"/>
          <w:color w:val="auto"/>
          <w:highlight w:val="none"/>
        </w:rPr>
        <w:t xml:space="preserve">及响应文件和合同规定的货物，甲方有权拒绝接受。 </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3．乙方应将所提供货物的装箱清单、用户手册、原厂保修卡、随机资料、工具和备品、备件等交付给甲方，如有缺失应及时补齐，否则视为逾期交货。</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4．甲方应当在到货后七个工作日内进行验收，逾期不验收的，乙方可视同验收合格（但属于隐蔽性瑕疵的除外）。验收合格后由甲乙双方签署货物验收单并加盖采购单位盖章，甲乙双方各执一份。</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5．采购人委托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6．甲方对验收有异议的，在验收后五个工作日内以书面形式向乙方提出，乙方应自收到甲方书面异议后 10日内及时予以解决。</w:t>
      </w:r>
    </w:p>
    <w:p>
      <w:pPr>
        <w:pStyle w:val="22"/>
        <w:spacing w:line="360" w:lineRule="auto"/>
        <w:rPr>
          <w:rFonts w:ascii="仿宋" w:hAnsi="仿宋" w:eastAsia="仿宋"/>
          <w:b/>
          <w:bCs/>
          <w:color w:val="auto"/>
          <w:highlight w:val="none"/>
        </w:rPr>
      </w:pPr>
      <w:r>
        <w:rPr>
          <w:rFonts w:hint="eastAsia" w:ascii="仿宋" w:hAnsi="仿宋" w:eastAsia="仿宋"/>
          <w:b/>
          <w:bCs/>
          <w:color w:val="auto"/>
          <w:highlight w:val="none"/>
        </w:rPr>
        <w:t>第六条  培训</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乙方负责甲方有关人员的培训。培训时间</w:t>
      </w:r>
      <w:r>
        <w:rPr>
          <w:rFonts w:hint="eastAsia" w:ascii="仿宋" w:hAnsi="仿宋" w:eastAsia="仿宋"/>
          <w:color w:val="auto"/>
          <w:highlight w:val="none"/>
          <w:u w:val="single"/>
        </w:rPr>
        <w:t>由甲方指定培训时间</w:t>
      </w:r>
      <w:r>
        <w:rPr>
          <w:rFonts w:hint="eastAsia" w:ascii="仿宋" w:hAnsi="仿宋" w:eastAsia="仿宋"/>
          <w:color w:val="auto"/>
          <w:highlight w:val="none"/>
        </w:rPr>
        <w:t>、地点：</w:t>
      </w:r>
      <w:r>
        <w:rPr>
          <w:rFonts w:hint="eastAsia" w:ascii="仿宋" w:hAnsi="仿宋" w:eastAsia="仿宋"/>
          <w:color w:val="auto"/>
          <w:highlight w:val="none"/>
          <w:u w:val="single"/>
        </w:rPr>
        <w:t xml:space="preserve"> 由甲方指定培训地点</w:t>
      </w:r>
      <w:r>
        <w:rPr>
          <w:rFonts w:hint="eastAsia" w:ascii="仿宋" w:hAnsi="仿宋" w:eastAsia="仿宋"/>
          <w:color w:val="auto"/>
          <w:highlight w:val="none"/>
        </w:rPr>
        <w:t xml:space="preserve">。                </w:t>
      </w:r>
    </w:p>
    <w:p>
      <w:pPr>
        <w:pStyle w:val="22"/>
        <w:spacing w:line="360" w:lineRule="auto"/>
        <w:rPr>
          <w:rFonts w:ascii="仿宋" w:hAnsi="仿宋" w:eastAsia="仿宋"/>
          <w:b/>
          <w:bCs/>
          <w:color w:val="auto"/>
          <w:highlight w:val="none"/>
        </w:rPr>
      </w:pPr>
      <w:r>
        <w:rPr>
          <w:rFonts w:hint="eastAsia" w:ascii="仿宋" w:hAnsi="仿宋" w:eastAsia="仿宋"/>
          <w:b/>
          <w:bCs/>
          <w:color w:val="auto"/>
          <w:highlight w:val="none"/>
        </w:rPr>
        <w:t>第七条  售后服务、质保期</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１．乙方应按国家有关法律法规和“三包”规定以及</w:t>
      </w:r>
      <w:r>
        <w:rPr>
          <w:rFonts w:hint="eastAsia" w:ascii="仿宋" w:hAnsi="仿宋" w:eastAsia="仿宋"/>
          <w:color w:val="auto"/>
          <w:highlight w:val="none"/>
          <w:lang w:eastAsia="zh-CN"/>
        </w:rPr>
        <w:t>招标文件</w:t>
      </w:r>
      <w:r>
        <w:rPr>
          <w:rFonts w:hint="eastAsia" w:ascii="仿宋" w:hAnsi="仿宋" w:eastAsia="仿宋"/>
          <w:color w:val="auto"/>
          <w:highlight w:val="none"/>
        </w:rPr>
        <w:t>及响应文件和本合同所附的《服务承诺》，为甲方提供售后服务。</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２．货物保修期：按成交人响应文件承诺</w:t>
      </w:r>
      <w:r>
        <w:rPr>
          <w:rFonts w:hint="eastAsia" w:ascii="仿宋" w:hAnsi="仿宋" w:eastAsia="仿宋" w:cs="黑体"/>
          <w:color w:val="auto"/>
          <w:sz w:val="24"/>
          <w:szCs w:val="24"/>
          <w:highlight w:val="none"/>
          <w:lang w:val="en-US" w:eastAsia="zh-CN" w:bidi="ar-SA"/>
        </w:rPr>
        <w:t>（自项目验收合格之日起</w:t>
      </w:r>
      <w:r>
        <w:rPr>
          <w:rFonts w:hint="eastAsia" w:ascii="仿宋" w:hAnsi="仿宋" w:eastAsia="仿宋" w:cs="黑体"/>
          <w:color w:val="auto"/>
          <w:sz w:val="24"/>
          <w:szCs w:val="24"/>
          <w:highlight w:val="none"/>
          <w:u w:val="single"/>
          <w:lang w:val="en-US" w:eastAsia="zh-CN" w:bidi="ar-SA"/>
        </w:rPr>
        <w:t xml:space="preserve">     </w:t>
      </w:r>
      <w:r>
        <w:rPr>
          <w:rFonts w:hint="eastAsia" w:ascii="仿宋" w:hAnsi="仿宋" w:eastAsia="仿宋" w:cs="黑体"/>
          <w:color w:val="auto"/>
          <w:sz w:val="24"/>
          <w:szCs w:val="24"/>
          <w:highlight w:val="none"/>
          <w:lang w:val="en-US" w:eastAsia="zh-CN" w:bidi="ar-SA"/>
        </w:rPr>
        <w:t>年）</w:t>
      </w:r>
      <w:r>
        <w:rPr>
          <w:rFonts w:hint="eastAsia" w:ascii="宋体" w:hAnsi="宋体" w:eastAsia="宋体" w:cs="宋体"/>
          <w:color w:val="auto"/>
          <w:highlight w:val="none"/>
        </w:rPr>
        <w:t>。</w:t>
      </w:r>
    </w:p>
    <w:p>
      <w:pPr>
        <w:pStyle w:val="22"/>
        <w:spacing w:line="360" w:lineRule="auto"/>
        <w:rPr>
          <w:rFonts w:hint="eastAsia" w:ascii="仿宋" w:hAnsi="仿宋" w:eastAsia="仿宋"/>
          <w:color w:val="auto"/>
          <w:highlight w:val="none"/>
        </w:rPr>
      </w:pPr>
      <w:r>
        <w:rPr>
          <w:rFonts w:hint="eastAsia" w:ascii="仿宋" w:hAnsi="仿宋" w:eastAsia="仿宋"/>
          <w:color w:val="auto"/>
          <w:highlight w:val="none"/>
        </w:rPr>
        <w:t>３．乙方提供的服务承诺和售后服务及保修期责任等其他约定事项应与</w:t>
      </w:r>
      <w:r>
        <w:rPr>
          <w:rFonts w:hint="eastAsia" w:ascii="仿宋" w:hAnsi="仿宋" w:eastAsia="仿宋"/>
          <w:color w:val="auto"/>
          <w:highlight w:val="none"/>
          <w:lang w:eastAsia="zh-CN"/>
        </w:rPr>
        <w:t>招标文件</w:t>
      </w:r>
      <w:r>
        <w:rPr>
          <w:rFonts w:hint="eastAsia" w:ascii="仿宋" w:hAnsi="仿宋" w:eastAsia="仿宋"/>
          <w:color w:val="auto"/>
          <w:highlight w:val="none"/>
        </w:rPr>
        <w:t>规定一致，（见合同附件）。</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454"/>
        <w:textAlignment w:val="baseline"/>
        <w:rPr>
          <w:rFonts w:hint="default" w:ascii="仿宋" w:hAnsi="仿宋" w:eastAsia="仿宋"/>
          <w:color w:val="auto"/>
          <w:highlight w:val="none"/>
          <w:lang w:val="en-US" w:eastAsia="zh-CN"/>
        </w:rPr>
      </w:pPr>
      <w:r>
        <w:rPr>
          <w:rFonts w:ascii="Times New Roman" w:hAnsi="Times New Roman" w:eastAsia="Times New Roman" w:cs="Times New Roman"/>
          <w:color w:val="auto"/>
          <w:spacing w:val="-1"/>
          <w:sz w:val="24"/>
          <w:szCs w:val="24"/>
          <w:highlight w:val="none"/>
        </w:rPr>
        <w:t>4</w:t>
      </w:r>
      <w:r>
        <w:rPr>
          <w:rFonts w:ascii="宋体" w:hAnsi="宋体" w:eastAsia="宋体" w:cs="宋体"/>
          <w:color w:val="auto"/>
          <w:spacing w:val="-1"/>
          <w:sz w:val="24"/>
          <w:szCs w:val="24"/>
          <w:highlight w:val="none"/>
        </w:rPr>
        <w:t>．若甲方因工作需要调整工作地点，成交供应商免费将设备搬迁至新的工</w:t>
      </w:r>
      <w:r>
        <w:rPr>
          <w:rFonts w:ascii="宋体" w:hAnsi="宋体" w:eastAsia="宋体" w:cs="宋体"/>
          <w:color w:val="auto"/>
          <w:spacing w:val="-2"/>
          <w:sz w:val="24"/>
          <w:szCs w:val="24"/>
          <w:highlight w:val="none"/>
        </w:rPr>
        <w:t>作地</w:t>
      </w:r>
      <w:r>
        <w:rPr>
          <w:rFonts w:ascii="宋体" w:hAnsi="宋体" w:eastAsia="宋体" w:cs="宋体"/>
          <w:color w:val="auto"/>
          <w:spacing w:val="-3"/>
          <w:sz w:val="24"/>
          <w:szCs w:val="24"/>
          <w:highlight w:val="none"/>
        </w:rPr>
        <w:t>点并安装调试完毕。</w:t>
      </w:r>
    </w:p>
    <w:p>
      <w:pPr>
        <w:pStyle w:val="22"/>
        <w:spacing w:line="360" w:lineRule="auto"/>
        <w:rPr>
          <w:rFonts w:ascii="仿宋" w:hAnsi="仿宋" w:eastAsia="仿宋"/>
          <w:b/>
          <w:bCs/>
          <w:color w:val="auto"/>
          <w:highlight w:val="none"/>
        </w:rPr>
      </w:pPr>
      <w:r>
        <w:rPr>
          <w:rFonts w:hint="eastAsia" w:ascii="仿宋" w:hAnsi="仿宋" w:eastAsia="仿宋"/>
          <w:b/>
          <w:bCs/>
          <w:color w:val="auto"/>
          <w:highlight w:val="none"/>
        </w:rPr>
        <w:t>第八条  付款方式和保证金</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1．当采购数量与实际使用数量不一致时，乙方应根据实际使用数量供货，合同的最终结算金额按实际使用量乘以成交单价进行计算。</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2．资金性质：单位自筹资金。</w:t>
      </w:r>
    </w:p>
    <w:p>
      <w:pPr>
        <w:pStyle w:val="22"/>
        <w:spacing w:line="360" w:lineRule="auto"/>
        <w:rPr>
          <w:rFonts w:ascii="仿宋" w:hAnsi="仿宋" w:eastAsia="仿宋"/>
          <w:b/>
          <w:bCs/>
          <w:color w:val="auto"/>
          <w:highlight w:val="none"/>
        </w:rPr>
      </w:pPr>
      <w:r>
        <w:rPr>
          <w:rFonts w:hint="eastAsia" w:ascii="仿宋" w:hAnsi="仿宋" w:eastAsia="仿宋"/>
          <w:b/>
          <w:bCs/>
          <w:color w:val="auto"/>
          <w:highlight w:val="none"/>
        </w:rPr>
        <w:t>３．付款方式：</w:t>
      </w:r>
      <w:r>
        <w:rPr>
          <w:rFonts w:ascii="宋体" w:hAnsi="宋体" w:eastAsia="宋体" w:cs="宋体"/>
          <w:b/>
          <w:bCs/>
          <w:color w:val="auto"/>
          <w:spacing w:val="-5"/>
          <w:sz w:val="24"/>
          <w:szCs w:val="24"/>
          <w:highlight w:val="none"/>
          <w:u w:val="single" w:color="auto"/>
        </w:rPr>
        <w:t>交货安装验收合格，乙方必须开具合法全额发票，甲方正</w:t>
      </w:r>
      <w:r>
        <w:rPr>
          <w:rFonts w:ascii="宋体" w:hAnsi="宋体" w:eastAsia="宋体" w:cs="宋体"/>
          <w:b/>
          <w:bCs/>
          <w:color w:val="auto"/>
          <w:spacing w:val="-6"/>
          <w:sz w:val="24"/>
          <w:szCs w:val="24"/>
          <w:highlight w:val="none"/>
          <w:u w:val="single" w:color="auto"/>
        </w:rPr>
        <w:t>常使</w:t>
      </w:r>
      <w:r>
        <w:rPr>
          <w:rFonts w:ascii="宋体" w:hAnsi="宋体" w:eastAsia="宋体" w:cs="宋体"/>
          <w:b/>
          <w:bCs/>
          <w:color w:val="auto"/>
          <w:spacing w:val="-2"/>
          <w:sz w:val="24"/>
          <w:szCs w:val="24"/>
          <w:highlight w:val="none"/>
          <w:u w:val="single" w:color="auto"/>
        </w:rPr>
        <w:t>用满</w:t>
      </w:r>
      <w:r>
        <w:rPr>
          <w:rFonts w:ascii="宋体" w:hAnsi="宋体" w:eastAsia="宋体" w:cs="宋体"/>
          <w:b/>
          <w:bCs/>
          <w:color w:val="auto"/>
          <w:spacing w:val="-32"/>
          <w:sz w:val="24"/>
          <w:szCs w:val="24"/>
          <w:highlight w:val="none"/>
          <w:u w:val="single" w:color="auto"/>
        </w:rPr>
        <w:t xml:space="preserve"> </w:t>
      </w:r>
      <w:r>
        <w:rPr>
          <w:rFonts w:ascii="宋体" w:hAnsi="宋体" w:eastAsia="宋体" w:cs="宋体"/>
          <w:b/>
          <w:bCs/>
          <w:color w:val="auto"/>
          <w:spacing w:val="-2"/>
          <w:sz w:val="24"/>
          <w:szCs w:val="24"/>
          <w:highlight w:val="none"/>
          <w:u w:val="single" w:color="auto"/>
        </w:rPr>
        <w:t>3</w:t>
      </w:r>
      <w:r>
        <w:rPr>
          <w:rFonts w:ascii="宋体" w:hAnsi="宋体" w:eastAsia="宋体" w:cs="宋体"/>
          <w:b/>
          <w:bCs/>
          <w:color w:val="auto"/>
          <w:spacing w:val="-50"/>
          <w:sz w:val="24"/>
          <w:szCs w:val="24"/>
          <w:highlight w:val="none"/>
          <w:u w:val="single" w:color="auto"/>
        </w:rPr>
        <w:t xml:space="preserve"> </w:t>
      </w:r>
      <w:r>
        <w:rPr>
          <w:rFonts w:ascii="宋体" w:hAnsi="宋体" w:eastAsia="宋体" w:cs="宋体"/>
          <w:b/>
          <w:bCs/>
          <w:color w:val="auto"/>
          <w:spacing w:val="-2"/>
          <w:sz w:val="24"/>
          <w:szCs w:val="24"/>
          <w:highlight w:val="none"/>
          <w:u w:val="single" w:color="auto"/>
        </w:rPr>
        <w:t>个月付合同价款的95%，</w:t>
      </w:r>
      <w:r>
        <w:rPr>
          <w:rFonts w:hint="eastAsia" w:ascii="仿宋" w:hAnsi="仿宋" w:eastAsia="仿宋"/>
          <w:b/>
          <w:bCs/>
          <w:color w:val="auto"/>
          <w:szCs w:val="21"/>
          <w:highlight w:val="none"/>
        </w:rPr>
        <w:t>剩余总货款的</w:t>
      </w:r>
      <w:r>
        <w:rPr>
          <w:rFonts w:hint="eastAsia" w:ascii="仿宋" w:hAnsi="仿宋" w:eastAsia="仿宋"/>
          <w:b/>
          <w:bCs/>
          <w:color w:val="auto"/>
          <w:szCs w:val="21"/>
          <w:highlight w:val="none"/>
          <w:lang w:val="en-US" w:eastAsia="zh-CN"/>
        </w:rPr>
        <w:t>5</w:t>
      </w:r>
      <w:r>
        <w:rPr>
          <w:rFonts w:hint="eastAsia" w:ascii="仿宋" w:hAnsi="仿宋" w:eastAsia="仿宋"/>
          <w:b/>
          <w:bCs/>
          <w:color w:val="auto"/>
          <w:szCs w:val="21"/>
          <w:highlight w:val="none"/>
        </w:rPr>
        <w:t>%</w:t>
      </w:r>
      <w:r>
        <w:rPr>
          <w:rFonts w:hint="eastAsia" w:ascii="仿宋" w:hAnsi="仿宋" w:eastAsia="仿宋"/>
          <w:b/>
          <w:bCs/>
          <w:color w:val="auto"/>
          <w:szCs w:val="21"/>
          <w:highlight w:val="none"/>
          <w:lang w:val="en-US" w:eastAsia="zh-CN"/>
        </w:rPr>
        <w:t>在质保期结束</w:t>
      </w:r>
      <w:r>
        <w:rPr>
          <w:rFonts w:hint="eastAsia" w:ascii="仿宋" w:hAnsi="仿宋" w:eastAsia="仿宋"/>
          <w:b/>
          <w:bCs/>
          <w:color w:val="auto"/>
          <w:szCs w:val="21"/>
          <w:highlight w:val="none"/>
        </w:rPr>
        <w:t>后30个工作日内一次性付清（不计利息）。</w:t>
      </w:r>
    </w:p>
    <w:p>
      <w:pPr>
        <w:pStyle w:val="22"/>
        <w:spacing w:line="360" w:lineRule="auto"/>
        <w:rPr>
          <w:rFonts w:hint="eastAsia" w:ascii="仿宋" w:hAnsi="仿宋" w:eastAsia="仿宋"/>
          <w:b/>
          <w:bCs/>
          <w:color w:val="auto"/>
          <w:highlight w:val="none"/>
          <w:lang w:val="en-US" w:eastAsia="zh-CN"/>
        </w:rPr>
      </w:pPr>
      <w:r>
        <w:rPr>
          <w:rFonts w:hint="eastAsia" w:ascii="仿宋" w:hAnsi="仿宋" w:eastAsia="仿宋"/>
          <w:b/>
          <w:bCs/>
          <w:color w:val="auto"/>
          <w:highlight w:val="none"/>
        </w:rPr>
        <w:t>第九条  质保金：</w:t>
      </w:r>
      <w:r>
        <w:rPr>
          <w:rFonts w:hint="eastAsia" w:ascii="仿宋" w:hAnsi="仿宋" w:eastAsia="仿宋"/>
          <w:b/>
          <w:bCs/>
          <w:color w:val="auto"/>
          <w:highlight w:val="none"/>
        </w:rPr>
        <w:t>无</w:t>
      </w:r>
    </w:p>
    <w:p>
      <w:pPr>
        <w:pStyle w:val="22"/>
        <w:spacing w:line="360" w:lineRule="auto"/>
        <w:rPr>
          <w:rFonts w:ascii="仿宋" w:hAnsi="仿宋" w:eastAsia="仿宋"/>
          <w:b/>
          <w:bCs/>
          <w:color w:val="auto"/>
          <w:highlight w:val="none"/>
        </w:rPr>
      </w:pPr>
      <w:r>
        <w:rPr>
          <w:rFonts w:hint="eastAsia" w:ascii="仿宋" w:hAnsi="仿宋" w:eastAsia="仿宋"/>
          <w:b/>
          <w:bCs/>
          <w:color w:val="auto"/>
          <w:highlight w:val="none"/>
        </w:rPr>
        <w:t>第十条  履约保证金：无</w:t>
      </w:r>
    </w:p>
    <w:p>
      <w:pPr>
        <w:pStyle w:val="22"/>
        <w:spacing w:line="360" w:lineRule="auto"/>
        <w:rPr>
          <w:rFonts w:ascii="仿宋" w:hAnsi="仿宋" w:eastAsia="仿宋"/>
          <w:b/>
          <w:bCs/>
          <w:color w:val="auto"/>
          <w:highlight w:val="none"/>
        </w:rPr>
      </w:pPr>
      <w:r>
        <w:rPr>
          <w:rFonts w:hint="eastAsia" w:ascii="仿宋" w:hAnsi="仿宋" w:eastAsia="仿宋"/>
          <w:b/>
          <w:bCs/>
          <w:color w:val="auto"/>
          <w:highlight w:val="none"/>
        </w:rPr>
        <w:t>第十一条  税费</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本合同执行中相关的一切税费均由乙方负责。</w:t>
      </w:r>
    </w:p>
    <w:p>
      <w:pPr>
        <w:pStyle w:val="22"/>
        <w:numPr>
          <w:ilvl w:val="0"/>
          <w:numId w:val="13"/>
        </w:numPr>
        <w:spacing w:line="360" w:lineRule="auto"/>
        <w:rPr>
          <w:rFonts w:ascii="仿宋" w:hAnsi="仿宋" w:eastAsia="仿宋"/>
          <w:b/>
          <w:bCs/>
          <w:color w:val="auto"/>
          <w:highlight w:val="none"/>
        </w:rPr>
      </w:pPr>
      <w:r>
        <w:rPr>
          <w:rFonts w:hint="eastAsia" w:ascii="仿宋" w:hAnsi="仿宋" w:eastAsia="仿宋"/>
          <w:b/>
          <w:bCs/>
          <w:color w:val="auto"/>
          <w:highlight w:val="none"/>
        </w:rPr>
        <w:t xml:space="preserve">  质量保证</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１．乙方应按</w:t>
      </w:r>
      <w:r>
        <w:rPr>
          <w:rFonts w:hint="eastAsia" w:ascii="仿宋" w:hAnsi="仿宋" w:eastAsia="仿宋"/>
          <w:color w:val="auto"/>
          <w:highlight w:val="none"/>
          <w:lang w:eastAsia="zh-CN"/>
        </w:rPr>
        <w:t>招标文件</w:t>
      </w:r>
      <w:r>
        <w:rPr>
          <w:rFonts w:hint="eastAsia" w:ascii="仿宋" w:hAnsi="仿宋" w:eastAsia="仿宋"/>
          <w:color w:val="auto"/>
          <w:highlight w:val="none"/>
        </w:rPr>
        <w:t>规定的货物性能、技术要求、质量标准向甲方提供未经使用的全新产品。未满足要求者，根据实际情况，可按以下办法处理：</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（1）更换：由乙方承担所发生的全部费用。</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（2）贬值处理：由双方合议定价。</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（3）退货处理：乙方应退还甲方支付的合同款，同时应承担货物的直接费用（运输、保险、检验、货款利息及银行手续费等）。</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2．如在使用过程中发生质量问题，乙方在接到甲方通知后</w:t>
      </w:r>
      <w:r>
        <w:rPr>
          <w:rFonts w:hint="eastAsia" w:ascii="仿宋" w:hAnsi="仿宋" w:eastAsia="仿宋"/>
          <w:color w:val="auto"/>
          <w:highlight w:val="none"/>
          <w:u w:val="single"/>
        </w:rPr>
        <w:t xml:space="preserve">    </w:t>
      </w:r>
      <w:r>
        <w:rPr>
          <w:rFonts w:hint="eastAsia" w:ascii="仿宋" w:hAnsi="仿宋" w:eastAsia="仿宋"/>
          <w:color w:val="auto"/>
          <w:highlight w:val="none"/>
        </w:rPr>
        <w:t>小时内到甲方现场处理。</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3．在质保期内，乙方应对货物出现的质量及安全问题负责处理解决并承担一切费用。</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4．上述的货物免费保修期为按乙方响应文件承诺，因人为因素出现的故障不在免费保修范围内。</w:t>
      </w:r>
    </w:p>
    <w:p>
      <w:pPr>
        <w:pStyle w:val="22"/>
        <w:spacing w:line="360" w:lineRule="auto"/>
        <w:rPr>
          <w:rFonts w:ascii="仿宋" w:hAnsi="仿宋" w:eastAsia="仿宋"/>
          <w:b/>
          <w:bCs/>
          <w:color w:val="auto"/>
          <w:highlight w:val="none"/>
        </w:rPr>
      </w:pPr>
      <w:r>
        <w:rPr>
          <w:rFonts w:hint="eastAsia" w:ascii="仿宋" w:hAnsi="仿宋" w:eastAsia="仿宋"/>
          <w:b/>
          <w:bCs/>
          <w:color w:val="auto"/>
          <w:highlight w:val="none"/>
        </w:rPr>
        <w:t>第十三条  货物包装、发运及运输</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1.乙方应在货物发运前对其进行满足运输距离、防潮、防震、防锈和防破损装卸等要求包装，以保证货物安全运达甲方指定地点。</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2.使用说明书、质量检验证明书、随配附件和工具以及清单一并附于货物内。</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3.乙方在货物发运手续办理完毕后二十四小时内或货到甲方四十八小时前通知甲方，</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以准备接货。</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4.货物在交付甲方前发生的风险均由乙方负责。</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5.货物在规定的交付期限内由乙方送达甲方指定的地点视为交付，乙方同时需通知甲方货物已送达。</w:t>
      </w:r>
    </w:p>
    <w:p>
      <w:pPr>
        <w:pStyle w:val="22"/>
        <w:spacing w:line="360" w:lineRule="auto"/>
        <w:rPr>
          <w:rFonts w:ascii="仿宋" w:hAnsi="仿宋" w:eastAsia="仿宋"/>
          <w:b/>
          <w:bCs/>
          <w:color w:val="auto"/>
          <w:highlight w:val="none"/>
        </w:rPr>
      </w:pPr>
      <w:r>
        <w:rPr>
          <w:rFonts w:hint="eastAsia" w:ascii="仿宋" w:hAnsi="仿宋" w:eastAsia="仿宋"/>
          <w:b/>
          <w:bCs/>
          <w:color w:val="auto"/>
          <w:highlight w:val="none"/>
        </w:rPr>
        <w:t>第十四条   违约责任</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1．乙方所提供的货物规格、技术标准、材料等质量不合格的，应及时更换，更换不及时的按逾期交货处罚（或按第十二条第一款处理）；因质量问题甲方不同意接收或特殊情况甲方同意接收的，乙方应向甲方支付违约货款额5%违约金并赔偿甲方经济损失。</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2．乙方提供的货物如侵犯了第三方合法权益而引发的任何纠纷或诉讼，均由乙方负责交涉并承担全部责任。</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3．因包装、运输引起的货物损坏、按质量不合格处理。</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4．甲方无故延期接收货物、乙方逾期交货的，每天向对方偿付违约货款额</w:t>
      </w:r>
      <w:r>
        <w:rPr>
          <w:rFonts w:hint="eastAsia" w:ascii="仿宋" w:hAnsi="仿宋" w:eastAsia="仿宋"/>
          <w:color w:val="auto"/>
          <w:highlight w:val="none"/>
        </w:rPr>
        <w:t>3</w:t>
      </w:r>
      <w:r>
        <w:rPr>
          <w:rFonts w:hint="eastAsia" w:ascii="仿宋" w:hAnsi="仿宋" w:eastAsia="仿宋"/>
          <w:color w:val="auto"/>
          <w:highlight w:val="none"/>
          <w:lang w:val="en-US" w:eastAsia="zh-CN"/>
        </w:rPr>
        <w:t>‰</w:t>
      </w:r>
      <w:r>
        <w:rPr>
          <w:rFonts w:hint="eastAsia" w:ascii="仿宋" w:hAnsi="仿宋" w:eastAsia="仿宋"/>
          <w:color w:val="auto"/>
          <w:highlight w:val="none"/>
        </w:rPr>
        <w:t>违约金，但违约金累计不得超过违约货款额的5%，超过10天对方有权解除合同，违约方承担因此给对方造成的经济损失，甲方延期付货款的，每天向乙方偿付延期货款额</w:t>
      </w:r>
      <w:r>
        <w:rPr>
          <w:rFonts w:hint="eastAsia" w:ascii="仿宋" w:hAnsi="仿宋" w:eastAsia="仿宋"/>
          <w:color w:val="auto"/>
          <w:highlight w:val="none"/>
        </w:rPr>
        <w:t>3</w:t>
      </w:r>
      <w:r>
        <w:rPr>
          <w:rFonts w:hint="eastAsia" w:ascii="仿宋" w:hAnsi="仿宋" w:eastAsia="仿宋"/>
          <w:color w:val="auto"/>
          <w:highlight w:val="none"/>
          <w:lang w:val="en-US" w:eastAsia="zh-CN"/>
        </w:rPr>
        <w:t>‰</w:t>
      </w:r>
      <w:r>
        <w:rPr>
          <w:rFonts w:hint="eastAsia" w:ascii="仿宋" w:hAnsi="仿宋" w:eastAsia="仿宋"/>
          <w:color w:val="auto"/>
          <w:highlight w:val="none"/>
        </w:rPr>
        <w:t>滞纳金，但滞纳金累计不得超过延期货款额5%。</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5．乙方未按本合同和</w:t>
      </w:r>
      <w:r>
        <w:rPr>
          <w:rFonts w:hint="eastAsia" w:ascii="仿宋" w:hAnsi="仿宋" w:eastAsia="仿宋"/>
          <w:color w:val="auto"/>
          <w:highlight w:val="none"/>
          <w:lang w:eastAsia="zh-CN"/>
        </w:rPr>
        <w:t>招标文件</w:t>
      </w:r>
      <w:r>
        <w:rPr>
          <w:rFonts w:hint="eastAsia" w:ascii="仿宋" w:hAnsi="仿宋" w:eastAsia="仿宋"/>
          <w:color w:val="auto"/>
          <w:highlight w:val="none"/>
        </w:rPr>
        <w:t>中规定的服务承诺提供售后服务的，乙方应按本合同合计金额5%向甲方支付违约金。</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6．乙方提供的货物在质量保证期内，因设计、工艺或材料的缺陷和其它质量因造成的问题，由乙方负责更换或甲方退货，由此造成的损失从合同剩余总货款的5%中扣除，不足另补。</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7.其它违约行为按违约货款额5%收取违约金并赔偿经济损失。</w:t>
      </w:r>
    </w:p>
    <w:p>
      <w:pPr>
        <w:pStyle w:val="22"/>
        <w:spacing w:line="360" w:lineRule="auto"/>
        <w:rPr>
          <w:rFonts w:ascii="仿宋" w:hAnsi="仿宋" w:eastAsia="仿宋"/>
          <w:b/>
          <w:bCs/>
          <w:color w:val="auto"/>
          <w:highlight w:val="none"/>
        </w:rPr>
      </w:pPr>
      <w:r>
        <w:rPr>
          <w:rFonts w:hint="eastAsia" w:ascii="仿宋" w:hAnsi="仿宋" w:eastAsia="仿宋"/>
          <w:b/>
          <w:bCs/>
          <w:color w:val="auto"/>
          <w:highlight w:val="none"/>
        </w:rPr>
        <w:t>第十五条   不可抗力事件处理</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1．在合同有效期内，任何一方因不可抗力事件导致不能履行合同，则合同履行期可延长，其延长期与不可抗力影响期相同。</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2．不可抗力事件发生后，应立即通知对方，并寄送有关权威机构出具证明。</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3.不可抗力事件延续一百二十天以上，双方应通过友好协商，确定是否继续履行合同。</w:t>
      </w:r>
    </w:p>
    <w:p>
      <w:pPr>
        <w:pStyle w:val="22"/>
        <w:spacing w:line="360" w:lineRule="auto"/>
        <w:rPr>
          <w:rFonts w:ascii="仿宋" w:hAnsi="仿宋" w:eastAsia="仿宋"/>
          <w:b/>
          <w:bCs/>
          <w:color w:val="auto"/>
          <w:highlight w:val="none"/>
        </w:rPr>
      </w:pPr>
      <w:r>
        <w:rPr>
          <w:rFonts w:hint="eastAsia" w:ascii="仿宋" w:hAnsi="仿宋" w:eastAsia="仿宋"/>
          <w:b/>
          <w:bCs/>
          <w:color w:val="auto"/>
          <w:highlight w:val="none"/>
        </w:rPr>
        <w:t>第十六条   合同争议解决</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1．因货物质量问题发生争议的，应邀请国家认可的质量检测机构对货物质量进行鉴定。货物符合标准的，鉴定费由甲方承担；货物不符合标准的，鉴定费由乙方承担。</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2．因履行本合同引起的争议，甲乙双方应首先通过友好协商解决，如协商不能解决，可向甲方所在地人民法院提起诉讼。</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3.诉讼期间，本合同继续履行。</w:t>
      </w:r>
    </w:p>
    <w:p>
      <w:pPr>
        <w:pStyle w:val="22"/>
        <w:spacing w:line="360" w:lineRule="auto"/>
        <w:rPr>
          <w:rFonts w:ascii="仿宋" w:hAnsi="仿宋" w:eastAsia="仿宋"/>
          <w:b/>
          <w:bCs/>
          <w:color w:val="auto"/>
          <w:highlight w:val="none"/>
        </w:rPr>
      </w:pPr>
      <w:r>
        <w:rPr>
          <w:rFonts w:hint="eastAsia" w:ascii="仿宋" w:hAnsi="仿宋" w:eastAsia="仿宋"/>
          <w:b/>
          <w:bCs/>
          <w:color w:val="auto"/>
          <w:highlight w:val="none"/>
        </w:rPr>
        <w:t>第十七条   合同生效及其它</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1．合同经双方法定代表人或授权代表签字并加盖单位公章后生效。</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2．合同执行中涉及采购资金和采购内容修改或补充的，须经财政部门审批，并签字书面补充协议报财政部门备案，方可作为主合同不可分割的一部分。</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3．本合同未尽事宜，遵照《民法典》有关条文执行。</w:t>
      </w:r>
    </w:p>
    <w:p>
      <w:pPr>
        <w:pStyle w:val="22"/>
        <w:spacing w:line="360" w:lineRule="auto"/>
        <w:rPr>
          <w:rFonts w:ascii="仿宋" w:hAnsi="仿宋" w:eastAsia="仿宋"/>
          <w:b/>
          <w:bCs/>
          <w:color w:val="auto"/>
          <w:highlight w:val="none"/>
        </w:rPr>
      </w:pPr>
      <w:r>
        <w:rPr>
          <w:rFonts w:hint="eastAsia" w:ascii="仿宋" w:hAnsi="仿宋" w:eastAsia="仿宋"/>
          <w:b/>
          <w:bCs/>
          <w:color w:val="auto"/>
          <w:highlight w:val="none"/>
        </w:rPr>
        <w:t>第十八条  合同的变更、终止与转让</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1．除《中华人民共和国政府采购法》第五十条规定的情形外，本合同已经签订。甲乙双方不得擅自变更、中止或终止。</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2．乙方不得擅自转让（无进口资格的供应商委托进口货物除外）其应履行的合同义务。</w:t>
      </w:r>
    </w:p>
    <w:p>
      <w:pPr>
        <w:pStyle w:val="22"/>
        <w:spacing w:line="360" w:lineRule="auto"/>
        <w:rPr>
          <w:rFonts w:ascii="仿宋" w:hAnsi="仿宋" w:eastAsia="仿宋"/>
          <w:color w:val="auto"/>
          <w:highlight w:val="none"/>
        </w:rPr>
      </w:pPr>
      <w:r>
        <w:rPr>
          <w:rFonts w:hint="eastAsia" w:ascii="仿宋" w:hAnsi="仿宋" w:eastAsia="仿宋"/>
          <w:color w:val="auto"/>
          <w:highlight w:val="none"/>
        </w:rPr>
        <w:t>3．本合同未尽事宜，遵照《民法典》有关条文执行。</w:t>
      </w:r>
    </w:p>
    <w:p>
      <w:pPr>
        <w:pStyle w:val="22"/>
        <w:spacing w:line="360" w:lineRule="auto"/>
        <w:rPr>
          <w:rFonts w:ascii="仿宋" w:hAnsi="仿宋" w:eastAsia="仿宋"/>
          <w:b/>
          <w:bCs/>
          <w:color w:val="auto"/>
          <w:highlight w:val="none"/>
        </w:rPr>
      </w:pPr>
      <w:r>
        <w:rPr>
          <w:rFonts w:hint="eastAsia" w:ascii="仿宋" w:hAnsi="仿宋" w:eastAsia="仿宋"/>
          <w:b/>
          <w:bCs/>
          <w:color w:val="auto"/>
          <w:highlight w:val="none"/>
        </w:rPr>
        <w:t>第十九条  签订本合同依据</w:t>
      </w:r>
    </w:p>
    <w:p>
      <w:pPr>
        <w:pStyle w:val="22"/>
        <w:spacing w:line="360" w:lineRule="auto"/>
        <w:rPr>
          <w:rFonts w:ascii="仿宋" w:hAnsi="仿宋" w:eastAsia="仿宋"/>
          <w:color w:val="auto"/>
          <w:highlight w:val="none"/>
        </w:rPr>
      </w:pPr>
      <w:bookmarkStart w:id="152" w:name="_Toc22431_WPSOffice_Level2"/>
      <w:bookmarkStart w:id="153" w:name="_Toc8207_WPSOffice_Level2"/>
      <w:r>
        <w:rPr>
          <w:rFonts w:hint="eastAsia" w:ascii="仿宋" w:hAnsi="仿宋" w:eastAsia="仿宋"/>
          <w:color w:val="auto"/>
          <w:highlight w:val="none"/>
        </w:rPr>
        <w:t>1．政府采购</w:t>
      </w:r>
      <w:r>
        <w:rPr>
          <w:rFonts w:hint="eastAsia" w:ascii="仿宋" w:hAnsi="仿宋" w:eastAsia="仿宋"/>
          <w:color w:val="auto"/>
          <w:highlight w:val="none"/>
          <w:lang w:val="en-US" w:eastAsia="zh-CN"/>
        </w:rPr>
        <w:t>招标</w:t>
      </w:r>
      <w:r>
        <w:rPr>
          <w:rFonts w:hint="eastAsia" w:ascii="仿宋" w:hAnsi="仿宋" w:eastAsia="仿宋"/>
          <w:color w:val="auto"/>
          <w:highlight w:val="none"/>
        </w:rPr>
        <w:t>文件；</w:t>
      </w:r>
      <w:bookmarkEnd w:id="152"/>
      <w:bookmarkEnd w:id="153"/>
    </w:p>
    <w:p>
      <w:pPr>
        <w:pStyle w:val="22"/>
        <w:spacing w:line="360" w:lineRule="auto"/>
        <w:rPr>
          <w:rFonts w:ascii="仿宋" w:hAnsi="仿宋" w:eastAsia="仿宋"/>
          <w:color w:val="auto"/>
          <w:highlight w:val="none"/>
        </w:rPr>
      </w:pPr>
      <w:bookmarkStart w:id="154" w:name="_Toc19343_WPSOffice_Level2"/>
      <w:bookmarkStart w:id="155" w:name="_Toc4988_WPSOffice_Level2"/>
      <w:r>
        <w:rPr>
          <w:rFonts w:hint="eastAsia" w:ascii="仿宋" w:hAnsi="仿宋" w:eastAsia="仿宋"/>
          <w:color w:val="auto"/>
          <w:highlight w:val="none"/>
        </w:rPr>
        <w:t>2．乙方提供的</w:t>
      </w:r>
      <w:r>
        <w:rPr>
          <w:rFonts w:hint="eastAsia" w:ascii="仿宋" w:hAnsi="仿宋" w:eastAsia="仿宋"/>
          <w:color w:val="auto"/>
          <w:highlight w:val="none"/>
          <w:lang w:eastAsia="zh-CN"/>
        </w:rPr>
        <w:t>招标文件</w:t>
      </w:r>
      <w:r>
        <w:rPr>
          <w:rFonts w:hint="eastAsia" w:ascii="仿宋" w:hAnsi="仿宋" w:eastAsia="仿宋"/>
          <w:color w:val="auto"/>
          <w:highlight w:val="none"/>
        </w:rPr>
        <w:t>及</w:t>
      </w:r>
      <w:r>
        <w:rPr>
          <w:rFonts w:hint="eastAsia" w:ascii="仿宋" w:hAnsi="仿宋" w:eastAsia="仿宋"/>
          <w:color w:val="auto"/>
          <w:highlight w:val="none"/>
          <w:lang w:val="en-US" w:eastAsia="zh-CN"/>
        </w:rPr>
        <w:t>投标（</w:t>
      </w:r>
      <w:r>
        <w:rPr>
          <w:rFonts w:hint="eastAsia" w:ascii="仿宋" w:hAnsi="仿宋" w:eastAsia="仿宋"/>
          <w:color w:val="auto"/>
          <w:highlight w:val="none"/>
        </w:rPr>
        <w:t>响应</w:t>
      </w:r>
      <w:r>
        <w:rPr>
          <w:rFonts w:hint="eastAsia" w:ascii="仿宋" w:hAnsi="仿宋" w:eastAsia="仿宋"/>
          <w:color w:val="auto"/>
          <w:highlight w:val="none"/>
          <w:lang w:eastAsia="zh-CN"/>
        </w:rPr>
        <w:t>）</w:t>
      </w:r>
      <w:r>
        <w:rPr>
          <w:rFonts w:hint="eastAsia" w:ascii="仿宋" w:hAnsi="仿宋" w:eastAsia="仿宋"/>
          <w:color w:val="auto"/>
          <w:highlight w:val="none"/>
        </w:rPr>
        <w:t>文件；</w:t>
      </w:r>
      <w:bookmarkEnd w:id="154"/>
      <w:bookmarkEnd w:id="155"/>
    </w:p>
    <w:p>
      <w:pPr>
        <w:pStyle w:val="22"/>
        <w:spacing w:line="360" w:lineRule="auto"/>
        <w:rPr>
          <w:rFonts w:ascii="仿宋" w:hAnsi="仿宋" w:eastAsia="仿宋"/>
          <w:color w:val="auto"/>
          <w:highlight w:val="none"/>
        </w:rPr>
      </w:pPr>
      <w:bookmarkStart w:id="156" w:name="_Toc3738_WPSOffice_Level2"/>
      <w:bookmarkStart w:id="157" w:name="_Toc17318_WPSOffice_Level2"/>
      <w:r>
        <w:rPr>
          <w:rFonts w:hint="eastAsia" w:ascii="仿宋" w:hAnsi="仿宋" w:eastAsia="仿宋"/>
          <w:color w:val="auto"/>
          <w:highlight w:val="none"/>
        </w:rPr>
        <w:t>3．谈判应答承诺书</w:t>
      </w:r>
      <w:r>
        <w:rPr>
          <w:rFonts w:hint="eastAsia" w:ascii="仿宋" w:hAnsi="仿宋" w:eastAsia="仿宋"/>
          <w:color w:val="auto"/>
          <w:highlight w:val="none"/>
          <w:lang w:eastAsia="zh-CN"/>
        </w:rPr>
        <w:t>（</w:t>
      </w:r>
      <w:r>
        <w:rPr>
          <w:rFonts w:hint="eastAsia" w:ascii="仿宋" w:hAnsi="仿宋" w:eastAsia="仿宋"/>
          <w:color w:val="auto"/>
          <w:highlight w:val="none"/>
          <w:lang w:val="en-US" w:eastAsia="zh-CN"/>
        </w:rPr>
        <w:t>如有）</w:t>
      </w:r>
      <w:r>
        <w:rPr>
          <w:rFonts w:hint="eastAsia" w:ascii="仿宋" w:hAnsi="仿宋" w:eastAsia="仿宋"/>
          <w:color w:val="auto"/>
          <w:highlight w:val="none"/>
        </w:rPr>
        <w:t>；</w:t>
      </w:r>
      <w:bookmarkEnd w:id="156"/>
      <w:bookmarkEnd w:id="157"/>
      <w:r>
        <w:rPr>
          <w:rFonts w:hint="eastAsia" w:ascii="仿宋" w:hAnsi="仿宋" w:eastAsia="仿宋"/>
          <w:color w:val="auto"/>
          <w:highlight w:val="none"/>
        </w:rPr>
        <w:tab/>
      </w:r>
    </w:p>
    <w:p>
      <w:pPr>
        <w:pStyle w:val="22"/>
        <w:spacing w:line="360" w:lineRule="auto"/>
        <w:rPr>
          <w:rFonts w:ascii="仿宋" w:hAnsi="仿宋" w:eastAsia="仿宋"/>
          <w:color w:val="auto"/>
          <w:highlight w:val="none"/>
        </w:rPr>
      </w:pPr>
      <w:bookmarkStart w:id="158" w:name="_Toc18762_WPSOffice_Level2"/>
      <w:bookmarkStart w:id="159" w:name="_Toc14741_WPSOffice_Level2"/>
      <w:r>
        <w:rPr>
          <w:rFonts w:hint="eastAsia" w:ascii="仿宋" w:hAnsi="仿宋" w:eastAsia="仿宋"/>
          <w:color w:val="auto"/>
          <w:highlight w:val="none"/>
        </w:rPr>
        <w:t>4．</w:t>
      </w:r>
      <w:r>
        <w:rPr>
          <w:rFonts w:hint="eastAsia" w:ascii="仿宋" w:hAnsi="仿宋" w:eastAsia="仿宋"/>
          <w:color w:val="auto"/>
          <w:highlight w:val="none"/>
          <w:lang w:val="en-US" w:eastAsia="zh-CN"/>
        </w:rPr>
        <w:t>中标通知书</w:t>
      </w:r>
      <w:r>
        <w:rPr>
          <w:rFonts w:hint="eastAsia" w:ascii="仿宋" w:hAnsi="仿宋" w:eastAsia="仿宋"/>
          <w:color w:val="auto"/>
          <w:highlight w:val="none"/>
        </w:rPr>
        <w:t>。</w:t>
      </w:r>
      <w:bookmarkEnd w:id="158"/>
      <w:bookmarkEnd w:id="159"/>
    </w:p>
    <w:p>
      <w:pPr>
        <w:pStyle w:val="22"/>
        <w:spacing w:line="360" w:lineRule="auto"/>
        <w:rPr>
          <w:rFonts w:hint="eastAsia" w:ascii="仿宋" w:hAnsi="仿宋" w:eastAsia="仿宋"/>
          <w:color w:val="auto"/>
          <w:highlight w:val="none"/>
        </w:rPr>
      </w:pPr>
      <w:r>
        <w:rPr>
          <w:rFonts w:hint="eastAsia" w:ascii="仿宋" w:hAnsi="仿宋" w:eastAsia="仿宋"/>
          <w:b/>
          <w:bCs/>
          <w:color w:val="auto"/>
          <w:highlight w:val="none"/>
        </w:rPr>
        <w:t xml:space="preserve">第二十条 </w:t>
      </w:r>
      <w:r>
        <w:rPr>
          <w:rFonts w:hint="eastAsia" w:ascii="仿宋" w:hAnsi="仿宋" w:eastAsia="仿宋"/>
          <w:color w:val="auto"/>
          <w:highlight w:val="none"/>
        </w:rPr>
        <w:t xml:space="preserve"> 本合同一式陆份，具有同等法律效力，财政部门（政府采购监管部门）、采购代理机构各一份，甲方持三份，乙方持一份（可根据需要另增加）。</w:t>
      </w:r>
    </w:p>
    <w:p>
      <w:pPr>
        <w:pStyle w:val="22"/>
        <w:spacing w:line="360" w:lineRule="auto"/>
        <w:ind w:firstLine="480" w:firstLineChars="200"/>
        <w:rPr>
          <w:rFonts w:hint="eastAsia" w:ascii="仿宋" w:hAnsi="仿宋" w:eastAsia="仿宋"/>
          <w:color w:val="auto"/>
          <w:highlight w:val="none"/>
        </w:rPr>
      </w:pPr>
      <w:r>
        <w:rPr>
          <w:rFonts w:hint="eastAsia" w:ascii="仿宋" w:hAnsi="仿宋" w:eastAsia="仿宋"/>
          <w:color w:val="auto"/>
          <w:highlight w:val="none"/>
        </w:rPr>
        <w:t>本合同甲乙双方签字盖章后生效，自签订之日起2个工作日内，采购代理机构应当将合同在</w:t>
      </w:r>
      <w:r>
        <w:rPr>
          <w:rFonts w:hint="eastAsia" w:ascii="仿宋" w:hAnsi="仿宋" w:eastAsia="仿宋" w:cs="宋体"/>
          <w:color w:val="auto"/>
          <w:szCs w:val="21"/>
          <w:highlight w:val="none"/>
        </w:rPr>
        <w:t>广西壮族自治区政府采购(</w:t>
      </w:r>
      <w:r>
        <w:rPr>
          <w:rFonts w:hint="eastAsia" w:ascii="仿宋" w:hAnsi="仿宋" w:eastAsia="仿宋" w:cs="宋体"/>
          <w:color w:val="auto"/>
          <w:szCs w:val="21"/>
          <w:highlight w:val="none"/>
          <w:lang w:eastAsia="zh-CN"/>
        </w:rPr>
        <w:t>http://www.ccgp-guangxi.gov.cn/</w:t>
      </w:r>
      <w:r>
        <w:rPr>
          <w:rFonts w:hint="eastAsia" w:ascii="仿宋" w:hAnsi="仿宋" w:eastAsia="仿宋" w:cs="宋体"/>
          <w:color w:val="auto"/>
          <w:szCs w:val="21"/>
          <w:highlight w:val="none"/>
        </w:rPr>
        <w:t>）</w:t>
      </w:r>
      <w:r>
        <w:rPr>
          <w:rFonts w:hint="eastAsia" w:ascii="仿宋" w:hAnsi="仿宋" w:eastAsia="仿宋"/>
          <w:color w:val="auto"/>
          <w:highlight w:val="none"/>
        </w:rPr>
        <w:t>发布合同公告。</w:t>
      </w:r>
    </w:p>
    <w:p>
      <w:pPr>
        <w:pStyle w:val="22"/>
        <w:spacing w:line="360" w:lineRule="auto"/>
        <w:ind w:firstLine="480" w:firstLineChars="200"/>
        <w:rPr>
          <w:rFonts w:hint="eastAsia" w:ascii="仿宋" w:hAnsi="仿宋" w:eastAsia="仿宋"/>
          <w:color w:val="auto"/>
          <w:highlight w:val="none"/>
        </w:rPr>
      </w:pPr>
    </w:p>
    <w:tbl>
      <w:tblPr>
        <w:tblStyle w:val="17"/>
        <w:tblW w:w="0" w:type="auto"/>
        <w:tblInd w:w="0" w:type="dxa"/>
        <w:tblLayout w:type="fixed"/>
        <w:tblCellMar>
          <w:top w:w="0" w:type="dxa"/>
          <w:left w:w="108" w:type="dxa"/>
          <w:bottom w:w="0" w:type="dxa"/>
          <w:right w:w="108" w:type="dxa"/>
        </w:tblCellMar>
      </w:tblPr>
      <w:tblGrid>
        <w:gridCol w:w="5358"/>
        <w:gridCol w:w="4386"/>
      </w:tblGrid>
      <w:tr>
        <w:tblPrEx>
          <w:tblCellMar>
            <w:top w:w="0" w:type="dxa"/>
            <w:left w:w="108" w:type="dxa"/>
            <w:bottom w:w="0" w:type="dxa"/>
            <w:right w:w="108" w:type="dxa"/>
          </w:tblCellMar>
        </w:tblPrEx>
        <w:tc>
          <w:tcPr>
            <w:tcW w:w="5358" w:type="dxa"/>
            <w:tcBorders>
              <w:top w:val="single" w:color="000000" w:sz="4" w:space="0"/>
              <w:left w:val="single" w:color="000000" w:sz="4" w:space="0"/>
              <w:bottom w:val="single" w:color="000000" w:sz="4" w:space="0"/>
              <w:right w:val="single" w:color="000000" w:sz="4" w:space="0"/>
            </w:tcBorders>
            <w:noWrap/>
            <w:vAlign w:val="top"/>
          </w:tcPr>
          <w:p>
            <w:pPr>
              <w:pStyle w:val="22"/>
              <w:spacing w:line="360" w:lineRule="auto"/>
              <w:rPr>
                <w:rFonts w:ascii="仿宋" w:hAnsi="仿宋" w:eastAsia="仿宋"/>
                <w:color w:val="auto"/>
                <w:highlight w:val="none"/>
              </w:rPr>
            </w:pPr>
            <w:r>
              <w:rPr>
                <w:rFonts w:hint="eastAsia" w:ascii="仿宋" w:hAnsi="仿宋" w:eastAsia="仿宋"/>
                <w:color w:val="auto"/>
                <w:highlight w:val="none"/>
              </w:rPr>
              <w:t>甲方（章）</w:t>
            </w:r>
          </w:p>
          <w:p>
            <w:pPr>
              <w:pStyle w:val="22"/>
              <w:spacing w:line="360" w:lineRule="auto"/>
              <w:rPr>
                <w:rFonts w:ascii="仿宋" w:hAnsi="仿宋" w:eastAsia="仿宋"/>
                <w:color w:val="auto"/>
                <w:highlight w:val="none"/>
              </w:rPr>
            </w:pPr>
          </w:p>
          <w:p>
            <w:pPr>
              <w:pStyle w:val="22"/>
              <w:spacing w:line="360" w:lineRule="auto"/>
              <w:rPr>
                <w:rFonts w:ascii="仿宋" w:hAnsi="仿宋" w:eastAsia="仿宋"/>
                <w:color w:val="auto"/>
                <w:highlight w:val="none"/>
              </w:rPr>
            </w:pPr>
          </w:p>
          <w:p>
            <w:pPr>
              <w:pStyle w:val="22"/>
              <w:spacing w:line="360" w:lineRule="auto"/>
              <w:rPr>
                <w:rFonts w:ascii="仿宋" w:hAnsi="仿宋" w:eastAsia="仿宋"/>
                <w:color w:val="auto"/>
                <w:highlight w:val="none"/>
              </w:rPr>
            </w:pPr>
          </w:p>
          <w:p>
            <w:pPr>
              <w:pStyle w:val="22"/>
              <w:spacing w:line="360" w:lineRule="auto"/>
              <w:rPr>
                <w:rFonts w:ascii="仿宋" w:hAnsi="仿宋" w:eastAsia="仿宋"/>
                <w:color w:val="auto"/>
                <w:highlight w:val="none"/>
              </w:rPr>
            </w:pPr>
            <w:r>
              <w:rPr>
                <w:rFonts w:hint="eastAsia" w:ascii="仿宋" w:hAnsi="仿宋" w:eastAsia="仿宋"/>
                <w:color w:val="auto"/>
                <w:highlight w:val="none"/>
              </w:rPr>
              <w:t xml:space="preserve">                      年     月     日</w:t>
            </w:r>
          </w:p>
        </w:tc>
        <w:tc>
          <w:tcPr>
            <w:tcW w:w="4386" w:type="dxa"/>
            <w:tcBorders>
              <w:top w:val="single" w:color="000000" w:sz="4" w:space="0"/>
              <w:left w:val="single" w:color="000000" w:sz="4" w:space="0"/>
              <w:bottom w:val="single" w:color="000000" w:sz="4" w:space="0"/>
              <w:right w:val="single" w:color="000000" w:sz="4" w:space="0"/>
            </w:tcBorders>
            <w:noWrap/>
            <w:vAlign w:val="top"/>
          </w:tcPr>
          <w:p>
            <w:pPr>
              <w:pStyle w:val="22"/>
              <w:spacing w:line="360" w:lineRule="auto"/>
              <w:rPr>
                <w:rFonts w:ascii="仿宋" w:hAnsi="仿宋" w:eastAsia="仿宋"/>
                <w:color w:val="auto"/>
                <w:highlight w:val="none"/>
              </w:rPr>
            </w:pPr>
            <w:r>
              <w:rPr>
                <w:rFonts w:hint="eastAsia" w:ascii="仿宋" w:hAnsi="仿宋" w:eastAsia="仿宋"/>
                <w:color w:val="auto"/>
                <w:highlight w:val="none"/>
              </w:rPr>
              <w:t>乙方（章）</w:t>
            </w:r>
          </w:p>
          <w:p>
            <w:pPr>
              <w:pStyle w:val="22"/>
              <w:spacing w:line="360" w:lineRule="auto"/>
              <w:rPr>
                <w:rFonts w:ascii="仿宋" w:hAnsi="仿宋" w:eastAsia="仿宋"/>
                <w:color w:val="auto"/>
                <w:highlight w:val="none"/>
              </w:rPr>
            </w:pPr>
          </w:p>
          <w:p>
            <w:pPr>
              <w:pStyle w:val="22"/>
              <w:spacing w:line="360" w:lineRule="auto"/>
              <w:rPr>
                <w:rFonts w:ascii="仿宋" w:hAnsi="仿宋" w:eastAsia="仿宋"/>
                <w:color w:val="auto"/>
                <w:highlight w:val="none"/>
              </w:rPr>
            </w:pPr>
          </w:p>
          <w:p>
            <w:pPr>
              <w:pStyle w:val="22"/>
              <w:spacing w:line="360" w:lineRule="auto"/>
              <w:rPr>
                <w:rFonts w:ascii="仿宋" w:hAnsi="仿宋" w:eastAsia="仿宋"/>
                <w:color w:val="auto"/>
                <w:highlight w:val="none"/>
              </w:rPr>
            </w:pPr>
          </w:p>
          <w:p>
            <w:pPr>
              <w:pStyle w:val="22"/>
              <w:spacing w:line="360" w:lineRule="auto"/>
              <w:rPr>
                <w:rFonts w:ascii="仿宋" w:hAnsi="仿宋" w:eastAsia="仿宋"/>
                <w:color w:val="auto"/>
                <w:highlight w:val="none"/>
              </w:rPr>
            </w:pPr>
            <w:r>
              <w:rPr>
                <w:rFonts w:hint="eastAsia" w:ascii="仿宋" w:hAnsi="仿宋" w:eastAsia="仿宋"/>
                <w:color w:val="auto"/>
                <w:highlight w:val="none"/>
              </w:rPr>
              <w:t xml:space="preserve">            </w:t>
            </w:r>
            <w:r>
              <w:rPr>
                <w:rFonts w:hint="eastAsia" w:ascii="仿宋" w:hAnsi="仿宋" w:eastAsia="仿宋"/>
                <w:color w:val="auto"/>
                <w:highlight w:val="none"/>
                <w:lang w:val="en-US" w:eastAsia="zh-CN"/>
              </w:rPr>
              <w:t xml:space="preserve">      </w:t>
            </w:r>
            <w:r>
              <w:rPr>
                <w:rFonts w:hint="eastAsia" w:ascii="仿宋" w:hAnsi="仿宋" w:eastAsia="仿宋"/>
                <w:color w:val="auto"/>
                <w:highlight w:val="none"/>
              </w:rPr>
              <w:t>年     月     日</w:t>
            </w:r>
          </w:p>
        </w:tc>
      </w:tr>
      <w:tr>
        <w:tblPrEx>
          <w:tblCellMar>
            <w:top w:w="0" w:type="dxa"/>
            <w:left w:w="108" w:type="dxa"/>
            <w:bottom w:w="0" w:type="dxa"/>
            <w:right w:w="108" w:type="dxa"/>
          </w:tblCellMar>
        </w:tblPrEx>
        <w:trPr>
          <w:trHeight w:val="401" w:hRule="exact"/>
        </w:trPr>
        <w:tc>
          <w:tcPr>
            <w:tcW w:w="5358" w:type="dxa"/>
            <w:tcBorders>
              <w:top w:val="single" w:color="000000" w:sz="4" w:space="0"/>
              <w:left w:val="single" w:color="000000" w:sz="4" w:space="0"/>
              <w:bottom w:val="single" w:color="000000" w:sz="4" w:space="0"/>
              <w:right w:val="single" w:color="000000" w:sz="4" w:space="0"/>
            </w:tcBorders>
            <w:noWrap/>
            <w:vAlign w:val="center"/>
          </w:tcPr>
          <w:p>
            <w:pPr>
              <w:pStyle w:val="22"/>
              <w:spacing w:line="360" w:lineRule="auto"/>
              <w:rPr>
                <w:rFonts w:ascii="仿宋" w:hAnsi="仿宋" w:eastAsia="仿宋"/>
                <w:color w:val="auto"/>
                <w:highlight w:val="none"/>
              </w:rPr>
            </w:pPr>
            <w:r>
              <w:rPr>
                <w:rFonts w:hint="eastAsia" w:ascii="仿宋" w:hAnsi="仿宋" w:eastAsia="仿宋"/>
                <w:color w:val="auto"/>
                <w:highlight w:val="none"/>
              </w:rPr>
              <w:t>单位地址：</w:t>
            </w:r>
          </w:p>
        </w:tc>
        <w:tc>
          <w:tcPr>
            <w:tcW w:w="4386" w:type="dxa"/>
            <w:tcBorders>
              <w:top w:val="single" w:color="000000" w:sz="4" w:space="0"/>
              <w:left w:val="single" w:color="000000" w:sz="4" w:space="0"/>
              <w:bottom w:val="single" w:color="000000" w:sz="4" w:space="0"/>
              <w:right w:val="single" w:color="000000" w:sz="4" w:space="0"/>
            </w:tcBorders>
            <w:noWrap/>
            <w:vAlign w:val="center"/>
          </w:tcPr>
          <w:p>
            <w:pPr>
              <w:pStyle w:val="22"/>
              <w:spacing w:line="360" w:lineRule="auto"/>
              <w:rPr>
                <w:rFonts w:ascii="仿宋" w:hAnsi="仿宋" w:eastAsia="仿宋"/>
                <w:color w:val="auto"/>
                <w:highlight w:val="none"/>
              </w:rPr>
            </w:pPr>
            <w:r>
              <w:rPr>
                <w:rFonts w:hint="eastAsia" w:ascii="仿宋" w:hAnsi="仿宋" w:eastAsia="仿宋"/>
                <w:color w:val="auto"/>
                <w:highlight w:val="none"/>
              </w:rPr>
              <w:t>单位地址：</w:t>
            </w:r>
          </w:p>
        </w:tc>
      </w:tr>
      <w:tr>
        <w:tblPrEx>
          <w:tblCellMar>
            <w:top w:w="0" w:type="dxa"/>
            <w:left w:w="108" w:type="dxa"/>
            <w:bottom w:w="0" w:type="dxa"/>
            <w:right w:w="108" w:type="dxa"/>
          </w:tblCellMar>
        </w:tblPrEx>
        <w:trPr>
          <w:trHeight w:val="420" w:hRule="exact"/>
        </w:trPr>
        <w:tc>
          <w:tcPr>
            <w:tcW w:w="5358" w:type="dxa"/>
            <w:tcBorders>
              <w:top w:val="single" w:color="000000" w:sz="4" w:space="0"/>
              <w:left w:val="single" w:color="000000" w:sz="4" w:space="0"/>
              <w:bottom w:val="single" w:color="000000" w:sz="4" w:space="0"/>
              <w:right w:val="single" w:color="000000" w:sz="4" w:space="0"/>
            </w:tcBorders>
            <w:noWrap/>
            <w:vAlign w:val="center"/>
          </w:tcPr>
          <w:p>
            <w:pPr>
              <w:pStyle w:val="22"/>
              <w:spacing w:line="360" w:lineRule="auto"/>
              <w:rPr>
                <w:rFonts w:ascii="仿宋" w:hAnsi="仿宋" w:eastAsia="仿宋"/>
                <w:color w:val="auto"/>
                <w:highlight w:val="none"/>
              </w:rPr>
            </w:pPr>
            <w:r>
              <w:rPr>
                <w:rFonts w:hint="eastAsia" w:ascii="仿宋" w:hAnsi="仿宋" w:eastAsia="仿宋"/>
                <w:color w:val="auto"/>
                <w:highlight w:val="none"/>
              </w:rPr>
              <w:t>法定代表人：</w:t>
            </w:r>
          </w:p>
        </w:tc>
        <w:tc>
          <w:tcPr>
            <w:tcW w:w="4386" w:type="dxa"/>
            <w:tcBorders>
              <w:top w:val="single" w:color="000000" w:sz="4" w:space="0"/>
              <w:left w:val="single" w:color="000000" w:sz="4" w:space="0"/>
              <w:bottom w:val="single" w:color="000000" w:sz="4" w:space="0"/>
              <w:right w:val="single" w:color="000000" w:sz="4" w:space="0"/>
            </w:tcBorders>
            <w:noWrap/>
            <w:vAlign w:val="center"/>
          </w:tcPr>
          <w:p>
            <w:pPr>
              <w:pStyle w:val="22"/>
              <w:spacing w:line="360" w:lineRule="auto"/>
              <w:rPr>
                <w:rFonts w:ascii="仿宋" w:hAnsi="仿宋" w:eastAsia="仿宋"/>
                <w:color w:val="auto"/>
                <w:highlight w:val="none"/>
              </w:rPr>
            </w:pPr>
            <w:r>
              <w:rPr>
                <w:rFonts w:hint="eastAsia" w:ascii="仿宋" w:hAnsi="仿宋" w:eastAsia="仿宋"/>
                <w:color w:val="auto"/>
                <w:highlight w:val="none"/>
              </w:rPr>
              <w:t>法定代表人：</w:t>
            </w:r>
          </w:p>
        </w:tc>
      </w:tr>
      <w:tr>
        <w:tblPrEx>
          <w:tblCellMar>
            <w:top w:w="0" w:type="dxa"/>
            <w:left w:w="108" w:type="dxa"/>
            <w:bottom w:w="0" w:type="dxa"/>
            <w:right w:w="108" w:type="dxa"/>
          </w:tblCellMar>
        </w:tblPrEx>
        <w:trPr>
          <w:trHeight w:val="427" w:hRule="exact"/>
        </w:trPr>
        <w:tc>
          <w:tcPr>
            <w:tcW w:w="5358" w:type="dxa"/>
            <w:tcBorders>
              <w:top w:val="single" w:color="000000" w:sz="4" w:space="0"/>
              <w:left w:val="single" w:color="000000" w:sz="4" w:space="0"/>
              <w:bottom w:val="single" w:color="000000" w:sz="4" w:space="0"/>
              <w:right w:val="single" w:color="000000" w:sz="4" w:space="0"/>
            </w:tcBorders>
            <w:noWrap/>
            <w:vAlign w:val="center"/>
          </w:tcPr>
          <w:p>
            <w:pPr>
              <w:pStyle w:val="22"/>
              <w:spacing w:line="360" w:lineRule="auto"/>
              <w:rPr>
                <w:rFonts w:ascii="仿宋" w:hAnsi="仿宋" w:eastAsia="仿宋"/>
                <w:color w:val="auto"/>
                <w:highlight w:val="none"/>
              </w:rPr>
            </w:pPr>
            <w:r>
              <w:rPr>
                <w:rFonts w:hint="eastAsia" w:ascii="仿宋" w:hAnsi="仿宋" w:eastAsia="仿宋"/>
                <w:color w:val="auto"/>
                <w:highlight w:val="none"/>
              </w:rPr>
              <w:t>委托代理人：</w:t>
            </w:r>
          </w:p>
        </w:tc>
        <w:tc>
          <w:tcPr>
            <w:tcW w:w="4386" w:type="dxa"/>
            <w:tcBorders>
              <w:top w:val="single" w:color="000000" w:sz="4" w:space="0"/>
              <w:left w:val="single" w:color="000000" w:sz="4" w:space="0"/>
              <w:bottom w:val="single" w:color="000000" w:sz="4" w:space="0"/>
              <w:right w:val="single" w:color="000000" w:sz="4" w:space="0"/>
            </w:tcBorders>
            <w:noWrap/>
            <w:vAlign w:val="center"/>
          </w:tcPr>
          <w:p>
            <w:pPr>
              <w:pStyle w:val="22"/>
              <w:spacing w:line="360" w:lineRule="auto"/>
              <w:rPr>
                <w:rFonts w:ascii="仿宋" w:hAnsi="仿宋" w:eastAsia="仿宋"/>
                <w:color w:val="auto"/>
                <w:highlight w:val="none"/>
              </w:rPr>
            </w:pPr>
            <w:r>
              <w:rPr>
                <w:rFonts w:hint="eastAsia" w:ascii="仿宋" w:hAnsi="仿宋" w:eastAsia="仿宋"/>
                <w:color w:val="auto"/>
                <w:highlight w:val="none"/>
              </w:rPr>
              <w:t>委托代理人：</w:t>
            </w:r>
          </w:p>
        </w:tc>
      </w:tr>
      <w:tr>
        <w:tblPrEx>
          <w:tblCellMar>
            <w:top w:w="0" w:type="dxa"/>
            <w:left w:w="108" w:type="dxa"/>
            <w:bottom w:w="0" w:type="dxa"/>
            <w:right w:w="108" w:type="dxa"/>
          </w:tblCellMar>
        </w:tblPrEx>
        <w:trPr>
          <w:trHeight w:val="419" w:hRule="exact"/>
        </w:trPr>
        <w:tc>
          <w:tcPr>
            <w:tcW w:w="5358" w:type="dxa"/>
            <w:tcBorders>
              <w:top w:val="single" w:color="000000" w:sz="4" w:space="0"/>
              <w:left w:val="single" w:color="000000" w:sz="4" w:space="0"/>
              <w:bottom w:val="single" w:color="000000" w:sz="4" w:space="0"/>
              <w:right w:val="single" w:color="000000" w:sz="4" w:space="0"/>
            </w:tcBorders>
            <w:noWrap/>
            <w:vAlign w:val="center"/>
          </w:tcPr>
          <w:p>
            <w:pPr>
              <w:pStyle w:val="22"/>
              <w:spacing w:line="360" w:lineRule="auto"/>
              <w:rPr>
                <w:rFonts w:ascii="仿宋" w:hAnsi="仿宋" w:eastAsia="仿宋"/>
                <w:color w:val="auto"/>
                <w:highlight w:val="none"/>
              </w:rPr>
            </w:pPr>
            <w:r>
              <w:rPr>
                <w:rFonts w:hint="eastAsia" w:ascii="仿宋" w:hAnsi="仿宋" w:eastAsia="仿宋"/>
                <w:color w:val="auto"/>
                <w:highlight w:val="none"/>
              </w:rPr>
              <w:t>电  话：</w:t>
            </w:r>
          </w:p>
        </w:tc>
        <w:tc>
          <w:tcPr>
            <w:tcW w:w="4386" w:type="dxa"/>
            <w:tcBorders>
              <w:top w:val="single" w:color="000000" w:sz="4" w:space="0"/>
              <w:left w:val="single" w:color="000000" w:sz="4" w:space="0"/>
              <w:bottom w:val="single" w:color="000000" w:sz="4" w:space="0"/>
              <w:right w:val="single" w:color="000000" w:sz="4" w:space="0"/>
            </w:tcBorders>
            <w:noWrap/>
            <w:vAlign w:val="center"/>
          </w:tcPr>
          <w:p>
            <w:pPr>
              <w:pStyle w:val="22"/>
              <w:spacing w:line="360" w:lineRule="auto"/>
              <w:rPr>
                <w:rFonts w:ascii="仿宋" w:hAnsi="仿宋" w:eastAsia="仿宋"/>
                <w:color w:val="auto"/>
                <w:highlight w:val="none"/>
              </w:rPr>
            </w:pPr>
            <w:r>
              <w:rPr>
                <w:rFonts w:hint="eastAsia" w:ascii="仿宋" w:hAnsi="仿宋" w:eastAsia="仿宋"/>
                <w:color w:val="auto"/>
                <w:highlight w:val="none"/>
              </w:rPr>
              <w:t>电  话：</w:t>
            </w:r>
          </w:p>
        </w:tc>
      </w:tr>
      <w:tr>
        <w:tblPrEx>
          <w:tblCellMar>
            <w:top w:w="0" w:type="dxa"/>
            <w:left w:w="108" w:type="dxa"/>
            <w:bottom w:w="0" w:type="dxa"/>
            <w:right w:w="108" w:type="dxa"/>
          </w:tblCellMar>
        </w:tblPrEx>
        <w:trPr>
          <w:trHeight w:val="424" w:hRule="exact"/>
        </w:trPr>
        <w:tc>
          <w:tcPr>
            <w:tcW w:w="5358" w:type="dxa"/>
            <w:tcBorders>
              <w:top w:val="single" w:color="000000" w:sz="4" w:space="0"/>
              <w:left w:val="single" w:color="000000" w:sz="4" w:space="0"/>
              <w:bottom w:val="single" w:color="000000" w:sz="4" w:space="0"/>
              <w:right w:val="single" w:color="000000" w:sz="4" w:space="0"/>
            </w:tcBorders>
            <w:noWrap/>
            <w:vAlign w:val="center"/>
          </w:tcPr>
          <w:p>
            <w:pPr>
              <w:pStyle w:val="22"/>
              <w:spacing w:line="360" w:lineRule="auto"/>
              <w:rPr>
                <w:rFonts w:ascii="仿宋" w:hAnsi="仿宋" w:eastAsia="仿宋"/>
                <w:color w:val="auto"/>
                <w:highlight w:val="none"/>
              </w:rPr>
            </w:pPr>
            <w:r>
              <w:rPr>
                <w:rFonts w:hint="eastAsia" w:ascii="仿宋" w:hAnsi="仿宋" w:eastAsia="仿宋"/>
                <w:color w:val="auto"/>
                <w:highlight w:val="none"/>
              </w:rPr>
              <w:t>电子邮箱：</w:t>
            </w:r>
          </w:p>
        </w:tc>
        <w:tc>
          <w:tcPr>
            <w:tcW w:w="4386" w:type="dxa"/>
            <w:tcBorders>
              <w:top w:val="single" w:color="000000" w:sz="4" w:space="0"/>
              <w:left w:val="single" w:color="000000" w:sz="4" w:space="0"/>
              <w:bottom w:val="single" w:color="000000" w:sz="4" w:space="0"/>
              <w:right w:val="single" w:color="000000" w:sz="4" w:space="0"/>
            </w:tcBorders>
            <w:noWrap/>
            <w:vAlign w:val="center"/>
          </w:tcPr>
          <w:p>
            <w:pPr>
              <w:pStyle w:val="22"/>
              <w:spacing w:line="360" w:lineRule="auto"/>
              <w:rPr>
                <w:rFonts w:ascii="仿宋" w:hAnsi="仿宋" w:eastAsia="仿宋"/>
                <w:color w:val="auto"/>
                <w:highlight w:val="none"/>
              </w:rPr>
            </w:pPr>
            <w:r>
              <w:rPr>
                <w:rFonts w:hint="eastAsia" w:ascii="仿宋" w:hAnsi="仿宋" w:eastAsia="仿宋"/>
                <w:color w:val="auto"/>
                <w:highlight w:val="none"/>
              </w:rPr>
              <w:t>电子邮箱：</w:t>
            </w:r>
          </w:p>
          <w:p>
            <w:pPr>
              <w:pStyle w:val="22"/>
              <w:spacing w:line="360" w:lineRule="auto"/>
              <w:rPr>
                <w:rFonts w:ascii="仿宋" w:hAnsi="仿宋" w:eastAsia="仿宋"/>
                <w:color w:val="auto"/>
                <w:highlight w:val="none"/>
              </w:rPr>
            </w:pPr>
          </w:p>
        </w:tc>
      </w:tr>
      <w:tr>
        <w:tblPrEx>
          <w:tblCellMar>
            <w:top w:w="0" w:type="dxa"/>
            <w:left w:w="108" w:type="dxa"/>
            <w:bottom w:w="0" w:type="dxa"/>
            <w:right w:w="108" w:type="dxa"/>
          </w:tblCellMar>
        </w:tblPrEx>
        <w:trPr>
          <w:trHeight w:val="424" w:hRule="exact"/>
        </w:trPr>
        <w:tc>
          <w:tcPr>
            <w:tcW w:w="5358" w:type="dxa"/>
            <w:tcBorders>
              <w:top w:val="single" w:color="000000" w:sz="4" w:space="0"/>
              <w:left w:val="single" w:color="000000" w:sz="4" w:space="0"/>
              <w:bottom w:val="single" w:color="000000" w:sz="4" w:space="0"/>
              <w:right w:val="single" w:color="000000" w:sz="4" w:space="0"/>
            </w:tcBorders>
            <w:noWrap/>
            <w:vAlign w:val="center"/>
          </w:tcPr>
          <w:p>
            <w:pPr>
              <w:pStyle w:val="22"/>
              <w:spacing w:line="360" w:lineRule="auto"/>
              <w:rPr>
                <w:rFonts w:hint="eastAsia" w:ascii="仿宋" w:hAnsi="仿宋" w:eastAsia="仿宋"/>
                <w:color w:val="auto"/>
                <w:highlight w:val="none"/>
              </w:rPr>
            </w:pPr>
            <w:r>
              <w:rPr>
                <w:rFonts w:hint="eastAsia" w:ascii="仿宋_GB2312" w:hAnsi="仿宋_GB2312" w:eastAsia="仿宋_GB2312" w:cs="仿宋_GB2312"/>
                <w:color w:val="auto"/>
                <w:spacing w:val="6"/>
                <w:sz w:val="24"/>
                <w:szCs w:val="24"/>
                <w:highlight w:val="none"/>
              </w:rPr>
              <w:t>纳税人识别号：</w:t>
            </w:r>
          </w:p>
        </w:tc>
        <w:tc>
          <w:tcPr>
            <w:tcW w:w="4386" w:type="dxa"/>
            <w:tcBorders>
              <w:top w:val="single" w:color="000000" w:sz="4" w:space="0"/>
              <w:left w:val="single" w:color="000000" w:sz="4" w:space="0"/>
              <w:bottom w:val="single" w:color="000000" w:sz="4" w:space="0"/>
              <w:right w:val="single" w:color="000000" w:sz="4" w:space="0"/>
            </w:tcBorders>
            <w:noWrap/>
            <w:vAlign w:val="center"/>
          </w:tcPr>
          <w:p>
            <w:pPr>
              <w:pStyle w:val="22"/>
              <w:spacing w:line="360" w:lineRule="auto"/>
              <w:rPr>
                <w:rFonts w:ascii="仿宋" w:hAnsi="仿宋" w:eastAsia="仿宋"/>
                <w:color w:val="auto"/>
                <w:highlight w:val="none"/>
              </w:rPr>
            </w:pPr>
            <w:r>
              <w:rPr>
                <w:rFonts w:hint="eastAsia" w:ascii="仿宋_GB2312" w:hAnsi="仿宋_GB2312" w:eastAsia="仿宋_GB2312" w:cs="仿宋_GB2312"/>
                <w:color w:val="auto"/>
                <w:spacing w:val="6"/>
                <w:sz w:val="24"/>
                <w:szCs w:val="24"/>
                <w:highlight w:val="none"/>
              </w:rPr>
              <w:t>纳税人识别号：</w:t>
            </w:r>
          </w:p>
        </w:tc>
      </w:tr>
      <w:tr>
        <w:tblPrEx>
          <w:tblCellMar>
            <w:top w:w="0" w:type="dxa"/>
            <w:left w:w="108" w:type="dxa"/>
            <w:bottom w:w="0" w:type="dxa"/>
            <w:right w:w="108" w:type="dxa"/>
          </w:tblCellMar>
        </w:tblPrEx>
        <w:trPr>
          <w:trHeight w:val="567" w:hRule="exact"/>
        </w:trPr>
        <w:tc>
          <w:tcPr>
            <w:tcW w:w="5358" w:type="dxa"/>
            <w:tcBorders>
              <w:top w:val="single" w:color="000000" w:sz="4" w:space="0"/>
              <w:left w:val="single" w:color="000000" w:sz="4" w:space="0"/>
              <w:bottom w:val="single" w:color="000000" w:sz="4" w:space="0"/>
              <w:right w:val="single" w:color="000000" w:sz="4" w:space="0"/>
            </w:tcBorders>
            <w:noWrap/>
            <w:vAlign w:val="center"/>
          </w:tcPr>
          <w:p>
            <w:pPr>
              <w:pStyle w:val="22"/>
              <w:spacing w:line="360" w:lineRule="auto"/>
              <w:rPr>
                <w:rFonts w:ascii="仿宋" w:hAnsi="仿宋" w:eastAsia="仿宋"/>
                <w:color w:val="auto"/>
                <w:highlight w:val="none"/>
              </w:rPr>
            </w:pPr>
            <w:r>
              <w:rPr>
                <w:rFonts w:hint="eastAsia" w:ascii="仿宋" w:hAnsi="仿宋" w:eastAsia="仿宋"/>
                <w:color w:val="auto"/>
                <w:highlight w:val="none"/>
              </w:rPr>
              <w:t>开户银行：</w:t>
            </w:r>
          </w:p>
        </w:tc>
        <w:tc>
          <w:tcPr>
            <w:tcW w:w="4386" w:type="dxa"/>
            <w:tcBorders>
              <w:top w:val="single" w:color="000000" w:sz="4" w:space="0"/>
              <w:left w:val="single" w:color="000000" w:sz="4" w:space="0"/>
              <w:bottom w:val="single" w:color="000000" w:sz="4" w:space="0"/>
              <w:right w:val="single" w:color="000000" w:sz="4" w:space="0"/>
            </w:tcBorders>
            <w:noWrap/>
            <w:vAlign w:val="center"/>
          </w:tcPr>
          <w:p>
            <w:pPr>
              <w:pStyle w:val="22"/>
              <w:spacing w:line="360" w:lineRule="auto"/>
              <w:rPr>
                <w:rFonts w:ascii="仿宋" w:hAnsi="仿宋" w:eastAsia="仿宋"/>
                <w:color w:val="auto"/>
                <w:highlight w:val="none"/>
              </w:rPr>
            </w:pPr>
            <w:r>
              <w:rPr>
                <w:rFonts w:hint="eastAsia" w:ascii="仿宋" w:hAnsi="仿宋" w:eastAsia="仿宋"/>
                <w:color w:val="auto"/>
                <w:highlight w:val="none"/>
              </w:rPr>
              <w:t>开户银行：</w:t>
            </w:r>
          </w:p>
          <w:p>
            <w:pPr>
              <w:pStyle w:val="22"/>
              <w:spacing w:line="360" w:lineRule="auto"/>
              <w:rPr>
                <w:rFonts w:ascii="仿宋" w:hAnsi="仿宋" w:eastAsia="仿宋"/>
                <w:color w:val="auto"/>
                <w:highlight w:val="none"/>
              </w:rPr>
            </w:pPr>
          </w:p>
        </w:tc>
      </w:tr>
      <w:tr>
        <w:tblPrEx>
          <w:tblCellMar>
            <w:top w:w="0" w:type="dxa"/>
            <w:left w:w="108" w:type="dxa"/>
            <w:bottom w:w="0" w:type="dxa"/>
            <w:right w:w="108" w:type="dxa"/>
          </w:tblCellMar>
        </w:tblPrEx>
        <w:trPr>
          <w:trHeight w:val="423" w:hRule="exact"/>
        </w:trPr>
        <w:tc>
          <w:tcPr>
            <w:tcW w:w="5358" w:type="dxa"/>
            <w:tcBorders>
              <w:top w:val="single" w:color="000000" w:sz="4" w:space="0"/>
              <w:left w:val="single" w:color="000000" w:sz="4" w:space="0"/>
              <w:bottom w:val="single" w:color="000000" w:sz="4" w:space="0"/>
              <w:right w:val="single" w:color="000000" w:sz="4" w:space="0"/>
            </w:tcBorders>
            <w:noWrap/>
            <w:vAlign w:val="center"/>
          </w:tcPr>
          <w:p>
            <w:pPr>
              <w:pStyle w:val="22"/>
              <w:spacing w:line="360" w:lineRule="auto"/>
              <w:rPr>
                <w:rFonts w:ascii="仿宋" w:hAnsi="仿宋" w:eastAsia="仿宋"/>
                <w:color w:val="auto"/>
                <w:highlight w:val="none"/>
              </w:rPr>
            </w:pPr>
            <w:r>
              <w:rPr>
                <w:rFonts w:hint="eastAsia" w:ascii="仿宋" w:hAnsi="仿宋" w:eastAsia="仿宋"/>
                <w:color w:val="auto"/>
                <w:highlight w:val="none"/>
              </w:rPr>
              <w:t>账  号：</w:t>
            </w:r>
          </w:p>
        </w:tc>
        <w:tc>
          <w:tcPr>
            <w:tcW w:w="4386" w:type="dxa"/>
            <w:tcBorders>
              <w:top w:val="single" w:color="000000" w:sz="4" w:space="0"/>
              <w:left w:val="single" w:color="000000" w:sz="4" w:space="0"/>
              <w:bottom w:val="single" w:color="000000" w:sz="4" w:space="0"/>
              <w:right w:val="single" w:color="000000" w:sz="4" w:space="0"/>
            </w:tcBorders>
            <w:noWrap/>
            <w:vAlign w:val="center"/>
          </w:tcPr>
          <w:p>
            <w:pPr>
              <w:pStyle w:val="22"/>
              <w:spacing w:line="360" w:lineRule="auto"/>
              <w:rPr>
                <w:rFonts w:ascii="仿宋" w:hAnsi="仿宋" w:eastAsia="仿宋"/>
                <w:color w:val="auto"/>
                <w:highlight w:val="none"/>
              </w:rPr>
            </w:pPr>
            <w:r>
              <w:rPr>
                <w:rFonts w:hint="eastAsia" w:ascii="仿宋" w:hAnsi="仿宋" w:eastAsia="仿宋"/>
                <w:color w:val="auto"/>
                <w:highlight w:val="none"/>
              </w:rPr>
              <w:t>账  号：</w:t>
            </w:r>
          </w:p>
          <w:p>
            <w:pPr>
              <w:pStyle w:val="22"/>
              <w:spacing w:line="360" w:lineRule="auto"/>
              <w:rPr>
                <w:rFonts w:ascii="仿宋" w:hAnsi="仿宋" w:eastAsia="仿宋"/>
                <w:color w:val="auto"/>
                <w:highlight w:val="none"/>
              </w:rPr>
            </w:pPr>
          </w:p>
        </w:tc>
      </w:tr>
      <w:tr>
        <w:tblPrEx>
          <w:tblCellMar>
            <w:top w:w="0" w:type="dxa"/>
            <w:left w:w="108" w:type="dxa"/>
            <w:bottom w:w="0" w:type="dxa"/>
            <w:right w:w="108" w:type="dxa"/>
          </w:tblCellMar>
        </w:tblPrEx>
        <w:trPr>
          <w:trHeight w:val="429" w:hRule="exact"/>
        </w:trPr>
        <w:tc>
          <w:tcPr>
            <w:tcW w:w="5358" w:type="dxa"/>
            <w:tcBorders>
              <w:top w:val="single" w:color="000000" w:sz="4" w:space="0"/>
              <w:left w:val="single" w:color="000000" w:sz="4" w:space="0"/>
              <w:bottom w:val="single" w:color="000000" w:sz="4" w:space="0"/>
              <w:right w:val="single" w:color="000000" w:sz="4" w:space="0"/>
            </w:tcBorders>
            <w:noWrap/>
            <w:vAlign w:val="center"/>
          </w:tcPr>
          <w:p>
            <w:pPr>
              <w:pStyle w:val="22"/>
              <w:spacing w:line="360" w:lineRule="auto"/>
              <w:rPr>
                <w:rFonts w:ascii="仿宋" w:hAnsi="仿宋" w:eastAsia="仿宋"/>
                <w:color w:val="auto"/>
                <w:highlight w:val="none"/>
              </w:rPr>
            </w:pPr>
            <w:r>
              <w:rPr>
                <w:rFonts w:hint="eastAsia" w:ascii="仿宋" w:hAnsi="仿宋" w:eastAsia="仿宋"/>
                <w:color w:val="auto"/>
                <w:highlight w:val="none"/>
              </w:rPr>
              <w:t>邮政编码：</w:t>
            </w:r>
          </w:p>
        </w:tc>
        <w:tc>
          <w:tcPr>
            <w:tcW w:w="4386" w:type="dxa"/>
            <w:tcBorders>
              <w:top w:val="single" w:color="000000" w:sz="4" w:space="0"/>
              <w:left w:val="single" w:color="000000" w:sz="4" w:space="0"/>
              <w:bottom w:val="single" w:color="000000" w:sz="4" w:space="0"/>
              <w:right w:val="single" w:color="000000" w:sz="4" w:space="0"/>
            </w:tcBorders>
            <w:noWrap/>
            <w:vAlign w:val="center"/>
          </w:tcPr>
          <w:p>
            <w:pPr>
              <w:pStyle w:val="22"/>
              <w:spacing w:line="360" w:lineRule="auto"/>
              <w:rPr>
                <w:rFonts w:ascii="仿宋" w:hAnsi="仿宋" w:eastAsia="仿宋"/>
                <w:color w:val="auto"/>
                <w:highlight w:val="none"/>
              </w:rPr>
            </w:pPr>
            <w:r>
              <w:rPr>
                <w:rFonts w:hint="eastAsia" w:ascii="仿宋" w:hAnsi="仿宋" w:eastAsia="仿宋"/>
                <w:color w:val="auto"/>
                <w:highlight w:val="none"/>
              </w:rPr>
              <w:t>邮政编码：</w:t>
            </w:r>
          </w:p>
        </w:tc>
      </w:tr>
    </w:tbl>
    <w:p>
      <w:pPr>
        <w:pStyle w:val="22"/>
        <w:rPr>
          <w:rFonts w:ascii="仿宋" w:hAnsi="仿宋" w:eastAsia="仿宋"/>
          <w:color w:val="auto"/>
          <w:highlight w:val="none"/>
        </w:rPr>
      </w:pPr>
    </w:p>
    <w:p>
      <w:pPr>
        <w:pStyle w:val="22"/>
        <w:jc w:val="both"/>
        <w:rPr>
          <w:rFonts w:ascii="仿宋" w:hAnsi="仿宋" w:eastAsia="仿宋" w:cs="仿宋"/>
          <w:b/>
          <w:bCs/>
          <w:color w:val="auto"/>
          <w:sz w:val="44"/>
          <w:szCs w:val="44"/>
          <w:highlight w:val="none"/>
        </w:rPr>
      </w:pPr>
    </w:p>
    <w:p>
      <w:pPr>
        <w:pStyle w:val="22"/>
        <w:jc w:val="both"/>
        <w:rPr>
          <w:rFonts w:ascii="仿宋" w:hAnsi="仿宋" w:eastAsia="仿宋" w:cs="仿宋"/>
          <w:b/>
          <w:bCs/>
          <w:color w:val="auto"/>
          <w:sz w:val="44"/>
          <w:szCs w:val="44"/>
          <w:highlight w:val="none"/>
        </w:rPr>
      </w:pPr>
    </w:p>
    <w:p>
      <w:pPr>
        <w:pStyle w:val="22"/>
        <w:jc w:val="both"/>
        <w:rPr>
          <w:rFonts w:ascii="仿宋" w:hAnsi="仿宋" w:eastAsia="仿宋" w:cs="仿宋"/>
          <w:b/>
          <w:bCs/>
          <w:color w:val="auto"/>
          <w:sz w:val="44"/>
          <w:szCs w:val="44"/>
          <w:highlight w:val="none"/>
        </w:rPr>
      </w:pPr>
    </w:p>
    <w:p>
      <w:pPr>
        <w:pStyle w:val="22"/>
        <w:jc w:val="both"/>
        <w:rPr>
          <w:rFonts w:ascii="仿宋" w:hAnsi="仿宋" w:eastAsia="仿宋" w:cs="仿宋"/>
          <w:b/>
          <w:bCs/>
          <w:color w:val="auto"/>
          <w:sz w:val="44"/>
          <w:szCs w:val="44"/>
          <w:highlight w:val="none"/>
        </w:rPr>
      </w:pPr>
    </w:p>
    <w:p>
      <w:pPr>
        <w:pStyle w:val="22"/>
        <w:jc w:val="both"/>
        <w:rPr>
          <w:rFonts w:ascii="仿宋" w:hAnsi="仿宋" w:eastAsia="仿宋" w:cs="仿宋"/>
          <w:b/>
          <w:bCs/>
          <w:color w:val="auto"/>
          <w:sz w:val="44"/>
          <w:szCs w:val="44"/>
          <w:highlight w:val="none"/>
        </w:rPr>
      </w:pPr>
    </w:p>
    <w:p>
      <w:pPr>
        <w:pStyle w:val="22"/>
        <w:jc w:val="both"/>
        <w:rPr>
          <w:rFonts w:ascii="仿宋" w:hAnsi="仿宋" w:eastAsia="仿宋" w:cs="仿宋"/>
          <w:b/>
          <w:bCs/>
          <w:color w:val="auto"/>
          <w:sz w:val="44"/>
          <w:szCs w:val="44"/>
          <w:highlight w:val="none"/>
        </w:rPr>
      </w:pPr>
    </w:p>
    <w:p>
      <w:pPr>
        <w:spacing w:line="360" w:lineRule="auto"/>
        <w:ind w:firstLine="480" w:firstLineChars="200"/>
        <w:jc w:val="left"/>
        <w:rPr>
          <w:rFonts w:ascii="宋体" w:hAnsi="宋体" w:eastAsia="PMingLiU" w:cs="宋体"/>
          <w:color w:val="auto"/>
          <w:sz w:val="24"/>
          <w:szCs w:val="24"/>
          <w:highlight w:val="none"/>
          <w:lang w:val="zh-TW" w:eastAsia="zh-TW"/>
        </w:rPr>
      </w:pPr>
    </w:p>
    <w:p>
      <w:pPr>
        <w:spacing w:line="360" w:lineRule="auto"/>
        <w:ind w:firstLine="480" w:firstLineChars="200"/>
        <w:jc w:val="left"/>
        <w:rPr>
          <w:rFonts w:ascii="宋体" w:hAnsi="宋体" w:eastAsia="PMingLiU" w:cs="宋体"/>
          <w:color w:val="auto"/>
          <w:sz w:val="24"/>
          <w:szCs w:val="24"/>
          <w:highlight w:val="none"/>
          <w:lang w:val="zh-TW" w:eastAsia="zh-TW"/>
        </w:rPr>
      </w:pPr>
    </w:p>
    <w:p>
      <w:pPr>
        <w:snapToGrid w:val="0"/>
        <w:jc w:val="both"/>
        <w:rPr>
          <w:rFonts w:ascii="宋体" w:hAnsi="宋体"/>
          <w:bCs/>
          <w:color w:val="auto"/>
          <w:sz w:val="32"/>
          <w:szCs w:val="32"/>
          <w:highlight w:val="none"/>
        </w:rPr>
      </w:pPr>
      <w:r>
        <w:rPr>
          <w:rFonts w:ascii="宋体" w:hAnsi="宋体"/>
          <w:bCs/>
          <w:color w:val="auto"/>
          <w:sz w:val="32"/>
          <w:szCs w:val="32"/>
          <w:highlight w:val="none"/>
        </w:rPr>
        <w:br w:type="page"/>
      </w:r>
    </w:p>
    <w:bookmarkEnd w:id="151"/>
    <w:p>
      <w:pPr>
        <w:snapToGrid w:val="0"/>
        <w:spacing w:line="480" w:lineRule="auto"/>
        <w:rPr>
          <w:rFonts w:hint="eastAsia" w:ascii="宋体" w:hAnsi="宋体"/>
          <w:bCs/>
          <w:color w:val="auto"/>
          <w:sz w:val="32"/>
          <w:szCs w:val="32"/>
          <w:highlight w:val="none"/>
        </w:rPr>
      </w:pPr>
    </w:p>
    <w:p>
      <w:pPr>
        <w:snapToGrid w:val="0"/>
        <w:jc w:val="center"/>
        <w:rPr>
          <w:rFonts w:hint="eastAsia" w:ascii="宋体" w:hAnsi="宋体"/>
          <w:bCs/>
          <w:color w:val="auto"/>
          <w:sz w:val="32"/>
          <w:szCs w:val="32"/>
          <w:highlight w:val="none"/>
        </w:rPr>
      </w:pPr>
    </w:p>
    <w:p>
      <w:pPr>
        <w:snapToGrid w:val="0"/>
        <w:jc w:val="center"/>
        <w:rPr>
          <w:rFonts w:hint="eastAsia" w:ascii="宋体" w:hAnsi="宋体"/>
          <w:bCs/>
          <w:color w:val="auto"/>
          <w:sz w:val="32"/>
          <w:szCs w:val="32"/>
          <w:highlight w:val="none"/>
        </w:rPr>
      </w:pPr>
    </w:p>
    <w:p>
      <w:pPr>
        <w:snapToGrid w:val="0"/>
        <w:jc w:val="center"/>
        <w:rPr>
          <w:rFonts w:hint="eastAsia" w:ascii="宋体" w:hAnsi="宋体"/>
          <w:bCs/>
          <w:color w:val="auto"/>
          <w:sz w:val="32"/>
          <w:szCs w:val="32"/>
          <w:highlight w:val="none"/>
        </w:rPr>
      </w:pPr>
    </w:p>
    <w:p>
      <w:pPr>
        <w:snapToGrid w:val="0"/>
        <w:jc w:val="center"/>
        <w:rPr>
          <w:rFonts w:hint="eastAsia" w:ascii="宋体" w:hAnsi="宋体"/>
          <w:bCs/>
          <w:color w:val="auto"/>
          <w:sz w:val="32"/>
          <w:szCs w:val="32"/>
          <w:highlight w:val="none"/>
        </w:rPr>
      </w:pPr>
    </w:p>
    <w:p>
      <w:pPr>
        <w:snapToGrid w:val="0"/>
        <w:jc w:val="center"/>
        <w:rPr>
          <w:rFonts w:hint="eastAsia" w:ascii="宋体" w:hAnsi="宋体"/>
          <w:bCs/>
          <w:color w:val="auto"/>
          <w:sz w:val="32"/>
          <w:szCs w:val="32"/>
          <w:highlight w:val="none"/>
        </w:rPr>
      </w:pPr>
    </w:p>
    <w:p>
      <w:pPr>
        <w:snapToGrid w:val="0"/>
        <w:jc w:val="center"/>
        <w:rPr>
          <w:rFonts w:hint="eastAsia" w:ascii="宋体" w:hAnsi="宋体"/>
          <w:bCs/>
          <w:color w:val="auto"/>
          <w:sz w:val="32"/>
          <w:szCs w:val="32"/>
          <w:highlight w:val="none"/>
        </w:rPr>
      </w:pPr>
    </w:p>
    <w:p>
      <w:pPr>
        <w:snapToGrid w:val="0"/>
        <w:jc w:val="center"/>
        <w:rPr>
          <w:rFonts w:hint="eastAsia" w:ascii="宋体" w:hAnsi="宋体"/>
          <w:bCs/>
          <w:color w:val="auto"/>
          <w:sz w:val="32"/>
          <w:szCs w:val="32"/>
          <w:highlight w:val="none"/>
        </w:rPr>
      </w:pPr>
    </w:p>
    <w:p>
      <w:pPr>
        <w:snapToGrid w:val="0"/>
        <w:jc w:val="center"/>
        <w:rPr>
          <w:rFonts w:hint="eastAsia" w:ascii="宋体" w:hAnsi="宋体"/>
          <w:bCs/>
          <w:color w:val="auto"/>
          <w:sz w:val="32"/>
          <w:szCs w:val="32"/>
          <w:highlight w:val="none"/>
        </w:rPr>
      </w:pPr>
    </w:p>
    <w:p>
      <w:pPr>
        <w:snapToGrid w:val="0"/>
        <w:jc w:val="center"/>
        <w:rPr>
          <w:rFonts w:hint="eastAsia" w:ascii="宋体" w:hAnsi="宋体"/>
          <w:bCs/>
          <w:color w:val="auto"/>
          <w:sz w:val="32"/>
          <w:szCs w:val="32"/>
          <w:highlight w:val="none"/>
        </w:rPr>
      </w:pPr>
    </w:p>
    <w:p>
      <w:pPr>
        <w:snapToGrid w:val="0"/>
        <w:jc w:val="center"/>
        <w:rPr>
          <w:rFonts w:hint="eastAsia" w:ascii="宋体" w:hAnsi="宋体"/>
          <w:bCs/>
          <w:color w:val="auto"/>
          <w:sz w:val="32"/>
          <w:szCs w:val="32"/>
          <w:highlight w:val="none"/>
        </w:rPr>
      </w:pPr>
    </w:p>
    <w:p>
      <w:pPr>
        <w:snapToGrid w:val="0"/>
        <w:jc w:val="center"/>
        <w:rPr>
          <w:rFonts w:hint="eastAsia" w:ascii="宋体" w:hAnsi="宋体"/>
          <w:bCs/>
          <w:color w:val="auto"/>
          <w:sz w:val="32"/>
          <w:szCs w:val="32"/>
          <w:highlight w:val="none"/>
        </w:rPr>
      </w:pPr>
    </w:p>
    <w:p>
      <w:pPr>
        <w:pStyle w:val="2"/>
        <w:jc w:val="center"/>
        <w:rPr>
          <w:rFonts w:hint="eastAsia"/>
          <w:color w:val="auto"/>
          <w:highlight w:val="none"/>
        </w:rPr>
      </w:pPr>
      <w:bookmarkStart w:id="160" w:name="_Toc74320805"/>
      <w:r>
        <w:rPr>
          <w:rFonts w:hint="eastAsia"/>
          <w:color w:val="auto"/>
          <w:highlight w:val="none"/>
        </w:rPr>
        <w:t>第六章　投标文件格式</w:t>
      </w:r>
      <w:bookmarkEnd w:id="160"/>
    </w:p>
    <w:p>
      <w:pPr>
        <w:snapToGrid w:val="0"/>
        <w:spacing w:before="50" w:after="50"/>
        <w:outlineLvl w:val="1"/>
        <w:rPr>
          <w:rFonts w:hint="eastAsia" w:ascii="宋体" w:hAnsi="宋体"/>
          <w:color w:val="auto"/>
          <w:sz w:val="32"/>
          <w:szCs w:val="20"/>
          <w:highlight w:val="none"/>
        </w:rPr>
      </w:pPr>
    </w:p>
    <w:p>
      <w:pPr>
        <w:snapToGrid w:val="0"/>
        <w:spacing w:before="50" w:after="50"/>
        <w:outlineLvl w:val="1"/>
        <w:rPr>
          <w:rFonts w:hint="eastAsia" w:ascii="宋体" w:hAnsi="宋体"/>
          <w:color w:val="auto"/>
          <w:sz w:val="32"/>
          <w:szCs w:val="20"/>
          <w:highlight w:val="none"/>
        </w:rPr>
      </w:pPr>
    </w:p>
    <w:p>
      <w:pPr>
        <w:snapToGrid w:val="0"/>
        <w:spacing w:before="50" w:after="50"/>
        <w:outlineLvl w:val="1"/>
        <w:rPr>
          <w:rFonts w:hint="eastAsia" w:ascii="宋体" w:hAnsi="宋体"/>
          <w:color w:val="auto"/>
          <w:sz w:val="32"/>
          <w:szCs w:val="20"/>
          <w:highlight w:val="none"/>
        </w:rPr>
      </w:pPr>
    </w:p>
    <w:p>
      <w:pPr>
        <w:snapToGrid w:val="0"/>
        <w:spacing w:before="50" w:after="50"/>
        <w:outlineLvl w:val="1"/>
        <w:rPr>
          <w:rFonts w:hint="eastAsia" w:ascii="宋体" w:hAnsi="宋体"/>
          <w:color w:val="auto"/>
          <w:sz w:val="32"/>
          <w:szCs w:val="20"/>
          <w:highlight w:val="none"/>
        </w:rPr>
      </w:pPr>
    </w:p>
    <w:p>
      <w:pPr>
        <w:snapToGrid w:val="0"/>
        <w:spacing w:before="50" w:after="50"/>
        <w:outlineLvl w:val="1"/>
        <w:rPr>
          <w:rFonts w:hint="eastAsia" w:ascii="宋体" w:hAnsi="宋体"/>
          <w:color w:val="auto"/>
          <w:sz w:val="32"/>
          <w:szCs w:val="20"/>
          <w:highlight w:val="none"/>
        </w:rPr>
      </w:pPr>
    </w:p>
    <w:p>
      <w:pPr>
        <w:snapToGrid w:val="0"/>
        <w:spacing w:before="50" w:after="50"/>
        <w:outlineLvl w:val="1"/>
        <w:rPr>
          <w:rFonts w:hint="eastAsia" w:ascii="宋体" w:hAnsi="宋体"/>
          <w:color w:val="auto"/>
          <w:sz w:val="32"/>
          <w:szCs w:val="20"/>
          <w:highlight w:val="none"/>
        </w:rPr>
      </w:pPr>
    </w:p>
    <w:p>
      <w:pPr>
        <w:snapToGrid w:val="0"/>
        <w:spacing w:before="50" w:after="50"/>
        <w:outlineLvl w:val="1"/>
        <w:rPr>
          <w:rFonts w:hint="eastAsia" w:ascii="宋体" w:hAnsi="宋体"/>
          <w:color w:val="auto"/>
          <w:sz w:val="32"/>
          <w:szCs w:val="20"/>
          <w:highlight w:val="none"/>
        </w:rPr>
      </w:pPr>
    </w:p>
    <w:p>
      <w:pPr>
        <w:snapToGrid w:val="0"/>
        <w:spacing w:before="50" w:after="50"/>
        <w:outlineLvl w:val="1"/>
        <w:rPr>
          <w:rFonts w:hint="eastAsia" w:ascii="宋体" w:hAnsi="宋体"/>
          <w:color w:val="auto"/>
          <w:sz w:val="32"/>
          <w:szCs w:val="20"/>
          <w:highlight w:val="none"/>
        </w:rPr>
      </w:pPr>
    </w:p>
    <w:p>
      <w:pPr>
        <w:snapToGrid w:val="0"/>
        <w:spacing w:before="50" w:after="50"/>
        <w:outlineLvl w:val="1"/>
        <w:rPr>
          <w:rFonts w:hint="eastAsia" w:ascii="宋体" w:hAnsi="宋体"/>
          <w:color w:val="auto"/>
          <w:sz w:val="32"/>
          <w:szCs w:val="20"/>
          <w:highlight w:val="none"/>
        </w:rPr>
      </w:pPr>
    </w:p>
    <w:p>
      <w:pPr>
        <w:snapToGrid w:val="0"/>
        <w:spacing w:before="50" w:after="50"/>
        <w:outlineLvl w:val="1"/>
        <w:rPr>
          <w:rFonts w:hint="eastAsia" w:ascii="宋体" w:hAnsi="宋体"/>
          <w:color w:val="auto"/>
          <w:sz w:val="32"/>
          <w:szCs w:val="20"/>
          <w:highlight w:val="none"/>
        </w:rPr>
      </w:pPr>
    </w:p>
    <w:p>
      <w:pPr>
        <w:snapToGrid w:val="0"/>
        <w:spacing w:before="50" w:after="50"/>
        <w:outlineLvl w:val="1"/>
        <w:rPr>
          <w:rFonts w:hint="eastAsia" w:ascii="宋体" w:hAnsi="宋体"/>
          <w:color w:val="auto"/>
          <w:sz w:val="32"/>
          <w:szCs w:val="20"/>
          <w:highlight w:val="none"/>
        </w:rPr>
      </w:pPr>
    </w:p>
    <w:p>
      <w:pPr>
        <w:snapToGrid w:val="0"/>
        <w:spacing w:before="50" w:after="50"/>
        <w:outlineLvl w:val="1"/>
        <w:rPr>
          <w:rFonts w:hint="eastAsia" w:ascii="宋体" w:hAnsi="宋体"/>
          <w:color w:val="auto"/>
          <w:sz w:val="32"/>
          <w:szCs w:val="20"/>
          <w:highlight w:val="none"/>
        </w:rPr>
      </w:pPr>
    </w:p>
    <w:p>
      <w:pPr>
        <w:snapToGrid w:val="0"/>
        <w:spacing w:before="120" w:beforeLines="50" w:after="50"/>
        <w:jc w:val="center"/>
        <w:outlineLvl w:val="1"/>
        <w:rPr>
          <w:rFonts w:hint="eastAsia" w:ascii="宋体" w:hAnsi="宋体"/>
          <w:color w:val="auto"/>
          <w:highlight w:val="none"/>
        </w:rPr>
      </w:pPr>
      <w:r>
        <w:rPr>
          <w:rFonts w:ascii="宋体" w:hAnsi="宋体"/>
          <w:color w:val="auto"/>
          <w:highlight w:val="none"/>
        </w:rPr>
        <w:br w:type="page"/>
      </w:r>
    </w:p>
    <w:p>
      <w:pPr>
        <w:rPr>
          <w:rFonts w:hint="eastAsia"/>
          <w:b/>
          <w:color w:val="auto"/>
          <w:sz w:val="28"/>
          <w:szCs w:val="28"/>
          <w:highlight w:val="none"/>
        </w:rPr>
      </w:pPr>
      <w:bookmarkStart w:id="161" w:name="_Toc19686836"/>
      <w:bookmarkStart w:id="162" w:name="_Toc254970557"/>
      <w:bookmarkStart w:id="163" w:name="_Toc254970698"/>
      <w:r>
        <w:rPr>
          <w:rFonts w:hint="eastAsia"/>
          <w:b/>
          <w:color w:val="auto"/>
          <w:sz w:val="28"/>
          <w:szCs w:val="28"/>
          <w:highlight w:val="none"/>
          <w:lang w:eastAsia="zh-CN"/>
        </w:rPr>
        <w:t>一</w:t>
      </w:r>
      <w:r>
        <w:rPr>
          <w:rFonts w:hint="eastAsia"/>
          <w:b/>
          <w:color w:val="auto"/>
          <w:sz w:val="28"/>
          <w:szCs w:val="28"/>
          <w:highlight w:val="none"/>
        </w:rPr>
        <w:t>、报价文件格式</w:t>
      </w:r>
      <w:bookmarkEnd w:id="161"/>
    </w:p>
    <w:p>
      <w:pPr>
        <w:snapToGrid w:val="0"/>
        <w:spacing w:before="120" w:beforeLines="50" w:after="50" w:line="360" w:lineRule="auto"/>
        <w:ind w:left="142"/>
        <w:jc w:val="left"/>
        <w:rPr>
          <w:rFonts w:hint="eastAsia" w:ascii="宋体" w:hAnsi="宋体"/>
          <w:color w:val="auto"/>
          <w:sz w:val="24"/>
          <w:szCs w:val="20"/>
          <w:highlight w:val="none"/>
        </w:rPr>
      </w:pPr>
      <w:r>
        <w:rPr>
          <w:rFonts w:hint="eastAsia" w:ascii="宋体" w:hAnsi="宋体"/>
          <w:b/>
          <w:color w:val="auto"/>
          <w:sz w:val="24"/>
          <w:highlight w:val="none"/>
        </w:rPr>
        <w:t xml:space="preserve">1. 报价文件封面格式： </w:t>
      </w:r>
    </w:p>
    <w:p>
      <w:pPr>
        <w:snapToGrid w:val="0"/>
        <w:spacing w:before="120" w:beforeLines="50" w:after="50" w:line="400" w:lineRule="exact"/>
        <w:rPr>
          <w:rFonts w:hint="eastAsia" w:ascii="宋体" w:hAnsi="宋体"/>
          <w:bCs/>
          <w:color w:val="auto"/>
          <w:sz w:val="32"/>
          <w:szCs w:val="20"/>
          <w:highlight w:val="none"/>
        </w:rPr>
      </w:pPr>
      <w:r>
        <w:rPr>
          <w:rFonts w:hint="eastAsia" w:ascii="宋体" w:hAnsi="宋体"/>
          <w:color w:val="auto"/>
          <w:sz w:val="24"/>
          <w:highlight w:val="none"/>
        </w:rPr>
        <w:t xml:space="preserve">                                                    </w:t>
      </w:r>
    </w:p>
    <w:p>
      <w:pPr>
        <w:snapToGrid w:val="0"/>
        <w:spacing w:before="120" w:beforeLines="50" w:after="50" w:line="400" w:lineRule="exact"/>
        <w:jc w:val="center"/>
        <w:rPr>
          <w:rFonts w:hint="eastAsia" w:ascii="宋体" w:hAnsi="宋体"/>
          <w:bCs/>
          <w:color w:val="auto"/>
          <w:sz w:val="24"/>
          <w:szCs w:val="20"/>
          <w:highlight w:val="none"/>
        </w:rPr>
      </w:pPr>
    </w:p>
    <w:p>
      <w:pPr>
        <w:snapToGrid w:val="0"/>
        <w:spacing w:before="120" w:beforeLines="50" w:after="50" w:line="400" w:lineRule="exact"/>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投  标  文  件</w:t>
      </w:r>
    </w:p>
    <w:p>
      <w:pPr>
        <w:snapToGrid w:val="0"/>
        <w:spacing w:before="120" w:beforeLines="50" w:after="50" w:line="400" w:lineRule="exact"/>
        <w:jc w:val="center"/>
        <w:rPr>
          <w:rFonts w:hint="eastAsia" w:ascii="宋体" w:hAnsi="宋体"/>
          <w:bCs/>
          <w:color w:val="auto"/>
          <w:sz w:val="32"/>
          <w:szCs w:val="32"/>
          <w:highlight w:val="none"/>
        </w:rPr>
      </w:pPr>
    </w:p>
    <w:p>
      <w:pPr>
        <w:snapToGrid w:val="0"/>
        <w:spacing w:before="120" w:beforeLines="50" w:after="50" w:line="400" w:lineRule="exact"/>
        <w:jc w:val="center"/>
        <w:rPr>
          <w:rFonts w:hint="eastAsia" w:ascii="方正小标宋简体" w:hAnsi="方正小标宋简体" w:eastAsia="方正小标宋简体" w:cs="方正小标宋简体"/>
          <w:color w:val="auto"/>
          <w:sz w:val="32"/>
          <w:szCs w:val="32"/>
          <w:highlight w:val="none"/>
        </w:rPr>
      </w:pPr>
      <w:r>
        <w:rPr>
          <w:rFonts w:hint="eastAsia" w:ascii="方正小标宋简体" w:hAnsi="方正小标宋简体" w:eastAsia="方正小标宋简体" w:cs="方正小标宋简体"/>
          <w:color w:val="auto"/>
          <w:sz w:val="32"/>
          <w:szCs w:val="32"/>
          <w:highlight w:val="none"/>
        </w:rPr>
        <w:t>报  价  文  件</w:t>
      </w:r>
    </w:p>
    <w:p>
      <w:pPr>
        <w:snapToGrid w:val="0"/>
        <w:spacing w:before="120" w:beforeLines="50" w:after="50" w:line="400" w:lineRule="exact"/>
        <w:rPr>
          <w:rFonts w:hint="eastAsia" w:ascii="宋体" w:hAnsi="宋体"/>
          <w:bCs/>
          <w:color w:val="auto"/>
          <w:sz w:val="24"/>
          <w:szCs w:val="20"/>
          <w:highlight w:val="none"/>
        </w:rPr>
      </w:pPr>
    </w:p>
    <w:p>
      <w:pPr>
        <w:snapToGrid w:val="0"/>
        <w:spacing w:before="120" w:beforeLines="50" w:after="50" w:line="400" w:lineRule="exact"/>
        <w:rPr>
          <w:rFonts w:hint="eastAsia" w:ascii="宋体" w:hAnsi="宋体"/>
          <w:bCs/>
          <w:color w:val="auto"/>
          <w:sz w:val="24"/>
          <w:szCs w:val="20"/>
          <w:highlight w:val="none"/>
        </w:rPr>
      </w:pPr>
    </w:p>
    <w:p>
      <w:pPr>
        <w:snapToGrid w:val="0"/>
        <w:spacing w:before="120" w:beforeLines="50" w:after="50" w:line="400" w:lineRule="exact"/>
        <w:rPr>
          <w:rFonts w:hint="eastAsia" w:ascii="宋体" w:hAnsi="宋体"/>
          <w:bCs/>
          <w:color w:val="auto"/>
          <w:sz w:val="24"/>
          <w:szCs w:val="20"/>
          <w:highlight w:val="none"/>
        </w:rPr>
      </w:pPr>
    </w:p>
    <w:p>
      <w:pPr>
        <w:snapToGrid w:val="0"/>
        <w:spacing w:before="120" w:beforeLines="50" w:after="50" w:line="400" w:lineRule="exact"/>
        <w:rPr>
          <w:rFonts w:hint="eastAsia" w:ascii="宋体" w:hAnsi="宋体"/>
          <w:bCs/>
          <w:color w:val="auto"/>
          <w:sz w:val="24"/>
          <w:szCs w:val="20"/>
          <w:highlight w:val="none"/>
        </w:rPr>
      </w:pPr>
    </w:p>
    <w:p>
      <w:pPr>
        <w:snapToGrid w:val="0"/>
        <w:spacing w:before="120"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 xml:space="preserve">项目名称： </w:t>
      </w:r>
    </w:p>
    <w:p>
      <w:pPr>
        <w:snapToGrid w:val="0"/>
        <w:spacing w:before="120" w:beforeLines="50" w:after="50" w:line="400" w:lineRule="exact"/>
        <w:ind w:firstLine="360" w:firstLineChars="150"/>
        <w:rPr>
          <w:rFonts w:hint="eastAsia" w:ascii="宋体" w:hAnsi="宋体"/>
          <w:bCs/>
          <w:color w:val="auto"/>
          <w:sz w:val="24"/>
          <w:highlight w:val="none"/>
        </w:rPr>
      </w:pPr>
    </w:p>
    <w:p>
      <w:pPr>
        <w:snapToGrid w:val="0"/>
        <w:spacing w:before="120"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 xml:space="preserve">项目编号： </w:t>
      </w:r>
    </w:p>
    <w:p>
      <w:pPr>
        <w:snapToGrid w:val="0"/>
        <w:spacing w:before="120" w:beforeLines="50" w:after="50" w:line="400" w:lineRule="exact"/>
        <w:ind w:firstLine="360" w:firstLineChars="150"/>
        <w:rPr>
          <w:rFonts w:hint="default" w:ascii="宋体" w:hAnsi="宋体" w:eastAsia="宋体"/>
          <w:bCs/>
          <w:color w:val="auto"/>
          <w:sz w:val="24"/>
          <w:highlight w:val="none"/>
          <w:lang w:val="en-US" w:eastAsia="zh-CN"/>
        </w:rPr>
      </w:pPr>
      <w:r>
        <w:rPr>
          <w:rFonts w:hint="eastAsia" w:ascii="宋体" w:hAnsi="宋体"/>
          <w:bCs/>
          <w:color w:val="auto"/>
          <w:sz w:val="24"/>
          <w:highlight w:val="none"/>
          <w:lang w:val="en-US" w:eastAsia="zh-CN"/>
        </w:rPr>
        <w:t>标   项：</w:t>
      </w:r>
    </w:p>
    <w:p>
      <w:pPr>
        <w:snapToGrid w:val="0"/>
        <w:spacing w:before="120" w:beforeLines="50" w:after="50" w:line="400" w:lineRule="exact"/>
        <w:rPr>
          <w:rFonts w:hint="eastAsia" w:ascii="宋体" w:hAnsi="宋体"/>
          <w:bCs/>
          <w:color w:val="auto"/>
          <w:sz w:val="24"/>
          <w:highlight w:val="none"/>
        </w:rPr>
      </w:pPr>
    </w:p>
    <w:p>
      <w:pPr>
        <w:snapToGrid w:val="0"/>
        <w:spacing w:before="120"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投标人名称：</w:t>
      </w:r>
    </w:p>
    <w:p>
      <w:pPr>
        <w:snapToGrid w:val="0"/>
        <w:spacing w:before="120" w:beforeLines="50" w:after="50" w:line="400" w:lineRule="exact"/>
        <w:ind w:firstLine="360" w:firstLineChars="150"/>
        <w:rPr>
          <w:rFonts w:hint="eastAsia" w:ascii="宋体" w:hAnsi="宋体"/>
          <w:bCs/>
          <w:color w:val="auto"/>
          <w:sz w:val="24"/>
          <w:highlight w:val="none"/>
        </w:rPr>
      </w:pPr>
    </w:p>
    <w:p>
      <w:pPr>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投标人地址：</w:t>
      </w:r>
    </w:p>
    <w:p>
      <w:pPr>
        <w:pStyle w:val="6"/>
        <w:snapToGrid w:val="0"/>
        <w:spacing w:before="50" w:after="50" w:line="400" w:lineRule="exact"/>
        <w:ind w:firstLine="960" w:firstLineChars="400"/>
        <w:rPr>
          <w:rFonts w:hint="eastAsia" w:ascii="宋体" w:hAnsi="宋体"/>
          <w:bCs/>
          <w:color w:val="auto"/>
          <w:sz w:val="24"/>
          <w:szCs w:val="24"/>
          <w:highlight w:val="none"/>
        </w:rPr>
      </w:pPr>
    </w:p>
    <w:p>
      <w:pPr>
        <w:snapToGrid w:val="0"/>
        <w:spacing w:before="120" w:beforeLines="50" w:after="50" w:line="400" w:lineRule="exact"/>
        <w:rPr>
          <w:rFonts w:hint="eastAsia" w:ascii="宋体" w:hAnsi="宋体"/>
          <w:color w:val="auto"/>
          <w:sz w:val="30"/>
          <w:szCs w:val="20"/>
          <w:highlight w:val="none"/>
        </w:rPr>
      </w:pPr>
      <w:r>
        <w:rPr>
          <w:rFonts w:hint="eastAsia" w:ascii="宋体" w:hAnsi="宋体"/>
          <w:color w:val="auto"/>
          <w:sz w:val="24"/>
          <w:highlight w:val="none"/>
        </w:rPr>
        <w:t xml:space="preserve">                                   年  月  日</w:t>
      </w:r>
    </w:p>
    <w:p>
      <w:pPr>
        <w:snapToGrid w:val="0"/>
        <w:spacing w:before="120" w:beforeLines="50" w:after="50" w:line="360" w:lineRule="auto"/>
        <w:jc w:val="left"/>
        <w:rPr>
          <w:rFonts w:hint="eastAsia" w:ascii="宋体" w:hAnsi="宋体"/>
          <w:color w:val="auto"/>
          <w:sz w:val="24"/>
          <w:szCs w:val="20"/>
          <w:highlight w:val="none"/>
        </w:rPr>
      </w:pPr>
      <w:r>
        <w:rPr>
          <w:rFonts w:ascii="宋体" w:hAnsi="宋体"/>
          <w:b/>
          <w:color w:val="auto"/>
          <w:sz w:val="24"/>
          <w:highlight w:val="none"/>
        </w:rPr>
        <w:br w:type="page"/>
      </w:r>
      <w:r>
        <w:rPr>
          <w:rFonts w:hint="eastAsia" w:ascii="宋体" w:hAnsi="宋体"/>
          <w:b/>
          <w:color w:val="auto"/>
          <w:sz w:val="24"/>
          <w:highlight w:val="none"/>
        </w:rPr>
        <w:t>2.</w:t>
      </w:r>
      <w:r>
        <w:rPr>
          <w:rFonts w:hint="eastAsia" w:ascii="宋体" w:hAnsi="宋体"/>
          <w:b/>
          <w:bCs/>
          <w:color w:val="auto"/>
          <w:sz w:val="24"/>
          <w:highlight w:val="none"/>
        </w:rPr>
        <w:t>报价文件目录</w:t>
      </w:r>
    </w:p>
    <w:p>
      <w:pPr>
        <w:snapToGrid w:val="0"/>
        <w:spacing w:before="50" w:after="120" w:afterLines="50" w:line="360" w:lineRule="auto"/>
        <w:jc w:val="left"/>
        <w:rPr>
          <w:rFonts w:ascii="宋体" w:hAnsi="宋体"/>
          <w:b/>
          <w:color w:val="auto"/>
          <w:sz w:val="24"/>
          <w:highlight w:val="none"/>
        </w:rPr>
      </w:pPr>
      <w:r>
        <w:rPr>
          <w:rFonts w:hint="eastAsia" w:ascii="宋体" w:hAnsi="宋体"/>
          <w:color w:val="auto"/>
          <w:szCs w:val="21"/>
          <w:highlight w:val="none"/>
        </w:rPr>
        <w:t>根据招标文件</w:t>
      </w:r>
      <w:r>
        <w:rPr>
          <w:rFonts w:hint="eastAsia" w:ascii="宋体" w:hAnsi="宋体"/>
          <w:color w:val="auto"/>
          <w:szCs w:val="21"/>
          <w:highlight w:val="none"/>
          <w:lang w:eastAsia="zh-CN"/>
        </w:rPr>
        <w:t>“</w:t>
      </w:r>
      <w:r>
        <w:rPr>
          <w:rFonts w:hint="eastAsia" w:ascii="宋体" w:hAnsi="宋体"/>
          <w:color w:val="auto"/>
          <w:szCs w:val="21"/>
          <w:highlight w:val="none"/>
        </w:rPr>
        <w:t>投标人须知前附表</w:t>
      </w:r>
      <w:r>
        <w:rPr>
          <w:rFonts w:hint="eastAsia" w:ascii="宋体" w:hAnsi="宋体"/>
          <w:color w:val="auto"/>
          <w:szCs w:val="21"/>
          <w:highlight w:val="none"/>
          <w:lang w:val="en-US" w:eastAsia="zh-CN"/>
        </w:rPr>
        <w:t>13.1</w:t>
      </w:r>
      <w:r>
        <w:rPr>
          <w:rFonts w:hint="eastAsia" w:ascii="宋体" w:hAnsi="宋体"/>
          <w:color w:val="auto"/>
          <w:szCs w:val="21"/>
          <w:highlight w:val="none"/>
          <w:lang w:eastAsia="zh-CN"/>
        </w:rPr>
        <w:t>”</w:t>
      </w:r>
      <w:r>
        <w:rPr>
          <w:rFonts w:hint="eastAsia" w:ascii="宋体" w:hAnsi="宋体"/>
          <w:color w:val="auto"/>
          <w:szCs w:val="21"/>
          <w:highlight w:val="none"/>
        </w:rPr>
        <w:t>规定及投标人提供的材料自行编写目录。</w:t>
      </w:r>
    </w:p>
    <w:p>
      <w:pPr>
        <w:snapToGrid w:val="0"/>
        <w:spacing w:before="120" w:beforeLines="50" w:after="50"/>
        <w:rPr>
          <w:rFonts w:hint="eastAsia" w:ascii="宋体" w:hAnsi="宋体"/>
          <w:b/>
          <w:color w:val="auto"/>
          <w:sz w:val="24"/>
          <w:highlight w:val="none"/>
        </w:rPr>
      </w:pPr>
    </w:p>
    <w:p>
      <w:pPr>
        <w:snapToGrid w:val="0"/>
        <w:spacing w:before="120" w:beforeLines="50" w:after="50"/>
        <w:rPr>
          <w:rFonts w:hint="eastAsia" w:ascii="宋体" w:hAnsi="宋体"/>
          <w:b/>
          <w:color w:val="auto"/>
          <w:sz w:val="24"/>
          <w:highlight w:val="none"/>
        </w:rPr>
      </w:pPr>
    </w:p>
    <w:p>
      <w:pPr>
        <w:snapToGrid w:val="0"/>
        <w:spacing w:before="120" w:beforeLines="50" w:after="50"/>
        <w:rPr>
          <w:rFonts w:hint="eastAsia" w:ascii="宋体" w:hAnsi="宋体"/>
          <w:b/>
          <w:color w:val="auto"/>
          <w:sz w:val="24"/>
          <w:highlight w:val="none"/>
        </w:rPr>
      </w:pPr>
    </w:p>
    <w:p>
      <w:pPr>
        <w:snapToGrid w:val="0"/>
        <w:spacing w:before="120" w:beforeLines="50" w:after="50"/>
        <w:ind w:left="142"/>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3. 投标函格式：</w:t>
      </w:r>
    </w:p>
    <w:p>
      <w:pPr>
        <w:snapToGrid w:val="0"/>
        <w:spacing w:before="120" w:beforeLines="50" w:after="50" w:line="360" w:lineRule="auto"/>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投 标 函</w:t>
      </w:r>
    </w:p>
    <w:p>
      <w:pPr>
        <w:snapToGrid w:val="0"/>
        <w:spacing w:before="120" w:beforeLines="50" w:after="50" w:line="320" w:lineRule="exact"/>
        <w:jc w:val="center"/>
        <w:rPr>
          <w:rFonts w:hint="eastAsia" w:ascii="宋体" w:hAnsi="宋体"/>
          <w:b/>
          <w:color w:val="auto"/>
          <w:sz w:val="32"/>
          <w:szCs w:val="32"/>
          <w:highlight w:val="none"/>
        </w:rPr>
      </w:pPr>
    </w:p>
    <w:p>
      <w:pPr>
        <w:spacing w:line="360" w:lineRule="auto"/>
        <w:contextualSpacing/>
        <w:rPr>
          <w:rFonts w:hint="eastAsia" w:ascii="宋体" w:hAnsi="宋体"/>
          <w:color w:val="auto"/>
          <w:sz w:val="24"/>
          <w:highlight w:val="none"/>
        </w:rPr>
      </w:pPr>
      <w:r>
        <w:rPr>
          <w:rFonts w:hint="eastAsia" w:ascii="宋体" w:hAnsi="宋体"/>
          <w:color w:val="auto"/>
          <w:sz w:val="24"/>
          <w:highlight w:val="none"/>
        </w:rPr>
        <w:t>致：</w:t>
      </w:r>
      <w:r>
        <w:rPr>
          <w:rFonts w:hint="eastAsia" w:ascii="宋体" w:hAnsi="宋体"/>
          <w:color w:val="auto"/>
          <w:sz w:val="24"/>
          <w:highlight w:val="none"/>
          <w:u w:val="single"/>
        </w:rPr>
        <w:t>采购人名称</w:t>
      </w:r>
    </w:p>
    <w:p>
      <w:pPr>
        <w:spacing w:line="360" w:lineRule="auto"/>
        <w:ind w:firstLine="480"/>
        <w:contextualSpacing/>
        <w:rPr>
          <w:rFonts w:hint="eastAsia" w:ascii="宋体" w:hAnsi="宋体"/>
          <w:color w:val="auto"/>
          <w:sz w:val="24"/>
          <w:highlight w:val="none"/>
        </w:rPr>
      </w:pPr>
      <w:r>
        <w:rPr>
          <w:rFonts w:hint="eastAsia" w:ascii="宋体" w:hAnsi="宋体"/>
          <w:color w:val="auto"/>
          <w:sz w:val="24"/>
          <w:highlight w:val="none"/>
        </w:rPr>
        <w:t>根据贵方</w:t>
      </w:r>
      <w:r>
        <w:rPr>
          <w:rFonts w:hint="eastAsia" w:ascii="宋体" w:hAnsi="宋体"/>
          <w:color w:val="auto"/>
          <w:sz w:val="24"/>
          <w:highlight w:val="none"/>
          <w:u w:val="single"/>
        </w:rPr>
        <w:t xml:space="preserve"> 项目名称</w:t>
      </w:r>
      <w:r>
        <w:rPr>
          <w:rFonts w:hint="eastAsia" w:ascii="宋体" w:hAnsi="宋体"/>
          <w:color w:val="auto"/>
          <w:sz w:val="24"/>
          <w:highlight w:val="none"/>
        </w:rPr>
        <w:t>（项目编号：</w:t>
      </w:r>
      <w:r>
        <w:rPr>
          <w:rFonts w:hint="eastAsia" w:ascii="宋体" w:hAnsi="宋体"/>
          <w:color w:val="auto"/>
          <w:sz w:val="24"/>
          <w:highlight w:val="none"/>
          <w:u w:val="single"/>
        </w:rPr>
        <w:t xml:space="preserve">        </w:t>
      </w:r>
      <w:r>
        <w:rPr>
          <w:rFonts w:hint="eastAsia" w:ascii="宋体" w:hAnsi="宋体"/>
          <w:color w:val="auto"/>
          <w:sz w:val="24"/>
          <w:highlight w:val="none"/>
        </w:rPr>
        <w:t>）的招标公告，签字代表______</w:t>
      </w:r>
      <w:r>
        <w:rPr>
          <w:rFonts w:hint="eastAsia" w:ascii="宋体" w:hAnsi="宋体"/>
          <w:color w:val="auto"/>
          <w:sz w:val="24"/>
          <w:highlight w:val="none"/>
          <w:u w:val="single"/>
        </w:rPr>
        <w:t xml:space="preserve">     </w:t>
      </w:r>
      <w:r>
        <w:rPr>
          <w:rFonts w:hint="eastAsia" w:ascii="宋体" w:hAnsi="宋体"/>
          <w:color w:val="auto"/>
          <w:sz w:val="24"/>
          <w:highlight w:val="none"/>
        </w:rPr>
        <w:t>（姓名）经正式授权并代表投标人</w:t>
      </w:r>
      <w:r>
        <w:rPr>
          <w:rFonts w:hint="eastAsia" w:ascii="宋体" w:hAnsi="宋体"/>
          <w:color w:val="auto"/>
          <w:sz w:val="24"/>
          <w:highlight w:val="none"/>
          <w:u w:val="single"/>
        </w:rPr>
        <w:t xml:space="preserve">                 </w:t>
      </w:r>
      <w:r>
        <w:rPr>
          <w:rFonts w:hint="eastAsia" w:ascii="宋体" w:hAnsi="宋体"/>
          <w:color w:val="auto"/>
          <w:sz w:val="24"/>
          <w:highlight w:val="none"/>
        </w:rPr>
        <w:t>（投标人名称）提交投标文件。</w:t>
      </w:r>
    </w:p>
    <w:p>
      <w:pPr>
        <w:spacing w:line="360" w:lineRule="auto"/>
        <w:ind w:firstLine="480" w:firstLineChars="200"/>
        <w:contextualSpacing/>
        <w:rPr>
          <w:rFonts w:hint="eastAsia" w:ascii="宋体" w:hAnsi="宋体"/>
          <w:color w:val="auto"/>
          <w:sz w:val="24"/>
          <w:highlight w:val="none"/>
        </w:rPr>
      </w:pPr>
      <w:r>
        <w:rPr>
          <w:rFonts w:hint="eastAsia" w:ascii="宋体" w:hAnsi="宋体"/>
          <w:color w:val="auto"/>
          <w:sz w:val="24"/>
          <w:highlight w:val="none"/>
        </w:rPr>
        <w:t>据此函，我方宣布同意如下：</w:t>
      </w:r>
    </w:p>
    <w:p>
      <w:pPr>
        <w:spacing w:line="360" w:lineRule="auto"/>
        <w:ind w:firstLine="480" w:firstLineChars="200"/>
        <w:contextualSpacing/>
        <w:rPr>
          <w:rFonts w:hint="eastAsia" w:ascii="宋体" w:hAnsi="宋体"/>
          <w:color w:val="auto"/>
          <w:sz w:val="24"/>
          <w:highlight w:val="none"/>
        </w:rPr>
      </w:pPr>
      <w:r>
        <w:rPr>
          <w:rFonts w:hint="eastAsia" w:ascii="宋体" w:hAnsi="宋体"/>
          <w:color w:val="auto"/>
          <w:sz w:val="24"/>
          <w:highlight w:val="none"/>
        </w:rPr>
        <w:t>1.我方已详细审查全部“招标文件”，包括修改文件（如有的话）以及全部参考资料和有关附件，已经了解我方对于招标文件、采购过程、采购结果有依法进行询问、质疑、投诉的权利及相关渠道和要求。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contextualSpacing/>
        <w:rPr>
          <w:rFonts w:hint="eastAsia" w:ascii="宋体" w:hAnsi="宋体"/>
          <w:color w:val="auto"/>
          <w:sz w:val="24"/>
          <w:highlight w:val="none"/>
        </w:rPr>
      </w:pPr>
      <w:r>
        <w:rPr>
          <w:rFonts w:hint="eastAsia" w:ascii="宋体" w:hAnsi="宋体"/>
          <w:color w:val="auto"/>
          <w:sz w:val="24"/>
          <w:highlight w:val="none"/>
        </w:rPr>
        <w:t>2.我方在投标之前已经完全理解并接受招标文件的各项规定和要求，对招标文件的合理性、合法性不再有异议。</w:t>
      </w:r>
    </w:p>
    <w:p>
      <w:pPr>
        <w:spacing w:line="360" w:lineRule="auto"/>
        <w:ind w:firstLine="480" w:firstLineChars="200"/>
        <w:contextualSpacing/>
        <w:rPr>
          <w:rFonts w:hint="eastAsia" w:ascii="宋体" w:hAnsi="宋体"/>
          <w:color w:val="auto"/>
          <w:sz w:val="24"/>
          <w:highlight w:val="none"/>
        </w:rPr>
      </w:pPr>
      <w:r>
        <w:rPr>
          <w:rFonts w:hint="eastAsia" w:ascii="宋体" w:hAnsi="宋体"/>
          <w:color w:val="auto"/>
          <w:sz w:val="24"/>
          <w:highlight w:val="none"/>
          <w:lang w:val="en-US" w:eastAsia="zh-CN"/>
        </w:rPr>
        <w:t>3</w:t>
      </w:r>
      <w:r>
        <w:rPr>
          <w:rFonts w:hint="eastAsia" w:ascii="宋体" w:hAnsi="宋体"/>
          <w:color w:val="auto"/>
          <w:sz w:val="24"/>
          <w:highlight w:val="none"/>
        </w:rPr>
        <w:t>.如中标，本投标文件至本项目合同履行完毕止均保持有效，我方将按“招标文件”及政府采购法律、法规的规定履行合同责任和义务。</w:t>
      </w:r>
    </w:p>
    <w:p>
      <w:pPr>
        <w:spacing w:line="360" w:lineRule="auto"/>
        <w:ind w:firstLine="480" w:firstLineChars="200"/>
        <w:contextualSpacing/>
        <w:rPr>
          <w:rFonts w:hint="eastAsia" w:ascii="宋体" w:hAnsi="宋体"/>
          <w:color w:val="auto"/>
          <w:sz w:val="24"/>
          <w:highlight w:val="none"/>
        </w:rPr>
      </w:pPr>
      <w:r>
        <w:rPr>
          <w:rFonts w:hint="eastAsia" w:ascii="宋体" w:hAnsi="宋体"/>
          <w:color w:val="auto"/>
          <w:sz w:val="24"/>
          <w:highlight w:val="none"/>
          <w:lang w:val="en-US" w:eastAsia="zh-CN"/>
        </w:rPr>
        <w:t>4</w:t>
      </w:r>
      <w:r>
        <w:rPr>
          <w:rFonts w:hint="eastAsia" w:ascii="宋体" w:hAnsi="宋体"/>
          <w:color w:val="auto"/>
          <w:sz w:val="24"/>
          <w:highlight w:val="none"/>
        </w:rPr>
        <w:t>.我方同意按照贵方要求提供与投标有关的一切数据或者资料。</w:t>
      </w:r>
    </w:p>
    <w:p>
      <w:pPr>
        <w:spacing w:line="360" w:lineRule="auto"/>
        <w:ind w:firstLine="480" w:firstLineChars="200"/>
        <w:contextualSpacing/>
        <w:rPr>
          <w:rFonts w:hint="eastAsia" w:ascii="宋体" w:hAnsi="宋体"/>
          <w:color w:val="auto"/>
          <w:sz w:val="24"/>
          <w:highlight w:val="none"/>
        </w:rPr>
      </w:pPr>
      <w:r>
        <w:rPr>
          <w:rFonts w:hint="eastAsia" w:ascii="宋体" w:hAnsi="宋体"/>
          <w:color w:val="auto"/>
          <w:sz w:val="24"/>
          <w:highlight w:val="none"/>
          <w:lang w:val="en-US" w:eastAsia="zh-CN"/>
        </w:rPr>
        <w:t>5</w:t>
      </w:r>
      <w:r>
        <w:rPr>
          <w:rFonts w:hint="eastAsia" w:ascii="宋体" w:hAnsi="宋体"/>
          <w:color w:val="auto"/>
          <w:sz w:val="24"/>
          <w:highlight w:val="none"/>
        </w:rPr>
        <w:t>.我方向贵方提交的所有投标文件、资料都是准确的和真实的。</w:t>
      </w:r>
    </w:p>
    <w:p>
      <w:pPr>
        <w:spacing w:line="360" w:lineRule="auto"/>
        <w:ind w:firstLine="480" w:firstLineChars="200"/>
        <w:contextualSpacing/>
        <w:rPr>
          <w:rFonts w:hint="eastAsia" w:ascii="宋体" w:hAnsi="宋体"/>
          <w:color w:val="auto"/>
          <w:sz w:val="24"/>
          <w:highlight w:val="none"/>
        </w:rPr>
      </w:pPr>
      <w:r>
        <w:rPr>
          <w:rFonts w:hint="eastAsia" w:ascii="宋体" w:hAnsi="宋体"/>
          <w:color w:val="auto"/>
          <w:sz w:val="24"/>
          <w:highlight w:val="none"/>
          <w:lang w:val="en-US" w:eastAsia="zh-CN"/>
        </w:rPr>
        <w:t>6</w:t>
      </w:r>
      <w:r>
        <w:rPr>
          <w:rFonts w:hint="eastAsia" w:ascii="宋体" w:hAnsi="宋体"/>
          <w:color w:val="auto"/>
          <w:sz w:val="24"/>
          <w:highlight w:val="none"/>
        </w:rPr>
        <w:t>.以上事项如有虚假或者隐瞒，我方愿意承担一切后果，并不再寻求任何旨在减轻或者免除法律责任的辩解。</w:t>
      </w:r>
    </w:p>
    <w:p>
      <w:pPr>
        <w:spacing w:line="360" w:lineRule="auto"/>
        <w:ind w:firstLine="480" w:firstLineChars="200"/>
        <w:contextualSpacing/>
        <w:rPr>
          <w:rFonts w:hint="eastAsia" w:ascii="宋体" w:hAnsi="宋体"/>
          <w:color w:val="auto"/>
          <w:sz w:val="24"/>
          <w:highlight w:val="none"/>
        </w:rPr>
      </w:pPr>
      <w:r>
        <w:rPr>
          <w:rFonts w:hint="eastAsia" w:ascii="宋体" w:hAnsi="宋体"/>
          <w:color w:val="auto"/>
          <w:sz w:val="24"/>
          <w:highlight w:val="none"/>
          <w:lang w:val="en-US" w:eastAsia="zh-CN"/>
        </w:rPr>
        <w:t>7</w:t>
      </w:r>
      <w:r>
        <w:rPr>
          <w:rFonts w:hint="eastAsia" w:ascii="宋体" w:hAnsi="宋体"/>
          <w:color w:val="auto"/>
          <w:sz w:val="24"/>
          <w:highlight w:val="none"/>
        </w:rPr>
        <w:t>.根据</w:t>
      </w:r>
      <w:r>
        <w:rPr>
          <w:rFonts w:ascii="宋体" w:hAnsi="宋体"/>
          <w:color w:val="auto"/>
          <w:sz w:val="24"/>
          <w:highlight w:val="none"/>
        </w:rPr>
        <w:t>《中华人民共和国政府采购法实施条例》第五十条要求对政府采购合同进行公告</w:t>
      </w:r>
      <w:r>
        <w:rPr>
          <w:rFonts w:hint="eastAsia" w:ascii="宋体" w:hAnsi="宋体"/>
          <w:color w:val="auto"/>
          <w:sz w:val="24"/>
          <w:highlight w:val="none"/>
        </w:rPr>
        <w:t>，</w:t>
      </w:r>
      <w:r>
        <w:rPr>
          <w:rFonts w:ascii="宋体" w:hAnsi="宋体"/>
          <w:color w:val="auto"/>
          <w:sz w:val="24"/>
          <w:highlight w:val="none"/>
        </w:rPr>
        <w:t>但政府采购合同中涉及国家秘密、商业秘密的内容除外。</w:t>
      </w:r>
      <w:r>
        <w:rPr>
          <w:rFonts w:hint="eastAsia" w:ascii="宋体" w:hAnsi="宋体"/>
          <w:color w:val="auto"/>
          <w:sz w:val="24"/>
          <w:highlight w:val="none"/>
        </w:rPr>
        <w:t>我方就对本次投标文件进行注明如下：（两项内容中必须选择一项）</w:t>
      </w:r>
    </w:p>
    <w:p>
      <w:pPr>
        <w:spacing w:line="360" w:lineRule="auto"/>
        <w:ind w:firstLine="480" w:firstLineChars="200"/>
        <w:contextualSpacing/>
        <w:rPr>
          <w:rFonts w:hint="eastAsia" w:ascii="宋体" w:hAnsi="宋体"/>
          <w:color w:val="auto"/>
          <w:sz w:val="24"/>
          <w:highlight w:val="none"/>
        </w:rPr>
      </w:pPr>
      <w:r>
        <w:rPr>
          <w:rFonts w:hint="eastAsia" w:ascii="宋体" w:hAnsi="宋体"/>
          <w:color w:val="auto"/>
          <w:sz w:val="24"/>
          <w:highlight w:val="none"/>
        </w:rPr>
        <w:t>□我方本次投标文件</w:t>
      </w:r>
      <w:r>
        <w:rPr>
          <w:rFonts w:ascii="宋体" w:hAnsi="宋体" w:cs="宋体"/>
          <w:color w:val="auto"/>
          <w:kern w:val="0"/>
          <w:sz w:val="24"/>
          <w:highlight w:val="none"/>
        </w:rPr>
        <w:t>内容中</w:t>
      </w:r>
      <w:r>
        <w:rPr>
          <w:rFonts w:hint="eastAsia" w:ascii="宋体" w:hAnsi="宋体"/>
          <w:color w:val="auto"/>
          <w:sz w:val="24"/>
          <w:highlight w:val="none"/>
        </w:rPr>
        <w:t>未</w:t>
      </w:r>
      <w:r>
        <w:rPr>
          <w:rFonts w:ascii="宋体" w:hAnsi="宋体" w:cs="宋体"/>
          <w:color w:val="auto"/>
          <w:kern w:val="0"/>
          <w:sz w:val="24"/>
          <w:highlight w:val="none"/>
        </w:rPr>
        <w:t>涉及商业秘密</w:t>
      </w:r>
      <w:r>
        <w:rPr>
          <w:rFonts w:hint="eastAsia" w:ascii="宋体" w:hAnsi="宋体" w:cs="宋体"/>
          <w:color w:val="auto"/>
          <w:kern w:val="0"/>
          <w:sz w:val="24"/>
          <w:highlight w:val="none"/>
        </w:rPr>
        <w:t>；</w:t>
      </w:r>
    </w:p>
    <w:p>
      <w:pPr>
        <w:spacing w:line="360" w:lineRule="auto"/>
        <w:ind w:firstLine="480" w:firstLineChars="200"/>
        <w:contextualSpacing/>
        <w:rPr>
          <w:rFonts w:hint="eastAsia" w:ascii="宋体" w:hAnsi="宋体"/>
          <w:color w:val="auto"/>
          <w:sz w:val="24"/>
          <w:highlight w:val="none"/>
        </w:rPr>
      </w:pPr>
      <w:r>
        <w:rPr>
          <w:rFonts w:hint="eastAsia" w:ascii="宋体" w:hAnsi="宋体"/>
          <w:color w:val="auto"/>
          <w:sz w:val="24"/>
          <w:highlight w:val="none"/>
        </w:rPr>
        <w:t>□我方本次投标文件</w:t>
      </w:r>
      <w:r>
        <w:rPr>
          <w:rFonts w:ascii="宋体" w:hAnsi="宋体" w:cs="宋体"/>
          <w:color w:val="auto"/>
          <w:kern w:val="0"/>
          <w:sz w:val="24"/>
          <w:highlight w:val="none"/>
        </w:rPr>
        <w:t>涉及商业秘密</w:t>
      </w:r>
      <w:r>
        <w:rPr>
          <w:rFonts w:hint="eastAsia" w:ascii="宋体" w:hAnsi="宋体" w:cs="宋体"/>
          <w:color w:val="auto"/>
          <w:kern w:val="0"/>
          <w:sz w:val="24"/>
          <w:highlight w:val="none"/>
        </w:rPr>
        <w:t>的</w:t>
      </w:r>
      <w:r>
        <w:rPr>
          <w:rFonts w:ascii="宋体" w:hAnsi="宋体" w:cs="宋体"/>
          <w:color w:val="auto"/>
          <w:kern w:val="0"/>
          <w:sz w:val="24"/>
          <w:highlight w:val="none"/>
        </w:rPr>
        <w:t>内容</w:t>
      </w:r>
      <w:r>
        <w:rPr>
          <w:rFonts w:hint="eastAsia" w:ascii="宋体" w:hAnsi="宋体" w:cs="宋体"/>
          <w:color w:val="auto"/>
          <w:kern w:val="0"/>
          <w:sz w:val="24"/>
          <w:highlight w:val="none"/>
        </w:rPr>
        <w:t>有：</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pPr>
        <w:spacing w:line="360" w:lineRule="auto"/>
        <w:ind w:firstLine="480" w:firstLineChars="200"/>
        <w:contextualSpacing/>
        <w:rPr>
          <w:rFonts w:hint="eastAsia" w:ascii="宋体" w:hAnsi="宋体"/>
          <w:color w:val="auto"/>
          <w:sz w:val="24"/>
          <w:highlight w:val="none"/>
        </w:rPr>
      </w:pPr>
      <w:r>
        <w:rPr>
          <w:rFonts w:hint="eastAsia" w:ascii="宋体" w:hAnsi="宋体"/>
          <w:color w:val="auto"/>
          <w:sz w:val="24"/>
          <w:highlight w:val="none"/>
          <w:lang w:val="en-US" w:eastAsia="zh-CN"/>
        </w:rPr>
        <w:t>8</w:t>
      </w:r>
      <w:r>
        <w:rPr>
          <w:rFonts w:hint="eastAsia" w:ascii="宋体" w:hAnsi="宋体"/>
          <w:color w:val="auto"/>
          <w:sz w:val="24"/>
          <w:highlight w:val="none"/>
        </w:rPr>
        <w:t>.与本投标有关的一切正式往来信函请寄：</w:t>
      </w:r>
    </w:p>
    <w:p>
      <w:pPr>
        <w:spacing w:line="360" w:lineRule="auto"/>
        <w:ind w:firstLine="480" w:firstLineChars="200"/>
        <w:contextualSpacing/>
        <w:rPr>
          <w:rFonts w:hint="eastAsia" w:ascii="宋体" w:hAnsi="宋体"/>
          <w:color w:val="auto"/>
          <w:sz w:val="24"/>
          <w:highlight w:val="none"/>
          <w:u w:val="single"/>
        </w:rPr>
      </w:pPr>
      <w:r>
        <w:rPr>
          <w:rFonts w:hint="eastAsia" w:ascii="宋体" w:hAnsi="宋体"/>
          <w:color w:val="auto"/>
          <w:sz w:val="24"/>
          <w:highlight w:val="none"/>
        </w:rPr>
        <w:t>地址：</w:t>
      </w:r>
      <w:r>
        <w:rPr>
          <w:rFonts w:hint="eastAsia" w:ascii="宋体" w:hAnsi="宋体"/>
          <w:color w:val="auto"/>
          <w:sz w:val="24"/>
          <w:highlight w:val="none"/>
          <w:u w:val="single"/>
        </w:rPr>
        <w:t xml:space="preserve">          </w:t>
      </w:r>
      <w:r>
        <w:rPr>
          <w:rFonts w:hint="eastAsia" w:ascii="宋体" w:hAnsi="宋体"/>
          <w:color w:val="auto"/>
          <w:sz w:val="24"/>
          <w:highlight w:val="none"/>
        </w:rPr>
        <w:t>邮编：</w:t>
      </w:r>
      <w:r>
        <w:rPr>
          <w:rFonts w:hint="eastAsia" w:ascii="宋体" w:hAnsi="宋体"/>
          <w:color w:val="auto"/>
          <w:sz w:val="24"/>
          <w:highlight w:val="none"/>
          <w:u w:val="single"/>
        </w:rPr>
        <w:t xml:space="preserve">            </w:t>
      </w:r>
    </w:p>
    <w:p>
      <w:pPr>
        <w:spacing w:line="360" w:lineRule="auto"/>
        <w:ind w:firstLine="480" w:firstLineChars="200"/>
        <w:contextualSpacing/>
        <w:rPr>
          <w:rFonts w:hint="eastAsia" w:ascii="宋体" w:hAnsi="宋体"/>
          <w:color w:val="auto"/>
          <w:sz w:val="24"/>
          <w:highlight w:val="none"/>
        </w:rPr>
      </w:pPr>
      <w:r>
        <w:rPr>
          <w:rFonts w:hint="eastAsia" w:ascii="宋体" w:hAnsi="宋体"/>
          <w:color w:val="auto"/>
          <w:sz w:val="24"/>
          <w:highlight w:val="none"/>
        </w:rPr>
        <w:t>电话：</w:t>
      </w:r>
      <w:r>
        <w:rPr>
          <w:rFonts w:hint="eastAsia" w:ascii="宋体" w:hAnsi="宋体"/>
          <w:color w:val="auto"/>
          <w:sz w:val="24"/>
          <w:highlight w:val="none"/>
          <w:u w:val="single"/>
        </w:rPr>
        <w:t xml:space="preserve">        </w:t>
      </w:r>
      <w:r>
        <w:rPr>
          <w:rFonts w:hint="eastAsia" w:ascii="宋体" w:hAnsi="宋体"/>
          <w:color w:val="auto"/>
          <w:sz w:val="24"/>
          <w:highlight w:val="none"/>
        </w:rPr>
        <w:t>传真：</w:t>
      </w:r>
      <w:r>
        <w:rPr>
          <w:rFonts w:hint="eastAsia" w:ascii="宋体" w:hAnsi="宋体"/>
          <w:color w:val="auto"/>
          <w:sz w:val="24"/>
          <w:highlight w:val="none"/>
          <w:u w:val="single"/>
        </w:rPr>
        <w:t xml:space="preserve">          </w:t>
      </w:r>
    </w:p>
    <w:p>
      <w:pPr>
        <w:spacing w:line="360" w:lineRule="auto"/>
        <w:ind w:firstLine="480" w:firstLineChars="200"/>
        <w:contextualSpacing/>
        <w:rPr>
          <w:rFonts w:hint="eastAsia" w:ascii="宋体" w:hAnsi="宋体"/>
          <w:color w:val="auto"/>
          <w:sz w:val="24"/>
          <w:highlight w:val="none"/>
        </w:rPr>
      </w:pPr>
      <w:r>
        <w:rPr>
          <w:rFonts w:hint="eastAsia" w:ascii="宋体" w:hAnsi="宋体"/>
          <w:color w:val="auto"/>
          <w:sz w:val="24"/>
          <w:highlight w:val="none"/>
        </w:rPr>
        <w:t>投标人名称:</w:t>
      </w:r>
      <w:r>
        <w:rPr>
          <w:rFonts w:hint="eastAsia" w:ascii="宋体" w:hAnsi="宋体"/>
          <w:color w:val="auto"/>
          <w:sz w:val="24"/>
          <w:highlight w:val="none"/>
          <w:u w:val="single"/>
        </w:rPr>
        <w:t xml:space="preserve">                </w:t>
      </w:r>
    </w:p>
    <w:p>
      <w:pPr>
        <w:spacing w:line="360" w:lineRule="auto"/>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开户银行：</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银行帐号：</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pPr>
        <w:spacing w:line="360" w:lineRule="auto"/>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法定代表人或者委托代理人</w:t>
      </w:r>
      <w:r>
        <w:rPr>
          <w:rFonts w:hint="eastAsia" w:ascii="宋体" w:hAnsi="宋体"/>
          <w:color w:val="auto"/>
          <w:sz w:val="24"/>
          <w:highlight w:val="none"/>
          <w:lang w:eastAsia="zh-CN"/>
        </w:rPr>
        <w:t>（</w:t>
      </w:r>
      <w:r>
        <w:rPr>
          <w:rFonts w:hint="eastAsia" w:ascii="宋体" w:hAnsi="宋体"/>
          <w:color w:val="auto"/>
          <w:sz w:val="24"/>
          <w:highlight w:val="none"/>
        </w:rPr>
        <w:t>签字</w:t>
      </w:r>
      <w:r>
        <w:rPr>
          <w:rFonts w:hint="eastAsia" w:ascii="宋体" w:hAnsi="宋体"/>
          <w:color w:val="auto"/>
          <w:spacing w:val="20"/>
          <w:sz w:val="24"/>
          <w:highlight w:val="none"/>
          <w:lang w:val="en-US" w:eastAsia="zh-CN"/>
        </w:rPr>
        <w:t>/</w:t>
      </w:r>
      <w:r>
        <w:rPr>
          <w:rFonts w:hint="eastAsia" w:hAnsi="宋体"/>
          <w:color w:val="auto"/>
          <w:sz w:val="24"/>
          <w:szCs w:val="24"/>
          <w:highlight w:val="none"/>
        </w:rPr>
        <w:t>签章</w:t>
      </w:r>
      <w:r>
        <w:rPr>
          <w:rFonts w:hint="eastAsia" w:hAnsi="宋体"/>
          <w:color w:val="auto"/>
          <w:sz w:val="24"/>
          <w:szCs w:val="24"/>
          <w:highlight w:val="none"/>
          <w:lang w:eastAsia="zh-CN"/>
        </w:rPr>
        <w:t>）</w:t>
      </w:r>
      <w:r>
        <w:rPr>
          <w:rFonts w:hint="eastAsia" w:ascii="宋体" w:hAnsi="宋体"/>
          <w:color w:val="auto"/>
          <w:sz w:val="24"/>
          <w:highlight w:val="none"/>
        </w:rPr>
        <w:t xml:space="preserve">:___________ </w:t>
      </w:r>
    </w:p>
    <w:p>
      <w:pPr>
        <w:pStyle w:val="12"/>
        <w:spacing w:line="360" w:lineRule="auto"/>
        <w:contextualSpacing/>
        <w:jc w:val="center"/>
        <w:rPr>
          <w:rFonts w:hint="eastAsia" w:hAnsi="宋体"/>
          <w:color w:val="auto"/>
          <w:sz w:val="24"/>
          <w:szCs w:val="24"/>
          <w:highlight w:val="none"/>
          <w:u w:val="single"/>
        </w:rPr>
      </w:pPr>
      <w:r>
        <w:rPr>
          <w:rFonts w:hint="eastAsia" w:hAnsi="宋体"/>
          <w:color w:val="auto"/>
          <w:sz w:val="24"/>
          <w:highlight w:val="none"/>
        </w:rPr>
        <w:t xml:space="preserve"> </w:t>
      </w:r>
      <w:r>
        <w:rPr>
          <w:rFonts w:hAnsi="宋体"/>
          <w:color w:val="auto"/>
          <w:sz w:val="24"/>
          <w:highlight w:val="none"/>
        </w:rPr>
        <w:t xml:space="preserve">                                   </w:t>
      </w:r>
      <w:r>
        <w:rPr>
          <w:rFonts w:hint="eastAsia" w:hAnsi="宋体"/>
          <w:color w:val="auto"/>
          <w:sz w:val="24"/>
          <w:highlight w:val="none"/>
        </w:rPr>
        <w:t>投标人（盖</w:t>
      </w:r>
      <w:r>
        <w:rPr>
          <w:rFonts w:hint="eastAsia" w:ascii="宋体" w:hAnsi="宋体"/>
          <w:color w:val="auto"/>
          <w:spacing w:val="20"/>
          <w:sz w:val="24"/>
          <w:highlight w:val="none"/>
          <w:lang w:eastAsia="zh-CN"/>
        </w:rPr>
        <w:t>电子</w:t>
      </w:r>
      <w:r>
        <w:rPr>
          <w:rFonts w:hint="eastAsia" w:hAnsi="宋体"/>
          <w:color w:val="auto"/>
          <w:sz w:val="24"/>
          <w:highlight w:val="none"/>
        </w:rPr>
        <w:t>公章）：</w:t>
      </w:r>
    </w:p>
    <w:p>
      <w:pPr>
        <w:pStyle w:val="12"/>
        <w:spacing w:line="360" w:lineRule="auto"/>
        <w:contextualSpacing/>
        <w:rPr>
          <w:rFonts w:hint="eastAsia" w:hAnsi="宋体"/>
          <w:color w:val="auto"/>
          <w:sz w:val="24"/>
          <w:highlight w:val="none"/>
        </w:rPr>
      </w:pPr>
      <w:r>
        <w:rPr>
          <w:rFonts w:hint="eastAsia" w:hAnsi="宋体"/>
          <w:color w:val="auto"/>
          <w:sz w:val="24"/>
          <w:szCs w:val="24"/>
          <w:highlight w:val="none"/>
        </w:rPr>
        <w:t xml:space="preserve">                                                </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p>
    <w:p>
      <w:pPr>
        <w:snapToGrid w:val="0"/>
        <w:spacing w:before="120" w:beforeLines="50" w:after="50"/>
        <w:jc w:val="left"/>
        <w:rPr>
          <w:rFonts w:hint="eastAsia" w:ascii="宋体" w:hAnsi="宋体"/>
          <w:b/>
          <w:color w:val="auto"/>
          <w:sz w:val="24"/>
          <w:szCs w:val="20"/>
          <w:highlight w:val="none"/>
        </w:rPr>
      </w:pPr>
      <w:r>
        <w:rPr>
          <w:rFonts w:hAnsi="宋体"/>
          <w:color w:val="auto"/>
          <w:highlight w:val="none"/>
          <w:u w:val="single"/>
        </w:rPr>
        <w:br w:type="page"/>
      </w:r>
      <w:r>
        <w:rPr>
          <w:rFonts w:hint="eastAsia" w:ascii="宋体" w:hAnsi="宋体"/>
          <w:b/>
          <w:color w:val="auto"/>
          <w:sz w:val="24"/>
          <w:highlight w:val="none"/>
        </w:rPr>
        <w:t>4. 开标一览表（货物类格式）</w:t>
      </w:r>
    </w:p>
    <w:p>
      <w:pPr>
        <w:snapToGrid w:val="0"/>
        <w:spacing w:before="50" w:after="50"/>
        <w:jc w:val="center"/>
        <w:rPr>
          <w:rFonts w:hint="eastAsia" w:ascii="宋体" w:hAnsi="宋体"/>
          <w:b/>
          <w:color w:val="auto"/>
          <w:sz w:val="30"/>
          <w:highlight w:val="none"/>
        </w:rPr>
      </w:pPr>
      <w:r>
        <w:rPr>
          <w:rFonts w:hint="eastAsia" w:ascii="宋体" w:hAnsi="宋体"/>
          <w:b/>
          <w:color w:val="auto"/>
          <w:sz w:val="30"/>
          <w:highlight w:val="none"/>
        </w:rPr>
        <w:t>开标一览表</w:t>
      </w:r>
    </w:p>
    <w:p>
      <w:pPr>
        <w:snapToGrid w:val="0"/>
        <w:spacing w:before="50" w:after="50"/>
        <w:jc w:val="center"/>
        <w:rPr>
          <w:rFonts w:hint="eastAsia" w:ascii="宋体" w:hAnsi="宋体"/>
          <w:b/>
          <w:color w:val="auto"/>
          <w:sz w:val="30"/>
          <w:szCs w:val="20"/>
          <w:highlight w:val="none"/>
        </w:rPr>
      </w:pPr>
    </w:p>
    <w:p>
      <w:pPr>
        <w:snapToGrid w:val="0"/>
        <w:spacing w:before="50" w:after="50" w:line="360" w:lineRule="auto"/>
        <w:rPr>
          <w:rFonts w:hint="eastAsia" w:ascii="宋体" w:hAnsi="宋体"/>
          <w:color w:val="auto"/>
          <w:sz w:val="24"/>
          <w:highlight w:val="none"/>
          <w:u w:val="single"/>
        </w:rPr>
      </w:pPr>
      <w:r>
        <w:rPr>
          <w:rFonts w:hint="eastAsia" w:ascii="宋体" w:hAnsi="宋体"/>
          <w:color w:val="auto"/>
          <w:sz w:val="24"/>
          <w:highlight w:val="none"/>
        </w:rPr>
        <w:t>项目名称：</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ascii="宋体" w:hAnsi="宋体"/>
          <w:color w:val="auto"/>
          <w:sz w:val="24"/>
          <w:highlight w:val="none"/>
        </w:rPr>
        <w:t xml:space="preserve">         </w:t>
      </w:r>
      <w:r>
        <w:rPr>
          <w:rFonts w:hint="eastAsia" w:ascii="宋体" w:hAnsi="宋体"/>
          <w:color w:val="auto"/>
          <w:sz w:val="24"/>
          <w:highlight w:val="none"/>
        </w:rPr>
        <w:t>项目编号：</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r>
        <w:rPr>
          <w:rFonts w:hint="eastAsia" w:ascii="宋体" w:hAnsi="宋体"/>
          <w:color w:val="auto"/>
          <w:sz w:val="24"/>
          <w:highlight w:val="none"/>
          <w:lang w:val="en-US" w:eastAsia="zh-CN"/>
        </w:rPr>
        <w:t>标项：</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u w:val="single"/>
        </w:rPr>
        <w:t xml:space="preserve"> </w:t>
      </w:r>
    </w:p>
    <w:p>
      <w:pPr>
        <w:snapToGrid w:val="0"/>
        <w:spacing w:before="50" w:after="50" w:line="360" w:lineRule="auto"/>
        <w:rPr>
          <w:rFonts w:hint="eastAsia" w:ascii="宋体" w:hAnsi="宋体"/>
          <w:color w:val="auto"/>
          <w:sz w:val="24"/>
          <w:highlight w:val="none"/>
        </w:rPr>
      </w:pPr>
      <w:r>
        <w:rPr>
          <w:rFonts w:hint="eastAsia" w:ascii="宋体" w:hAnsi="宋体"/>
          <w:color w:val="auto"/>
          <w:sz w:val="24"/>
          <w:highlight w:val="none"/>
        </w:rPr>
        <w:t>投标人名称：</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单位：元</w:t>
      </w:r>
    </w:p>
    <w:tbl>
      <w:tblPr>
        <w:tblStyle w:val="17"/>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98"/>
        <w:gridCol w:w="2426"/>
        <w:gridCol w:w="747"/>
        <w:gridCol w:w="884"/>
        <w:gridCol w:w="884"/>
        <w:gridCol w:w="288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394"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hint="eastAsia" w:ascii="宋体" w:hAnsi="宋体"/>
                <w:b/>
                <w:color w:val="auto"/>
                <w:sz w:val="24"/>
                <w:highlight w:val="none"/>
              </w:rPr>
            </w:pPr>
            <w:r>
              <w:rPr>
                <w:rFonts w:hint="eastAsia" w:ascii="宋体" w:hAnsi="宋体"/>
                <w:b/>
                <w:color w:val="auto"/>
                <w:sz w:val="24"/>
                <w:highlight w:val="none"/>
              </w:rPr>
              <w:t>序号</w:t>
            </w:r>
          </w:p>
        </w:tc>
        <w:tc>
          <w:tcPr>
            <w:tcW w:w="1426"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hint="eastAsia" w:ascii="宋体" w:hAnsi="宋体"/>
                <w:b/>
                <w:color w:val="auto"/>
                <w:sz w:val="24"/>
                <w:highlight w:val="none"/>
              </w:rPr>
            </w:pPr>
            <w:r>
              <w:rPr>
                <w:rFonts w:hint="eastAsia" w:ascii="宋体" w:hAnsi="宋体"/>
                <w:b/>
                <w:color w:val="auto"/>
                <w:sz w:val="24"/>
                <w:highlight w:val="none"/>
              </w:rPr>
              <w:t>标的的名称</w:t>
            </w:r>
          </w:p>
        </w:tc>
        <w:tc>
          <w:tcPr>
            <w:tcW w:w="441"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ascii="宋体" w:hAnsi="宋体"/>
                <w:b/>
                <w:color w:val="auto"/>
                <w:sz w:val="24"/>
                <w:highlight w:val="none"/>
              </w:rPr>
            </w:pPr>
            <w:r>
              <w:rPr>
                <w:rFonts w:hint="eastAsia" w:ascii="宋体" w:hAnsi="宋体"/>
                <w:b/>
                <w:color w:val="auto"/>
                <w:sz w:val="24"/>
                <w:highlight w:val="none"/>
              </w:rPr>
              <w:t>品牌</w:t>
            </w:r>
          </w:p>
        </w:tc>
        <w:tc>
          <w:tcPr>
            <w:tcW w:w="521"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hint="eastAsia" w:ascii="宋体" w:hAnsi="宋体"/>
                <w:b/>
                <w:color w:val="auto"/>
                <w:sz w:val="24"/>
                <w:highlight w:val="none"/>
              </w:rPr>
            </w:pPr>
            <w:r>
              <w:rPr>
                <w:rFonts w:hint="eastAsia" w:ascii="宋体" w:hAnsi="宋体"/>
                <w:b/>
                <w:color w:val="auto"/>
                <w:sz w:val="24"/>
                <w:highlight w:val="none"/>
              </w:rPr>
              <w:t>数量及单位①</w:t>
            </w:r>
          </w:p>
        </w:tc>
        <w:tc>
          <w:tcPr>
            <w:tcW w:w="521"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ascii="宋体" w:hAnsi="宋体"/>
                <w:b/>
                <w:color w:val="auto"/>
                <w:sz w:val="24"/>
                <w:highlight w:val="none"/>
              </w:rPr>
            </w:pPr>
            <w:r>
              <w:rPr>
                <w:rFonts w:hint="eastAsia" w:ascii="宋体" w:hAnsi="宋体"/>
                <w:b/>
                <w:color w:val="auto"/>
                <w:sz w:val="24"/>
                <w:highlight w:val="none"/>
              </w:rPr>
              <w:t>单价</w:t>
            </w:r>
          </w:p>
          <w:p>
            <w:pPr>
              <w:snapToGrid w:val="0"/>
              <w:spacing w:before="50" w:after="50" w:line="360" w:lineRule="auto"/>
              <w:jc w:val="center"/>
              <w:rPr>
                <w:rFonts w:hint="eastAsia" w:ascii="宋体" w:hAnsi="宋体"/>
                <w:b/>
                <w:color w:val="auto"/>
                <w:sz w:val="24"/>
                <w:highlight w:val="none"/>
              </w:rPr>
            </w:pPr>
            <w:r>
              <w:rPr>
                <w:rFonts w:hint="eastAsia" w:ascii="宋体" w:hAnsi="宋体"/>
                <w:b/>
                <w:color w:val="auto"/>
                <w:sz w:val="24"/>
                <w:highlight w:val="none"/>
              </w:rPr>
              <w:t>②</w:t>
            </w:r>
          </w:p>
        </w:tc>
        <w:tc>
          <w:tcPr>
            <w:tcW w:w="1696"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hint="eastAsia" w:ascii="宋体" w:hAnsi="宋体"/>
                <w:b/>
                <w:color w:val="auto"/>
                <w:sz w:val="24"/>
                <w:highlight w:val="none"/>
              </w:rPr>
            </w:pPr>
            <w:r>
              <w:rPr>
                <w:rFonts w:hint="eastAsia" w:ascii="宋体" w:hAnsi="宋体"/>
                <w:b/>
                <w:color w:val="auto"/>
                <w:sz w:val="24"/>
                <w:highlight w:val="none"/>
              </w:rPr>
              <w:t>投标报价</w:t>
            </w:r>
          </w:p>
          <w:p>
            <w:pPr>
              <w:snapToGrid w:val="0"/>
              <w:spacing w:before="50" w:after="50" w:line="360" w:lineRule="auto"/>
              <w:jc w:val="center"/>
              <w:rPr>
                <w:rFonts w:hint="eastAsia" w:ascii="宋体" w:hAnsi="宋体"/>
                <w:b/>
                <w:color w:val="auto"/>
                <w:sz w:val="24"/>
                <w:highlight w:val="none"/>
              </w:rPr>
            </w:pPr>
            <w:r>
              <w:rPr>
                <w:rFonts w:ascii="宋体" w:hAnsi="宋体"/>
                <w:b/>
                <w:color w:val="auto"/>
                <w:sz w:val="24"/>
                <w:highlight w:val="none"/>
              </w:rPr>
              <w:t>③</w:t>
            </w:r>
            <w:r>
              <w:rPr>
                <w:rFonts w:hint="eastAsia" w:ascii="宋体" w:hAnsi="宋体"/>
                <w:b/>
                <w:color w:val="auto"/>
                <w:sz w:val="24"/>
                <w:highlight w:val="none"/>
              </w:rPr>
              <w:t>=①×②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394"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hint="eastAsia" w:ascii="宋体" w:hAnsi="宋体"/>
                <w:b/>
                <w:color w:val="auto"/>
                <w:sz w:val="24"/>
                <w:highlight w:val="none"/>
              </w:rPr>
            </w:pPr>
            <w:r>
              <w:rPr>
                <w:rFonts w:hint="eastAsia" w:ascii="宋体" w:hAnsi="宋体"/>
                <w:b/>
                <w:color w:val="auto"/>
                <w:sz w:val="24"/>
                <w:highlight w:val="none"/>
              </w:rPr>
              <w:t>1</w:t>
            </w:r>
          </w:p>
        </w:tc>
        <w:tc>
          <w:tcPr>
            <w:tcW w:w="1426"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hint="eastAsia" w:ascii="宋体" w:hAnsi="宋体"/>
                <w:b/>
                <w:color w:val="auto"/>
                <w:sz w:val="24"/>
                <w:highlight w:val="none"/>
              </w:rPr>
            </w:pPr>
          </w:p>
        </w:tc>
        <w:tc>
          <w:tcPr>
            <w:tcW w:w="441"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rPr>
                <w:rFonts w:hint="eastAsia" w:ascii="宋体" w:hAnsi="宋体"/>
                <w:color w:val="auto"/>
                <w:sz w:val="24"/>
                <w:highlight w:val="none"/>
              </w:rPr>
            </w:pPr>
          </w:p>
        </w:tc>
        <w:tc>
          <w:tcPr>
            <w:tcW w:w="521"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rPr>
                <w:rFonts w:hint="eastAsia" w:ascii="宋体" w:hAnsi="宋体"/>
                <w:color w:val="auto"/>
                <w:sz w:val="24"/>
                <w:highlight w:val="none"/>
              </w:rPr>
            </w:pPr>
          </w:p>
        </w:tc>
        <w:tc>
          <w:tcPr>
            <w:tcW w:w="521"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rPr>
                <w:rFonts w:hint="eastAsia" w:ascii="宋体" w:hAnsi="宋体"/>
                <w:color w:val="auto"/>
                <w:sz w:val="24"/>
                <w:highlight w:val="none"/>
              </w:rPr>
            </w:pPr>
          </w:p>
        </w:tc>
        <w:tc>
          <w:tcPr>
            <w:tcW w:w="1696"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394"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hint="eastAsia" w:ascii="宋体" w:hAnsi="宋体"/>
                <w:b/>
                <w:color w:val="auto"/>
                <w:sz w:val="24"/>
                <w:highlight w:val="none"/>
              </w:rPr>
            </w:pPr>
            <w:r>
              <w:rPr>
                <w:rFonts w:hint="eastAsia" w:ascii="宋体" w:hAnsi="宋体"/>
                <w:b/>
                <w:color w:val="auto"/>
                <w:sz w:val="24"/>
                <w:highlight w:val="none"/>
              </w:rPr>
              <w:t>2</w:t>
            </w:r>
          </w:p>
        </w:tc>
        <w:tc>
          <w:tcPr>
            <w:tcW w:w="1426"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hint="eastAsia" w:ascii="宋体" w:hAnsi="宋体"/>
                <w:b/>
                <w:color w:val="auto"/>
                <w:sz w:val="24"/>
                <w:highlight w:val="none"/>
              </w:rPr>
            </w:pPr>
          </w:p>
        </w:tc>
        <w:tc>
          <w:tcPr>
            <w:tcW w:w="441"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rPr>
                <w:rFonts w:hint="eastAsia" w:ascii="宋体" w:hAnsi="宋体"/>
                <w:color w:val="auto"/>
                <w:sz w:val="24"/>
                <w:highlight w:val="none"/>
              </w:rPr>
            </w:pPr>
          </w:p>
        </w:tc>
        <w:tc>
          <w:tcPr>
            <w:tcW w:w="521"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rPr>
                <w:rFonts w:hint="eastAsia" w:ascii="宋体" w:hAnsi="宋体"/>
                <w:color w:val="auto"/>
                <w:sz w:val="24"/>
                <w:highlight w:val="none"/>
              </w:rPr>
            </w:pPr>
          </w:p>
        </w:tc>
        <w:tc>
          <w:tcPr>
            <w:tcW w:w="521"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rPr>
                <w:rFonts w:hint="eastAsia" w:ascii="宋体" w:hAnsi="宋体"/>
                <w:color w:val="auto"/>
                <w:sz w:val="24"/>
                <w:highlight w:val="none"/>
              </w:rPr>
            </w:pPr>
          </w:p>
        </w:tc>
        <w:tc>
          <w:tcPr>
            <w:tcW w:w="1696"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394"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hint="eastAsia" w:ascii="宋体" w:hAnsi="宋体"/>
                <w:b/>
                <w:color w:val="auto"/>
                <w:sz w:val="24"/>
                <w:highlight w:val="none"/>
              </w:rPr>
            </w:pPr>
            <w:r>
              <w:rPr>
                <w:rFonts w:hint="eastAsia" w:ascii="宋体" w:hAnsi="宋体"/>
                <w:b/>
                <w:color w:val="auto"/>
                <w:sz w:val="24"/>
                <w:highlight w:val="none"/>
              </w:rPr>
              <w:t>……</w:t>
            </w:r>
          </w:p>
        </w:tc>
        <w:tc>
          <w:tcPr>
            <w:tcW w:w="1426"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hint="eastAsia" w:ascii="宋体" w:hAnsi="宋体"/>
                <w:b/>
                <w:color w:val="auto"/>
                <w:sz w:val="24"/>
                <w:highlight w:val="none"/>
              </w:rPr>
            </w:pPr>
            <w:r>
              <w:rPr>
                <w:rFonts w:hint="eastAsia" w:ascii="宋体" w:hAnsi="宋体"/>
                <w:b/>
                <w:color w:val="auto"/>
                <w:sz w:val="24"/>
                <w:highlight w:val="none"/>
              </w:rPr>
              <w:t>……</w:t>
            </w:r>
          </w:p>
        </w:tc>
        <w:tc>
          <w:tcPr>
            <w:tcW w:w="441"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rPr>
                <w:rFonts w:hint="eastAsia" w:ascii="宋体" w:hAnsi="宋体"/>
                <w:color w:val="auto"/>
                <w:sz w:val="24"/>
                <w:highlight w:val="none"/>
              </w:rPr>
            </w:pPr>
          </w:p>
        </w:tc>
        <w:tc>
          <w:tcPr>
            <w:tcW w:w="521"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rPr>
                <w:rFonts w:hint="eastAsia" w:ascii="宋体" w:hAnsi="宋体"/>
                <w:color w:val="auto"/>
                <w:sz w:val="24"/>
                <w:highlight w:val="none"/>
              </w:rPr>
            </w:pPr>
          </w:p>
        </w:tc>
        <w:tc>
          <w:tcPr>
            <w:tcW w:w="521"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rPr>
                <w:rFonts w:hint="eastAsia" w:ascii="宋体" w:hAnsi="宋体"/>
                <w:color w:val="auto"/>
                <w:sz w:val="24"/>
                <w:highlight w:val="none"/>
              </w:rPr>
            </w:pPr>
          </w:p>
        </w:tc>
        <w:tc>
          <w:tcPr>
            <w:tcW w:w="1696"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5000" w:type="pct"/>
            <w:gridSpan w:val="6"/>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rPr>
                <w:rFonts w:hint="eastAsia" w:ascii="宋体" w:hAnsi="宋体"/>
                <w:color w:val="auto"/>
                <w:sz w:val="24"/>
                <w:highlight w:val="none"/>
              </w:rPr>
            </w:pPr>
            <w:r>
              <w:rPr>
                <w:rFonts w:hint="eastAsia" w:ascii="宋体" w:hAnsi="宋体" w:cs="仿宋_GB2312"/>
                <w:color w:val="auto"/>
                <w:sz w:val="24"/>
                <w:highlight w:val="none"/>
              </w:rPr>
              <w:t>合计金额大写：人民币</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w:t>
            </w:r>
          </w:p>
        </w:tc>
      </w:tr>
    </w:tbl>
    <w:p>
      <w:pPr>
        <w:snapToGrid w:val="0"/>
        <w:spacing w:before="50" w:after="50" w:line="360" w:lineRule="auto"/>
        <w:jc w:val="left"/>
        <w:rPr>
          <w:rFonts w:hint="eastAsia" w:ascii="宋体" w:hAnsi="宋体"/>
          <w:color w:val="auto"/>
          <w:sz w:val="24"/>
          <w:highlight w:val="none"/>
        </w:rPr>
      </w:pPr>
      <w:r>
        <w:rPr>
          <w:rFonts w:hint="eastAsia" w:ascii="宋体" w:hAnsi="宋体"/>
          <w:color w:val="auto"/>
          <w:sz w:val="24"/>
          <w:highlight w:val="none"/>
        </w:rPr>
        <w:t xml:space="preserve">注: </w:t>
      </w:r>
    </w:p>
    <w:p>
      <w:pPr>
        <w:snapToGrid w:val="0"/>
        <w:spacing w:before="50" w:after="50"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1.投标人的开标一览表必须加盖</w:t>
      </w:r>
      <w:r>
        <w:rPr>
          <w:rFonts w:hint="eastAsia" w:ascii="宋体" w:hAnsi="宋体"/>
          <w:color w:val="auto"/>
          <w:sz w:val="24"/>
          <w:highlight w:val="none"/>
          <w:lang w:eastAsia="zh-CN"/>
        </w:rPr>
        <w:t>投标人电子公章</w:t>
      </w:r>
      <w:r>
        <w:rPr>
          <w:rFonts w:hint="eastAsia" w:ascii="宋体" w:hAnsi="宋体"/>
          <w:color w:val="auto"/>
          <w:sz w:val="24"/>
          <w:highlight w:val="none"/>
        </w:rPr>
        <w:t>并由</w:t>
      </w:r>
      <w:r>
        <w:rPr>
          <w:rFonts w:ascii="宋体" w:hAnsi="宋体"/>
          <w:color w:val="auto"/>
          <w:sz w:val="24"/>
          <w:highlight w:val="none"/>
        </w:rPr>
        <w:t>法定代表人或者委托代理人</w:t>
      </w:r>
      <w:r>
        <w:rPr>
          <w:rFonts w:hint="eastAsia" w:ascii="宋体" w:hAnsi="宋体"/>
          <w:color w:val="auto"/>
          <w:sz w:val="24"/>
          <w:highlight w:val="none"/>
        </w:rPr>
        <w:t>签字，</w:t>
      </w:r>
      <w:r>
        <w:rPr>
          <w:rFonts w:hint="eastAsia" w:ascii="宋体" w:hAnsi="宋体"/>
          <w:b/>
          <w:color w:val="auto"/>
          <w:sz w:val="24"/>
          <w:highlight w:val="none"/>
        </w:rPr>
        <w:t>否则其投标作无效标处理</w:t>
      </w:r>
      <w:r>
        <w:rPr>
          <w:rFonts w:hint="eastAsia" w:ascii="宋体" w:hAnsi="宋体"/>
          <w:color w:val="auto"/>
          <w:sz w:val="24"/>
          <w:highlight w:val="none"/>
        </w:rPr>
        <w:t>。</w:t>
      </w:r>
    </w:p>
    <w:p>
      <w:pPr>
        <w:snapToGrid w:val="0"/>
        <w:spacing w:before="50" w:after="50" w:line="360" w:lineRule="auto"/>
        <w:ind w:firstLine="480" w:firstLineChars="200"/>
        <w:jc w:val="left"/>
        <w:rPr>
          <w:rFonts w:hint="eastAsia" w:ascii="宋体" w:hAnsi="宋体"/>
          <w:b/>
          <w:color w:val="auto"/>
          <w:sz w:val="24"/>
          <w:highlight w:val="none"/>
        </w:rPr>
      </w:pPr>
      <w:r>
        <w:rPr>
          <w:rFonts w:hint="eastAsia" w:ascii="宋体" w:hAnsi="宋体"/>
          <w:bCs/>
          <w:color w:val="auto"/>
          <w:sz w:val="24"/>
          <w:highlight w:val="none"/>
        </w:rPr>
        <w:t>2.</w:t>
      </w:r>
      <w:r>
        <w:rPr>
          <w:rFonts w:hint="eastAsia" w:ascii="宋体" w:hAnsi="宋体"/>
          <w:color w:val="auto"/>
          <w:sz w:val="24"/>
          <w:highlight w:val="none"/>
        </w:rPr>
        <w:t>报价一经涂改，应在涂改处加盖</w:t>
      </w:r>
      <w:r>
        <w:rPr>
          <w:rFonts w:hint="eastAsia" w:ascii="宋体" w:hAnsi="宋体"/>
          <w:color w:val="auto"/>
          <w:sz w:val="24"/>
          <w:highlight w:val="none"/>
          <w:lang w:eastAsia="zh-CN"/>
        </w:rPr>
        <w:t>投标人电子公章</w:t>
      </w:r>
      <w:r>
        <w:rPr>
          <w:rFonts w:hint="eastAsia" w:ascii="宋体" w:hAnsi="宋体"/>
          <w:color w:val="auto"/>
          <w:sz w:val="24"/>
          <w:highlight w:val="none"/>
        </w:rPr>
        <w:t>或者由法定代表人或者委托代理人签字或者盖章</w:t>
      </w:r>
      <w:r>
        <w:rPr>
          <w:rFonts w:hint="eastAsia" w:ascii="宋体" w:hAnsi="宋体"/>
          <w:b/>
          <w:color w:val="auto"/>
          <w:sz w:val="24"/>
          <w:highlight w:val="none"/>
        </w:rPr>
        <w:t>，否则其投标作无效标处理。</w:t>
      </w:r>
    </w:p>
    <w:p>
      <w:pPr>
        <w:snapToGrid w:val="0"/>
        <w:spacing w:before="50" w:after="50"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3.招标文件中列明采购专用耗材的，应按招标文件规定的耗材量或者按耗材的常规试用量提供报价。</w:t>
      </w:r>
    </w:p>
    <w:p>
      <w:pPr>
        <w:snapToGrid w:val="0"/>
        <w:spacing w:before="50" w:after="50" w:line="360" w:lineRule="auto"/>
        <w:ind w:firstLine="482" w:firstLineChars="200"/>
        <w:rPr>
          <w:rFonts w:hint="eastAsia" w:ascii="宋体" w:hAnsi="宋体"/>
          <w:b/>
          <w:color w:val="auto"/>
          <w:sz w:val="24"/>
          <w:highlight w:val="none"/>
        </w:rPr>
      </w:pPr>
    </w:p>
    <w:p>
      <w:pPr>
        <w:snapToGrid w:val="0"/>
        <w:spacing w:before="50" w:after="50" w:line="360" w:lineRule="auto"/>
        <w:ind w:left="-2" w:leftChars="-1" w:right="-817" w:rightChars="-389"/>
        <w:rPr>
          <w:rFonts w:hint="eastAsia" w:ascii="宋体" w:hAnsi="宋体"/>
          <w:color w:val="auto"/>
          <w:sz w:val="24"/>
          <w:highlight w:val="none"/>
        </w:rPr>
      </w:pPr>
      <w:r>
        <w:rPr>
          <w:rFonts w:hint="eastAsia" w:ascii="宋体" w:hAnsi="宋体"/>
          <w:color w:val="auto"/>
          <w:sz w:val="24"/>
          <w:highlight w:val="none"/>
        </w:rPr>
        <w:t>法定代表人或者委托代理人（签字</w:t>
      </w:r>
      <w:r>
        <w:rPr>
          <w:rFonts w:hint="eastAsia" w:ascii="宋体" w:hAnsi="宋体"/>
          <w:color w:val="auto"/>
          <w:spacing w:val="20"/>
          <w:sz w:val="24"/>
          <w:highlight w:val="none"/>
          <w:lang w:val="en-US" w:eastAsia="zh-CN"/>
        </w:rPr>
        <w:t>/</w:t>
      </w:r>
      <w:r>
        <w:rPr>
          <w:rFonts w:hint="eastAsia" w:hAnsi="宋体"/>
          <w:color w:val="auto"/>
          <w:sz w:val="24"/>
          <w:szCs w:val="24"/>
          <w:highlight w:val="none"/>
        </w:rPr>
        <w:t>签章</w:t>
      </w:r>
      <w:r>
        <w:rPr>
          <w:rFonts w:hint="eastAsia" w:ascii="宋体" w:hAnsi="宋体"/>
          <w:color w:val="auto"/>
          <w:sz w:val="24"/>
          <w:highlight w:val="none"/>
        </w:rPr>
        <w:t xml:space="preserve">）：                    </w:t>
      </w:r>
    </w:p>
    <w:p>
      <w:pPr>
        <w:snapToGrid w:val="0"/>
        <w:spacing w:before="50" w:after="50" w:line="360" w:lineRule="auto"/>
        <w:ind w:left="-3" w:leftChars="-15" w:right="-817" w:rightChars="-389" w:hanging="28" w:hangingChars="12"/>
        <w:rPr>
          <w:rFonts w:hint="eastAsia" w:ascii="宋体" w:hAnsi="宋体"/>
          <w:color w:val="auto"/>
          <w:szCs w:val="21"/>
          <w:highlight w:val="none"/>
        </w:rPr>
      </w:pPr>
      <w:r>
        <w:rPr>
          <w:rFonts w:hint="eastAsia" w:ascii="宋体" w:hAnsi="宋体"/>
          <w:color w:val="auto"/>
          <w:sz w:val="24"/>
          <w:highlight w:val="none"/>
        </w:rPr>
        <w:t>投标人（盖</w:t>
      </w:r>
      <w:r>
        <w:rPr>
          <w:rFonts w:hint="eastAsia" w:ascii="宋体" w:hAnsi="宋体"/>
          <w:color w:val="auto"/>
          <w:spacing w:val="20"/>
          <w:sz w:val="24"/>
          <w:highlight w:val="none"/>
          <w:lang w:eastAsia="zh-CN"/>
        </w:rPr>
        <w:t>电子</w:t>
      </w:r>
      <w:r>
        <w:rPr>
          <w:rFonts w:hint="eastAsia" w:ascii="宋体" w:hAnsi="宋体"/>
          <w:color w:val="auto"/>
          <w:sz w:val="24"/>
          <w:highlight w:val="none"/>
        </w:rPr>
        <w:t>公章）：                                 日期：    年   月   日</w:t>
      </w:r>
    </w:p>
    <w:p>
      <w:pPr>
        <w:rPr>
          <w:rFonts w:hint="eastAsia"/>
          <w:b/>
          <w:color w:val="auto"/>
          <w:sz w:val="28"/>
          <w:szCs w:val="28"/>
          <w:highlight w:val="none"/>
        </w:rPr>
      </w:pPr>
      <w:r>
        <w:rPr>
          <w:rFonts w:ascii="宋体" w:hAnsi="宋体"/>
          <w:b/>
          <w:bCs/>
          <w:color w:val="auto"/>
          <w:sz w:val="24"/>
          <w:highlight w:val="none"/>
        </w:rPr>
        <w:br w:type="page"/>
      </w:r>
      <w:bookmarkStart w:id="164" w:name="_Toc19686837"/>
      <w:r>
        <w:rPr>
          <w:rFonts w:hint="eastAsia"/>
          <w:b/>
          <w:color w:val="auto"/>
          <w:sz w:val="28"/>
          <w:szCs w:val="28"/>
          <w:highlight w:val="none"/>
          <w:lang w:eastAsia="zh-CN"/>
        </w:rPr>
        <w:t>二</w:t>
      </w:r>
      <w:r>
        <w:rPr>
          <w:rFonts w:hint="eastAsia"/>
          <w:b/>
          <w:color w:val="auto"/>
          <w:sz w:val="28"/>
          <w:szCs w:val="28"/>
          <w:highlight w:val="none"/>
        </w:rPr>
        <w:t>、资格证明文件格式</w:t>
      </w:r>
      <w:bookmarkEnd w:id="162"/>
      <w:bookmarkEnd w:id="163"/>
      <w:bookmarkEnd w:id="164"/>
    </w:p>
    <w:p>
      <w:pPr>
        <w:numPr>
          <w:ilvl w:val="2"/>
          <w:numId w:val="14"/>
        </w:numPr>
        <w:snapToGrid w:val="0"/>
        <w:spacing w:before="120" w:beforeLines="50" w:after="50" w:line="360" w:lineRule="auto"/>
        <w:ind w:left="0" w:firstLine="0"/>
        <w:jc w:val="left"/>
        <w:rPr>
          <w:rFonts w:hint="eastAsia" w:ascii="宋体" w:hAnsi="宋体"/>
          <w:b/>
          <w:color w:val="auto"/>
          <w:sz w:val="24"/>
          <w:highlight w:val="none"/>
        </w:rPr>
      </w:pPr>
      <w:r>
        <w:rPr>
          <w:rFonts w:hint="eastAsia" w:ascii="宋体" w:hAnsi="宋体"/>
          <w:b/>
          <w:color w:val="auto"/>
          <w:sz w:val="24"/>
          <w:highlight w:val="none"/>
        </w:rPr>
        <w:t xml:space="preserve">资格证明文件封面格式： </w:t>
      </w:r>
    </w:p>
    <w:p>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p>
    <w:p>
      <w:pPr>
        <w:snapToGrid w:val="0"/>
        <w:spacing w:before="120" w:beforeLines="50" w:after="50"/>
        <w:rPr>
          <w:rFonts w:hint="eastAsia" w:ascii="宋体" w:hAnsi="宋体"/>
          <w:color w:val="auto"/>
          <w:sz w:val="24"/>
          <w:szCs w:val="20"/>
          <w:highlight w:val="none"/>
        </w:rPr>
      </w:pPr>
    </w:p>
    <w:p>
      <w:pPr>
        <w:snapToGrid w:val="0"/>
        <w:spacing w:before="120" w:beforeLines="50" w:after="50" w:line="400" w:lineRule="exact"/>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投  标  文  件</w:t>
      </w:r>
    </w:p>
    <w:p>
      <w:pPr>
        <w:snapToGrid w:val="0"/>
        <w:spacing w:before="120" w:beforeLines="50" w:after="50"/>
        <w:rPr>
          <w:rFonts w:hint="eastAsia" w:ascii="宋体" w:hAnsi="宋体"/>
          <w:color w:val="auto"/>
          <w:sz w:val="24"/>
          <w:szCs w:val="20"/>
          <w:highlight w:val="none"/>
        </w:rPr>
      </w:pPr>
    </w:p>
    <w:p>
      <w:pPr>
        <w:snapToGrid w:val="0"/>
        <w:spacing w:before="120" w:beforeLines="50" w:after="50"/>
        <w:rPr>
          <w:rFonts w:hint="eastAsia" w:ascii="宋体" w:hAnsi="宋体"/>
          <w:color w:val="auto"/>
          <w:sz w:val="24"/>
          <w:szCs w:val="20"/>
          <w:highlight w:val="none"/>
        </w:rPr>
      </w:pPr>
    </w:p>
    <w:p>
      <w:pPr>
        <w:snapToGrid w:val="0"/>
        <w:spacing w:before="120" w:beforeLines="50" w:after="50"/>
        <w:jc w:val="center"/>
        <w:rPr>
          <w:rFonts w:hint="eastAsia" w:ascii="宋体" w:hAnsi="宋体"/>
          <w:b/>
          <w:color w:val="auto"/>
          <w:sz w:val="24"/>
          <w:szCs w:val="20"/>
          <w:highlight w:val="none"/>
        </w:rPr>
      </w:pPr>
      <w:r>
        <w:rPr>
          <w:rFonts w:hint="eastAsia" w:ascii="宋体" w:hAnsi="宋体"/>
          <w:b/>
          <w:color w:val="auto"/>
          <w:sz w:val="32"/>
          <w:szCs w:val="32"/>
          <w:highlight w:val="none"/>
        </w:rPr>
        <w:t>资 格 证 明 文 件</w:t>
      </w:r>
    </w:p>
    <w:p>
      <w:pPr>
        <w:snapToGrid w:val="0"/>
        <w:spacing w:before="120" w:beforeLines="50" w:after="50"/>
        <w:rPr>
          <w:rFonts w:ascii="宋体" w:hAnsi="宋体"/>
          <w:bCs/>
          <w:color w:val="auto"/>
          <w:sz w:val="24"/>
          <w:szCs w:val="20"/>
          <w:highlight w:val="none"/>
        </w:rPr>
      </w:pPr>
    </w:p>
    <w:p>
      <w:pPr>
        <w:snapToGrid w:val="0"/>
        <w:spacing w:before="120" w:beforeLines="50" w:after="50"/>
        <w:rPr>
          <w:rFonts w:ascii="宋体" w:hAnsi="宋体"/>
          <w:bCs/>
          <w:color w:val="auto"/>
          <w:sz w:val="24"/>
          <w:szCs w:val="20"/>
          <w:highlight w:val="none"/>
        </w:rPr>
      </w:pPr>
    </w:p>
    <w:p>
      <w:pPr>
        <w:snapToGrid w:val="0"/>
        <w:spacing w:before="120" w:beforeLines="50" w:after="50"/>
        <w:rPr>
          <w:rFonts w:ascii="宋体" w:hAnsi="宋体"/>
          <w:bCs/>
          <w:color w:val="auto"/>
          <w:sz w:val="24"/>
          <w:szCs w:val="20"/>
          <w:highlight w:val="none"/>
        </w:rPr>
      </w:pPr>
    </w:p>
    <w:p>
      <w:pPr>
        <w:snapToGrid w:val="0"/>
        <w:spacing w:before="120" w:beforeLines="50" w:after="50"/>
        <w:rPr>
          <w:rFonts w:ascii="宋体" w:hAnsi="宋体"/>
          <w:bCs/>
          <w:color w:val="auto"/>
          <w:sz w:val="24"/>
          <w:szCs w:val="20"/>
          <w:highlight w:val="none"/>
        </w:rPr>
      </w:pPr>
    </w:p>
    <w:p>
      <w:pPr>
        <w:snapToGrid w:val="0"/>
        <w:spacing w:before="120" w:beforeLines="50" w:after="50"/>
        <w:rPr>
          <w:rFonts w:hint="eastAsia" w:ascii="宋体" w:hAnsi="宋体"/>
          <w:bCs/>
          <w:color w:val="auto"/>
          <w:sz w:val="24"/>
          <w:szCs w:val="20"/>
          <w:highlight w:val="none"/>
        </w:rPr>
      </w:pPr>
    </w:p>
    <w:p>
      <w:pPr>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项目名称：</w:t>
      </w:r>
    </w:p>
    <w:p>
      <w:pPr>
        <w:snapToGrid w:val="0"/>
        <w:spacing w:before="120" w:beforeLines="50" w:after="50"/>
        <w:ind w:firstLine="540" w:firstLineChars="225"/>
        <w:rPr>
          <w:rFonts w:hint="eastAsia" w:ascii="宋体" w:hAnsi="宋体"/>
          <w:bCs/>
          <w:color w:val="auto"/>
          <w:sz w:val="24"/>
          <w:szCs w:val="20"/>
          <w:highlight w:val="none"/>
        </w:rPr>
      </w:pPr>
    </w:p>
    <w:p>
      <w:pPr>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项目编号：</w:t>
      </w:r>
    </w:p>
    <w:p>
      <w:pPr>
        <w:snapToGrid w:val="0"/>
        <w:spacing w:before="120" w:beforeLines="50" w:after="50"/>
        <w:ind w:firstLine="540" w:firstLineChars="225"/>
        <w:rPr>
          <w:rFonts w:hint="eastAsia" w:ascii="宋体" w:hAnsi="宋体"/>
          <w:bCs/>
          <w:color w:val="auto"/>
          <w:sz w:val="24"/>
          <w:szCs w:val="20"/>
          <w:highlight w:val="none"/>
        </w:rPr>
      </w:pPr>
      <w:r>
        <w:rPr>
          <w:rFonts w:hint="eastAsia" w:ascii="宋体" w:hAnsi="宋体"/>
          <w:bCs/>
          <w:color w:val="auto"/>
          <w:sz w:val="24"/>
          <w:highlight w:val="none"/>
        </w:rPr>
        <w:t xml:space="preserve"> </w:t>
      </w:r>
    </w:p>
    <w:p>
      <w:pPr>
        <w:snapToGrid w:val="0"/>
        <w:spacing w:before="120" w:beforeLines="50" w:after="50" w:line="400" w:lineRule="exact"/>
        <w:ind w:firstLine="360" w:firstLineChars="150"/>
        <w:rPr>
          <w:rFonts w:hint="default" w:ascii="宋体" w:hAnsi="宋体" w:eastAsia="宋体"/>
          <w:bCs/>
          <w:color w:val="auto"/>
          <w:sz w:val="24"/>
          <w:highlight w:val="none"/>
          <w:lang w:val="en-US" w:eastAsia="zh-CN"/>
        </w:rPr>
      </w:pPr>
      <w:r>
        <w:rPr>
          <w:rFonts w:hint="eastAsia" w:ascii="宋体" w:hAnsi="宋体"/>
          <w:bCs/>
          <w:color w:val="auto"/>
          <w:sz w:val="24"/>
          <w:highlight w:val="none"/>
          <w:lang w:val="en-US" w:eastAsia="zh-CN"/>
        </w:rPr>
        <w:t>标   项：</w:t>
      </w:r>
    </w:p>
    <w:p>
      <w:pPr>
        <w:pStyle w:val="6"/>
        <w:snapToGrid w:val="0"/>
        <w:spacing w:before="50" w:after="50"/>
        <w:ind w:firstLine="540" w:firstLineChars="225"/>
        <w:rPr>
          <w:rFonts w:hint="eastAsia" w:ascii="宋体" w:hAnsi="宋体"/>
          <w:bCs/>
          <w:color w:val="auto"/>
          <w:sz w:val="24"/>
          <w:szCs w:val="24"/>
          <w:highlight w:val="none"/>
        </w:rPr>
      </w:pPr>
    </w:p>
    <w:p>
      <w:pPr>
        <w:pStyle w:val="6"/>
        <w:snapToGrid w:val="0"/>
        <w:spacing w:before="50" w:after="50"/>
        <w:ind w:firstLine="540" w:firstLineChars="225"/>
        <w:rPr>
          <w:rFonts w:hint="eastAsia" w:ascii="宋体" w:hAnsi="宋体"/>
          <w:bCs/>
          <w:color w:val="auto"/>
          <w:sz w:val="24"/>
          <w:szCs w:val="24"/>
          <w:highlight w:val="none"/>
        </w:rPr>
      </w:pPr>
      <w:r>
        <w:rPr>
          <w:rFonts w:hint="eastAsia" w:ascii="宋体" w:hAnsi="宋体"/>
          <w:bCs/>
          <w:color w:val="auto"/>
          <w:sz w:val="24"/>
          <w:szCs w:val="24"/>
          <w:highlight w:val="none"/>
        </w:rPr>
        <w:t>投标人名称：</w:t>
      </w:r>
    </w:p>
    <w:p>
      <w:pPr>
        <w:pStyle w:val="6"/>
        <w:snapToGrid w:val="0"/>
        <w:spacing w:before="50" w:after="50"/>
        <w:ind w:firstLine="540" w:firstLineChars="225"/>
        <w:rPr>
          <w:rFonts w:hint="eastAsia" w:ascii="宋体" w:hAnsi="宋体"/>
          <w:bCs/>
          <w:color w:val="auto"/>
          <w:sz w:val="24"/>
          <w:szCs w:val="24"/>
          <w:highlight w:val="none"/>
        </w:rPr>
      </w:pPr>
    </w:p>
    <w:p>
      <w:pPr>
        <w:pStyle w:val="6"/>
        <w:snapToGrid w:val="0"/>
        <w:spacing w:before="50" w:after="50"/>
        <w:ind w:firstLine="540" w:firstLineChars="225"/>
        <w:rPr>
          <w:rFonts w:hint="eastAsia" w:ascii="宋体" w:hAnsi="宋体"/>
          <w:bCs/>
          <w:color w:val="auto"/>
          <w:sz w:val="24"/>
          <w:szCs w:val="24"/>
          <w:highlight w:val="none"/>
        </w:rPr>
      </w:pPr>
    </w:p>
    <w:p>
      <w:pPr>
        <w:snapToGrid w:val="0"/>
        <w:spacing w:before="120" w:beforeLines="50" w:after="50" w:line="400" w:lineRule="exact"/>
        <w:ind w:firstLine="600" w:firstLineChars="250"/>
        <w:rPr>
          <w:rFonts w:hint="eastAsia" w:ascii="宋体" w:hAnsi="宋体"/>
          <w:bCs/>
          <w:color w:val="auto"/>
          <w:sz w:val="24"/>
          <w:highlight w:val="none"/>
        </w:rPr>
      </w:pPr>
      <w:r>
        <w:rPr>
          <w:rFonts w:hint="eastAsia" w:ascii="宋体" w:hAnsi="宋体"/>
          <w:bCs/>
          <w:color w:val="auto"/>
          <w:sz w:val="24"/>
          <w:highlight w:val="none"/>
        </w:rPr>
        <w:t>投标人地址：</w:t>
      </w:r>
    </w:p>
    <w:p>
      <w:pPr>
        <w:pStyle w:val="6"/>
        <w:snapToGrid w:val="0"/>
        <w:spacing w:before="50" w:after="50"/>
        <w:ind w:firstLine="540" w:firstLineChars="225"/>
        <w:rPr>
          <w:rFonts w:hint="eastAsia" w:ascii="宋体" w:hAnsi="宋体"/>
          <w:bCs/>
          <w:color w:val="auto"/>
          <w:sz w:val="24"/>
          <w:szCs w:val="24"/>
          <w:highlight w:val="none"/>
        </w:rPr>
      </w:pPr>
    </w:p>
    <w:p>
      <w:pPr>
        <w:pStyle w:val="6"/>
        <w:snapToGrid w:val="0"/>
        <w:spacing w:before="50" w:after="50"/>
        <w:ind w:firstLine="960" w:firstLineChars="400"/>
        <w:rPr>
          <w:rFonts w:hint="eastAsia" w:ascii="宋体" w:hAnsi="宋体"/>
          <w:bCs/>
          <w:color w:val="auto"/>
          <w:sz w:val="24"/>
          <w:szCs w:val="24"/>
          <w:highlight w:val="none"/>
        </w:rPr>
      </w:pPr>
    </w:p>
    <w:p>
      <w:pPr>
        <w:snapToGrid w:val="0"/>
        <w:spacing w:before="120" w:beforeLines="50" w:after="50"/>
        <w:ind w:firstLine="645"/>
        <w:jc w:val="center"/>
        <w:rPr>
          <w:rFonts w:ascii="宋体" w:hAnsi="宋体"/>
          <w:color w:val="auto"/>
          <w:sz w:val="24"/>
          <w:highlight w:val="none"/>
        </w:rPr>
      </w:pPr>
      <w:r>
        <w:rPr>
          <w:rFonts w:hint="eastAsia" w:ascii="宋体" w:hAnsi="宋体"/>
          <w:color w:val="auto"/>
          <w:sz w:val="24"/>
          <w:highlight w:val="none"/>
        </w:rPr>
        <w:t>年  月  日</w:t>
      </w:r>
    </w:p>
    <w:p>
      <w:pPr>
        <w:snapToGrid w:val="0"/>
        <w:spacing w:before="120" w:beforeLines="50" w:after="50"/>
        <w:rPr>
          <w:rFonts w:ascii="宋体" w:hAnsi="宋体"/>
          <w:color w:val="auto"/>
          <w:sz w:val="24"/>
          <w:szCs w:val="20"/>
          <w:highlight w:val="none"/>
        </w:rPr>
      </w:pPr>
      <w:r>
        <w:rPr>
          <w:rFonts w:ascii="宋体" w:hAnsi="宋体"/>
          <w:color w:val="auto"/>
          <w:sz w:val="24"/>
          <w:szCs w:val="20"/>
          <w:highlight w:val="none"/>
        </w:rPr>
        <w:t xml:space="preserve"> </w:t>
      </w:r>
    </w:p>
    <w:p>
      <w:pPr>
        <w:snapToGrid w:val="0"/>
        <w:spacing w:before="120" w:beforeLines="50" w:after="50"/>
        <w:rPr>
          <w:rFonts w:hint="eastAsia" w:ascii="宋体" w:hAnsi="宋体"/>
          <w:color w:val="auto"/>
          <w:sz w:val="24"/>
          <w:szCs w:val="20"/>
          <w:highlight w:val="none"/>
        </w:rPr>
      </w:pPr>
    </w:p>
    <w:p>
      <w:pPr>
        <w:numPr>
          <w:ilvl w:val="2"/>
          <w:numId w:val="14"/>
        </w:numPr>
        <w:snapToGrid w:val="0"/>
        <w:spacing w:before="120" w:beforeLines="50" w:after="50" w:line="360" w:lineRule="auto"/>
        <w:ind w:left="0" w:firstLine="0"/>
        <w:jc w:val="left"/>
        <w:rPr>
          <w:rFonts w:hint="eastAsia" w:ascii="宋体" w:hAnsi="宋体"/>
          <w:color w:val="auto"/>
          <w:sz w:val="24"/>
          <w:szCs w:val="20"/>
          <w:highlight w:val="none"/>
        </w:rPr>
      </w:pPr>
      <w:r>
        <w:rPr>
          <w:rFonts w:ascii="宋体" w:hAnsi="宋体"/>
          <w:b/>
          <w:bCs/>
          <w:color w:val="auto"/>
          <w:sz w:val="24"/>
          <w:highlight w:val="none"/>
        </w:rPr>
        <w:br w:type="page"/>
      </w:r>
      <w:r>
        <w:rPr>
          <w:rFonts w:hint="eastAsia" w:ascii="宋体" w:hAnsi="宋体"/>
          <w:b/>
          <w:bCs/>
          <w:color w:val="auto"/>
          <w:sz w:val="24"/>
          <w:highlight w:val="none"/>
        </w:rPr>
        <w:t>资格证明文件目录</w:t>
      </w:r>
    </w:p>
    <w:p>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根据招标文件</w:t>
      </w:r>
      <w:r>
        <w:rPr>
          <w:rFonts w:hint="eastAsia" w:ascii="宋体" w:hAnsi="宋体"/>
          <w:color w:val="auto"/>
          <w:szCs w:val="21"/>
          <w:highlight w:val="none"/>
          <w:lang w:eastAsia="zh-CN"/>
        </w:rPr>
        <w:t>“</w:t>
      </w:r>
      <w:r>
        <w:rPr>
          <w:rFonts w:hint="eastAsia" w:ascii="宋体" w:hAnsi="宋体"/>
          <w:color w:val="auto"/>
          <w:szCs w:val="21"/>
          <w:highlight w:val="none"/>
        </w:rPr>
        <w:t>投标人须知前附表</w:t>
      </w:r>
      <w:r>
        <w:rPr>
          <w:rFonts w:hint="eastAsia" w:ascii="宋体" w:hAnsi="宋体"/>
          <w:color w:val="auto"/>
          <w:szCs w:val="21"/>
          <w:highlight w:val="none"/>
          <w:lang w:val="en-US" w:eastAsia="zh-CN"/>
        </w:rPr>
        <w:t>13.1</w:t>
      </w:r>
      <w:r>
        <w:rPr>
          <w:rFonts w:hint="eastAsia" w:ascii="宋体" w:hAnsi="宋体"/>
          <w:color w:val="auto"/>
          <w:szCs w:val="21"/>
          <w:highlight w:val="none"/>
          <w:lang w:eastAsia="zh-CN"/>
        </w:rPr>
        <w:t>”</w:t>
      </w:r>
      <w:r>
        <w:rPr>
          <w:rFonts w:hint="eastAsia" w:ascii="宋体" w:hAnsi="宋体"/>
          <w:color w:val="auto"/>
          <w:szCs w:val="21"/>
          <w:highlight w:val="none"/>
        </w:rPr>
        <w:t>规定及投标人提供的材料自行编写目录。</w:t>
      </w:r>
    </w:p>
    <w:p>
      <w:pPr>
        <w:snapToGrid w:val="0"/>
        <w:spacing w:before="50" w:after="120" w:afterLines="50"/>
        <w:jc w:val="left"/>
        <w:rPr>
          <w:rFonts w:hint="eastAsia" w:ascii="宋体" w:hAnsi="宋体"/>
          <w:color w:val="auto"/>
          <w:sz w:val="24"/>
          <w:highlight w:val="none"/>
        </w:rPr>
      </w:pPr>
    </w:p>
    <w:p>
      <w:pPr>
        <w:snapToGrid w:val="0"/>
        <w:spacing w:before="50" w:after="120" w:afterLines="50"/>
        <w:jc w:val="left"/>
        <w:rPr>
          <w:rFonts w:hint="eastAsia" w:ascii="宋体" w:hAnsi="宋体"/>
          <w:color w:val="auto"/>
          <w:sz w:val="24"/>
          <w:highlight w:val="none"/>
        </w:rPr>
      </w:pPr>
    </w:p>
    <w:p>
      <w:pPr>
        <w:numPr>
          <w:ilvl w:val="2"/>
          <w:numId w:val="14"/>
        </w:numPr>
        <w:snapToGrid w:val="0"/>
        <w:spacing w:before="120" w:beforeLines="50" w:after="50"/>
        <w:ind w:left="0" w:firstLine="0"/>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8"/>
          <w:szCs w:val="28"/>
          <w:highlight w:val="none"/>
        </w:rPr>
        <w:t>投标人直接控股、管理关系信息表</w:t>
      </w:r>
    </w:p>
    <w:p>
      <w:pPr>
        <w:snapToGrid w:val="0"/>
        <w:spacing w:before="50" w:after="120" w:afterLines="50"/>
        <w:jc w:val="center"/>
        <w:rPr>
          <w:rFonts w:hint="eastAsia" w:ascii="宋体" w:hAnsi="宋体"/>
          <w:b/>
          <w:color w:val="auto"/>
          <w:sz w:val="28"/>
          <w:szCs w:val="28"/>
          <w:highlight w:val="none"/>
        </w:rPr>
      </w:pPr>
    </w:p>
    <w:p>
      <w:pPr>
        <w:snapToGrid w:val="0"/>
        <w:spacing w:before="50" w:after="120" w:afterLines="50"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投标人直接控股股东信息表</w:t>
      </w:r>
    </w:p>
    <w:tbl>
      <w:tblPr>
        <w:tblStyle w:val="17"/>
        <w:tblW w:w="0" w:type="auto"/>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r>
      <w:tr>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r>
      <w:tr>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r>
      <w:tr>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r>
    </w:tbl>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注：</w:t>
      </w:r>
    </w:p>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2.本表所指的控股关系仅限于直接控股关系，不包括间接的控股关系。公司实际控制人与公司之间的关系不属于本表所指的直接控股关系。</w:t>
      </w:r>
    </w:p>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3.供应商不存在直接控股股东的，则填“无”。</w:t>
      </w:r>
    </w:p>
    <w:p>
      <w:pPr>
        <w:snapToGrid w:val="0"/>
        <w:spacing w:line="360" w:lineRule="auto"/>
        <w:jc w:val="left"/>
        <w:rPr>
          <w:rFonts w:hint="eastAsia" w:ascii="宋体" w:hAnsi="宋体"/>
          <w:color w:val="auto"/>
          <w:sz w:val="24"/>
          <w:highlight w:val="none"/>
        </w:rPr>
      </w:pPr>
    </w:p>
    <w:p>
      <w:pPr>
        <w:snapToGrid w:val="0"/>
        <w:spacing w:line="360" w:lineRule="auto"/>
        <w:jc w:val="left"/>
        <w:rPr>
          <w:rFonts w:hint="eastAsia" w:ascii="宋体" w:hAnsi="宋体"/>
          <w:color w:val="auto"/>
          <w:sz w:val="24"/>
          <w:highlight w:val="none"/>
        </w:rPr>
      </w:pPr>
    </w:p>
    <w:p>
      <w:pPr>
        <w:snapToGrid w:val="0"/>
        <w:spacing w:line="360" w:lineRule="auto"/>
        <w:jc w:val="left"/>
        <w:rPr>
          <w:rFonts w:hint="eastAsia" w:ascii="宋体" w:hAnsi="宋体"/>
          <w:color w:val="auto"/>
          <w:sz w:val="24"/>
          <w:highlight w:val="none"/>
        </w:rPr>
      </w:pPr>
    </w:p>
    <w:p>
      <w:pPr>
        <w:snapToGrid w:val="0"/>
        <w:spacing w:line="360" w:lineRule="auto"/>
        <w:jc w:val="left"/>
        <w:rPr>
          <w:rFonts w:hint="eastAsia" w:ascii="宋体" w:hAnsi="宋体"/>
          <w:color w:val="auto"/>
          <w:sz w:val="24"/>
          <w:highlight w:val="none"/>
        </w:rPr>
      </w:pPr>
    </w:p>
    <w:p>
      <w:pPr>
        <w:snapToGrid w:val="0"/>
        <w:spacing w:line="360" w:lineRule="auto"/>
        <w:jc w:val="left"/>
        <w:rPr>
          <w:rFonts w:hint="eastAsia" w:ascii="宋体" w:hAnsi="宋体"/>
          <w:color w:val="auto"/>
          <w:sz w:val="24"/>
          <w:highlight w:val="none"/>
        </w:rPr>
      </w:pPr>
    </w:p>
    <w:p>
      <w:pPr>
        <w:snapToGrid w:val="0"/>
        <w:spacing w:before="120" w:beforeLines="50" w:line="360" w:lineRule="auto"/>
        <w:ind w:right="480" w:firstLine="1680" w:firstLineChars="700"/>
        <w:rPr>
          <w:rFonts w:hint="eastAsia" w:ascii="宋体" w:hAnsi="宋体"/>
          <w:color w:val="auto"/>
          <w:sz w:val="24"/>
          <w:highlight w:val="none"/>
          <w:u w:val="single"/>
        </w:rPr>
      </w:pPr>
      <w:r>
        <w:rPr>
          <w:rFonts w:hint="eastAsia" w:ascii="宋体" w:hAnsi="宋体"/>
          <w:color w:val="auto"/>
          <w:sz w:val="24"/>
          <w:highlight w:val="none"/>
        </w:rPr>
        <w:t>法定代表人或者委托代理人（签字</w:t>
      </w:r>
      <w:r>
        <w:rPr>
          <w:rFonts w:hint="eastAsia" w:ascii="宋体" w:hAnsi="宋体"/>
          <w:color w:val="auto"/>
          <w:spacing w:val="20"/>
          <w:sz w:val="24"/>
          <w:highlight w:val="none"/>
          <w:lang w:val="en-US" w:eastAsia="zh-CN"/>
        </w:rPr>
        <w:t>/</w:t>
      </w:r>
      <w:r>
        <w:rPr>
          <w:rFonts w:hint="eastAsia" w:hAnsi="宋体"/>
          <w:color w:val="auto"/>
          <w:sz w:val="24"/>
          <w:szCs w:val="24"/>
          <w:highlight w:val="none"/>
        </w:rPr>
        <w:t>签章</w:t>
      </w:r>
      <w:r>
        <w:rPr>
          <w:rFonts w:hint="eastAsia" w:ascii="宋体" w:hAnsi="宋体"/>
          <w:color w:val="auto"/>
          <w:sz w:val="24"/>
          <w:highlight w:val="none"/>
        </w:rPr>
        <w:t>）：</w:t>
      </w:r>
      <w:r>
        <w:rPr>
          <w:rFonts w:hint="eastAsia" w:ascii="宋体" w:hAnsi="宋体"/>
          <w:color w:val="auto"/>
          <w:sz w:val="24"/>
          <w:highlight w:val="none"/>
          <w:u w:val="single"/>
        </w:rPr>
        <w:t xml:space="preserve">             </w:t>
      </w:r>
    </w:p>
    <w:p>
      <w:pPr>
        <w:snapToGrid w:val="0"/>
        <w:spacing w:before="120" w:beforeLines="50" w:after="50" w:line="360" w:lineRule="auto"/>
        <w:ind w:right="480" w:firstLine="3360" w:firstLineChars="1400"/>
        <w:rPr>
          <w:rFonts w:hint="eastAsia" w:ascii="宋体" w:hAnsi="宋体"/>
          <w:color w:val="auto"/>
          <w:sz w:val="24"/>
          <w:highlight w:val="none"/>
          <w:u w:val="single"/>
        </w:rPr>
      </w:pPr>
      <w:r>
        <w:rPr>
          <w:rFonts w:hint="eastAsia" w:ascii="宋体" w:hAnsi="宋体"/>
          <w:color w:val="auto"/>
          <w:sz w:val="24"/>
          <w:highlight w:val="none"/>
        </w:rPr>
        <w:t>投标人（盖</w:t>
      </w:r>
      <w:r>
        <w:rPr>
          <w:rFonts w:hint="eastAsia" w:ascii="宋体" w:hAnsi="宋体"/>
          <w:color w:val="auto"/>
          <w:spacing w:val="20"/>
          <w:sz w:val="24"/>
          <w:highlight w:val="none"/>
          <w:lang w:eastAsia="zh-CN"/>
        </w:rPr>
        <w:t>电子</w:t>
      </w:r>
      <w:r>
        <w:rPr>
          <w:rFonts w:hint="eastAsia" w:ascii="宋体" w:hAnsi="宋体"/>
          <w:color w:val="auto"/>
          <w:sz w:val="24"/>
          <w:highlight w:val="none"/>
        </w:rPr>
        <w:t>公章）：</w:t>
      </w:r>
      <w:r>
        <w:rPr>
          <w:rFonts w:hint="eastAsia" w:ascii="宋体" w:hAnsi="宋体"/>
          <w:color w:val="auto"/>
          <w:sz w:val="24"/>
          <w:highlight w:val="none"/>
          <w:u w:val="single"/>
        </w:rPr>
        <w:t xml:space="preserve">                 </w:t>
      </w:r>
    </w:p>
    <w:p>
      <w:pPr>
        <w:snapToGrid w:val="0"/>
        <w:spacing w:before="120" w:beforeLines="50" w:after="50" w:line="360" w:lineRule="auto"/>
        <w:ind w:right="480" w:firstLine="5520" w:firstLineChars="2300"/>
        <w:rPr>
          <w:rFonts w:hint="eastAsia" w:ascii="宋体" w:hAnsi="宋体"/>
          <w:color w:val="auto"/>
          <w:szCs w:val="21"/>
          <w:highlight w:val="none"/>
        </w:rPr>
      </w:pPr>
      <w:r>
        <w:rPr>
          <w:rFonts w:hint="eastAsia" w:ascii="宋体" w:hAnsi="宋体"/>
          <w:color w:val="auto"/>
          <w:sz w:val="24"/>
          <w:highlight w:val="none"/>
        </w:rPr>
        <w:t>年    月    日</w:t>
      </w:r>
    </w:p>
    <w:p>
      <w:pPr>
        <w:snapToGrid w:val="0"/>
        <w:jc w:val="center"/>
        <w:rPr>
          <w:rFonts w:hint="eastAsia" w:ascii="宋体" w:hAnsi="宋体"/>
          <w:b/>
          <w:color w:val="auto"/>
          <w:sz w:val="28"/>
          <w:szCs w:val="28"/>
          <w:highlight w:val="none"/>
        </w:rPr>
      </w:pPr>
    </w:p>
    <w:p>
      <w:pPr>
        <w:snapToGrid w:val="0"/>
        <w:spacing w:line="360" w:lineRule="auto"/>
        <w:jc w:val="center"/>
        <w:rPr>
          <w:rFonts w:hint="eastAsia" w:ascii="宋体" w:hAnsi="宋体"/>
          <w:color w:val="auto"/>
          <w:sz w:val="32"/>
          <w:szCs w:val="32"/>
          <w:highlight w:val="none"/>
        </w:rPr>
      </w:pPr>
      <w:r>
        <w:rPr>
          <w:rFonts w:hint="eastAsia" w:ascii="宋体" w:hAnsi="宋体"/>
          <w:b/>
          <w:color w:val="auto"/>
          <w:sz w:val="32"/>
          <w:szCs w:val="32"/>
          <w:highlight w:val="none"/>
        </w:rPr>
        <w:t>投标人直接管理关系信息表</w:t>
      </w:r>
    </w:p>
    <w:tbl>
      <w:tblPr>
        <w:tblStyle w:val="17"/>
        <w:tblW w:w="0" w:type="auto"/>
        <w:tblInd w:w="0" w:type="dxa"/>
        <w:tblLayout w:type="fixed"/>
        <w:tblCellMar>
          <w:top w:w="0" w:type="dxa"/>
          <w:left w:w="0" w:type="dxa"/>
          <w:bottom w:w="0" w:type="dxa"/>
          <w:right w:w="0" w:type="dxa"/>
        </w:tblCellMar>
      </w:tblPr>
      <w:tblGrid>
        <w:gridCol w:w="1005"/>
        <w:gridCol w:w="2659"/>
        <w:gridCol w:w="3924"/>
        <w:gridCol w:w="2064"/>
      </w:tblGrid>
      <w:tr>
        <w:tblPrEx>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r>
    </w:tbl>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注：</w:t>
      </w:r>
    </w:p>
    <w:p>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3.供应商不存在直接管理关系的，则填“无”。</w:t>
      </w:r>
    </w:p>
    <w:p>
      <w:pPr>
        <w:snapToGrid w:val="0"/>
        <w:spacing w:line="360" w:lineRule="auto"/>
        <w:jc w:val="left"/>
        <w:rPr>
          <w:rFonts w:hint="eastAsia" w:ascii="宋体" w:hAnsi="宋体"/>
          <w:color w:val="auto"/>
          <w:sz w:val="24"/>
          <w:highlight w:val="none"/>
        </w:rPr>
      </w:pPr>
    </w:p>
    <w:p>
      <w:pPr>
        <w:snapToGrid w:val="0"/>
        <w:spacing w:line="360" w:lineRule="auto"/>
        <w:jc w:val="left"/>
        <w:rPr>
          <w:rFonts w:hint="eastAsia" w:ascii="宋体" w:hAnsi="宋体"/>
          <w:color w:val="auto"/>
          <w:sz w:val="24"/>
          <w:highlight w:val="none"/>
        </w:rPr>
      </w:pPr>
    </w:p>
    <w:p>
      <w:pPr>
        <w:snapToGrid w:val="0"/>
        <w:spacing w:line="360" w:lineRule="auto"/>
        <w:jc w:val="left"/>
        <w:rPr>
          <w:rFonts w:hint="eastAsia" w:ascii="宋体" w:hAnsi="宋体"/>
          <w:color w:val="auto"/>
          <w:sz w:val="24"/>
          <w:highlight w:val="none"/>
        </w:rPr>
      </w:pPr>
    </w:p>
    <w:p>
      <w:pPr>
        <w:snapToGrid w:val="0"/>
        <w:spacing w:line="360" w:lineRule="auto"/>
        <w:jc w:val="left"/>
        <w:rPr>
          <w:rFonts w:hint="eastAsia"/>
          <w:color w:val="auto"/>
          <w:sz w:val="24"/>
          <w:highlight w:val="none"/>
        </w:rPr>
      </w:pPr>
    </w:p>
    <w:p>
      <w:pPr>
        <w:snapToGrid w:val="0"/>
        <w:spacing w:line="360" w:lineRule="auto"/>
        <w:jc w:val="left"/>
        <w:rPr>
          <w:rFonts w:hint="eastAsia"/>
          <w:color w:val="auto"/>
          <w:sz w:val="24"/>
          <w:highlight w:val="none"/>
        </w:rPr>
      </w:pPr>
    </w:p>
    <w:p>
      <w:pPr>
        <w:snapToGrid w:val="0"/>
        <w:spacing w:line="360" w:lineRule="auto"/>
        <w:jc w:val="left"/>
        <w:rPr>
          <w:rFonts w:hint="eastAsia"/>
          <w:color w:val="auto"/>
          <w:sz w:val="24"/>
          <w:highlight w:val="none"/>
        </w:rPr>
      </w:pPr>
    </w:p>
    <w:p>
      <w:pPr>
        <w:snapToGrid w:val="0"/>
        <w:spacing w:line="360" w:lineRule="auto"/>
        <w:jc w:val="left"/>
        <w:rPr>
          <w:rFonts w:hint="eastAsia" w:ascii="宋体" w:hAnsi="宋体"/>
          <w:color w:val="auto"/>
          <w:sz w:val="24"/>
          <w:highlight w:val="none"/>
        </w:rPr>
      </w:pPr>
    </w:p>
    <w:p>
      <w:pPr>
        <w:snapToGrid w:val="0"/>
        <w:spacing w:before="120" w:beforeLines="50" w:line="360" w:lineRule="auto"/>
        <w:ind w:right="480" w:firstLine="1680" w:firstLineChars="700"/>
        <w:rPr>
          <w:rFonts w:hint="eastAsia" w:ascii="宋体" w:hAnsi="宋体"/>
          <w:color w:val="auto"/>
          <w:sz w:val="24"/>
          <w:highlight w:val="none"/>
          <w:u w:val="single"/>
        </w:rPr>
      </w:pPr>
      <w:r>
        <w:rPr>
          <w:rFonts w:hint="eastAsia" w:ascii="宋体" w:hAnsi="宋体"/>
          <w:color w:val="auto"/>
          <w:sz w:val="24"/>
          <w:highlight w:val="none"/>
        </w:rPr>
        <w:t>法定代表人或者委托代理人（签字</w:t>
      </w:r>
      <w:r>
        <w:rPr>
          <w:rFonts w:hint="eastAsia" w:ascii="宋体" w:hAnsi="宋体"/>
          <w:color w:val="auto"/>
          <w:spacing w:val="20"/>
          <w:sz w:val="24"/>
          <w:highlight w:val="none"/>
          <w:lang w:val="en-US" w:eastAsia="zh-CN"/>
        </w:rPr>
        <w:t>/</w:t>
      </w:r>
      <w:r>
        <w:rPr>
          <w:rFonts w:hint="eastAsia" w:hAnsi="宋体"/>
          <w:color w:val="auto"/>
          <w:sz w:val="24"/>
          <w:szCs w:val="24"/>
          <w:highlight w:val="none"/>
        </w:rPr>
        <w:t>签章</w:t>
      </w:r>
      <w:r>
        <w:rPr>
          <w:rFonts w:hint="eastAsia" w:ascii="宋体" w:hAnsi="宋体"/>
          <w:color w:val="auto"/>
          <w:sz w:val="24"/>
          <w:highlight w:val="none"/>
        </w:rPr>
        <w:t>）：</w:t>
      </w:r>
      <w:r>
        <w:rPr>
          <w:rFonts w:hint="eastAsia" w:ascii="宋体" w:hAnsi="宋体"/>
          <w:color w:val="auto"/>
          <w:sz w:val="24"/>
          <w:highlight w:val="none"/>
          <w:u w:val="single"/>
        </w:rPr>
        <w:t xml:space="preserve">             </w:t>
      </w:r>
    </w:p>
    <w:p>
      <w:pPr>
        <w:snapToGrid w:val="0"/>
        <w:spacing w:before="120" w:beforeLines="50" w:after="50" w:line="360" w:lineRule="auto"/>
        <w:ind w:right="480" w:firstLine="3600" w:firstLineChars="1500"/>
        <w:rPr>
          <w:rFonts w:hint="eastAsia" w:ascii="宋体" w:hAnsi="宋体"/>
          <w:color w:val="auto"/>
          <w:sz w:val="24"/>
          <w:highlight w:val="none"/>
        </w:rPr>
      </w:pPr>
      <w:r>
        <w:rPr>
          <w:rFonts w:hint="eastAsia" w:ascii="宋体" w:hAnsi="宋体"/>
          <w:color w:val="auto"/>
          <w:sz w:val="24"/>
          <w:highlight w:val="none"/>
        </w:rPr>
        <w:t>投标人（盖</w:t>
      </w:r>
      <w:r>
        <w:rPr>
          <w:rFonts w:hint="eastAsia" w:ascii="宋体" w:hAnsi="宋体"/>
          <w:color w:val="auto"/>
          <w:spacing w:val="20"/>
          <w:sz w:val="24"/>
          <w:highlight w:val="none"/>
          <w:lang w:eastAsia="zh-CN"/>
        </w:rPr>
        <w:t>电子</w:t>
      </w:r>
      <w:r>
        <w:rPr>
          <w:rFonts w:hint="eastAsia" w:ascii="宋体" w:hAnsi="宋体"/>
          <w:color w:val="auto"/>
          <w:sz w:val="24"/>
          <w:highlight w:val="none"/>
        </w:rPr>
        <w:t>公章）：</w:t>
      </w:r>
      <w:r>
        <w:rPr>
          <w:rFonts w:hint="eastAsia" w:ascii="宋体" w:hAnsi="宋体"/>
          <w:color w:val="auto"/>
          <w:sz w:val="24"/>
          <w:highlight w:val="none"/>
          <w:u w:val="single"/>
        </w:rPr>
        <w:t xml:space="preserve">                 </w:t>
      </w:r>
    </w:p>
    <w:p>
      <w:pPr>
        <w:snapToGrid w:val="0"/>
        <w:spacing w:before="120" w:beforeLines="50" w:after="50" w:line="360" w:lineRule="auto"/>
        <w:ind w:right="480" w:firstLine="240" w:firstLineChars="100"/>
        <w:jc w:val="right"/>
        <w:rPr>
          <w:rFonts w:hint="eastAsia" w:ascii="宋体" w:hAnsi="宋体"/>
          <w:color w:val="auto"/>
          <w:sz w:val="24"/>
          <w:highlight w:val="none"/>
        </w:rPr>
      </w:pPr>
      <w:r>
        <w:rPr>
          <w:rFonts w:hint="eastAsia" w:ascii="宋体" w:hAnsi="宋体"/>
          <w:color w:val="auto"/>
          <w:sz w:val="24"/>
          <w:highlight w:val="none"/>
        </w:rPr>
        <w:t xml:space="preserve"> 年    月    日</w:t>
      </w:r>
    </w:p>
    <w:p>
      <w:pPr>
        <w:snapToGrid w:val="0"/>
        <w:spacing w:before="50" w:after="120" w:afterLines="50"/>
        <w:jc w:val="left"/>
        <w:rPr>
          <w:rFonts w:hint="eastAsia" w:ascii="宋体" w:hAnsi="宋体"/>
          <w:color w:val="auto"/>
          <w:szCs w:val="21"/>
          <w:highlight w:val="none"/>
        </w:rPr>
      </w:pPr>
    </w:p>
    <w:p>
      <w:pPr>
        <w:snapToGrid w:val="0"/>
        <w:spacing w:before="120" w:beforeLines="50" w:after="50"/>
        <w:jc w:val="left"/>
        <w:rPr>
          <w:rFonts w:hint="eastAsia" w:ascii="宋体" w:hAnsi="宋体"/>
          <w:b/>
          <w:color w:val="auto"/>
          <w:sz w:val="24"/>
          <w:szCs w:val="20"/>
          <w:highlight w:val="none"/>
        </w:rPr>
      </w:pPr>
    </w:p>
    <w:p>
      <w:pPr>
        <w:numPr>
          <w:ilvl w:val="2"/>
          <w:numId w:val="14"/>
        </w:numPr>
        <w:snapToGrid w:val="0"/>
        <w:spacing w:before="120" w:beforeLines="50" w:after="50"/>
        <w:ind w:left="0" w:firstLine="0"/>
        <w:jc w:val="left"/>
        <w:rPr>
          <w:rFonts w:hint="eastAsia" w:ascii="宋体" w:hAnsi="宋体"/>
          <w:b/>
          <w:color w:val="auto"/>
          <w:sz w:val="24"/>
          <w:szCs w:val="20"/>
          <w:highlight w:val="none"/>
        </w:rPr>
      </w:pPr>
      <w:r>
        <w:rPr>
          <w:rFonts w:ascii="宋体" w:hAnsi="宋体"/>
          <w:b/>
          <w:color w:val="auto"/>
          <w:sz w:val="24"/>
          <w:highlight w:val="none"/>
        </w:rPr>
        <w:br w:type="page"/>
      </w:r>
      <w:r>
        <w:rPr>
          <w:rFonts w:hint="eastAsia" w:ascii="宋体" w:hAnsi="宋体"/>
          <w:b/>
          <w:color w:val="auto"/>
          <w:sz w:val="24"/>
          <w:highlight w:val="none"/>
        </w:rPr>
        <w:t>投标声明</w:t>
      </w:r>
    </w:p>
    <w:p>
      <w:pPr>
        <w:snapToGrid w:val="0"/>
        <w:spacing w:before="50" w:after="120" w:afterLines="50"/>
        <w:jc w:val="left"/>
        <w:rPr>
          <w:rFonts w:hint="eastAsia" w:ascii="宋体" w:hAnsi="宋体"/>
          <w:color w:val="auto"/>
          <w:highlight w:val="none"/>
        </w:rPr>
      </w:pPr>
    </w:p>
    <w:p>
      <w:pPr>
        <w:snapToGrid w:val="0"/>
        <w:spacing w:before="50" w:after="120" w:afterLines="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投标声明</w:t>
      </w:r>
    </w:p>
    <w:p>
      <w:pPr>
        <w:snapToGrid w:val="0"/>
        <w:spacing w:before="50" w:after="120" w:afterLines="50"/>
        <w:jc w:val="center"/>
        <w:rPr>
          <w:rFonts w:hint="eastAsia" w:ascii="方正小标宋简体" w:hAnsi="方正小标宋简体" w:eastAsia="方正小标宋简体" w:cs="方正小标宋简体"/>
          <w:bCs/>
          <w:color w:val="auto"/>
          <w:sz w:val="44"/>
          <w:szCs w:val="44"/>
          <w:highlight w:val="none"/>
        </w:rPr>
      </w:pPr>
    </w:p>
    <w:p>
      <w:pPr>
        <w:spacing w:line="400" w:lineRule="exact"/>
        <w:contextualSpacing/>
        <w:jc w:val="left"/>
        <w:rPr>
          <w:rFonts w:hint="eastAsia"/>
          <w:color w:val="auto"/>
          <w:sz w:val="24"/>
          <w:highlight w:val="none"/>
        </w:rPr>
      </w:pPr>
      <w:r>
        <w:rPr>
          <w:rFonts w:hint="eastAsia"/>
          <w:color w:val="auto"/>
          <w:sz w:val="24"/>
          <w:highlight w:val="none"/>
        </w:rPr>
        <w:t>（采购人名称）：</w:t>
      </w:r>
    </w:p>
    <w:p>
      <w:pPr>
        <w:spacing w:line="400" w:lineRule="exact"/>
        <w:ind w:firstLine="523" w:firstLineChars="218"/>
        <w:contextualSpacing/>
        <w:jc w:val="left"/>
        <w:rPr>
          <w:rFonts w:hint="eastAsia" w:ascii="宋体" w:hAnsi="宋体"/>
          <w:color w:val="auto"/>
          <w:sz w:val="24"/>
          <w:highlight w:val="none"/>
        </w:rPr>
      </w:pPr>
      <w:r>
        <w:rPr>
          <w:rFonts w:hint="eastAsia" w:ascii="宋体" w:hAnsi="宋体"/>
          <w:color w:val="auto"/>
          <w:sz w:val="24"/>
          <w:highlight w:val="none"/>
        </w:rPr>
        <w:t>我方参加贵单位组织</w:t>
      </w:r>
      <w:r>
        <w:rPr>
          <w:rFonts w:hint="eastAsia" w:ascii="宋体" w:hAnsi="宋体"/>
          <w:color w:val="auto"/>
          <w:sz w:val="24"/>
          <w:highlight w:val="none"/>
          <w:u w:val="single"/>
        </w:rPr>
        <w:t xml:space="preserve">             </w:t>
      </w:r>
      <w:r>
        <w:rPr>
          <w:rFonts w:hint="eastAsia" w:ascii="宋体" w:hAnsi="宋体"/>
          <w:color w:val="auto"/>
          <w:sz w:val="24"/>
          <w:highlight w:val="none"/>
        </w:rPr>
        <w:t>项目（项目编号：</w:t>
      </w:r>
      <w:r>
        <w:rPr>
          <w:rFonts w:hint="eastAsia" w:ascii="宋体" w:hAnsi="宋体"/>
          <w:color w:val="auto"/>
          <w:sz w:val="24"/>
          <w:highlight w:val="none"/>
          <w:u w:val="single"/>
        </w:rPr>
        <w:t xml:space="preserve">       </w:t>
      </w:r>
      <w:r>
        <w:rPr>
          <w:rFonts w:hint="eastAsia" w:ascii="宋体" w:hAnsi="宋体"/>
          <w:color w:val="auto"/>
          <w:sz w:val="24"/>
          <w:highlight w:val="none"/>
        </w:rPr>
        <w:t>）的政府采购活动。我方在此郑重声明：</w:t>
      </w:r>
    </w:p>
    <w:p>
      <w:pPr>
        <w:spacing w:line="40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pPr>
        <w:spacing w:line="40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2.我方不是为本次采购项目提供整体设计、规范编制或者项目管理、监理、检测等服务的供应商。</w:t>
      </w:r>
    </w:p>
    <w:p>
      <w:pPr>
        <w:spacing w:line="40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3. 我方承诺符合《中华人民共和国政府采购法》第二十二条规定：</w:t>
      </w:r>
    </w:p>
    <w:p>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（一）具有独立承担民事责任的能力；</w:t>
      </w:r>
    </w:p>
    <w:p>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（二）具有良好的商业信誉和健全的财务会计制度；</w:t>
      </w:r>
    </w:p>
    <w:p>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（三）具有履行合同所必需的设备和专业技术能力；</w:t>
      </w:r>
    </w:p>
    <w:p>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（四）有依法缴纳税收和社会保障资金的良好记录；</w:t>
      </w:r>
    </w:p>
    <w:p>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（五）参加政府采购活动前三年内，在经营活动中没有重大违法记录；</w:t>
      </w:r>
    </w:p>
    <w:p>
      <w:pPr>
        <w:spacing w:line="40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（六）法律、行政法规规定的其他条件。</w:t>
      </w:r>
    </w:p>
    <w:p>
      <w:pPr>
        <w:spacing w:line="40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4.以上事项如有虚假或者隐瞒，我方愿意承担一切后果，并不再寻求任何旨在减轻或者免除法律责任的辩解。</w:t>
      </w:r>
    </w:p>
    <w:p>
      <w:pPr>
        <w:spacing w:line="400" w:lineRule="exact"/>
        <w:contextualSpacing/>
        <w:jc w:val="left"/>
        <w:rPr>
          <w:rFonts w:ascii="宋体" w:hAnsi="宋体"/>
          <w:color w:val="auto"/>
          <w:sz w:val="24"/>
          <w:highlight w:val="none"/>
        </w:rPr>
      </w:pPr>
      <w:r>
        <w:rPr>
          <w:rFonts w:hint="eastAsia" w:ascii="宋体" w:hAnsi="宋体"/>
          <w:color w:val="auto"/>
          <w:sz w:val="24"/>
          <w:highlight w:val="none"/>
        </w:rPr>
        <w:t xml:space="preserve">    特此承诺。</w:t>
      </w:r>
    </w:p>
    <w:p>
      <w:pPr>
        <w:spacing w:line="400" w:lineRule="exact"/>
        <w:contextualSpacing/>
        <w:jc w:val="left"/>
        <w:rPr>
          <w:rFonts w:ascii="宋体" w:hAnsi="宋体"/>
          <w:b/>
          <w:color w:val="auto"/>
          <w:sz w:val="24"/>
          <w:highlight w:val="none"/>
        </w:rPr>
      </w:pPr>
      <w:r>
        <w:rPr>
          <w:rFonts w:hint="eastAsia" w:ascii="宋体" w:hAnsi="宋体"/>
          <w:b/>
          <w:color w:val="auto"/>
          <w:sz w:val="24"/>
          <w:highlight w:val="none"/>
        </w:rPr>
        <w:t xml:space="preserve">  </w:t>
      </w:r>
    </w:p>
    <w:p>
      <w:pPr>
        <w:spacing w:line="400" w:lineRule="exact"/>
        <w:contextualSpacing/>
        <w:jc w:val="left"/>
        <w:rPr>
          <w:rFonts w:hint="eastAsia" w:ascii="宋体" w:hAnsi="宋体"/>
          <w:color w:val="auto"/>
          <w:sz w:val="24"/>
          <w:highlight w:val="none"/>
        </w:rPr>
      </w:pPr>
      <w:r>
        <w:rPr>
          <w:rFonts w:hint="eastAsia" w:ascii="宋体" w:hAnsi="宋体"/>
          <w:color w:val="auto"/>
          <w:sz w:val="24"/>
          <w:highlight w:val="none"/>
        </w:rPr>
        <w:t xml:space="preserve">                                          法定代表人（签字</w:t>
      </w:r>
      <w:r>
        <w:rPr>
          <w:rFonts w:hint="eastAsia" w:ascii="宋体" w:hAnsi="宋体"/>
          <w:color w:val="auto"/>
          <w:spacing w:val="20"/>
          <w:sz w:val="24"/>
          <w:highlight w:val="none"/>
          <w:lang w:val="en-US" w:eastAsia="zh-CN"/>
        </w:rPr>
        <w:t>/</w:t>
      </w:r>
      <w:r>
        <w:rPr>
          <w:rFonts w:hint="eastAsia" w:hAnsi="宋体"/>
          <w:color w:val="auto"/>
          <w:sz w:val="24"/>
          <w:szCs w:val="24"/>
          <w:highlight w:val="none"/>
        </w:rPr>
        <w:t>签章</w:t>
      </w:r>
      <w:r>
        <w:rPr>
          <w:rFonts w:hint="eastAsia" w:ascii="宋体" w:hAnsi="宋体"/>
          <w:color w:val="auto"/>
          <w:sz w:val="24"/>
          <w:highlight w:val="none"/>
        </w:rPr>
        <w:t>）：</w:t>
      </w:r>
      <w:r>
        <w:rPr>
          <w:rFonts w:hint="eastAsia" w:ascii="宋体" w:hAnsi="宋体"/>
          <w:color w:val="auto"/>
          <w:sz w:val="24"/>
          <w:highlight w:val="none"/>
          <w:u w:val="single"/>
        </w:rPr>
        <w:t xml:space="preserve">             </w:t>
      </w:r>
    </w:p>
    <w:p>
      <w:pPr>
        <w:spacing w:line="400" w:lineRule="exact"/>
        <w:contextualSpacing/>
        <w:jc w:val="left"/>
        <w:rPr>
          <w:rFonts w:hint="eastAsia" w:ascii="宋体" w:hAnsi="宋体"/>
          <w:color w:val="auto"/>
          <w:sz w:val="24"/>
          <w:highlight w:val="none"/>
        </w:rPr>
      </w:pPr>
      <w:r>
        <w:rPr>
          <w:rFonts w:hint="eastAsia" w:ascii="宋体" w:hAnsi="宋体"/>
          <w:color w:val="auto"/>
          <w:sz w:val="24"/>
          <w:highlight w:val="none"/>
        </w:rPr>
        <w:t xml:space="preserve">                                          投标人（盖</w:t>
      </w:r>
      <w:r>
        <w:rPr>
          <w:rFonts w:hint="eastAsia" w:ascii="宋体" w:hAnsi="宋体"/>
          <w:color w:val="auto"/>
          <w:spacing w:val="20"/>
          <w:sz w:val="24"/>
          <w:highlight w:val="none"/>
          <w:lang w:eastAsia="zh-CN"/>
        </w:rPr>
        <w:t>电子</w:t>
      </w:r>
      <w:r>
        <w:rPr>
          <w:rFonts w:hint="eastAsia" w:ascii="宋体" w:hAnsi="宋体"/>
          <w:color w:val="auto"/>
          <w:sz w:val="24"/>
          <w:highlight w:val="none"/>
        </w:rPr>
        <w:t>公章）：</w:t>
      </w:r>
      <w:r>
        <w:rPr>
          <w:rFonts w:hint="eastAsia" w:ascii="宋体" w:hAnsi="宋体"/>
          <w:color w:val="auto"/>
          <w:sz w:val="24"/>
          <w:highlight w:val="none"/>
          <w:u w:val="single"/>
        </w:rPr>
        <w:t xml:space="preserve">                 </w:t>
      </w:r>
    </w:p>
    <w:p>
      <w:pPr>
        <w:spacing w:line="400" w:lineRule="exact"/>
        <w:contextualSpacing/>
        <w:jc w:val="left"/>
        <w:rPr>
          <w:rFonts w:hint="eastAsia" w:ascii="宋体" w:hAnsi="宋体"/>
          <w:color w:val="auto"/>
          <w:highlight w:val="none"/>
        </w:rPr>
      </w:pPr>
      <w:r>
        <w:rPr>
          <w:rFonts w:hint="eastAsia" w:ascii="宋体" w:hAnsi="宋体"/>
          <w:color w:val="auto"/>
          <w:sz w:val="24"/>
          <w:highlight w:val="none"/>
        </w:rPr>
        <w:t xml:space="preserve">                                                  年    月    日</w:t>
      </w:r>
    </w:p>
    <w:p>
      <w:pPr>
        <w:rPr>
          <w:rFonts w:hint="eastAsia"/>
          <w:b/>
          <w:color w:val="auto"/>
          <w:sz w:val="28"/>
          <w:szCs w:val="28"/>
          <w:highlight w:val="none"/>
        </w:rPr>
      </w:pPr>
      <w:bookmarkStart w:id="165" w:name="_Toc19686838"/>
      <w:r>
        <w:rPr>
          <w:b/>
          <w:color w:val="auto"/>
          <w:sz w:val="28"/>
          <w:szCs w:val="28"/>
          <w:highlight w:val="none"/>
        </w:rPr>
        <w:br w:type="page"/>
      </w:r>
      <w:r>
        <w:rPr>
          <w:rFonts w:hint="eastAsia"/>
          <w:b/>
          <w:color w:val="auto"/>
          <w:sz w:val="28"/>
          <w:szCs w:val="28"/>
          <w:highlight w:val="none"/>
          <w:lang w:eastAsia="zh-CN"/>
        </w:rPr>
        <w:t>三</w:t>
      </w:r>
      <w:r>
        <w:rPr>
          <w:rFonts w:hint="eastAsia"/>
          <w:b/>
          <w:color w:val="auto"/>
          <w:sz w:val="28"/>
          <w:szCs w:val="28"/>
          <w:highlight w:val="none"/>
        </w:rPr>
        <w:t>、商务文件格式</w:t>
      </w:r>
      <w:bookmarkEnd w:id="165"/>
    </w:p>
    <w:p>
      <w:pPr>
        <w:snapToGrid w:val="0"/>
        <w:spacing w:before="120" w:beforeLines="50" w:after="50" w:line="360" w:lineRule="auto"/>
        <w:jc w:val="left"/>
        <w:rPr>
          <w:rFonts w:hint="eastAsia" w:ascii="宋体" w:hAnsi="宋体"/>
          <w:b/>
          <w:color w:val="auto"/>
          <w:sz w:val="24"/>
          <w:highlight w:val="none"/>
        </w:rPr>
      </w:pPr>
      <w:r>
        <w:rPr>
          <w:rFonts w:hint="eastAsia" w:ascii="宋体" w:hAnsi="宋体"/>
          <w:b/>
          <w:color w:val="auto"/>
          <w:sz w:val="24"/>
          <w:highlight w:val="none"/>
        </w:rPr>
        <w:t xml:space="preserve">1.商务文件封面格式： </w:t>
      </w:r>
    </w:p>
    <w:p>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p>
    <w:p>
      <w:pPr>
        <w:snapToGrid w:val="0"/>
        <w:spacing w:before="120" w:beforeLines="50" w:after="50"/>
        <w:rPr>
          <w:rFonts w:hint="eastAsia" w:ascii="宋体" w:hAnsi="宋体"/>
          <w:color w:val="auto"/>
          <w:sz w:val="24"/>
          <w:szCs w:val="20"/>
          <w:highlight w:val="none"/>
        </w:rPr>
      </w:pPr>
    </w:p>
    <w:p>
      <w:pPr>
        <w:snapToGrid w:val="0"/>
        <w:spacing w:before="120" w:beforeLines="50" w:after="50" w:line="400" w:lineRule="exact"/>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投  标  文  件</w:t>
      </w:r>
    </w:p>
    <w:p>
      <w:pPr>
        <w:snapToGrid w:val="0"/>
        <w:spacing w:before="120" w:beforeLines="50" w:after="50"/>
        <w:rPr>
          <w:rFonts w:hint="eastAsia" w:ascii="宋体" w:hAnsi="宋体"/>
          <w:color w:val="auto"/>
          <w:sz w:val="24"/>
          <w:szCs w:val="20"/>
          <w:highlight w:val="none"/>
        </w:rPr>
      </w:pPr>
    </w:p>
    <w:p>
      <w:pPr>
        <w:snapToGrid w:val="0"/>
        <w:spacing w:before="120" w:beforeLines="50" w:after="50"/>
        <w:rPr>
          <w:rFonts w:hint="eastAsia" w:ascii="宋体" w:hAnsi="宋体"/>
          <w:color w:val="auto"/>
          <w:sz w:val="24"/>
          <w:szCs w:val="20"/>
          <w:highlight w:val="none"/>
        </w:rPr>
      </w:pPr>
    </w:p>
    <w:p>
      <w:pPr>
        <w:snapToGrid w:val="0"/>
        <w:spacing w:before="120" w:beforeLines="50" w:after="50"/>
        <w:jc w:val="center"/>
        <w:rPr>
          <w:rFonts w:hint="eastAsia" w:ascii="方正小标宋简体" w:hAnsi="方正小标宋简体" w:eastAsia="方正小标宋简体" w:cs="方正小标宋简体"/>
          <w:bCs/>
          <w:color w:val="auto"/>
          <w:sz w:val="32"/>
          <w:szCs w:val="32"/>
          <w:highlight w:val="none"/>
        </w:rPr>
      </w:pPr>
      <w:r>
        <w:rPr>
          <w:rFonts w:hint="eastAsia" w:ascii="方正小标宋简体" w:hAnsi="方正小标宋简体" w:eastAsia="方正小标宋简体" w:cs="方正小标宋简体"/>
          <w:bCs/>
          <w:color w:val="auto"/>
          <w:sz w:val="32"/>
          <w:szCs w:val="32"/>
          <w:highlight w:val="none"/>
        </w:rPr>
        <w:t>商  务  文  件</w:t>
      </w:r>
    </w:p>
    <w:p>
      <w:pPr>
        <w:snapToGrid w:val="0"/>
        <w:spacing w:before="120" w:beforeLines="50" w:after="50"/>
        <w:rPr>
          <w:rFonts w:hint="eastAsia" w:ascii="宋体" w:hAnsi="宋体"/>
          <w:bCs/>
          <w:color w:val="auto"/>
          <w:sz w:val="24"/>
          <w:szCs w:val="20"/>
          <w:highlight w:val="none"/>
        </w:rPr>
      </w:pPr>
    </w:p>
    <w:p>
      <w:pPr>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项目名称：</w:t>
      </w:r>
    </w:p>
    <w:p>
      <w:pPr>
        <w:snapToGrid w:val="0"/>
        <w:spacing w:before="120" w:beforeLines="50" w:after="50"/>
        <w:ind w:firstLine="540" w:firstLineChars="225"/>
        <w:rPr>
          <w:rFonts w:hint="eastAsia" w:ascii="宋体" w:hAnsi="宋体"/>
          <w:bCs/>
          <w:color w:val="auto"/>
          <w:sz w:val="24"/>
          <w:szCs w:val="20"/>
          <w:highlight w:val="none"/>
        </w:rPr>
      </w:pPr>
    </w:p>
    <w:p>
      <w:pPr>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项目编号：</w:t>
      </w:r>
    </w:p>
    <w:p>
      <w:pPr>
        <w:snapToGrid w:val="0"/>
        <w:spacing w:before="120" w:beforeLines="50" w:after="50" w:line="400" w:lineRule="exact"/>
        <w:ind w:firstLine="360" w:firstLineChars="150"/>
        <w:rPr>
          <w:rFonts w:hint="default" w:ascii="宋体" w:hAnsi="宋体" w:eastAsia="宋体"/>
          <w:bCs/>
          <w:color w:val="auto"/>
          <w:sz w:val="24"/>
          <w:highlight w:val="none"/>
          <w:lang w:val="en-US" w:eastAsia="zh-CN"/>
        </w:rPr>
      </w:pPr>
      <w:r>
        <w:rPr>
          <w:rFonts w:hint="eastAsia" w:ascii="宋体" w:hAnsi="宋体"/>
          <w:bCs/>
          <w:color w:val="auto"/>
          <w:sz w:val="24"/>
          <w:highlight w:val="none"/>
        </w:rPr>
        <w:t xml:space="preserve"> </w:t>
      </w:r>
      <w:r>
        <w:rPr>
          <w:rFonts w:hint="eastAsia" w:ascii="宋体" w:hAnsi="宋体"/>
          <w:bCs/>
          <w:color w:val="auto"/>
          <w:sz w:val="24"/>
          <w:highlight w:val="none"/>
          <w:lang w:val="en-US" w:eastAsia="zh-CN"/>
        </w:rPr>
        <w:t>标   项：</w:t>
      </w:r>
    </w:p>
    <w:p>
      <w:pPr>
        <w:snapToGrid w:val="0"/>
        <w:spacing w:before="120" w:beforeLines="50" w:after="50"/>
        <w:ind w:firstLine="540" w:firstLineChars="225"/>
        <w:rPr>
          <w:rFonts w:hint="eastAsia" w:ascii="宋体" w:hAnsi="宋体"/>
          <w:bCs/>
          <w:color w:val="auto"/>
          <w:sz w:val="24"/>
          <w:szCs w:val="20"/>
          <w:highlight w:val="none"/>
        </w:rPr>
      </w:pPr>
    </w:p>
    <w:p>
      <w:pPr>
        <w:snapToGrid w:val="0"/>
        <w:spacing w:before="120" w:beforeLines="50" w:after="50"/>
        <w:ind w:firstLine="540" w:firstLineChars="225"/>
        <w:rPr>
          <w:rFonts w:hint="eastAsia" w:ascii="宋体" w:hAnsi="宋体"/>
          <w:bCs/>
          <w:color w:val="auto"/>
          <w:sz w:val="24"/>
          <w:szCs w:val="20"/>
          <w:highlight w:val="none"/>
        </w:rPr>
      </w:pPr>
    </w:p>
    <w:p>
      <w:pPr>
        <w:pStyle w:val="6"/>
        <w:snapToGrid w:val="0"/>
        <w:spacing w:before="50" w:after="50"/>
        <w:ind w:firstLine="540" w:firstLineChars="225"/>
        <w:rPr>
          <w:rFonts w:hint="eastAsia" w:ascii="宋体" w:hAnsi="宋体"/>
          <w:bCs/>
          <w:color w:val="auto"/>
          <w:sz w:val="24"/>
          <w:szCs w:val="24"/>
          <w:highlight w:val="none"/>
        </w:rPr>
      </w:pPr>
      <w:r>
        <w:rPr>
          <w:rFonts w:hint="eastAsia" w:ascii="宋体" w:hAnsi="宋体"/>
          <w:bCs/>
          <w:color w:val="auto"/>
          <w:sz w:val="24"/>
          <w:szCs w:val="24"/>
          <w:highlight w:val="none"/>
        </w:rPr>
        <w:t>投标人名称：</w:t>
      </w:r>
    </w:p>
    <w:p>
      <w:pPr>
        <w:pStyle w:val="6"/>
        <w:snapToGrid w:val="0"/>
        <w:spacing w:before="50" w:after="50"/>
        <w:ind w:firstLine="540" w:firstLineChars="225"/>
        <w:rPr>
          <w:rFonts w:hint="eastAsia" w:ascii="宋体" w:hAnsi="宋体"/>
          <w:bCs/>
          <w:color w:val="auto"/>
          <w:sz w:val="24"/>
          <w:szCs w:val="24"/>
          <w:highlight w:val="none"/>
        </w:rPr>
      </w:pPr>
    </w:p>
    <w:p>
      <w:pPr>
        <w:pStyle w:val="6"/>
        <w:snapToGrid w:val="0"/>
        <w:spacing w:before="50" w:after="50"/>
        <w:ind w:firstLine="540" w:firstLineChars="225"/>
        <w:rPr>
          <w:rFonts w:hint="eastAsia" w:ascii="宋体" w:hAnsi="宋体"/>
          <w:bCs/>
          <w:color w:val="auto"/>
          <w:sz w:val="24"/>
          <w:szCs w:val="24"/>
          <w:highlight w:val="none"/>
        </w:rPr>
      </w:pPr>
      <w:r>
        <w:rPr>
          <w:rFonts w:hint="eastAsia" w:ascii="宋体" w:hAnsi="宋体"/>
          <w:bCs/>
          <w:color w:val="auto"/>
          <w:sz w:val="24"/>
          <w:szCs w:val="24"/>
          <w:highlight w:val="none"/>
        </w:rPr>
        <w:t>投标人地址：</w:t>
      </w:r>
    </w:p>
    <w:p>
      <w:pPr>
        <w:pStyle w:val="6"/>
        <w:snapToGrid w:val="0"/>
        <w:spacing w:before="50" w:after="50"/>
        <w:ind w:firstLine="960" w:firstLineChars="400"/>
        <w:rPr>
          <w:rFonts w:hint="eastAsia" w:ascii="宋体" w:hAnsi="宋体"/>
          <w:bCs/>
          <w:color w:val="auto"/>
          <w:sz w:val="24"/>
          <w:szCs w:val="24"/>
          <w:highlight w:val="none"/>
        </w:rPr>
      </w:pPr>
    </w:p>
    <w:p>
      <w:pPr>
        <w:snapToGrid w:val="0"/>
        <w:spacing w:before="120" w:beforeLines="50" w:after="50"/>
        <w:ind w:firstLine="645"/>
        <w:rPr>
          <w:rFonts w:ascii="宋体" w:hAnsi="宋体"/>
          <w:color w:val="auto"/>
          <w:sz w:val="24"/>
          <w:highlight w:val="none"/>
        </w:rPr>
      </w:pPr>
      <w:r>
        <w:rPr>
          <w:rFonts w:hint="eastAsia" w:ascii="宋体" w:hAnsi="宋体"/>
          <w:color w:val="auto"/>
          <w:sz w:val="24"/>
          <w:highlight w:val="none"/>
        </w:rPr>
        <w:t xml:space="preserve">                        年  月  日</w:t>
      </w:r>
    </w:p>
    <w:p>
      <w:pPr>
        <w:snapToGrid w:val="0"/>
        <w:spacing w:before="120" w:beforeLines="50" w:after="50"/>
        <w:rPr>
          <w:rFonts w:ascii="宋体" w:hAnsi="宋体"/>
          <w:color w:val="auto"/>
          <w:sz w:val="24"/>
          <w:szCs w:val="20"/>
          <w:highlight w:val="none"/>
        </w:rPr>
      </w:pPr>
      <w:r>
        <w:rPr>
          <w:rFonts w:ascii="宋体" w:hAnsi="宋体"/>
          <w:color w:val="auto"/>
          <w:sz w:val="24"/>
          <w:szCs w:val="20"/>
          <w:highlight w:val="none"/>
        </w:rPr>
        <w:t xml:space="preserve"> </w:t>
      </w:r>
    </w:p>
    <w:p>
      <w:pPr>
        <w:snapToGrid w:val="0"/>
        <w:spacing w:line="360" w:lineRule="auto"/>
        <w:jc w:val="left"/>
        <w:rPr>
          <w:rFonts w:hint="eastAsia" w:ascii="宋体" w:hAnsi="宋体"/>
          <w:b/>
          <w:bCs/>
          <w:color w:val="auto"/>
          <w:sz w:val="28"/>
          <w:szCs w:val="28"/>
          <w:highlight w:val="none"/>
        </w:rPr>
      </w:pPr>
      <w:r>
        <w:rPr>
          <w:rFonts w:ascii="宋体" w:hAnsi="宋体"/>
          <w:color w:val="auto"/>
          <w:sz w:val="24"/>
          <w:szCs w:val="20"/>
          <w:highlight w:val="none"/>
        </w:rPr>
        <w:br w:type="page"/>
      </w:r>
      <w:r>
        <w:rPr>
          <w:rFonts w:hint="eastAsia" w:ascii="宋体" w:hAnsi="宋体"/>
          <w:b/>
          <w:bCs/>
          <w:color w:val="auto"/>
          <w:sz w:val="24"/>
          <w:highlight w:val="none"/>
        </w:rPr>
        <w:t>2.商务文件目录</w:t>
      </w:r>
    </w:p>
    <w:p>
      <w:pPr>
        <w:snapToGrid w:val="0"/>
        <w:spacing w:before="50" w:after="120" w:afterLines="50" w:line="360" w:lineRule="auto"/>
        <w:ind w:firstLine="480" w:firstLineChars="200"/>
        <w:jc w:val="left"/>
        <w:rPr>
          <w:rFonts w:ascii="微软雅黑" w:hAnsi="微软雅黑" w:eastAsia="微软雅黑"/>
          <w:b/>
          <w:bCs/>
          <w:color w:val="auto"/>
          <w:sz w:val="32"/>
          <w:szCs w:val="32"/>
          <w:highlight w:val="none"/>
        </w:rPr>
      </w:pPr>
      <w:r>
        <w:rPr>
          <w:rFonts w:hint="eastAsia" w:ascii="宋体" w:hAnsi="宋体"/>
          <w:color w:val="auto"/>
          <w:sz w:val="24"/>
          <w:highlight w:val="none"/>
        </w:rPr>
        <w:t>根据招标文件</w:t>
      </w:r>
      <w:r>
        <w:rPr>
          <w:rFonts w:hint="eastAsia" w:ascii="宋体" w:hAnsi="宋体"/>
          <w:color w:val="auto"/>
          <w:szCs w:val="21"/>
          <w:highlight w:val="none"/>
          <w:lang w:eastAsia="zh-CN"/>
        </w:rPr>
        <w:t>“</w:t>
      </w:r>
      <w:r>
        <w:rPr>
          <w:rFonts w:hint="eastAsia" w:ascii="宋体" w:hAnsi="宋体" w:eastAsia="宋体" w:cs="Times New Roman"/>
          <w:color w:val="auto"/>
          <w:sz w:val="24"/>
          <w:highlight w:val="none"/>
        </w:rPr>
        <w:t>投标人须知前附表</w:t>
      </w:r>
      <w:r>
        <w:rPr>
          <w:rFonts w:hint="eastAsia" w:ascii="宋体" w:hAnsi="宋体" w:eastAsia="宋体" w:cs="Times New Roman"/>
          <w:color w:val="auto"/>
          <w:sz w:val="24"/>
          <w:highlight w:val="none"/>
          <w:lang w:val="en-US" w:eastAsia="zh-CN"/>
        </w:rPr>
        <w:t>13.1</w:t>
      </w:r>
      <w:r>
        <w:rPr>
          <w:rFonts w:hint="eastAsia" w:ascii="宋体" w:hAnsi="宋体" w:eastAsia="宋体" w:cs="Times New Roman"/>
          <w:color w:val="auto"/>
          <w:sz w:val="24"/>
          <w:highlight w:val="none"/>
          <w:lang w:eastAsia="zh-CN"/>
        </w:rPr>
        <w:t>”</w:t>
      </w:r>
      <w:r>
        <w:rPr>
          <w:rFonts w:hint="eastAsia" w:ascii="宋体" w:hAnsi="宋体"/>
          <w:color w:val="auto"/>
          <w:sz w:val="24"/>
          <w:highlight w:val="none"/>
        </w:rPr>
        <w:t>规定及投标人提供的材料自行编写目录。</w:t>
      </w:r>
    </w:p>
    <w:p>
      <w:pPr>
        <w:snapToGrid w:val="0"/>
        <w:spacing w:before="50" w:after="120" w:afterLines="50"/>
        <w:jc w:val="left"/>
        <w:rPr>
          <w:rFonts w:hint="eastAsia" w:ascii="宋体" w:hAnsi="宋体"/>
          <w:color w:val="auto"/>
          <w:highlight w:val="none"/>
        </w:rPr>
      </w:pPr>
    </w:p>
    <w:p>
      <w:pPr>
        <w:snapToGrid w:val="0"/>
        <w:spacing w:before="120" w:beforeLines="50" w:after="50"/>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3.投标人参加本项目无围标串标行为的承诺</w:t>
      </w:r>
    </w:p>
    <w:p>
      <w:pPr>
        <w:snapToGrid w:val="0"/>
        <w:spacing w:before="120" w:beforeLines="50" w:after="50"/>
        <w:jc w:val="left"/>
        <w:rPr>
          <w:rFonts w:hint="eastAsia" w:ascii="宋体" w:hAnsi="宋体"/>
          <w:b/>
          <w:color w:val="auto"/>
          <w:sz w:val="24"/>
          <w:highlight w:val="none"/>
        </w:rPr>
      </w:pPr>
    </w:p>
    <w:p>
      <w:pPr>
        <w:spacing w:line="360" w:lineRule="auto"/>
        <w:contextualSpacing/>
        <w:jc w:val="both"/>
        <w:rPr>
          <w:rFonts w:ascii="宋体" w:hAnsi="宋体"/>
          <w:b/>
          <w:color w:val="auto"/>
          <w:sz w:val="24"/>
          <w:highlight w:val="none"/>
        </w:rPr>
      </w:pPr>
      <w:r>
        <w:rPr>
          <w:rFonts w:hint="eastAsia" w:ascii="方正小标宋简体" w:hAnsi="方正小标宋简体" w:eastAsia="方正小标宋简体" w:cs="方正小标宋简体"/>
          <w:bCs/>
          <w:color w:val="auto"/>
          <w:spacing w:val="-11"/>
          <w:sz w:val="44"/>
          <w:szCs w:val="44"/>
          <w:highlight w:val="none"/>
        </w:rPr>
        <w:t>投标人参加本项目无围标串标行为的承诺函</w:t>
      </w:r>
    </w:p>
    <w:p>
      <w:pPr>
        <w:spacing w:line="440" w:lineRule="exact"/>
        <w:contextualSpacing/>
        <w:jc w:val="left"/>
        <w:rPr>
          <w:rFonts w:hint="eastAsia" w:ascii="宋体" w:hAnsi="宋体"/>
          <w:b/>
          <w:color w:val="auto"/>
          <w:sz w:val="24"/>
          <w:highlight w:val="none"/>
        </w:rPr>
      </w:pPr>
      <w:r>
        <w:rPr>
          <w:rFonts w:hint="eastAsia" w:ascii="宋体" w:hAnsi="宋体"/>
          <w:b/>
          <w:color w:val="auto"/>
          <w:sz w:val="24"/>
          <w:highlight w:val="none"/>
        </w:rPr>
        <w:t>一、我方承诺无下列相互串通投标的情形：</w:t>
      </w:r>
    </w:p>
    <w:p>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1.不同投标人的投标文件由同一单位或者个人编制；</w:t>
      </w:r>
    </w:p>
    <w:p>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2.不同投标人委托同一单位或者个人办理投标事宜；</w:t>
      </w:r>
    </w:p>
    <w:p>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3.不同的投标人的投标文件载明的项目管理员为同一个人；</w:t>
      </w:r>
    </w:p>
    <w:p>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4.不同投标人的投标文件异常一致或者投标报价呈规律性差异；</w:t>
      </w:r>
    </w:p>
    <w:p>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5.不同投标人的投标文件相互混装；</w:t>
      </w:r>
    </w:p>
    <w:p>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6.不同投标人的投标保证金从同一单位或者个人账户转出。</w:t>
      </w:r>
    </w:p>
    <w:p>
      <w:pPr>
        <w:spacing w:line="440" w:lineRule="exact"/>
        <w:contextualSpacing/>
        <w:jc w:val="left"/>
        <w:rPr>
          <w:rFonts w:hint="eastAsia" w:ascii="宋体" w:hAnsi="宋体"/>
          <w:color w:val="auto"/>
          <w:sz w:val="24"/>
          <w:highlight w:val="none"/>
        </w:rPr>
      </w:pPr>
      <w:r>
        <w:rPr>
          <w:rFonts w:hint="eastAsia" w:ascii="宋体" w:hAnsi="宋体"/>
          <w:b/>
          <w:color w:val="auto"/>
          <w:sz w:val="24"/>
          <w:highlight w:val="none"/>
        </w:rPr>
        <w:t>二、我方承诺无下列恶意串通的情形：</w:t>
      </w:r>
    </w:p>
    <w:p>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1.投标人直接或者间接从采购人或者采购代理机构处获得其他投标人的相关信息并修改其投标文件或者响应文件；</w:t>
      </w:r>
    </w:p>
    <w:p>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2.投标人按照采购人或者采购代理机构的授意撤换、修改投标文件或者响应文件；</w:t>
      </w:r>
    </w:p>
    <w:p>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3.投标人之间协商报价、技术方案等投标文件或者响应文件的实质性内容；</w:t>
      </w:r>
    </w:p>
    <w:p>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4.属于同一集团、协会、商会等组织成员的投标人按照该组织要求协同参加政府采购活动；</w:t>
      </w:r>
    </w:p>
    <w:p>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5.投标人之间事先约定一致抬高或者压低投标报价，或者在招标项目中事先约定轮流以高价位或者低价位中标，或者事先约定由某一特定投标人中标，然后再参加投标；</w:t>
      </w:r>
    </w:p>
    <w:p>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6.投标人之间商定部分投标人放弃参加政府采购活动或者放弃中标；</w:t>
      </w:r>
    </w:p>
    <w:p>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7.投标人与采购人或者采购代理机构之间、投标人相互之间，为谋求特定投标人中标或者排斥其他投标人的其他串通行为。</w:t>
      </w:r>
    </w:p>
    <w:p>
      <w:pPr>
        <w:spacing w:line="440" w:lineRule="exact"/>
        <w:ind w:firstLine="472" w:firstLineChars="196"/>
        <w:contextualSpacing/>
        <w:jc w:val="left"/>
        <w:rPr>
          <w:rFonts w:hint="eastAsia" w:ascii="宋体" w:hAnsi="宋体"/>
          <w:b/>
          <w:color w:val="auto"/>
          <w:sz w:val="24"/>
          <w:highlight w:val="none"/>
        </w:rPr>
      </w:pPr>
      <w:r>
        <w:rPr>
          <w:rFonts w:hint="eastAsia" w:ascii="宋体" w:hAnsi="宋体"/>
          <w:b/>
          <w:color w:val="auto"/>
          <w:sz w:val="24"/>
          <w:highlight w:val="none"/>
        </w:rPr>
        <w:t>以上情形一经核查属实，我方愿意承担一切后果，并不再寻求任何旨在减轻或者免除法律责任的辩解。</w:t>
      </w:r>
    </w:p>
    <w:p>
      <w:pPr>
        <w:pStyle w:val="12"/>
        <w:spacing w:line="440" w:lineRule="exact"/>
        <w:ind w:firstLine="6840" w:firstLineChars="2850"/>
        <w:contextualSpacing/>
        <w:rPr>
          <w:rFonts w:hint="eastAsia" w:hAnsi="宋体"/>
          <w:color w:val="auto"/>
          <w:sz w:val="24"/>
          <w:szCs w:val="24"/>
          <w:highlight w:val="none"/>
        </w:rPr>
      </w:pPr>
    </w:p>
    <w:p>
      <w:pPr>
        <w:pStyle w:val="12"/>
        <w:spacing w:line="440" w:lineRule="exact"/>
        <w:contextualSpacing/>
        <w:jc w:val="center"/>
        <w:rPr>
          <w:rFonts w:hint="eastAsia" w:hAnsi="宋体"/>
          <w:color w:val="auto"/>
          <w:sz w:val="24"/>
          <w:szCs w:val="24"/>
          <w:highlight w:val="none"/>
        </w:rPr>
      </w:pPr>
      <w:r>
        <w:rPr>
          <w:rFonts w:hint="eastAsia" w:hAnsi="宋体"/>
          <w:color w:val="auto"/>
          <w:sz w:val="24"/>
          <w:szCs w:val="24"/>
          <w:highlight w:val="none"/>
        </w:rPr>
        <w:t xml:space="preserve"> </w:t>
      </w:r>
      <w:r>
        <w:rPr>
          <w:rFonts w:hAnsi="宋体"/>
          <w:color w:val="auto"/>
          <w:sz w:val="24"/>
          <w:szCs w:val="24"/>
          <w:highlight w:val="none"/>
        </w:rPr>
        <w:t xml:space="preserve">                                   </w:t>
      </w:r>
      <w:r>
        <w:rPr>
          <w:rFonts w:hint="eastAsia" w:hAnsi="宋体"/>
          <w:color w:val="auto"/>
          <w:sz w:val="24"/>
          <w:szCs w:val="24"/>
          <w:highlight w:val="none"/>
        </w:rPr>
        <w:t>投标人名称（</w:t>
      </w:r>
      <w:r>
        <w:rPr>
          <w:rFonts w:hint="eastAsia" w:hAnsi="宋体"/>
          <w:color w:val="auto"/>
          <w:sz w:val="24"/>
          <w:szCs w:val="24"/>
          <w:highlight w:val="none"/>
          <w:lang w:eastAsia="zh-CN"/>
        </w:rPr>
        <w:t>盖</w:t>
      </w:r>
      <w:r>
        <w:rPr>
          <w:rFonts w:hint="eastAsia" w:ascii="宋体" w:hAnsi="宋体"/>
          <w:color w:val="auto"/>
          <w:spacing w:val="20"/>
          <w:sz w:val="24"/>
          <w:highlight w:val="none"/>
          <w:lang w:eastAsia="zh-CN"/>
        </w:rPr>
        <w:t>电子</w:t>
      </w:r>
      <w:r>
        <w:rPr>
          <w:rFonts w:hint="eastAsia" w:hAnsi="宋体"/>
          <w:color w:val="auto"/>
          <w:sz w:val="24"/>
          <w:szCs w:val="24"/>
          <w:highlight w:val="none"/>
        </w:rPr>
        <w:t>公章）</w:t>
      </w:r>
    </w:p>
    <w:p>
      <w:pPr>
        <w:pStyle w:val="12"/>
        <w:spacing w:line="440" w:lineRule="exact"/>
        <w:contextualSpacing/>
        <w:rPr>
          <w:rFonts w:hint="eastAsia" w:hAnsi="宋体"/>
          <w:color w:val="auto"/>
          <w:sz w:val="24"/>
          <w:highlight w:val="none"/>
        </w:rPr>
      </w:pPr>
      <w:r>
        <w:rPr>
          <w:rFonts w:hint="eastAsia" w:hAnsi="宋体"/>
          <w:color w:val="auto"/>
          <w:sz w:val="24"/>
          <w:highlight w:val="none"/>
        </w:rPr>
        <w:t xml:space="preserve">                                                </w:t>
      </w:r>
      <w:r>
        <w:rPr>
          <w:rFonts w:hint="eastAsia" w:hAnsi="宋体"/>
          <w:color w:val="auto"/>
          <w:sz w:val="24"/>
          <w:highlight w:val="none"/>
          <w:u w:val="single"/>
        </w:rPr>
        <w:t xml:space="preserve">      </w:t>
      </w:r>
      <w:r>
        <w:rPr>
          <w:rFonts w:hint="eastAsia" w:hAnsi="宋体"/>
          <w:color w:val="auto"/>
          <w:sz w:val="24"/>
          <w:highlight w:val="none"/>
        </w:rPr>
        <w:t>年</w:t>
      </w:r>
      <w:r>
        <w:rPr>
          <w:rFonts w:hint="eastAsia" w:hAnsi="宋体"/>
          <w:color w:val="auto"/>
          <w:sz w:val="24"/>
          <w:highlight w:val="none"/>
          <w:u w:val="single"/>
        </w:rPr>
        <w:t xml:space="preserve">    </w:t>
      </w:r>
      <w:r>
        <w:rPr>
          <w:rFonts w:hint="eastAsia" w:hAnsi="宋体"/>
          <w:color w:val="auto"/>
          <w:sz w:val="24"/>
          <w:highlight w:val="none"/>
        </w:rPr>
        <w:t>月</w:t>
      </w:r>
      <w:r>
        <w:rPr>
          <w:rFonts w:hint="eastAsia" w:hAnsi="宋体"/>
          <w:color w:val="auto"/>
          <w:sz w:val="24"/>
          <w:highlight w:val="none"/>
          <w:u w:val="single"/>
        </w:rPr>
        <w:t xml:space="preserve">     </w:t>
      </w:r>
      <w:r>
        <w:rPr>
          <w:rFonts w:hint="eastAsia" w:hAnsi="宋体"/>
          <w:color w:val="auto"/>
          <w:sz w:val="24"/>
          <w:highlight w:val="none"/>
        </w:rPr>
        <w:t>日</w:t>
      </w:r>
    </w:p>
    <w:p>
      <w:pPr>
        <w:snapToGrid w:val="0"/>
        <w:spacing w:before="120" w:beforeLines="50" w:after="50"/>
        <w:jc w:val="left"/>
        <w:rPr>
          <w:rFonts w:hint="eastAsia" w:ascii="宋体" w:hAnsi="宋体"/>
          <w:b/>
          <w:color w:val="auto"/>
          <w:sz w:val="24"/>
          <w:szCs w:val="20"/>
          <w:highlight w:val="none"/>
        </w:rPr>
      </w:pPr>
      <w:r>
        <w:rPr>
          <w:rFonts w:hint="eastAsia" w:ascii="宋体" w:hAnsi="宋体"/>
          <w:b/>
          <w:color w:val="auto"/>
          <w:sz w:val="24"/>
          <w:highlight w:val="none"/>
        </w:rPr>
        <w:br w:type="page"/>
      </w:r>
      <w:r>
        <w:rPr>
          <w:rFonts w:hint="eastAsia" w:ascii="宋体" w:hAnsi="宋体"/>
          <w:b/>
          <w:color w:val="auto"/>
          <w:sz w:val="24"/>
          <w:highlight w:val="none"/>
        </w:rPr>
        <w:t>4.法定代表人身份证明</w:t>
      </w:r>
    </w:p>
    <w:p>
      <w:pPr>
        <w:spacing w:before="240" w:beforeLines="100" w:after="120" w:afterLines="50"/>
        <w:ind w:left="540"/>
        <w:jc w:val="center"/>
        <w:rPr>
          <w:rFonts w:hint="eastAsia" w:ascii="宋体" w:hAnsi="Courier New"/>
          <w:b/>
          <w:color w:val="auto"/>
          <w:sz w:val="32"/>
          <w:szCs w:val="32"/>
          <w:highlight w:val="none"/>
        </w:rPr>
      </w:pPr>
    </w:p>
    <w:p>
      <w:pPr>
        <w:spacing w:before="240" w:beforeLines="100" w:after="120" w:afterLines="50"/>
        <w:ind w:left="54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法定代表人身份证明</w:t>
      </w:r>
    </w:p>
    <w:p>
      <w:pPr>
        <w:spacing w:line="500" w:lineRule="exact"/>
        <w:ind w:left="540"/>
        <w:rPr>
          <w:rFonts w:hint="eastAsia" w:ascii="宋体" w:hAnsi="宋体"/>
          <w:color w:val="auto"/>
          <w:sz w:val="24"/>
          <w:highlight w:val="none"/>
        </w:rPr>
      </w:pPr>
      <w:r>
        <w:rPr>
          <w:rFonts w:hint="eastAsia" w:ascii="宋体" w:hAnsi="宋体"/>
          <w:color w:val="auto"/>
          <w:sz w:val="24"/>
          <w:highlight w:val="none"/>
        </w:rPr>
        <w:t>投 标 人：</w:t>
      </w:r>
      <w:r>
        <w:rPr>
          <w:rFonts w:hint="eastAsia" w:ascii="宋体" w:hAnsi="宋体"/>
          <w:color w:val="auto"/>
          <w:sz w:val="24"/>
          <w:highlight w:val="none"/>
          <w:u w:val="single"/>
        </w:rPr>
        <w:t xml:space="preserve">                                                        </w:t>
      </w:r>
    </w:p>
    <w:p>
      <w:pPr>
        <w:spacing w:line="500" w:lineRule="exact"/>
        <w:ind w:left="540"/>
        <w:rPr>
          <w:rFonts w:hint="eastAsia" w:ascii="宋体" w:hAnsi="宋体"/>
          <w:color w:val="auto"/>
          <w:sz w:val="24"/>
          <w:highlight w:val="none"/>
        </w:rPr>
      </w:pPr>
      <w:r>
        <w:rPr>
          <w:rFonts w:hint="eastAsia" w:ascii="宋体" w:hAnsi="宋体"/>
          <w:color w:val="auto"/>
          <w:sz w:val="24"/>
          <w:highlight w:val="none"/>
        </w:rPr>
        <w:t>地    址：</w:t>
      </w:r>
      <w:r>
        <w:rPr>
          <w:rFonts w:hint="eastAsia" w:ascii="宋体" w:hAnsi="宋体"/>
          <w:color w:val="auto"/>
          <w:sz w:val="24"/>
          <w:highlight w:val="none"/>
          <w:u w:val="single"/>
        </w:rPr>
        <w:t xml:space="preserve">                                                        </w:t>
      </w:r>
    </w:p>
    <w:p>
      <w:pPr>
        <w:spacing w:line="500" w:lineRule="exact"/>
        <w:ind w:left="540"/>
        <w:rPr>
          <w:rFonts w:hint="eastAsia" w:ascii="宋体" w:hAnsi="宋体"/>
          <w:color w:val="auto"/>
          <w:sz w:val="24"/>
          <w:highlight w:val="none"/>
        </w:rPr>
      </w:pPr>
      <w:r>
        <w:rPr>
          <w:rFonts w:hint="eastAsia" w:ascii="宋体" w:hAnsi="宋体"/>
          <w:color w:val="auto"/>
          <w:sz w:val="24"/>
          <w:highlight w:val="none"/>
        </w:rPr>
        <w:t>姓    名：</w:t>
      </w:r>
      <w:r>
        <w:rPr>
          <w:rFonts w:hint="eastAsia" w:ascii="宋体" w:hAnsi="宋体"/>
          <w:color w:val="auto"/>
          <w:sz w:val="24"/>
          <w:highlight w:val="none"/>
          <w:u w:val="single"/>
        </w:rPr>
        <w:t xml:space="preserve">                          </w:t>
      </w:r>
      <w:r>
        <w:rPr>
          <w:rFonts w:hint="eastAsia" w:ascii="宋体" w:hAnsi="宋体"/>
          <w:color w:val="auto"/>
          <w:sz w:val="24"/>
          <w:highlight w:val="none"/>
        </w:rPr>
        <w:t>性      别：</w:t>
      </w:r>
      <w:r>
        <w:rPr>
          <w:rFonts w:hint="eastAsia" w:ascii="宋体" w:hAnsi="宋体"/>
          <w:color w:val="auto"/>
          <w:sz w:val="24"/>
          <w:highlight w:val="none"/>
          <w:u w:val="single"/>
        </w:rPr>
        <w:t xml:space="preserve">                </w:t>
      </w:r>
    </w:p>
    <w:p>
      <w:pPr>
        <w:spacing w:line="500" w:lineRule="exact"/>
        <w:ind w:left="540"/>
        <w:rPr>
          <w:rFonts w:hint="eastAsia" w:ascii="宋体" w:hAnsi="宋体"/>
          <w:color w:val="auto"/>
          <w:sz w:val="24"/>
          <w:highlight w:val="none"/>
          <w:u w:val="single"/>
        </w:rPr>
      </w:pPr>
      <w:r>
        <w:rPr>
          <w:rFonts w:hint="eastAsia" w:ascii="宋体" w:hAnsi="宋体"/>
          <w:color w:val="auto"/>
          <w:sz w:val="24"/>
          <w:highlight w:val="none"/>
        </w:rPr>
        <w:t>年    龄：</w:t>
      </w:r>
      <w:r>
        <w:rPr>
          <w:rFonts w:hint="eastAsia" w:ascii="宋体" w:hAnsi="宋体"/>
          <w:color w:val="auto"/>
          <w:sz w:val="24"/>
          <w:highlight w:val="none"/>
          <w:u w:val="single"/>
        </w:rPr>
        <w:t xml:space="preserve">                          </w:t>
      </w:r>
      <w:r>
        <w:rPr>
          <w:rFonts w:hint="eastAsia" w:ascii="宋体" w:hAnsi="宋体"/>
          <w:color w:val="auto"/>
          <w:sz w:val="24"/>
          <w:highlight w:val="none"/>
        </w:rPr>
        <w:t>职      务：</w:t>
      </w:r>
      <w:r>
        <w:rPr>
          <w:rFonts w:hint="eastAsia" w:ascii="宋体" w:hAnsi="宋体"/>
          <w:color w:val="auto"/>
          <w:sz w:val="24"/>
          <w:highlight w:val="none"/>
          <w:u w:val="single"/>
        </w:rPr>
        <w:t xml:space="preserve">                </w:t>
      </w:r>
    </w:p>
    <w:p>
      <w:pPr>
        <w:spacing w:line="500" w:lineRule="exact"/>
        <w:ind w:left="540"/>
        <w:rPr>
          <w:rFonts w:hint="eastAsia" w:ascii="宋体" w:hAnsi="宋体"/>
          <w:color w:val="auto"/>
          <w:sz w:val="24"/>
          <w:highlight w:val="none"/>
        </w:rPr>
      </w:pPr>
      <w:r>
        <w:rPr>
          <w:rFonts w:hint="eastAsia" w:ascii="宋体" w:hAnsi="宋体"/>
          <w:color w:val="auto"/>
          <w:sz w:val="24"/>
          <w:highlight w:val="none"/>
        </w:rPr>
        <w:t>身份证</w:t>
      </w:r>
      <w:r>
        <w:rPr>
          <w:rFonts w:hint="eastAsia"/>
          <w:color w:val="auto"/>
          <w:sz w:val="24"/>
          <w:highlight w:val="none"/>
        </w:rPr>
        <w:t>号码：</w:t>
      </w:r>
      <w:r>
        <w:rPr>
          <w:rFonts w:hint="eastAsia"/>
          <w:color w:val="auto"/>
          <w:sz w:val="24"/>
          <w:highlight w:val="none"/>
          <w:u w:val="single"/>
        </w:rPr>
        <w:t xml:space="preserve">                                 </w:t>
      </w:r>
    </w:p>
    <w:p>
      <w:pPr>
        <w:spacing w:line="500" w:lineRule="exact"/>
        <w:ind w:left="540"/>
        <w:rPr>
          <w:rFonts w:hint="eastAsia" w:ascii="宋体" w:hAnsi="宋体"/>
          <w:color w:val="auto"/>
          <w:sz w:val="24"/>
          <w:highlight w:val="none"/>
        </w:rPr>
      </w:pPr>
      <w:r>
        <w:rPr>
          <w:rFonts w:hint="eastAsia" w:ascii="宋体" w:hAnsi="宋体"/>
          <w:color w:val="auto"/>
          <w:sz w:val="24"/>
          <w:highlight w:val="none"/>
        </w:rPr>
        <w:t>系</w:t>
      </w:r>
      <w:r>
        <w:rPr>
          <w:rFonts w:hint="eastAsia" w:ascii="宋体" w:hAnsi="宋体"/>
          <w:color w:val="auto"/>
          <w:sz w:val="24"/>
          <w:highlight w:val="none"/>
          <w:u w:val="single"/>
        </w:rPr>
        <w:t xml:space="preserve">            （投标人名称）              </w:t>
      </w:r>
      <w:r>
        <w:rPr>
          <w:rFonts w:hint="eastAsia" w:ascii="宋体" w:hAnsi="宋体"/>
          <w:color w:val="auto"/>
          <w:sz w:val="24"/>
          <w:highlight w:val="none"/>
        </w:rPr>
        <w:t>的法定代表人。</w:t>
      </w:r>
    </w:p>
    <w:p>
      <w:pPr>
        <w:spacing w:line="500" w:lineRule="exact"/>
        <w:ind w:left="540"/>
        <w:rPr>
          <w:rFonts w:hint="eastAsia" w:ascii="宋体" w:hAnsi="宋体"/>
          <w:color w:val="auto"/>
          <w:sz w:val="24"/>
          <w:highlight w:val="none"/>
        </w:rPr>
      </w:pPr>
      <w:r>
        <w:rPr>
          <w:rFonts w:hint="eastAsia" w:ascii="宋体" w:hAnsi="宋体"/>
          <w:color w:val="auto"/>
          <w:sz w:val="24"/>
          <w:highlight w:val="none"/>
        </w:rPr>
        <w:t>特此证明。</w:t>
      </w:r>
    </w:p>
    <w:p>
      <w:pPr>
        <w:spacing w:line="500" w:lineRule="exact"/>
        <w:ind w:left="540"/>
        <w:rPr>
          <w:rFonts w:hint="eastAsia" w:ascii="宋体" w:hAnsi="宋体"/>
          <w:color w:val="auto"/>
          <w:sz w:val="24"/>
          <w:highlight w:val="none"/>
        </w:rPr>
      </w:pPr>
    </w:p>
    <w:p>
      <w:pPr>
        <w:spacing w:line="500" w:lineRule="exact"/>
        <w:ind w:left="540"/>
        <w:rPr>
          <w:rFonts w:hint="eastAsia" w:ascii="宋体" w:hAnsi="宋体"/>
          <w:color w:val="auto"/>
          <w:sz w:val="24"/>
          <w:highlight w:val="none"/>
        </w:rPr>
      </w:pPr>
    </w:p>
    <w:p>
      <w:pPr>
        <w:spacing w:line="500" w:lineRule="exact"/>
        <w:ind w:left="540"/>
        <w:rPr>
          <w:rFonts w:hint="eastAsia" w:ascii="宋体" w:hAnsi="宋体"/>
          <w:color w:val="auto"/>
          <w:sz w:val="24"/>
          <w:highlight w:val="none"/>
        </w:rPr>
      </w:pPr>
      <w:r>
        <w:rPr>
          <w:rFonts w:hint="eastAsia" w:ascii="宋体" w:hAnsi="宋体"/>
          <w:color w:val="auto"/>
          <w:sz w:val="24"/>
          <w:highlight w:val="none"/>
        </w:rPr>
        <w:t>附件：法定代表人有效身份证正反面复印件</w:t>
      </w:r>
    </w:p>
    <w:p>
      <w:pPr>
        <w:spacing w:line="500" w:lineRule="exact"/>
        <w:ind w:left="540"/>
        <w:rPr>
          <w:rFonts w:hint="eastAsia" w:ascii="宋体" w:hAnsi="宋体"/>
          <w:color w:val="auto"/>
          <w:sz w:val="24"/>
          <w:highlight w:val="none"/>
        </w:rPr>
      </w:pPr>
    </w:p>
    <w:p>
      <w:pPr>
        <w:spacing w:line="500" w:lineRule="exact"/>
        <w:ind w:left="540"/>
        <w:jc w:val="right"/>
        <w:rPr>
          <w:rFonts w:hint="eastAsia" w:ascii="宋体" w:hAnsi="宋体"/>
          <w:color w:val="auto"/>
          <w:sz w:val="24"/>
          <w:highlight w:val="none"/>
        </w:rPr>
      </w:pPr>
      <w:r>
        <w:rPr>
          <w:rFonts w:hint="eastAsia" w:ascii="宋体" w:hAnsi="宋体"/>
          <w:color w:val="auto"/>
          <w:sz w:val="24"/>
          <w:highlight w:val="none"/>
        </w:rPr>
        <w:t>投标人名称（</w:t>
      </w:r>
      <w:r>
        <w:rPr>
          <w:rFonts w:hint="eastAsia" w:ascii="宋体" w:hAnsi="宋体"/>
          <w:color w:val="auto"/>
          <w:sz w:val="24"/>
          <w:highlight w:val="none"/>
          <w:lang w:eastAsia="zh-CN"/>
        </w:rPr>
        <w:t>盖</w:t>
      </w:r>
      <w:r>
        <w:rPr>
          <w:rFonts w:hint="eastAsia" w:ascii="宋体" w:hAnsi="宋体"/>
          <w:color w:val="auto"/>
          <w:spacing w:val="20"/>
          <w:sz w:val="24"/>
          <w:highlight w:val="none"/>
          <w:lang w:eastAsia="zh-CN"/>
        </w:rPr>
        <w:t>电子</w:t>
      </w:r>
      <w:r>
        <w:rPr>
          <w:rFonts w:hint="eastAsia" w:ascii="宋体" w:hAnsi="宋体"/>
          <w:color w:val="auto"/>
          <w:sz w:val="24"/>
          <w:highlight w:val="none"/>
        </w:rPr>
        <w:t>公章）</w:t>
      </w:r>
    </w:p>
    <w:p>
      <w:pPr>
        <w:spacing w:line="500" w:lineRule="exact"/>
        <w:ind w:left="540"/>
        <w:jc w:val="right"/>
        <w:rPr>
          <w:rFonts w:hint="eastAsia" w:ascii="宋体" w:hAnsi="宋体"/>
          <w:color w:val="auto"/>
          <w:sz w:val="24"/>
          <w:highlight w:val="none"/>
        </w:rPr>
      </w:pPr>
    </w:p>
    <w:p>
      <w:pPr>
        <w:snapToGrid w:val="0"/>
        <w:spacing w:before="120" w:beforeLines="50" w:after="50"/>
        <w:ind w:left="540"/>
        <w:jc w:val="right"/>
        <w:rPr>
          <w:rFonts w:hint="eastAsia"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p>
    <w:p>
      <w:pPr>
        <w:snapToGrid w:val="0"/>
        <w:spacing w:before="120" w:beforeLines="50" w:after="50"/>
        <w:jc w:val="center"/>
        <w:rPr>
          <w:rFonts w:hint="eastAsia" w:ascii="宋体" w:hAnsi="宋体"/>
          <w:b/>
          <w:color w:val="auto"/>
          <w:sz w:val="24"/>
          <w:highlight w:val="none"/>
        </w:rPr>
      </w:pPr>
    </w:p>
    <w:p>
      <w:pPr>
        <w:snapToGrid w:val="0"/>
        <w:spacing w:before="120" w:beforeLines="50" w:after="50"/>
        <w:jc w:val="left"/>
        <w:rPr>
          <w:rFonts w:hint="eastAsia" w:ascii="宋体" w:hAnsi="宋体"/>
          <w:b/>
          <w:color w:val="auto"/>
          <w:sz w:val="24"/>
          <w:szCs w:val="20"/>
          <w:highlight w:val="none"/>
        </w:rPr>
      </w:pPr>
      <w:r>
        <w:rPr>
          <w:rFonts w:hint="eastAsia" w:ascii="宋体" w:hAnsi="宋体"/>
          <w:color w:val="auto"/>
          <w:sz w:val="24"/>
          <w:highlight w:val="none"/>
        </w:rPr>
        <w:t>注：自然人投标的无需提供</w:t>
      </w:r>
    </w:p>
    <w:p>
      <w:pPr>
        <w:snapToGrid w:val="0"/>
        <w:spacing w:before="120" w:beforeLines="50" w:after="50"/>
        <w:jc w:val="left"/>
        <w:rPr>
          <w:rFonts w:hint="eastAsia" w:ascii="宋体" w:hAnsi="宋体"/>
          <w:b/>
          <w:color w:val="auto"/>
          <w:sz w:val="24"/>
          <w:szCs w:val="20"/>
          <w:highlight w:val="none"/>
        </w:rPr>
      </w:pPr>
      <w:r>
        <w:rPr>
          <w:rFonts w:ascii="宋体" w:hAnsi="宋体"/>
          <w:b/>
          <w:color w:val="auto"/>
          <w:sz w:val="24"/>
          <w:highlight w:val="none"/>
        </w:rPr>
        <w:br w:type="page"/>
      </w:r>
      <w:r>
        <w:rPr>
          <w:rFonts w:hint="eastAsia" w:ascii="宋体" w:hAnsi="宋体"/>
          <w:b/>
          <w:color w:val="auto"/>
          <w:sz w:val="24"/>
          <w:highlight w:val="none"/>
        </w:rPr>
        <w:t>5.授权委托书格式</w:t>
      </w:r>
    </w:p>
    <w:p>
      <w:pPr>
        <w:snapToGrid w:val="0"/>
        <w:spacing w:before="120" w:beforeLines="50" w:after="50"/>
        <w:jc w:val="center"/>
        <w:rPr>
          <w:rFonts w:hint="eastAsia" w:ascii="宋体" w:hAnsi="宋体"/>
          <w:b/>
          <w:color w:val="auto"/>
          <w:sz w:val="44"/>
          <w:szCs w:val="44"/>
          <w:highlight w:val="none"/>
        </w:rPr>
      </w:pPr>
    </w:p>
    <w:p>
      <w:pPr>
        <w:spacing w:line="360" w:lineRule="auto"/>
        <w:contextualSpacing/>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授权委托书</w:t>
      </w:r>
    </w:p>
    <w:p>
      <w:pPr>
        <w:spacing w:line="360" w:lineRule="auto"/>
        <w:contextualSpacing/>
        <w:jc w:val="center"/>
        <w:rPr>
          <w:rFonts w:hint="eastAsia" w:ascii="方正小标宋简体" w:hAnsi="方正小标宋简体" w:eastAsia="方正小标宋简体" w:cs="方正小标宋简体"/>
          <w:bCs/>
          <w:color w:val="auto"/>
          <w:sz w:val="32"/>
          <w:szCs w:val="32"/>
          <w:highlight w:val="none"/>
        </w:rPr>
      </w:pPr>
      <w:r>
        <w:rPr>
          <w:rFonts w:hint="eastAsia" w:ascii="方正小标宋简体" w:hAnsi="方正小标宋简体" w:eastAsia="方正小标宋简体" w:cs="方正小标宋简体"/>
          <w:bCs/>
          <w:color w:val="auto"/>
          <w:sz w:val="32"/>
          <w:szCs w:val="32"/>
          <w:highlight w:val="none"/>
        </w:rPr>
        <w:t>（非联合体投标格式）</w:t>
      </w:r>
    </w:p>
    <w:p>
      <w:pPr>
        <w:spacing w:line="360" w:lineRule="auto"/>
        <w:contextualSpacing/>
        <w:jc w:val="center"/>
        <w:rPr>
          <w:rFonts w:hint="eastAsia" w:ascii="方正小标宋简体" w:hAnsi="方正小标宋简体" w:eastAsia="方正小标宋简体" w:cs="方正小标宋简体"/>
          <w:bCs/>
          <w:color w:val="auto"/>
          <w:sz w:val="24"/>
          <w:highlight w:val="none"/>
        </w:rPr>
      </w:pPr>
      <w:r>
        <w:rPr>
          <w:rFonts w:hint="eastAsia" w:ascii="方正小标宋简体" w:hAnsi="方正小标宋简体" w:eastAsia="方正小标宋简体" w:cs="方正小标宋简体"/>
          <w:bCs/>
          <w:color w:val="auto"/>
          <w:sz w:val="32"/>
          <w:szCs w:val="32"/>
          <w:highlight w:val="none"/>
        </w:rPr>
        <w:t>（如有委托时）</w:t>
      </w:r>
    </w:p>
    <w:p>
      <w:pPr>
        <w:spacing w:line="440" w:lineRule="exact"/>
        <w:contextualSpacing/>
        <w:jc w:val="center"/>
        <w:rPr>
          <w:rFonts w:hint="eastAsia" w:ascii="宋体" w:hAnsi="宋体"/>
          <w:b/>
          <w:color w:val="auto"/>
          <w:sz w:val="24"/>
          <w:highlight w:val="none"/>
        </w:rPr>
      </w:pPr>
    </w:p>
    <w:p>
      <w:pPr>
        <w:spacing w:line="440" w:lineRule="exact"/>
        <w:contextualSpacing/>
        <w:rPr>
          <w:rFonts w:hint="eastAsia" w:ascii="宋体" w:hAnsi="宋体"/>
          <w:b/>
          <w:bCs/>
          <w:color w:val="auto"/>
          <w:sz w:val="24"/>
          <w:highlight w:val="none"/>
        </w:rPr>
      </w:pPr>
      <w:r>
        <w:rPr>
          <w:rFonts w:hint="eastAsia" w:ascii="宋体" w:hAnsi="宋体"/>
          <w:bCs/>
          <w:color w:val="auto"/>
          <w:sz w:val="24"/>
          <w:highlight w:val="none"/>
        </w:rPr>
        <w:t>致：</w:t>
      </w:r>
      <w:r>
        <w:rPr>
          <w:rFonts w:hint="eastAsia" w:ascii="宋体" w:hAnsi="宋体"/>
          <w:color w:val="auto"/>
          <w:sz w:val="24"/>
          <w:highlight w:val="none"/>
          <w:u w:val="single"/>
        </w:rPr>
        <w:t>采购人名称</w:t>
      </w:r>
      <w:r>
        <w:rPr>
          <w:rFonts w:hint="eastAsia" w:ascii="宋体" w:hAnsi="宋体"/>
          <w:color w:val="auto"/>
          <w:sz w:val="24"/>
          <w:highlight w:val="none"/>
        </w:rPr>
        <w:t>：</w:t>
      </w:r>
    </w:p>
    <w:p>
      <w:pPr>
        <w:spacing w:line="440" w:lineRule="exact"/>
        <w:ind w:firstLine="566" w:firstLineChars="236"/>
        <w:contextualSpacing/>
        <w:rPr>
          <w:rFonts w:hint="eastAsia" w:ascii="宋体" w:hAnsi="宋体"/>
          <w:color w:val="auto"/>
          <w:sz w:val="24"/>
          <w:highlight w:val="none"/>
        </w:rPr>
      </w:pPr>
      <w:r>
        <w:rPr>
          <w:rFonts w:hint="eastAsia" w:ascii="宋体" w:hAnsi="宋体"/>
          <w:color w:val="auto"/>
          <w:sz w:val="24"/>
          <w:highlight w:val="none"/>
        </w:rPr>
        <w:t>我</w:t>
      </w:r>
      <w:r>
        <w:rPr>
          <w:rFonts w:hint="eastAsia" w:ascii="宋体" w:hAnsi="宋体"/>
          <w:color w:val="auto"/>
          <w:sz w:val="24"/>
          <w:highlight w:val="none"/>
          <w:u w:val="single"/>
        </w:rPr>
        <w:t xml:space="preserve">       </w:t>
      </w:r>
      <w:r>
        <w:rPr>
          <w:rFonts w:hint="eastAsia" w:ascii="宋体" w:hAnsi="宋体"/>
          <w:color w:val="auto"/>
          <w:sz w:val="24"/>
          <w:highlight w:val="none"/>
        </w:rPr>
        <w:t>（姓名）系</w:t>
      </w:r>
      <w:r>
        <w:rPr>
          <w:rFonts w:hint="eastAsia" w:ascii="宋体" w:hAnsi="宋体"/>
          <w:color w:val="auto"/>
          <w:sz w:val="24"/>
          <w:highlight w:val="none"/>
          <w:u w:val="single"/>
        </w:rPr>
        <w:t xml:space="preserve">      </w:t>
      </w:r>
      <w:r>
        <w:rPr>
          <w:rFonts w:hint="eastAsia" w:ascii="宋体" w:hAnsi="宋体"/>
          <w:color w:val="auto"/>
          <w:sz w:val="24"/>
          <w:highlight w:val="none"/>
        </w:rPr>
        <w:t>（投标人名称）的法定代表人，现授权委托</w:t>
      </w:r>
      <w:r>
        <w:rPr>
          <w:rFonts w:hint="eastAsia" w:ascii="宋体" w:hAnsi="宋体"/>
          <w:color w:val="auto"/>
          <w:sz w:val="24"/>
          <w:highlight w:val="none"/>
          <w:u w:val="single"/>
        </w:rPr>
        <w:t xml:space="preserve">              （姓名）</w:t>
      </w:r>
      <w:r>
        <w:rPr>
          <w:rFonts w:hint="eastAsia" w:ascii="宋体" w:hAnsi="宋体"/>
          <w:color w:val="auto"/>
          <w:sz w:val="24"/>
          <w:highlight w:val="none"/>
        </w:rPr>
        <w:t>以我方的名义参加</w:t>
      </w:r>
      <w:r>
        <w:rPr>
          <w:rFonts w:hint="eastAsia" w:ascii="宋体" w:hAnsi="宋体"/>
          <w:color w:val="auto"/>
          <w:sz w:val="24"/>
          <w:highlight w:val="none"/>
          <w:u w:val="single"/>
        </w:rPr>
        <w:t xml:space="preserve">              </w:t>
      </w:r>
      <w:r>
        <w:rPr>
          <w:rFonts w:hint="eastAsia" w:ascii="宋体" w:hAnsi="宋体"/>
          <w:color w:val="auto"/>
          <w:sz w:val="24"/>
          <w:highlight w:val="none"/>
        </w:rPr>
        <w:t>项目的投标活动，并代表我方全权办理针对上述项目的所有采购程序和环节的具体事务和签署相关文件。</w:t>
      </w:r>
    </w:p>
    <w:p>
      <w:pPr>
        <w:spacing w:line="440" w:lineRule="exact"/>
        <w:contextualSpacing/>
        <w:rPr>
          <w:rFonts w:hint="eastAsia" w:ascii="宋体" w:hAnsi="宋体"/>
          <w:color w:val="auto"/>
          <w:sz w:val="24"/>
          <w:highlight w:val="none"/>
        </w:rPr>
      </w:pPr>
      <w:r>
        <w:rPr>
          <w:rFonts w:hint="eastAsia" w:ascii="宋体" w:hAnsi="宋体"/>
          <w:color w:val="auto"/>
          <w:sz w:val="24"/>
          <w:highlight w:val="none"/>
        </w:rPr>
        <w:t xml:space="preserve">    我方对委托代理人的签字事项负全部责任。</w:t>
      </w:r>
    </w:p>
    <w:p>
      <w:pPr>
        <w:spacing w:line="440" w:lineRule="exact"/>
        <w:ind w:firstLine="480"/>
        <w:contextualSpacing/>
        <w:rPr>
          <w:rFonts w:hint="eastAsia" w:ascii="宋体" w:hAnsi="宋体"/>
          <w:color w:val="auto"/>
          <w:sz w:val="24"/>
          <w:highlight w:val="none"/>
        </w:rPr>
      </w:pPr>
      <w:r>
        <w:rPr>
          <w:rFonts w:hint="eastAsia" w:ascii="宋体" w:hAnsi="宋体"/>
          <w:color w:val="auto"/>
          <w:sz w:val="24"/>
          <w:highlight w:val="none"/>
          <w:u w:val="single"/>
        </w:rPr>
        <w:t>本授权书自签署之日起生效，在撤销授权的书面通知以前，本授权书一直有效。委托代理人在授权书有效期内签署的所有文件不因授权的撤销而失效。</w:t>
      </w:r>
    </w:p>
    <w:p>
      <w:pPr>
        <w:spacing w:line="440" w:lineRule="exact"/>
        <w:ind w:firstLine="480"/>
        <w:contextualSpacing/>
        <w:rPr>
          <w:rFonts w:hint="eastAsia" w:ascii="宋体" w:hAnsi="宋体"/>
          <w:color w:val="auto"/>
          <w:sz w:val="24"/>
          <w:highlight w:val="none"/>
        </w:rPr>
      </w:pPr>
      <w:r>
        <w:rPr>
          <w:rFonts w:hint="eastAsia" w:ascii="宋体" w:hAnsi="宋体"/>
          <w:color w:val="auto"/>
          <w:sz w:val="24"/>
          <w:highlight w:val="none"/>
        </w:rPr>
        <w:t>委托代理人无转委托权，特此委托。</w:t>
      </w:r>
    </w:p>
    <w:p>
      <w:pPr>
        <w:spacing w:line="440" w:lineRule="exact"/>
        <w:ind w:firstLine="480"/>
        <w:contextualSpacing/>
        <w:rPr>
          <w:rFonts w:hint="eastAsia" w:ascii="宋体" w:hAnsi="宋体"/>
          <w:color w:val="auto"/>
          <w:sz w:val="24"/>
          <w:highlight w:val="none"/>
        </w:rPr>
      </w:pPr>
      <w:r>
        <w:rPr>
          <w:rFonts w:hint="eastAsia" w:ascii="宋体" w:hAnsi="宋体"/>
          <w:color w:val="auto"/>
          <w:sz w:val="24"/>
          <w:highlight w:val="none"/>
        </w:rPr>
        <w:t>附：法定代表人身份证明及委托代理人有效身份证正反面复印件</w:t>
      </w:r>
    </w:p>
    <w:p>
      <w:pPr>
        <w:spacing w:line="440" w:lineRule="exact"/>
        <w:contextualSpacing/>
        <w:rPr>
          <w:rFonts w:hint="eastAsia" w:ascii="宋体" w:hAnsi="宋体"/>
          <w:color w:val="auto"/>
          <w:sz w:val="24"/>
          <w:highlight w:val="none"/>
        </w:rPr>
      </w:pPr>
    </w:p>
    <w:p>
      <w:pPr>
        <w:spacing w:line="440" w:lineRule="exact"/>
        <w:contextualSpacing/>
        <w:rPr>
          <w:rFonts w:hint="eastAsia" w:ascii="宋体" w:hAnsi="宋体"/>
          <w:color w:val="auto"/>
          <w:sz w:val="24"/>
          <w:highlight w:val="none"/>
          <w:u w:val="single"/>
        </w:rPr>
      </w:pPr>
      <w:r>
        <w:rPr>
          <w:rFonts w:hint="eastAsia" w:ascii="宋体" w:hAnsi="宋体"/>
          <w:color w:val="auto"/>
          <w:sz w:val="24"/>
          <w:highlight w:val="none"/>
        </w:rPr>
        <w:t>委托代理人（签字）：</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法定代表人（签字</w:t>
      </w:r>
      <w:r>
        <w:rPr>
          <w:rFonts w:hint="eastAsia" w:ascii="宋体" w:hAnsi="宋体"/>
          <w:color w:val="auto"/>
          <w:spacing w:val="20"/>
          <w:sz w:val="24"/>
          <w:highlight w:val="none"/>
          <w:lang w:val="en-US" w:eastAsia="zh-CN"/>
        </w:rPr>
        <w:t>/</w:t>
      </w:r>
      <w:r>
        <w:rPr>
          <w:rFonts w:hint="eastAsia" w:hAnsi="宋体"/>
          <w:color w:val="auto"/>
          <w:sz w:val="24"/>
          <w:szCs w:val="24"/>
          <w:highlight w:val="none"/>
        </w:rPr>
        <w:t>签章</w:t>
      </w:r>
      <w:r>
        <w:rPr>
          <w:rFonts w:hint="eastAsia" w:ascii="宋体" w:hAnsi="宋体"/>
          <w:color w:val="auto"/>
          <w:sz w:val="24"/>
          <w:highlight w:val="none"/>
        </w:rPr>
        <w:t>）：</w:t>
      </w:r>
      <w:r>
        <w:rPr>
          <w:rFonts w:hint="eastAsia" w:ascii="宋体" w:hAnsi="宋体"/>
          <w:color w:val="auto"/>
          <w:sz w:val="24"/>
          <w:highlight w:val="none"/>
          <w:u w:val="single"/>
        </w:rPr>
        <w:t xml:space="preserve">              </w:t>
      </w:r>
    </w:p>
    <w:p>
      <w:pPr>
        <w:spacing w:line="440" w:lineRule="exact"/>
        <w:contextualSpacing/>
        <w:rPr>
          <w:rFonts w:hint="eastAsia" w:ascii="宋体" w:hAnsi="宋体"/>
          <w:color w:val="auto"/>
          <w:sz w:val="24"/>
          <w:highlight w:val="none"/>
        </w:rPr>
      </w:pPr>
      <w:r>
        <w:rPr>
          <w:rFonts w:hint="eastAsia" w:ascii="宋体" w:hAnsi="宋体"/>
          <w:color w:val="auto"/>
          <w:sz w:val="24"/>
          <w:highlight w:val="none"/>
        </w:rPr>
        <w:t>委托代理人身份证号码：</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pPr>
        <w:spacing w:line="440" w:lineRule="exact"/>
        <w:contextualSpacing/>
        <w:jc w:val="center"/>
        <w:rPr>
          <w:rFonts w:hint="eastAsia" w:ascii="宋体" w:hAnsi="宋体"/>
          <w:color w:val="auto"/>
          <w:sz w:val="24"/>
          <w:highlight w:val="none"/>
        </w:rPr>
      </w:pPr>
      <w:r>
        <w:rPr>
          <w:rFonts w:hint="eastAsia" w:ascii="宋体" w:hAnsi="宋体"/>
          <w:color w:val="auto"/>
          <w:sz w:val="24"/>
          <w:highlight w:val="none"/>
        </w:rPr>
        <w:t xml:space="preserve">                                                投标人（盖</w:t>
      </w:r>
      <w:r>
        <w:rPr>
          <w:rFonts w:hint="eastAsia" w:ascii="宋体" w:hAnsi="宋体"/>
          <w:color w:val="auto"/>
          <w:spacing w:val="20"/>
          <w:sz w:val="24"/>
          <w:highlight w:val="none"/>
          <w:lang w:eastAsia="zh-CN"/>
        </w:rPr>
        <w:t>电子</w:t>
      </w:r>
      <w:r>
        <w:rPr>
          <w:rFonts w:hint="eastAsia" w:ascii="宋体" w:hAnsi="宋体"/>
          <w:color w:val="auto"/>
          <w:sz w:val="24"/>
          <w:highlight w:val="none"/>
        </w:rPr>
        <w:t>公章）：</w:t>
      </w:r>
    </w:p>
    <w:p>
      <w:pPr>
        <w:spacing w:line="440" w:lineRule="exact"/>
        <w:contextualSpacing/>
        <w:jc w:val="center"/>
        <w:rPr>
          <w:rFonts w:hint="eastAsia" w:ascii="宋体" w:hAnsi="宋体"/>
          <w:color w:val="auto"/>
          <w:sz w:val="24"/>
          <w:highlight w:val="none"/>
        </w:rPr>
      </w:pPr>
      <w:r>
        <w:rPr>
          <w:rFonts w:hint="eastAsia" w:ascii="宋体" w:hAnsi="宋体"/>
          <w:color w:val="auto"/>
          <w:sz w:val="24"/>
          <w:highlight w:val="none"/>
        </w:rPr>
        <w:t xml:space="preserve">                                              年    月    日</w:t>
      </w:r>
    </w:p>
    <w:p>
      <w:pPr>
        <w:spacing w:line="440" w:lineRule="exact"/>
        <w:contextualSpacing/>
        <w:rPr>
          <w:rFonts w:hint="eastAsia" w:ascii="宋体" w:hAnsi="宋体" w:cs="仿宋_GB2312"/>
          <w:color w:val="auto"/>
          <w:sz w:val="24"/>
          <w:highlight w:val="none"/>
        </w:rPr>
      </w:pPr>
      <w:r>
        <w:rPr>
          <w:rFonts w:hint="eastAsia" w:ascii="宋体" w:hAnsi="宋体" w:cs="仿宋_GB2312"/>
          <w:color w:val="auto"/>
          <w:sz w:val="24"/>
          <w:highlight w:val="none"/>
        </w:rPr>
        <w:t>注：1.</w:t>
      </w:r>
      <w:bookmarkStart w:id="166" w:name="_Hlk65851555"/>
      <w:bookmarkStart w:id="167" w:name="_Hlk65851620"/>
      <w:r>
        <w:rPr>
          <w:rFonts w:hint="eastAsia" w:ascii="宋体" w:hAnsi="宋体" w:cs="仿宋_GB2312"/>
          <w:color w:val="auto"/>
          <w:sz w:val="24"/>
          <w:highlight w:val="none"/>
        </w:rPr>
        <w:t>法定代表人必须在授权委托书上亲笔签字或者盖章，</w:t>
      </w:r>
      <w:bookmarkEnd w:id="166"/>
      <w:r>
        <w:rPr>
          <w:rFonts w:hint="eastAsia" w:ascii="宋体" w:hAnsi="宋体" w:cs="仿宋_GB2312"/>
          <w:color w:val="auto"/>
          <w:sz w:val="24"/>
          <w:highlight w:val="none"/>
        </w:rPr>
        <w:t>委托代理人必须在授权委托书上亲笔签字，</w:t>
      </w:r>
      <w:r>
        <w:rPr>
          <w:rFonts w:hint="eastAsia" w:ascii="宋体" w:hAnsi="宋体" w:cs="仿宋_GB2312"/>
          <w:b/>
          <w:bCs/>
          <w:color w:val="auto"/>
          <w:sz w:val="24"/>
          <w:highlight w:val="none"/>
        </w:rPr>
        <w:t>否则按无效投标处理</w:t>
      </w:r>
      <w:r>
        <w:rPr>
          <w:rFonts w:hint="eastAsia" w:ascii="宋体" w:hAnsi="宋体" w:cs="仿宋_GB2312"/>
          <w:color w:val="auto"/>
          <w:sz w:val="24"/>
          <w:highlight w:val="none"/>
        </w:rPr>
        <w:t>；</w:t>
      </w:r>
      <w:bookmarkEnd w:id="167"/>
    </w:p>
    <w:p>
      <w:pPr>
        <w:spacing w:line="440" w:lineRule="exact"/>
        <w:ind w:firstLine="480" w:firstLineChars="200"/>
        <w:contextualSpacing/>
        <w:jc w:val="left"/>
        <w:rPr>
          <w:rFonts w:hint="eastAsia" w:ascii="宋体" w:hAnsi="宋体"/>
          <w:color w:val="auto"/>
          <w:sz w:val="24"/>
          <w:highlight w:val="none"/>
        </w:rPr>
      </w:pPr>
      <w:r>
        <w:rPr>
          <w:rFonts w:hint="eastAsia" w:ascii="宋体" w:hAnsi="宋体" w:cs="仿宋_GB2312"/>
          <w:color w:val="auto"/>
          <w:sz w:val="24"/>
          <w:highlight w:val="none"/>
        </w:rPr>
        <w:t>2.法人、其他组织投标时“我方”是指“我单位”，自然人投标时“我方”是指“本人”。</w:t>
      </w:r>
    </w:p>
    <w:p>
      <w:pPr>
        <w:rPr>
          <w:rFonts w:hint="eastAsia" w:ascii="宋体" w:hAnsi="宋体"/>
          <w:color w:val="auto"/>
          <w:sz w:val="24"/>
          <w:highlight w:val="none"/>
        </w:rPr>
      </w:pPr>
      <w:r>
        <w:rPr>
          <w:rFonts w:ascii="宋体" w:hAnsi="宋体"/>
          <w:color w:val="auto"/>
          <w:sz w:val="24"/>
          <w:highlight w:val="none"/>
        </w:rPr>
        <w:br w:type="page"/>
      </w:r>
    </w:p>
    <w:p>
      <w:pPr>
        <w:rPr>
          <w:rFonts w:hint="eastAsia" w:ascii="宋体" w:hAnsi="宋体"/>
          <w:b/>
          <w:color w:val="auto"/>
          <w:sz w:val="24"/>
          <w:szCs w:val="20"/>
          <w:highlight w:val="none"/>
        </w:rPr>
      </w:pPr>
      <w:r>
        <w:rPr>
          <w:rFonts w:hint="eastAsia" w:ascii="宋体" w:hAnsi="宋体"/>
          <w:b/>
          <w:color w:val="auto"/>
          <w:sz w:val="24"/>
          <w:highlight w:val="none"/>
        </w:rPr>
        <w:t>6.商务要求偏离表格式（注：按项目需求表具体项目修改）</w:t>
      </w:r>
    </w:p>
    <w:p>
      <w:pPr>
        <w:snapToGrid w:val="0"/>
        <w:spacing w:before="50"/>
        <w:jc w:val="left"/>
        <w:rPr>
          <w:rFonts w:hint="eastAsia" w:ascii="宋体" w:hAnsi="宋体"/>
          <w:color w:val="auto"/>
          <w:sz w:val="24"/>
          <w:highlight w:val="none"/>
        </w:rPr>
      </w:pPr>
    </w:p>
    <w:p>
      <w:pPr>
        <w:snapToGrid w:val="0"/>
        <w:spacing w:before="50"/>
        <w:jc w:val="left"/>
        <w:rPr>
          <w:rFonts w:hint="eastAsia" w:ascii="宋体" w:hAnsi="宋体"/>
          <w:color w:val="auto"/>
          <w:sz w:val="24"/>
          <w:highlight w:val="none"/>
          <w:u w:val="single"/>
        </w:rPr>
      </w:pPr>
    </w:p>
    <w:tbl>
      <w:tblPr>
        <w:tblStyle w:val="17"/>
        <w:tblW w:w="0" w:type="auto"/>
        <w:tblInd w:w="-11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10"/>
        <w:gridCol w:w="3336"/>
        <w:gridCol w:w="1760"/>
        <w:gridCol w:w="20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51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项目</w:t>
            </w:r>
          </w:p>
        </w:tc>
        <w:tc>
          <w:tcPr>
            <w:tcW w:w="333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招标文件商务要求</w:t>
            </w:r>
          </w:p>
        </w:tc>
        <w:tc>
          <w:tcPr>
            <w:tcW w:w="176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投标人的承诺</w:t>
            </w:r>
          </w:p>
        </w:tc>
        <w:tc>
          <w:tcPr>
            <w:tcW w:w="2035"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151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highlight w:val="none"/>
              </w:rPr>
            </w:pPr>
          </w:p>
        </w:tc>
        <w:tc>
          <w:tcPr>
            <w:tcW w:w="333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auto"/>
                <w:sz w:val="24"/>
                <w:highlight w:val="none"/>
              </w:rPr>
            </w:pPr>
          </w:p>
        </w:tc>
        <w:tc>
          <w:tcPr>
            <w:tcW w:w="176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auto"/>
                <w:sz w:val="24"/>
                <w:highlight w:val="none"/>
              </w:rPr>
            </w:pPr>
          </w:p>
        </w:tc>
        <w:tc>
          <w:tcPr>
            <w:tcW w:w="2035"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151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highlight w:val="none"/>
              </w:rPr>
            </w:pPr>
          </w:p>
        </w:tc>
        <w:tc>
          <w:tcPr>
            <w:tcW w:w="333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rPr>
                <w:rFonts w:hint="eastAsia" w:ascii="宋体" w:hAnsi="宋体"/>
                <w:color w:val="auto"/>
                <w:sz w:val="24"/>
                <w:highlight w:val="none"/>
                <w:u w:val="single"/>
              </w:rPr>
            </w:pPr>
          </w:p>
        </w:tc>
        <w:tc>
          <w:tcPr>
            <w:tcW w:w="176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ind w:left="43"/>
              <w:jc w:val="center"/>
              <w:rPr>
                <w:rFonts w:hint="eastAsia" w:ascii="宋体" w:hAnsi="宋体"/>
                <w:color w:val="auto"/>
                <w:sz w:val="24"/>
                <w:highlight w:val="none"/>
              </w:rPr>
            </w:pPr>
          </w:p>
        </w:tc>
        <w:tc>
          <w:tcPr>
            <w:tcW w:w="2035"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ind w:left="43"/>
              <w:jc w:val="center"/>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51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w:t>
            </w:r>
          </w:p>
        </w:tc>
        <w:tc>
          <w:tcPr>
            <w:tcW w:w="333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auto"/>
                <w:sz w:val="24"/>
                <w:highlight w:val="none"/>
              </w:rPr>
            </w:pPr>
          </w:p>
        </w:tc>
        <w:tc>
          <w:tcPr>
            <w:tcW w:w="176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auto"/>
                <w:sz w:val="24"/>
                <w:highlight w:val="none"/>
              </w:rPr>
            </w:pPr>
          </w:p>
        </w:tc>
        <w:tc>
          <w:tcPr>
            <w:tcW w:w="2035"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auto"/>
                <w:sz w:val="24"/>
                <w:highlight w:val="none"/>
              </w:rPr>
            </w:pPr>
          </w:p>
        </w:tc>
      </w:tr>
    </w:tbl>
    <w:p>
      <w:pPr>
        <w:pStyle w:val="9"/>
        <w:rPr>
          <w:rFonts w:hint="eastAsia" w:ascii="宋体" w:hAnsi="宋体"/>
          <w:color w:val="auto"/>
          <w:highlight w:val="none"/>
        </w:rPr>
      </w:pPr>
      <w:r>
        <w:rPr>
          <w:rFonts w:hint="eastAsia" w:ascii="宋体" w:hAnsi="宋体"/>
          <w:color w:val="auto"/>
          <w:highlight w:val="none"/>
        </w:rPr>
        <w:t>注：</w:t>
      </w:r>
    </w:p>
    <w:p>
      <w:pPr>
        <w:pStyle w:val="11"/>
        <w:spacing w:line="520" w:lineRule="exact"/>
        <w:ind w:firstLine="0" w:firstLineChars="0"/>
        <w:rPr>
          <w:rFonts w:hint="eastAsia" w:hAnsi="仿宋_GB2312" w:cs="仿宋_GB2312"/>
          <w:color w:val="auto"/>
          <w:szCs w:val="32"/>
          <w:highlight w:val="none"/>
        </w:rPr>
      </w:pPr>
      <w:r>
        <w:rPr>
          <w:rFonts w:hint="eastAsia" w:ascii="宋体" w:hAnsi="宋体" w:eastAsia="宋体"/>
          <w:color w:val="auto"/>
          <w:sz w:val="24"/>
          <w:szCs w:val="24"/>
          <w:highlight w:val="none"/>
        </w:rPr>
        <w:t>1.</w:t>
      </w:r>
      <w:r>
        <w:rPr>
          <w:rFonts w:hint="eastAsia"/>
          <w:color w:val="auto"/>
          <w:highlight w:val="none"/>
        </w:rPr>
        <w:t xml:space="preserve"> </w:t>
      </w:r>
      <w:r>
        <w:rPr>
          <w:rFonts w:hint="eastAsia" w:ascii="宋体" w:hAnsi="宋体" w:eastAsia="宋体"/>
          <w:color w:val="auto"/>
          <w:sz w:val="24"/>
          <w:szCs w:val="24"/>
          <w:highlight w:val="none"/>
        </w:rPr>
        <w:t>说明：应对照招标文件“第二章 采购需求”中的商务要求逐条作明确的投标响应，并作出偏离说明。</w:t>
      </w:r>
    </w:p>
    <w:p>
      <w:pPr>
        <w:pStyle w:val="9"/>
        <w:rPr>
          <w:rFonts w:ascii="宋体" w:hAnsi="宋体"/>
          <w:b w:val="0"/>
          <w:bCs w:val="0"/>
          <w:color w:val="auto"/>
          <w:highlight w:val="none"/>
        </w:rPr>
      </w:pPr>
      <w:r>
        <w:rPr>
          <w:rFonts w:ascii="宋体" w:hAnsi="宋体"/>
          <w:b w:val="0"/>
          <w:bCs w:val="0"/>
          <w:color w:val="auto"/>
          <w:highlight w:val="none"/>
        </w:rPr>
        <w:t>2.</w:t>
      </w:r>
      <w:r>
        <w:rPr>
          <w:rFonts w:hint="eastAsia" w:ascii="宋体" w:hAnsi="宋体"/>
          <w:b w:val="0"/>
          <w:bCs w:val="0"/>
          <w:color w:val="auto"/>
          <w:highlight w:val="none"/>
        </w:rPr>
        <w:t>投标人应根据自身的承诺，对照招标文件要求在“偏离说明”中注明“</w:t>
      </w:r>
      <w:r>
        <w:rPr>
          <w:rFonts w:hint="eastAsia" w:ascii="宋体" w:hAnsi="宋体"/>
          <w:color w:val="auto"/>
          <w:highlight w:val="none"/>
        </w:rPr>
        <w:t>正偏离</w:t>
      </w:r>
      <w:r>
        <w:rPr>
          <w:rFonts w:hint="eastAsia" w:ascii="宋体" w:hAnsi="宋体"/>
          <w:b w:val="0"/>
          <w:bCs w:val="0"/>
          <w:color w:val="auto"/>
          <w:highlight w:val="none"/>
        </w:rPr>
        <w:t>”、“</w:t>
      </w:r>
      <w:r>
        <w:rPr>
          <w:rFonts w:hint="eastAsia" w:ascii="宋体" w:hAnsi="宋体"/>
          <w:color w:val="auto"/>
          <w:highlight w:val="none"/>
        </w:rPr>
        <w:t>负偏离</w:t>
      </w:r>
      <w:r>
        <w:rPr>
          <w:rFonts w:hint="eastAsia" w:ascii="宋体" w:hAnsi="宋体"/>
          <w:b w:val="0"/>
          <w:bCs w:val="0"/>
          <w:color w:val="auto"/>
          <w:highlight w:val="none"/>
        </w:rPr>
        <w:t>”或者“</w:t>
      </w:r>
      <w:r>
        <w:rPr>
          <w:rFonts w:hint="eastAsia" w:ascii="宋体" w:hAnsi="宋体"/>
          <w:color w:val="auto"/>
          <w:highlight w:val="none"/>
        </w:rPr>
        <w:t>无偏离</w:t>
      </w:r>
      <w:r>
        <w:rPr>
          <w:rFonts w:hint="eastAsia" w:ascii="宋体" w:hAnsi="宋体"/>
          <w:b w:val="0"/>
          <w:bCs w:val="0"/>
          <w:color w:val="auto"/>
          <w:highlight w:val="none"/>
        </w:rPr>
        <w:t>”。既不属于“</w:t>
      </w:r>
      <w:r>
        <w:rPr>
          <w:rFonts w:hint="eastAsia" w:ascii="宋体" w:hAnsi="宋体"/>
          <w:color w:val="auto"/>
          <w:highlight w:val="none"/>
        </w:rPr>
        <w:t>正偏离</w:t>
      </w:r>
      <w:r>
        <w:rPr>
          <w:rFonts w:hint="eastAsia" w:ascii="宋体" w:hAnsi="宋体"/>
          <w:b w:val="0"/>
          <w:bCs w:val="0"/>
          <w:color w:val="auto"/>
          <w:highlight w:val="none"/>
        </w:rPr>
        <w:t>”也不属于“</w:t>
      </w:r>
      <w:r>
        <w:rPr>
          <w:rFonts w:hint="eastAsia" w:ascii="宋体" w:hAnsi="宋体"/>
          <w:color w:val="auto"/>
          <w:highlight w:val="none"/>
        </w:rPr>
        <w:t>负偏离</w:t>
      </w:r>
      <w:r>
        <w:rPr>
          <w:rFonts w:hint="eastAsia" w:ascii="宋体" w:hAnsi="宋体"/>
          <w:b w:val="0"/>
          <w:bCs w:val="0"/>
          <w:color w:val="auto"/>
          <w:highlight w:val="none"/>
        </w:rPr>
        <w:t>”即为“</w:t>
      </w:r>
      <w:r>
        <w:rPr>
          <w:rFonts w:hint="eastAsia" w:ascii="宋体" w:hAnsi="宋体"/>
          <w:color w:val="auto"/>
          <w:highlight w:val="none"/>
        </w:rPr>
        <w:t>无偏离</w:t>
      </w:r>
      <w:r>
        <w:rPr>
          <w:rFonts w:hint="eastAsia" w:ascii="宋体" w:hAnsi="宋体"/>
          <w:b w:val="0"/>
          <w:bCs w:val="0"/>
          <w:color w:val="auto"/>
          <w:highlight w:val="none"/>
        </w:rPr>
        <w:t>”。</w:t>
      </w:r>
    </w:p>
    <w:p>
      <w:pPr>
        <w:snapToGrid w:val="0"/>
        <w:spacing w:before="50" w:after="50"/>
        <w:rPr>
          <w:rFonts w:ascii="宋体" w:hAnsi="宋体"/>
          <w:color w:val="auto"/>
          <w:sz w:val="24"/>
          <w:highlight w:val="none"/>
        </w:rPr>
      </w:pPr>
    </w:p>
    <w:p>
      <w:pPr>
        <w:snapToGrid w:val="0"/>
        <w:spacing w:before="50" w:after="50"/>
        <w:rPr>
          <w:rFonts w:hint="eastAsia" w:ascii="宋体" w:hAnsi="宋体"/>
          <w:color w:val="auto"/>
          <w:spacing w:val="20"/>
          <w:sz w:val="24"/>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w:t>
      </w:r>
      <w:r>
        <w:rPr>
          <w:rFonts w:hint="eastAsia" w:ascii="宋体" w:hAnsi="宋体"/>
          <w:color w:val="auto"/>
          <w:spacing w:val="20"/>
          <w:sz w:val="24"/>
          <w:highlight w:val="none"/>
          <w:lang w:val="en-US" w:eastAsia="zh-CN"/>
        </w:rPr>
        <w:t>/</w:t>
      </w:r>
      <w:r>
        <w:rPr>
          <w:rFonts w:hint="eastAsia" w:hAnsi="宋体"/>
          <w:color w:val="auto"/>
          <w:sz w:val="24"/>
          <w:szCs w:val="24"/>
          <w:highlight w:val="none"/>
        </w:rPr>
        <w:t>签章</w:t>
      </w:r>
      <w:r>
        <w:rPr>
          <w:rFonts w:hint="eastAsia" w:ascii="宋体" w:hAnsi="宋体"/>
          <w:color w:val="auto"/>
          <w:spacing w:val="20"/>
          <w:sz w:val="24"/>
          <w:highlight w:val="none"/>
        </w:rPr>
        <w:t>）：</w:t>
      </w:r>
      <w:r>
        <w:rPr>
          <w:rFonts w:hint="eastAsia" w:ascii="宋体" w:hAnsi="宋体"/>
          <w:color w:val="auto"/>
          <w:spacing w:val="20"/>
          <w:sz w:val="24"/>
          <w:highlight w:val="none"/>
          <w:u w:val="single"/>
        </w:rPr>
        <w:t xml:space="preserve">        </w:t>
      </w:r>
    </w:p>
    <w:p>
      <w:pPr>
        <w:snapToGrid w:val="0"/>
        <w:spacing w:before="120" w:beforeLines="50"/>
        <w:rPr>
          <w:rFonts w:hint="eastAsia" w:ascii="宋体" w:hAnsi="宋体"/>
          <w:color w:val="auto"/>
          <w:spacing w:val="20"/>
          <w:sz w:val="24"/>
          <w:highlight w:val="none"/>
        </w:rPr>
      </w:pPr>
      <w:r>
        <w:rPr>
          <w:rFonts w:hint="eastAsia" w:ascii="宋体" w:hAnsi="宋体"/>
          <w:color w:val="auto"/>
          <w:spacing w:val="20"/>
          <w:sz w:val="24"/>
          <w:highlight w:val="none"/>
        </w:rPr>
        <w:t>投标人盖</w:t>
      </w:r>
      <w:r>
        <w:rPr>
          <w:rFonts w:hint="eastAsia" w:ascii="宋体" w:hAnsi="宋体"/>
          <w:color w:val="auto"/>
          <w:spacing w:val="20"/>
          <w:sz w:val="24"/>
          <w:highlight w:val="none"/>
          <w:lang w:eastAsia="zh-CN"/>
        </w:rPr>
        <w:t>电子</w:t>
      </w:r>
      <w:r>
        <w:rPr>
          <w:rFonts w:hint="eastAsia" w:ascii="宋体" w:hAnsi="宋体"/>
          <w:color w:val="auto"/>
          <w:spacing w:val="20"/>
          <w:sz w:val="24"/>
          <w:highlight w:val="none"/>
        </w:rPr>
        <w:t>公章：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w:t>
      </w:r>
    </w:p>
    <w:p>
      <w:pPr>
        <w:snapToGrid w:val="0"/>
        <w:spacing w:before="120" w:beforeLines="50"/>
        <w:rPr>
          <w:rFonts w:hint="eastAsia" w:ascii="宋体" w:hAnsi="宋体"/>
          <w:color w:val="auto"/>
          <w:sz w:val="24"/>
          <w:szCs w:val="20"/>
          <w:highlight w:val="none"/>
        </w:rPr>
      </w:pPr>
      <w:r>
        <w:rPr>
          <w:rFonts w:hint="eastAsia" w:ascii="宋体" w:hAnsi="宋体"/>
          <w:color w:val="auto"/>
          <w:spacing w:val="20"/>
          <w:sz w:val="24"/>
          <w:highlight w:val="none"/>
        </w:rPr>
        <w:t>日  期：</w:t>
      </w:r>
      <w:r>
        <w:rPr>
          <w:rFonts w:hint="eastAsia" w:ascii="宋体" w:hAnsi="宋体"/>
          <w:color w:val="auto"/>
          <w:spacing w:val="20"/>
          <w:sz w:val="24"/>
          <w:highlight w:val="none"/>
          <w:u w:val="single"/>
        </w:rPr>
        <w:t xml:space="preserve">         </w:t>
      </w:r>
    </w:p>
    <w:p>
      <w:pPr>
        <w:snapToGrid w:val="0"/>
        <w:spacing w:before="120" w:beforeLines="50"/>
        <w:rPr>
          <w:rFonts w:hint="eastAsia" w:ascii="宋体" w:hAnsi="宋体"/>
          <w:color w:val="auto"/>
          <w:sz w:val="24"/>
          <w:szCs w:val="20"/>
          <w:highlight w:val="none"/>
        </w:rPr>
      </w:pPr>
    </w:p>
    <w:p>
      <w:pPr>
        <w:snapToGrid w:val="0"/>
        <w:spacing w:before="120" w:beforeLines="50" w:after="50"/>
        <w:jc w:val="left"/>
        <w:rPr>
          <w:rFonts w:ascii="宋体" w:hAnsi="宋体"/>
          <w:color w:val="auto"/>
          <w:sz w:val="24"/>
          <w:szCs w:val="20"/>
          <w:highlight w:val="none"/>
        </w:rPr>
      </w:pPr>
    </w:p>
    <w:p>
      <w:pPr>
        <w:snapToGrid w:val="0"/>
        <w:spacing w:before="120" w:beforeLines="50" w:after="50"/>
        <w:jc w:val="left"/>
        <w:rPr>
          <w:rFonts w:hint="eastAsia" w:ascii="宋体" w:hAnsi="宋体"/>
          <w:b/>
          <w:color w:val="auto"/>
          <w:sz w:val="24"/>
          <w:highlight w:val="none"/>
        </w:rPr>
      </w:pPr>
      <w:r>
        <w:rPr>
          <w:rFonts w:ascii="宋体" w:hAnsi="宋体"/>
          <w:color w:val="auto"/>
          <w:sz w:val="24"/>
          <w:szCs w:val="20"/>
          <w:highlight w:val="none"/>
        </w:rPr>
        <w:br w:type="page"/>
      </w:r>
      <w:r>
        <w:rPr>
          <w:rFonts w:hint="eastAsia" w:ascii="宋体" w:hAnsi="宋体"/>
          <w:b/>
          <w:color w:val="auto"/>
          <w:sz w:val="24"/>
          <w:highlight w:val="none"/>
        </w:rPr>
        <w:t>7.投标人业绩证明材料</w:t>
      </w:r>
    </w:p>
    <w:p>
      <w:pPr>
        <w:pStyle w:val="16"/>
        <w:snapToGrid w:val="0"/>
        <w:ind w:left="480" w:hanging="480"/>
        <w:rPr>
          <w:rFonts w:hint="eastAsia" w:ascii="宋体" w:hAnsi="宋体"/>
          <w:color w:val="auto"/>
          <w:sz w:val="24"/>
          <w:highlight w:val="none"/>
        </w:rPr>
      </w:pPr>
    </w:p>
    <w:p>
      <w:pPr>
        <w:pStyle w:val="16"/>
        <w:snapToGrid w:val="0"/>
        <w:ind w:left="480" w:hanging="480"/>
        <w:rPr>
          <w:rFonts w:hint="eastAsia" w:ascii="宋体" w:hAnsi="宋体"/>
          <w:color w:val="auto"/>
          <w:sz w:val="24"/>
          <w:highlight w:val="none"/>
        </w:rPr>
      </w:pPr>
      <w:r>
        <w:rPr>
          <w:rFonts w:hint="eastAsia" w:ascii="宋体" w:hAnsi="宋体"/>
          <w:color w:val="auto"/>
          <w:sz w:val="24"/>
          <w:highlight w:val="none"/>
        </w:rPr>
        <w:t xml:space="preserve">投标人业绩情况一览表格式： </w:t>
      </w:r>
    </w:p>
    <w:tbl>
      <w:tblPr>
        <w:tblStyle w:val="1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132"/>
        <w:gridCol w:w="1770"/>
        <w:gridCol w:w="1770"/>
        <w:gridCol w:w="285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87" w:hRule="atLeast"/>
        </w:trPr>
        <w:tc>
          <w:tcPr>
            <w:tcW w:w="1250" w:type="pct"/>
            <w:vMerge w:val="restart"/>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采购人名称</w:t>
            </w:r>
          </w:p>
        </w:tc>
        <w:tc>
          <w:tcPr>
            <w:tcW w:w="1038" w:type="pct"/>
            <w:vMerge w:val="restart"/>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项目名称</w:t>
            </w:r>
          </w:p>
        </w:tc>
        <w:tc>
          <w:tcPr>
            <w:tcW w:w="1038" w:type="pct"/>
            <w:vMerge w:val="restart"/>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合同金额</w:t>
            </w:r>
          </w:p>
          <w:p>
            <w:pP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（万元）</w:t>
            </w:r>
          </w:p>
        </w:tc>
        <w:tc>
          <w:tcPr>
            <w:tcW w:w="1674" w:type="pct"/>
            <w:vMerge w:val="restart"/>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采购人联系人及</w:t>
            </w:r>
          </w:p>
          <w:p>
            <w:pP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1250" w:type="pct"/>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color w:val="auto"/>
                <w:sz w:val="24"/>
                <w:highlight w:val="none"/>
              </w:rPr>
            </w:pPr>
          </w:p>
        </w:tc>
        <w:tc>
          <w:tcPr>
            <w:tcW w:w="1038" w:type="pct"/>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color w:val="auto"/>
                <w:sz w:val="24"/>
                <w:highlight w:val="none"/>
              </w:rPr>
            </w:pPr>
          </w:p>
        </w:tc>
        <w:tc>
          <w:tcPr>
            <w:tcW w:w="1038" w:type="pct"/>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color w:val="auto"/>
                <w:sz w:val="24"/>
                <w:highlight w:val="none"/>
              </w:rPr>
            </w:pPr>
          </w:p>
        </w:tc>
        <w:tc>
          <w:tcPr>
            <w:tcW w:w="1674" w:type="pct"/>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1250" w:type="pct"/>
            <w:tcBorders>
              <w:top w:val="single" w:color="auto" w:sz="4" w:space="0"/>
              <w:left w:val="single" w:color="auto" w:sz="4" w:space="0"/>
              <w:bottom w:val="single" w:color="auto" w:sz="4" w:space="0"/>
              <w:right w:val="single" w:color="auto" w:sz="4" w:space="0"/>
            </w:tcBorders>
            <w:noWrap w:val="0"/>
            <w:vAlign w:val="top"/>
          </w:tcPr>
          <w:p>
            <w:pPr>
              <w:snapToGrid w:val="0"/>
              <w:spacing w:line="24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pPr>
              <w:snapToGrid w:val="0"/>
              <w:spacing w:line="24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pPr>
              <w:snapToGrid w:val="0"/>
              <w:spacing w:line="240" w:lineRule="exact"/>
              <w:jc w:val="left"/>
              <w:rPr>
                <w:rFonts w:hint="eastAsia"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pPr>
              <w:snapToGrid w:val="0"/>
              <w:spacing w:line="240" w:lineRule="exact"/>
              <w:jc w:val="left"/>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250" w:type="pct"/>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r>
    </w:tbl>
    <w:p>
      <w:pPr>
        <w:pStyle w:val="7"/>
        <w:spacing w:before="0" w:after="0" w:line="360" w:lineRule="auto"/>
        <w:contextualSpacing/>
        <w:rPr>
          <w:rFonts w:hint="eastAsia" w:ascii="宋体" w:hAnsi="宋体" w:eastAsia="宋体"/>
          <w:color w:val="auto"/>
          <w:sz w:val="24"/>
          <w:szCs w:val="24"/>
          <w:highlight w:val="none"/>
        </w:rPr>
      </w:pPr>
    </w:p>
    <w:p>
      <w:pPr>
        <w:pStyle w:val="7"/>
        <w:spacing w:before="0" w:after="0" w:line="360" w:lineRule="auto"/>
        <w:contextualSpacing/>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注：</w:t>
      </w:r>
      <w:r>
        <w:rPr>
          <w:rFonts w:hint="eastAsia" w:ascii="宋体" w:hAnsi="宋体"/>
          <w:color w:val="auto"/>
          <w:sz w:val="24"/>
          <w:highlight w:val="none"/>
        </w:rPr>
        <w:t>投标人根据评标标准具体要求附业绩证明材料。</w:t>
      </w:r>
    </w:p>
    <w:p>
      <w:pPr>
        <w:pStyle w:val="7"/>
        <w:spacing w:before="0" w:after="0" w:line="360" w:lineRule="auto"/>
        <w:contextualSpacing/>
        <w:jc w:val="left"/>
        <w:rPr>
          <w:rFonts w:hint="eastAsia" w:ascii="宋体" w:hAnsi="宋体" w:eastAsia="宋体"/>
          <w:color w:val="auto"/>
          <w:sz w:val="24"/>
          <w:szCs w:val="24"/>
          <w:highlight w:val="none"/>
          <w:u w:val="single"/>
        </w:rPr>
      </w:pPr>
      <w:r>
        <w:rPr>
          <w:rFonts w:hint="eastAsia" w:ascii="宋体" w:hAnsi="宋体" w:eastAsia="宋体"/>
          <w:color w:val="auto"/>
          <w:sz w:val="24"/>
          <w:szCs w:val="24"/>
          <w:highlight w:val="none"/>
        </w:rPr>
        <w:t>法定代表人或者委托代理人（签字/签章）：</w:t>
      </w:r>
      <w:r>
        <w:rPr>
          <w:rFonts w:hint="eastAsia" w:ascii="宋体" w:hAnsi="宋体" w:eastAsia="宋体"/>
          <w:color w:val="auto"/>
          <w:sz w:val="24"/>
          <w:szCs w:val="24"/>
          <w:highlight w:val="none"/>
          <w:u w:val="single"/>
        </w:rPr>
        <w:t>　　　　　</w:t>
      </w:r>
    </w:p>
    <w:p>
      <w:pPr>
        <w:spacing w:line="360" w:lineRule="auto"/>
        <w:ind w:right="480"/>
        <w:contextualSpacing/>
        <w:jc w:val="left"/>
        <w:rPr>
          <w:rFonts w:hint="eastAsia" w:ascii="宋体" w:hAnsi="宋体"/>
          <w:color w:val="auto"/>
          <w:sz w:val="24"/>
          <w:szCs w:val="20"/>
          <w:highlight w:val="none"/>
        </w:rPr>
      </w:pPr>
      <w:r>
        <w:rPr>
          <w:rFonts w:hint="eastAsia" w:ascii="宋体" w:hAnsi="宋体" w:cs="Arial"/>
          <w:color w:val="auto"/>
          <w:sz w:val="24"/>
          <w:highlight w:val="none"/>
        </w:rPr>
        <w:t>投标人（盖</w:t>
      </w:r>
      <w:r>
        <w:rPr>
          <w:rFonts w:hint="eastAsia" w:ascii="宋体" w:hAnsi="宋体"/>
          <w:color w:val="auto"/>
          <w:spacing w:val="20"/>
          <w:sz w:val="24"/>
          <w:highlight w:val="none"/>
          <w:lang w:eastAsia="zh-CN"/>
        </w:rPr>
        <w:t>电子</w:t>
      </w:r>
      <w:r>
        <w:rPr>
          <w:rFonts w:hint="eastAsia" w:ascii="宋体" w:hAnsi="宋体" w:cs="Arial"/>
          <w:color w:val="auto"/>
          <w:sz w:val="24"/>
          <w:highlight w:val="none"/>
        </w:rPr>
        <w:t xml:space="preserve">公章）：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年    月    日</w:t>
      </w:r>
    </w:p>
    <w:p>
      <w:pPr>
        <w:snapToGrid w:val="0"/>
        <w:spacing w:before="50"/>
        <w:ind w:firstLine="480" w:firstLineChars="200"/>
        <w:jc w:val="left"/>
        <w:rPr>
          <w:rFonts w:hint="eastAsia" w:ascii="宋体" w:hAnsi="宋体"/>
          <w:color w:val="auto"/>
          <w:sz w:val="24"/>
          <w:szCs w:val="20"/>
          <w:highlight w:val="none"/>
        </w:rPr>
      </w:pPr>
    </w:p>
    <w:p>
      <w:pPr>
        <w:snapToGrid w:val="0"/>
        <w:spacing w:before="50"/>
        <w:jc w:val="left"/>
        <w:rPr>
          <w:rFonts w:hint="eastAsia" w:ascii="宋体" w:hAnsi="宋体"/>
          <w:color w:val="auto"/>
          <w:sz w:val="24"/>
          <w:highlight w:val="none"/>
        </w:rPr>
      </w:pPr>
    </w:p>
    <w:p>
      <w:pPr>
        <w:snapToGrid w:val="0"/>
        <w:spacing w:before="120" w:beforeLines="50"/>
        <w:rPr>
          <w:rFonts w:ascii="宋体" w:hAnsi="宋体"/>
          <w:color w:val="auto"/>
          <w:sz w:val="24"/>
          <w:szCs w:val="20"/>
          <w:highlight w:val="none"/>
        </w:rPr>
        <w:sectPr>
          <w:footerReference r:id="rId5" w:type="default"/>
          <w:pgSz w:w="11906" w:h="16838"/>
          <w:pgMar w:top="1440" w:right="1797" w:bottom="1440" w:left="1797" w:header="851" w:footer="992" w:gutter="0"/>
          <w:pgNumType w:fmt="decimal"/>
          <w:cols w:space="720" w:num="1"/>
          <w:docGrid w:linePitch="312" w:charSpace="0"/>
        </w:sectPr>
      </w:pPr>
    </w:p>
    <w:p>
      <w:pPr>
        <w:rPr>
          <w:rFonts w:hint="eastAsia"/>
          <w:b/>
          <w:color w:val="auto"/>
          <w:sz w:val="28"/>
          <w:szCs w:val="28"/>
          <w:highlight w:val="none"/>
        </w:rPr>
      </w:pPr>
      <w:r>
        <w:rPr>
          <w:rFonts w:hint="eastAsia"/>
          <w:b/>
          <w:color w:val="auto"/>
          <w:sz w:val="28"/>
          <w:szCs w:val="28"/>
          <w:highlight w:val="none"/>
        </w:rPr>
        <w:t>五、技术文件格式</w:t>
      </w:r>
    </w:p>
    <w:p>
      <w:pPr>
        <w:snapToGrid w:val="0"/>
        <w:spacing w:before="120" w:beforeLines="50" w:after="50"/>
        <w:ind w:left="142"/>
        <w:jc w:val="left"/>
        <w:rPr>
          <w:rFonts w:hint="eastAsia" w:ascii="宋体" w:hAnsi="宋体"/>
          <w:b/>
          <w:color w:val="auto"/>
          <w:sz w:val="24"/>
          <w:highlight w:val="none"/>
        </w:rPr>
      </w:pPr>
      <w:r>
        <w:rPr>
          <w:rFonts w:hint="eastAsia" w:ascii="宋体" w:hAnsi="宋体"/>
          <w:b/>
          <w:color w:val="auto"/>
          <w:sz w:val="24"/>
          <w:highlight w:val="none"/>
        </w:rPr>
        <w:t xml:space="preserve">1. 技术文件封面格式： </w:t>
      </w:r>
    </w:p>
    <w:p>
      <w:pPr>
        <w:snapToGrid w:val="0"/>
        <w:spacing w:before="120" w:beforeLines="50" w:after="50"/>
        <w:rPr>
          <w:rFonts w:hint="eastAsia" w:ascii="宋体" w:hAnsi="宋体"/>
          <w:b/>
          <w:bCs/>
          <w:color w:val="auto"/>
          <w:sz w:val="32"/>
          <w:szCs w:val="20"/>
          <w:highlight w:val="none"/>
        </w:rPr>
      </w:pPr>
      <w:r>
        <w:rPr>
          <w:rFonts w:hint="eastAsia" w:ascii="宋体" w:hAnsi="宋体"/>
          <w:color w:val="auto"/>
          <w:sz w:val="24"/>
          <w:highlight w:val="none"/>
        </w:rPr>
        <w:t xml:space="preserve">                                                    </w:t>
      </w:r>
    </w:p>
    <w:p>
      <w:pPr>
        <w:snapToGrid w:val="0"/>
        <w:spacing w:before="120" w:beforeLines="50" w:after="50"/>
        <w:rPr>
          <w:rFonts w:hint="eastAsia" w:ascii="宋体" w:hAnsi="宋体"/>
          <w:color w:val="auto"/>
          <w:sz w:val="24"/>
          <w:szCs w:val="20"/>
          <w:highlight w:val="none"/>
        </w:rPr>
      </w:pPr>
    </w:p>
    <w:p>
      <w:pPr>
        <w:snapToGrid w:val="0"/>
        <w:spacing w:before="120" w:beforeLines="50" w:after="50" w:line="400" w:lineRule="exact"/>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投  标  文  件</w:t>
      </w:r>
    </w:p>
    <w:p>
      <w:pPr>
        <w:snapToGrid w:val="0"/>
        <w:spacing w:before="120" w:beforeLines="50" w:after="50"/>
        <w:rPr>
          <w:rFonts w:hint="eastAsia" w:ascii="宋体" w:hAnsi="宋体"/>
          <w:color w:val="auto"/>
          <w:sz w:val="24"/>
          <w:szCs w:val="20"/>
          <w:highlight w:val="none"/>
        </w:rPr>
      </w:pPr>
    </w:p>
    <w:p>
      <w:pPr>
        <w:snapToGrid w:val="0"/>
        <w:spacing w:before="120" w:beforeLines="50" w:after="50"/>
        <w:rPr>
          <w:rFonts w:hint="eastAsia" w:ascii="宋体" w:hAnsi="宋体"/>
          <w:color w:val="auto"/>
          <w:sz w:val="24"/>
          <w:szCs w:val="20"/>
          <w:highlight w:val="none"/>
        </w:rPr>
      </w:pPr>
    </w:p>
    <w:p>
      <w:pPr>
        <w:snapToGrid w:val="0"/>
        <w:spacing w:before="120" w:beforeLines="50" w:after="50"/>
        <w:jc w:val="center"/>
        <w:rPr>
          <w:rFonts w:hint="eastAsia" w:ascii="宋体" w:hAnsi="宋体"/>
          <w:b/>
          <w:bCs/>
          <w:color w:val="auto"/>
          <w:sz w:val="32"/>
          <w:szCs w:val="32"/>
          <w:highlight w:val="none"/>
        </w:rPr>
      </w:pPr>
      <w:r>
        <w:rPr>
          <w:rFonts w:hint="eastAsia" w:ascii="宋体" w:hAnsi="宋体"/>
          <w:b/>
          <w:bCs/>
          <w:color w:val="auto"/>
          <w:sz w:val="32"/>
          <w:szCs w:val="32"/>
          <w:highlight w:val="none"/>
        </w:rPr>
        <w:t>技  术  文  件</w:t>
      </w:r>
    </w:p>
    <w:p>
      <w:pPr>
        <w:snapToGrid w:val="0"/>
        <w:spacing w:before="120" w:beforeLines="50" w:after="50"/>
        <w:rPr>
          <w:rFonts w:hint="eastAsia" w:ascii="宋体" w:hAnsi="宋体"/>
          <w:bCs/>
          <w:color w:val="auto"/>
          <w:sz w:val="24"/>
          <w:szCs w:val="20"/>
          <w:highlight w:val="none"/>
        </w:rPr>
      </w:pPr>
    </w:p>
    <w:p>
      <w:pPr>
        <w:snapToGrid w:val="0"/>
        <w:spacing w:before="120" w:beforeLines="50" w:after="50"/>
        <w:rPr>
          <w:rFonts w:hint="eastAsia" w:ascii="宋体" w:hAnsi="宋体"/>
          <w:bCs/>
          <w:color w:val="auto"/>
          <w:sz w:val="24"/>
          <w:szCs w:val="20"/>
          <w:highlight w:val="none"/>
        </w:rPr>
      </w:pPr>
    </w:p>
    <w:p>
      <w:pPr>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 xml:space="preserve">项目名称： </w:t>
      </w:r>
    </w:p>
    <w:p>
      <w:pPr>
        <w:snapToGrid w:val="0"/>
        <w:spacing w:before="120" w:beforeLines="50" w:after="50" w:line="400" w:lineRule="exact"/>
        <w:ind w:firstLine="360" w:firstLineChars="150"/>
        <w:rPr>
          <w:rFonts w:hint="eastAsia" w:ascii="宋体" w:hAnsi="宋体"/>
          <w:bCs/>
          <w:color w:val="auto"/>
          <w:sz w:val="24"/>
          <w:szCs w:val="20"/>
          <w:highlight w:val="none"/>
        </w:rPr>
      </w:pPr>
    </w:p>
    <w:p>
      <w:pPr>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 xml:space="preserve">项目编号： </w:t>
      </w:r>
    </w:p>
    <w:p>
      <w:pPr>
        <w:snapToGrid w:val="0"/>
        <w:spacing w:before="120" w:beforeLines="50" w:after="50" w:line="400" w:lineRule="exact"/>
        <w:ind w:firstLine="360" w:firstLineChars="150"/>
        <w:rPr>
          <w:rFonts w:hint="eastAsia" w:ascii="宋体" w:hAnsi="宋体"/>
          <w:bCs/>
          <w:color w:val="auto"/>
          <w:sz w:val="24"/>
          <w:highlight w:val="none"/>
        </w:rPr>
      </w:pPr>
    </w:p>
    <w:p>
      <w:pPr>
        <w:snapToGrid w:val="0"/>
        <w:spacing w:before="120" w:beforeLines="50" w:after="50" w:line="400" w:lineRule="exact"/>
        <w:ind w:firstLine="360" w:firstLineChars="150"/>
        <w:rPr>
          <w:rFonts w:hint="default" w:ascii="宋体" w:hAnsi="宋体" w:eastAsia="宋体"/>
          <w:bCs/>
          <w:color w:val="auto"/>
          <w:sz w:val="24"/>
          <w:highlight w:val="none"/>
          <w:lang w:val="en-US" w:eastAsia="zh-CN"/>
        </w:rPr>
      </w:pPr>
      <w:r>
        <w:rPr>
          <w:rFonts w:hint="eastAsia" w:ascii="宋体" w:hAnsi="宋体"/>
          <w:bCs/>
          <w:color w:val="auto"/>
          <w:sz w:val="24"/>
          <w:highlight w:val="none"/>
          <w:lang w:val="en-US" w:eastAsia="zh-CN"/>
        </w:rPr>
        <w:t>标   项：</w:t>
      </w:r>
    </w:p>
    <w:p>
      <w:pPr>
        <w:snapToGrid w:val="0"/>
        <w:spacing w:before="120" w:beforeLines="50" w:after="50" w:line="400" w:lineRule="exact"/>
        <w:ind w:firstLine="360" w:firstLineChars="150"/>
        <w:rPr>
          <w:rFonts w:hint="eastAsia" w:ascii="宋体" w:hAnsi="宋体"/>
          <w:bCs/>
          <w:color w:val="auto"/>
          <w:sz w:val="24"/>
          <w:highlight w:val="none"/>
        </w:rPr>
      </w:pPr>
    </w:p>
    <w:p>
      <w:pPr>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投标人名称：</w:t>
      </w:r>
    </w:p>
    <w:p>
      <w:pPr>
        <w:snapToGrid w:val="0"/>
        <w:spacing w:before="120" w:beforeLines="50" w:after="50" w:line="400" w:lineRule="exact"/>
        <w:ind w:firstLine="360" w:firstLineChars="150"/>
        <w:rPr>
          <w:rFonts w:hint="eastAsia" w:ascii="宋体" w:hAnsi="宋体"/>
          <w:bCs/>
          <w:color w:val="auto"/>
          <w:sz w:val="24"/>
          <w:highlight w:val="none"/>
        </w:rPr>
      </w:pPr>
    </w:p>
    <w:p>
      <w:pPr>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投标人地址：</w:t>
      </w:r>
    </w:p>
    <w:p>
      <w:pPr>
        <w:snapToGrid w:val="0"/>
        <w:spacing w:before="120" w:beforeLines="50" w:after="50" w:line="400" w:lineRule="exact"/>
        <w:ind w:firstLine="360" w:firstLineChars="150"/>
        <w:rPr>
          <w:rFonts w:hint="eastAsia" w:ascii="宋体" w:hAnsi="宋体"/>
          <w:bCs/>
          <w:color w:val="auto"/>
          <w:sz w:val="24"/>
          <w:highlight w:val="none"/>
        </w:rPr>
      </w:pPr>
    </w:p>
    <w:p>
      <w:pPr>
        <w:snapToGrid w:val="0"/>
        <w:spacing w:before="120" w:beforeLines="50" w:after="50"/>
        <w:ind w:firstLine="645"/>
        <w:jc w:val="center"/>
        <w:rPr>
          <w:rFonts w:hint="eastAsia" w:ascii="宋体" w:hAnsi="宋体"/>
          <w:color w:val="auto"/>
          <w:sz w:val="24"/>
          <w:highlight w:val="none"/>
        </w:rPr>
      </w:pPr>
      <w:r>
        <w:rPr>
          <w:rFonts w:hint="eastAsia" w:ascii="宋体" w:hAnsi="宋体"/>
          <w:color w:val="auto"/>
          <w:sz w:val="24"/>
          <w:highlight w:val="none"/>
        </w:rPr>
        <w:t xml:space="preserve">               </w:t>
      </w:r>
    </w:p>
    <w:p>
      <w:pPr>
        <w:snapToGrid w:val="0"/>
        <w:spacing w:before="120" w:beforeLines="50" w:after="50"/>
        <w:ind w:firstLine="645"/>
        <w:jc w:val="center"/>
        <w:rPr>
          <w:rFonts w:hint="eastAsia" w:ascii="宋体" w:hAnsi="宋体"/>
          <w:color w:val="auto"/>
          <w:sz w:val="24"/>
          <w:highlight w:val="none"/>
        </w:rPr>
      </w:pPr>
    </w:p>
    <w:p>
      <w:pPr>
        <w:snapToGrid w:val="0"/>
        <w:spacing w:before="120" w:beforeLines="50" w:after="50"/>
        <w:ind w:firstLine="645"/>
        <w:jc w:val="center"/>
        <w:rPr>
          <w:rFonts w:hint="eastAsia" w:ascii="宋体" w:hAnsi="宋体"/>
          <w:color w:val="auto"/>
          <w:sz w:val="24"/>
          <w:highlight w:val="none"/>
        </w:rPr>
      </w:pPr>
      <w:r>
        <w:rPr>
          <w:rFonts w:hint="eastAsia" w:ascii="宋体" w:hAnsi="宋体"/>
          <w:color w:val="auto"/>
          <w:sz w:val="24"/>
          <w:highlight w:val="none"/>
        </w:rPr>
        <w:t>年    月    日</w:t>
      </w:r>
    </w:p>
    <w:p>
      <w:pPr>
        <w:snapToGrid w:val="0"/>
        <w:spacing w:before="120" w:beforeLines="50" w:after="50"/>
        <w:ind w:firstLine="645"/>
        <w:jc w:val="center"/>
        <w:rPr>
          <w:rFonts w:hint="eastAsia" w:ascii="宋体" w:hAnsi="宋体"/>
          <w:color w:val="auto"/>
          <w:sz w:val="24"/>
          <w:szCs w:val="20"/>
          <w:highlight w:val="none"/>
        </w:rPr>
      </w:pPr>
    </w:p>
    <w:p>
      <w:pPr>
        <w:snapToGrid w:val="0"/>
        <w:spacing w:before="50" w:after="120" w:afterLines="50" w:line="360" w:lineRule="auto"/>
        <w:ind w:firstLine="482" w:firstLineChars="200"/>
        <w:jc w:val="left"/>
        <w:rPr>
          <w:rFonts w:hint="eastAsia" w:ascii="宋体" w:hAnsi="宋体" w:eastAsia="宋体" w:cs="Times New Roman"/>
          <w:color w:val="auto"/>
          <w:sz w:val="24"/>
          <w:highlight w:val="none"/>
        </w:rPr>
      </w:pPr>
      <w:r>
        <w:rPr>
          <w:rFonts w:ascii="宋体" w:hAnsi="宋体"/>
          <w:b/>
          <w:bCs/>
          <w:color w:val="auto"/>
          <w:sz w:val="24"/>
          <w:highlight w:val="none"/>
        </w:rPr>
        <w:br w:type="page"/>
      </w:r>
      <w:r>
        <w:rPr>
          <w:rFonts w:hint="eastAsia" w:ascii="宋体" w:hAnsi="宋体"/>
          <w:b/>
          <w:bCs/>
          <w:color w:val="auto"/>
          <w:sz w:val="24"/>
          <w:highlight w:val="none"/>
        </w:rPr>
        <w:t>2.技术文件目录</w:t>
      </w:r>
    </w:p>
    <w:p>
      <w:pPr>
        <w:snapToGrid w:val="0"/>
        <w:spacing w:before="50" w:after="120" w:afterLines="50" w:line="360" w:lineRule="auto"/>
        <w:ind w:firstLine="420" w:firstLineChars="200"/>
        <w:jc w:val="left"/>
        <w:rPr>
          <w:rFonts w:hint="eastAsia" w:ascii="宋体" w:hAnsi="宋体"/>
          <w:color w:val="auto"/>
          <w:sz w:val="21"/>
          <w:szCs w:val="21"/>
          <w:highlight w:val="none"/>
        </w:rPr>
      </w:pPr>
      <w:r>
        <w:rPr>
          <w:rFonts w:hint="eastAsia" w:ascii="宋体" w:hAnsi="宋体" w:eastAsia="宋体" w:cs="Times New Roman"/>
          <w:color w:val="auto"/>
          <w:sz w:val="21"/>
          <w:szCs w:val="21"/>
          <w:highlight w:val="none"/>
        </w:rPr>
        <w:t>根据招标文件</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rPr>
        <w:t>投标人须知前附表</w:t>
      </w:r>
      <w:r>
        <w:rPr>
          <w:rFonts w:hint="eastAsia" w:ascii="宋体" w:hAnsi="宋体" w:eastAsia="宋体" w:cs="Times New Roman"/>
          <w:color w:val="auto"/>
          <w:sz w:val="21"/>
          <w:szCs w:val="21"/>
          <w:highlight w:val="none"/>
          <w:lang w:val="en-US" w:eastAsia="zh-CN"/>
        </w:rPr>
        <w:t>13.1</w:t>
      </w:r>
      <w:r>
        <w:rPr>
          <w:rFonts w:hint="eastAsia" w:ascii="宋体" w:hAnsi="宋体" w:eastAsia="宋体" w:cs="Times New Roman"/>
          <w:color w:val="auto"/>
          <w:sz w:val="21"/>
          <w:szCs w:val="21"/>
          <w:highlight w:val="none"/>
          <w:lang w:eastAsia="zh-CN"/>
        </w:rPr>
        <w:t>”</w:t>
      </w:r>
      <w:r>
        <w:rPr>
          <w:rFonts w:hint="eastAsia" w:ascii="宋体" w:hAnsi="宋体"/>
          <w:color w:val="auto"/>
          <w:sz w:val="21"/>
          <w:szCs w:val="21"/>
          <w:highlight w:val="none"/>
        </w:rPr>
        <w:t>规定及投标人提供的材料自行编写目录。</w:t>
      </w:r>
    </w:p>
    <w:p>
      <w:pPr>
        <w:snapToGrid w:val="0"/>
        <w:spacing w:before="120" w:beforeLines="50" w:after="50"/>
        <w:ind w:left="142"/>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3. 设备性能配置清单格式</w:t>
      </w:r>
    </w:p>
    <w:p>
      <w:pPr>
        <w:snapToGrid w:val="0"/>
        <w:spacing w:before="120" w:beforeLines="50" w:after="50"/>
        <w:ind w:left="142"/>
        <w:jc w:val="left"/>
        <w:rPr>
          <w:rFonts w:hint="eastAsia" w:ascii="宋体" w:hAnsi="宋体"/>
          <w:b/>
          <w:color w:val="auto"/>
          <w:sz w:val="24"/>
          <w:highlight w:val="none"/>
        </w:rPr>
      </w:pPr>
    </w:p>
    <w:p>
      <w:pPr>
        <w:snapToGrid w:val="0"/>
        <w:spacing w:before="120" w:beforeLines="50" w:after="50"/>
        <w:ind w:left="142"/>
        <w:jc w:val="center"/>
        <w:rPr>
          <w:rFonts w:hint="eastAsia" w:ascii="宋体" w:hAnsi="宋体"/>
          <w:b/>
          <w:color w:val="auto"/>
          <w:sz w:val="32"/>
          <w:szCs w:val="32"/>
          <w:highlight w:val="none"/>
        </w:rPr>
      </w:pPr>
      <w:r>
        <w:rPr>
          <w:rFonts w:hint="eastAsia" w:ascii="宋体" w:hAnsi="宋体"/>
          <w:b/>
          <w:color w:val="auto"/>
          <w:sz w:val="32"/>
          <w:szCs w:val="32"/>
          <w:highlight w:val="none"/>
        </w:rPr>
        <w:t>设备性能配置清单</w:t>
      </w:r>
    </w:p>
    <w:tbl>
      <w:tblPr>
        <w:tblStyle w:val="17"/>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04"/>
        <w:gridCol w:w="1187"/>
        <w:gridCol w:w="766"/>
        <w:gridCol w:w="853"/>
        <w:gridCol w:w="1702"/>
        <w:gridCol w:w="1187"/>
        <w:gridCol w:w="703"/>
        <w:gridCol w:w="142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序号</w:t>
            </w:r>
          </w:p>
        </w:tc>
        <w:tc>
          <w:tcPr>
            <w:tcW w:w="696"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货物名称</w:t>
            </w:r>
          </w:p>
        </w:tc>
        <w:tc>
          <w:tcPr>
            <w:tcW w:w="449"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数量及单位</w:t>
            </w:r>
          </w:p>
        </w:tc>
        <w:tc>
          <w:tcPr>
            <w:tcW w:w="500"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品牌</w:t>
            </w:r>
          </w:p>
        </w:tc>
        <w:tc>
          <w:tcPr>
            <w:tcW w:w="998" w:type="pct"/>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jc w:val="center"/>
              <w:rPr>
                <w:rFonts w:ascii="宋体" w:hAnsi="宋体"/>
                <w:color w:val="auto"/>
                <w:sz w:val="24"/>
                <w:highlight w:val="none"/>
              </w:rPr>
            </w:pPr>
          </w:p>
          <w:p>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规格型号</w:t>
            </w:r>
          </w:p>
        </w:tc>
        <w:tc>
          <w:tcPr>
            <w:tcW w:w="696"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制造商</w:t>
            </w:r>
          </w:p>
        </w:tc>
        <w:tc>
          <w:tcPr>
            <w:tcW w:w="412"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原产地</w:t>
            </w:r>
          </w:p>
        </w:tc>
        <w:tc>
          <w:tcPr>
            <w:tcW w:w="836"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参数性能、指标及配置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olor w:val="auto"/>
                <w:sz w:val="24"/>
                <w:highlight w:val="none"/>
              </w:rPr>
            </w:pPr>
          </w:p>
        </w:tc>
        <w:tc>
          <w:tcPr>
            <w:tcW w:w="449"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olor w:val="auto"/>
                <w:sz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olor w:val="auto"/>
                <w:sz w:val="24"/>
                <w:highlight w:val="none"/>
              </w:rPr>
            </w:pPr>
          </w:p>
        </w:tc>
        <w:tc>
          <w:tcPr>
            <w:tcW w:w="998" w:type="pct"/>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olor w:val="auto"/>
                <w:sz w:val="24"/>
                <w:highlight w:val="none"/>
              </w:rPr>
            </w:pPr>
          </w:p>
        </w:tc>
        <w:tc>
          <w:tcPr>
            <w:tcW w:w="412"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olor w:val="auto"/>
                <w:sz w:val="24"/>
                <w:highlight w:val="none"/>
              </w:rPr>
            </w:pPr>
          </w:p>
        </w:tc>
        <w:tc>
          <w:tcPr>
            <w:tcW w:w="836"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olor w:val="auto"/>
                <w:sz w:val="24"/>
                <w:highlight w:val="none"/>
              </w:rPr>
            </w:pPr>
          </w:p>
        </w:tc>
        <w:tc>
          <w:tcPr>
            <w:tcW w:w="449"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olor w:val="auto"/>
                <w:sz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olor w:val="auto"/>
                <w:sz w:val="24"/>
                <w:highlight w:val="none"/>
              </w:rPr>
            </w:pPr>
          </w:p>
        </w:tc>
        <w:tc>
          <w:tcPr>
            <w:tcW w:w="998" w:type="pct"/>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olor w:val="auto"/>
                <w:sz w:val="24"/>
                <w:highlight w:val="none"/>
              </w:rPr>
            </w:pPr>
          </w:p>
        </w:tc>
        <w:tc>
          <w:tcPr>
            <w:tcW w:w="412"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olor w:val="auto"/>
                <w:sz w:val="24"/>
                <w:highlight w:val="none"/>
              </w:rPr>
            </w:pPr>
          </w:p>
        </w:tc>
        <w:tc>
          <w:tcPr>
            <w:tcW w:w="836"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olor w:val="auto"/>
                <w:sz w:val="24"/>
                <w:highlight w:val="none"/>
              </w:rPr>
            </w:pPr>
          </w:p>
        </w:tc>
        <w:tc>
          <w:tcPr>
            <w:tcW w:w="449"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olor w:val="auto"/>
                <w:sz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olor w:val="auto"/>
                <w:sz w:val="24"/>
                <w:highlight w:val="none"/>
              </w:rPr>
            </w:pPr>
          </w:p>
        </w:tc>
        <w:tc>
          <w:tcPr>
            <w:tcW w:w="998" w:type="pct"/>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olor w:val="auto"/>
                <w:sz w:val="24"/>
                <w:highlight w:val="none"/>
              </w:rPr>
            </w:pPr>
          </w:p>
        </w:tc>
        <w:tc>
          <w:tcPr>
            <w:tcW w:w="412"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olor w:val="auto"/>
                <w:sz w:val="24"/>
                <w:highlight w:val="none"/>
              </w:rPr>
            </w:pPr>
          </w:p>
        </w:tc>
        <w:tc>
          <w:tcPr>
            <w:tcW w:w="836"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olor w:val="auto"/>
                <w:sz w:val="24"/>
                <w:highlight w:val="none"/>
              </w:rPr>
            </w:pPr>
          </w:p>
        </w:tc>
      </w:tr>
    </w:tbl>
    <w:p>
      <w:pPr>
        <w:spacing w:line="360" w:lineRule="auto"/>
        <w:contextualSpacing/>
        <w:rPr>
          <w:rFonts w:hint="eastAsia" w:ascii="宋体" w:hAnsi="宋体"/>
          <w:color w:val="auto"/>
          <w:sz w:val="24"/>
          <w:highlight w:val="none"/>
        </w:rPr>
      </w:pPr>
      <w:r>
        <w:rPr>
          <w:rFonts w:hint="eastAsia" w:ascii="宋体" w:hAnsi="宋体"/>
          <w:color w:val="auto"/>
          <w:sz w:val="24"/>
          <w:highlight w:val="none"/>
        </w:rPr>
        <w:t>备注：</w:t>
      </w:r>
    </w:p>
    <w:p>
      <w:pPr>
        <w:spacing w:line="360" w:lineRule="auto"/>
        <w:ind w:firstLine="480" w:firstLineChars="200"/>
        <w:contextualSpacing/>
        <w:rPr>
          <w:rFonts w:hint="eastAsia" w:ascii="宋体" w:hAnsi="宋体"/>
          <w:b/>
          <w:color w:val="auto"/>
          <w:sz w:val="24"/>
          <w:highlight w:val="none"/>
        </w:rPr>
      </w:pPr>
      <w:r>
        <w:rPr>
          <w:rFonts w:hint="eastAsia" w:ascii="宋体" w:hAnsi="宋体"/>
          <w:color w:val="auto"/>
          <w:sz w:val="24"/>
          <w:highlight w:val="none"/>
        </w:rPr>
        <w:t>以上设备性能配置清单中“货物名称、数量及单位、品牌、规格型号、制造商、原产地、参数性能、指标及配置”必须如实填写完整，品牌、规格型号没有则填无，填写有缺漏</w:t>
      </w:r>
      <w:r>
        <w:rPr>
          <w:rFonts w:hint="eastAsia" w:ascii="宋体" w:hAnsi="宋体"/>
          <w:bCs/>
          <w:color w:val="auto"/>
          <w:sz w:val="24"/>
          <w:highlight w:val="none"/>
        </w:rPr>
        <w:t>的，</w:t>
      </w:r>
      <w:r>
        <w:rPr>
          <w:rFonts w:hint="eastAsia" w:ascii="宋体" w:hAnsi="宋体"/>
          <w:b/>
          <w:color w:val="auto"/>
          <w:sz w:val="24"/>
          <w:highlight w:val="none"/>
        </w:rPr>
        <w:t>作无效投标处理。</w:t>
      </w:r>
      <w:r>
        <w:rPr>
          <w:rFonts w:hint="eastAsia" w:ascii="宋体" w:hAnsi="宋体"/>
          <w:color w:val="auto"/>
          <w:sz w:val="24"/>
          <w:highlight w:val="none"/>
        </w:rPr>
        <w:t>货物名称、数量及单位、品牌必须与“开标一览表”一致，</w:t>
      </w:r>
      <w:r>
        <w:rPr>
          <w:rFonts w:hint="eastAsia" w:ascii="宋体" w:hAnsi="宋体"/>
          <w:b/>
          <w:color w:val="auto"/>
          <w:sz w:val="24"/>
          <w:highlight w:val="none"/>
        </w:rPr>
        <w:t>否则按无效投标处理。</w:t>
      </w:r>
    </w:p>
    <w:p>
      <w:pPr>
        <w:spacing w:line="360" w:lineRule="auto"/>
        <w:ind w:firstLine="480" w:firstLineChars="200"/>
        <w:contextualSpacing/>
        <w:rPr>
          <w:rFonts w:hint="eastAsia" w:ascii="宋体" w:hAnsi="宋体"/>
          <w:color w:val="auto"/>
          <w:sz w:val="24"/>
          <w:highlight w:val="none"/>
        </w:rPr>
      </w:pPr>
    </w:p>
    <w:p>
      <w:pPr>
        <w:spacing w:line="360" w:lineRule="auto"/>
        <w:contextualSpacing/>
        <w:rPr>
          <w:rFonts w:hint="eastAsia" w:ascii="宋体" w:hAnsi="宋体"/>
          <w:color w:val="auto"/>
          <w:spacing w:val="20"/>
          <w:sz w:val="24"/>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w:t>
      </w:r>
      <w:r>
        <w:rPr>
          <w:rFonts w:hint="eastAsia" w:ascii="宋体" w:hAnsi="宋体"/>
          <w:color w:val="auto"/>
          <w:spacing w:val="20"/>
          <w:sz w:val="24"/>
          <w:highlight w:val="none"/>
          <w:lang w:val="en-US" w:eastAsia="zh-CN"/>
        </w:rPr>
        <w:t>/</w:t>
      </w:r>
      <w:r>
        <w:rPr>
          <w:rFonts w:hint="eastAsia" w:hAnsi="宋体"/>
          <w:color w:val="auto"/>
          <w:sz w:val="24"/>
          <w:szCs w:val="24"/>
          <w:highlight w:val="none"/>
        </w:rPr>
        <w:t>签章</w:t>
      </w:r>
      <w:r>
        <w:rPr>
          <w:rFonts w:hint="eastAsia" w:ascii="宋体" w:hAnsi="宋体"/>
          <w:color w:val="auto"/>
          <w:spacing w:val="20"/>
          <w:sz w:val="24"/>
          <w:highlight w:val="none"/>
        </w:rPr>
        <w:t>）：</w:t>
      </w:r>
      <w:r>
        <w:rPr>
          <w:rFonts w:hint="eastAsia" w:ascii="宋体" w:hAnsi="宋体"/>
          <w:color w:val="auto"/>
          <w:spacing w:val="20"/>
          <w:sz w:val="24"/>
          <w:highlight w:val="none"/>
          <w:u w:val="single"/>
        </w:rPr>
        <w:t xml:space="preserve">        </w:t>
      </w:r>
    </w:p>
    <w:p>
      <w:pPr>
        <w:spacing w:line="360" w:lineRule="auto"/>
        <w:contextualSpacing/>
        <w:rPr>
          <w:rFonts w:hint="eastAsia" w:ascii="宋体" w:hAnsi="宋体"/>
          <w:color w:val="auto"/>
          <w:sz w:val="24"/>
          <w:szCs w:val="20"/>
          <w:highlight w:val="none"/>
        </w:rPr>
      </w:pPr>
      <w:r>
        <w:rPr>
          <w:rFonts w:hint="eastAsia" w:ascii="宋体" w:hAnsi="宋体"/>
          <w:color w:val="auto"/>
          <w:spacing w:val="20"/>
          <w:sz w:val="24"/>
          <w:highlight w:val="none"/>
        </w:rPr>
        <w:t>投标人（盖</w:t>
      </w:r>
      <w:r>
        <w:rPr>
          <w:rFonts w:hint="eastAsia" w:ascii="宋体" w:hAnsi="宋体"/>
          <w:color w:val="auto"/>
          <w:spacing w:val="20"/>
          <w:sz w:val="24"/>
          <w:highlight w:val="none"/>
          <w:lang w:eastAsia="zh-CN"/>
        </w:rPr>
        <w:t>电子</w:t>
      </w:r>
      <w:r>
        <w:rPr>
          <w:rFonts w:hint="eastAsia" w:ascii="宋体" w:hAnsi="宋体"/>
          <w:color w:val="auto"/>
          <w:spacing w:val="20"/>
          <w:sz w:val="24"/>
          <w:highlight w:val="none"/>
        </w:rPr>
        <w:t>公章）：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日  期：</w:t>
      </w:r>
      <w:r>
        <w:rPr>
          <w:rFonts w:hint="eastAsia" w:ascii="宋体" w:hAnsi="宋体"/>
          <w:color w:val="auto"/>
          <w:spacing w:val="20"/>
          <w:sz w:val="24"/>
          <w:highlight w:val="none"/>
          <w:u w:val="single"/>
        </w:rPr>
        <w:t xml:space="preserve">          </w:t>
      </w:r>
    </w:p>
    <w:p>
      <w:pPr>
        <w:snapToGrid w:val="0"/>
        <w:spacing w:before="50" w:after="120" w:afterLines="50"/>
        <w:jc w:val="left"/>
        <w:rPr>
          <w:rFonts w:hint="eastAsia" w:ascii="宋体" w:hAnsi="宋体"/>
          <w:color w:val="auto"/>
          <w:sz w:val="24"/>
          <w:szCs w:val="20"/>
          <w:highlight w:val="none"/>
        </w:rPr>
      </w:pPr>
    </w:p>
    <w:p>
      <w:pPr>
        <w:snapToGrid w:val="0"/>
        <w:spacing w:before="50" w:after="120" w:afterLines="50"/>
        <w:jc w:val="left"/>
        <w:rPr>
          <w:rFonts w:hint="eastAsia" w:ascii="宋体" w:hAnsi="宋体"/>
          <w:color w:val="auto"/>
          <w:sz w:val="24"/>
          <w:szCs w:val="20"/>
          <w:highlight w:val="none"/>
        </w:rPr>
      </w:pPr>
    </w:p>
    <w:p>
      <w:pPr>
        <w:snapToGrid w:val="0"/>
        <w:spacing w:before="120" w:beforeLines="50" w:after="50"/>
        <w:ind w:left="142"/>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4. 技术偏离表格式</w:t>
      </w:r>
    </w:p>
    <w:p>
      <w:pPr>
        <w:snapToGrid w:val="0"/>
        <w:spacing w:before="120" w:beforeLines="50" w:after="50"/>
        <w:ind w:left="142"/>
        <w:jc w:val="left"/>
        <w:rPr>
          <w:rFonts w:hint="eastAsia" w:ascii="宋体" w:hAnsi="宋体"/>
          <w:b/>
          <w:color w:val="auto"/>
          <w:sz w:val="24"/>
          <w:highlight w:val="none"/>
        </w:rPr>
      </w:pPr>
    </w:p>
    <w:p>
      <w:pPr>
        <w:snapToGrid w:val="0"/>
        <w:spacing w:before="120" w:beforeLines="50" w:after="50"/>
        <w:ind w:left="142"/>
        <w:jc w:val="center"/>
        <w:rPr>
          <w:rFonts w:hint="eastAsia" w:ascii="宋体" w:hAnsi="宋体"/>
          <w:b/>
          <w:color w:val="auto"/>
          <w:sz w:val="32"/>
          <w:szCs w:val="32"/>
          <w:highlight w:val="none"/>
        </w:rPr>
      </w:pPr>
      <w:r>
        <w:rPr>
          <w:rFonts w:hint="eastAsia" w:ascii="宋体" w:hAnsi="宋体"/>
          <w:b/>
          <w:color w:val="auto"/>
          <w:sz w:val="32"/>
          <w:szCs w:val="32"/>
          <w:highlight w:val="none"/>
        </w:rPr>
        <w:t>技术偏离表</w:t>
      </w:r>
    </w:p>
    <w:tbl>
      <w:tblPr>
        <w:tblStyle w:val="17"/>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143"/>
        <w:gridCol w:w="1834"/>
        <w:gridCol w:w="2181"/>
        <w:gridCol w:w="1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52" w:type="dxa"/>
            <w:noWrap w:val="0"/>
            <w:vAlign w:val="center"/>
          </w:tcPr>
          <w:p>
            <w:pPr>
              <w:pStyle w:val="12"/>
              <w:spacing w:line="400" w:lineRule="exact"/>
              <w:jc w:val="center"/>
              <w:rPr>
                <w:rFonts w:hint="eastAsia" w:hAnsi="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项号</w:t>
            </w:r>
          </w:p>
        </w:tc>
        <w:tc>
          <w:tcPr>
            <w:tcW w:w="2143" w:type="dxa"/>
            <w:noWrap w:val="0"/>
            <w:vAlign w:val="center"/>
          </w:tcPr>
          <w:p>
            <w:pPr>
              <w:pStyle w:val="12"/>
              <w:spacing w:line="400" w:lineRule="exact"/>
              <w:jc w:val="center"/>
              <w:rPr>
                <w:rFonts w:hint="eastAsia" w:hAnsi="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标的的名称</w:t>
            </w:r>
          </w:p>
        </w:tc>
        <w:tc>
          <w:tcPr>
            <w:tcW w:w="1834" w:type="dxa"/>
            <w:noWrap w:val="0"/>
            <w:vAlign w:val="center"/>
          </w:tcPr>
          <w:p>
            <w:pPr>
              <w:pStyle w:val="12"/>
              <w:spacing w:line="400" w:lineRule="exact"/>
              <w:jc w:val="center"/>
              <w:rPr>
                <w:rFonts w:hAnsi="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技术要求</w:t>
            </w:r>
          </w:p>
        </w:tc>
        <w:tc>
          <w:tcPr>
            <w:tcW w:w="2181" w:type="dxa"/>
            <w:noWrap w:val="0"/>
            <w:vAlign w:val="center"/>
          </w:tcPr>
          <w:p>
            <w:pPr>
              <w:pStyle w:val="12"/>
              <w:spacing w:line="400" w:lineRule="exact"/>
              <w:jc w:val="center"/>
              <w:rPr>
                <w:rFonts w:hint="eastAsia" w:hAnsi="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投标响应</w:t>
            </w:r>
          </w:p>
        </w:tc>
        <w:tc>
          <w:tcPr>
            <w:tcW w:w="1934" w:type="dxa"/>
            <w:noWrap w:val="0"/>
            <w:vAlign w:val="center"/>
          </w:tcPr>
          <w:p>
            <w:pPr>
              <w:pStyle w:val="12"/>
              <w:spacing w:line="400" w:lineRule="exact"/>
              <w:jc w:val="center"/>
              <w:rPr>
                <w:rFonts w:hint="eastAsia" w:hAnsi="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pPr>
              <w:pStyle w:val="12"/>
              <w:spacing w:line="600" w:lineRule="exact"/>
              <w:jc w:val="center"/>
              <w:rPr>
                <w:rFonts w:hint="eastAsia" w:hAnsi="宋体" w:cs="Courier New"/>
                <w:color w:val="auto"/>
                <w:kern w:val="2"/>
                <w:sz w:val="24"/>
                <w:szCs w:val="24"/>
                <w:highlight w:val="none"/>
                <w:lang w:val="en-US" w:eastAsia="zh-CN"/>
              </w:rPr>
            </w:pPr>
          </w:p>
        </w:tc>
        <w:tc>
          <w:tcPr>
            <w:tcW w:w="2143" w:type="dxa"/>
            <w:noWrap w:val="0"/>
            <w:vAlign w:val="center"/>
          </w:tcPr>
          <w:p>
            <w:pPr>
              <w:pStyle w:val="12"/>
              <w:spacing w:line="600" w:lineRule="exact"/>
              <w:jc w:val="center"/>
              <w:rPr>
                <w:rFonts w:hint="eastAsia" w:hAnsi="宋体" w:cs="Courier New"/>
                <w:color w:val="auto"/>
                <w:kern w:val="2"/>
                <w:sz w:val="24"/>
                <w:szCs w:val="24"/>
                <w:highlight w:val="none"/>
                <w:lang w:val="en-US" w:eastAsia="zh-CN"/>
              </w:rPr>
            </w:pPr>
          </w:p>
        </w:tc>
        <w:tc>
          <w:tcPr>
            <w:tcW w:w="1834" w:type="dxa"/>
            <w:noWrap w:val="0"/>
            <w:vAlign w:val="center"/>
          </w:tcPr>
          <w:p>
            <w:pPr>
              <w:pStyle w:val="12"/>
              <w:spacing w:line="600" w:lineRule="exact"/>
              <w:jc w:val="center"/>
              <w:rPr>
                <w:rFonts w:hint="eastAsia" w:hAnsi="宋体" w:cs="Courier New"/>
                <w:color w:val="auto"/>
                <w:kern w:val="2"/>
                <w:sz w:val="24"/>
                <w:szCs w:val="24"/>
                <w:highlight w:val="none"/>
                <w:lang w:val="en-US" w:eastAsia="zh-CN"/>
              </w:rPr>
            </w:pPr>
          </w:p>
        </w:tc>
        <w:tc>
          <w:tcPr>
            <w:tcW w:w="2181" w:type="dxa"/>
            <w:noWrap w:val="0"/>
            <w:vAlign w:val="center"/>
          </w:tcPr>
          <w:p>
            <w:pPr>
              <w:pStyle w:val="12"/>
              <w:spacing w:line="600" w:lineRule="exact"/>
              <w:jc w:val="center"/>
              <w:rPr>
                <w:rFonts w:hint="eastAsia" w:hAnsi="宋体" w:cs="Courier New"/>
                <w:color w:val="auto"/>
                <w:kern w:val="2"/>
                <w:sz w:val="24"/>
                <w:szCs w:val="24"/>
                <w:highlight w:val="none"/>
                <w:lang w:val="en-US" w:eastAsia="zh-CN"/>
              </w:rPr>
            </w:pPr>
          </w:p>
        </w:tc>
        <w:tc>
          <w:tcPr>
            <w:tcW w:w="1934" w:type="dxa"/>
            <w:noWrap w:val="0"/>
            <w:vAlign w:val="center"/>
          </w:tcPr>
          <w:p>
            <w:pPr>
              <w:pStyle w:val="12"/>
              <w:spacing w:line="600" w:lineRule="exact"/>
              <w:jc w:val="center"/>
              <w:rPr>
                <w:rFonts w:hint="eastAsia" w:hAnsi="宋体" w:cs="Courier New"/>
                <w:color w:val="auto"/>
                <w:kern w:val="2"/>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pPr>
              <w:pStyle w:val="12"/>
              <w:spacing w:line="600" w:lineRule="exact"/>
              <w:rPr>
                <w:rFonts w:hint="eastAsia" w:hAnsi="宋体" w:cs="Courier New"/>
                <w:color w:val="auto"/>
                <w:kern w:val="2"/>
                <w:sz w:val="24"/>
                <w:szCs w:val="24"/>
                <w:highlight w:val="none"/>
                <w:lang w:val="en-US" w:eastAsia="zh-CN"/>
              </w:rPr>
            </w:pPr>
          </w:p>
        </w:tc>
        <w:tc>
          <w:tcPr>
            <w:tcW w:w="2143" w:type="dxa"/>
            <w:noWrap w:val="0"/>
            <w:vAlign w:val="top"/>
          </w:tcPr>
          <w:p>
            <w:pPr>
              <w:pStyle w:val="12"/>
              <w:spacing w:line="600" w:lineRule="exact"/>
              <w:rPr>
                <w:rFonts w:hint="eastAsia" w:hAnsi="宋体" w:cs="Courier New"/>
                <w:color w:val="auto"/>
                <w:kern w:val="2"/>
                <w:sz w:val="24"/>
                <w:szCs w:val="24"/>
                <w:highlight w:val="none"/>
                <w:lang w:val="en-US" w:eastAsia="zh-CN"/>
              </w:rPr>
            </w:pPr>
          </w:p>
        </w:tc>
        <w:tc>
          <w:tcPr>
            <w:tcW w:w="1834" w:type="dxa"/>
            <w:noWrap w:val="0"/>
            <w:vAlign w:val="top"/>
          </w:tcPr>
          <w:p>
            <w:pPr>
              <w:pStyle w:val="12"/>
              <w:spacing w:line="600" w:lineRule="exact"/>
              <w:rPr>
                <w:rFonts w:hint="eastAsia" w:hAnsi="宋体" w:cs="Courier New"/>
                <w:color w:val="auto"/>
                <w:kern w:val="2"/>
                <w:sz w:val="24"/>
                <w:szCs w:val="24"/>
                <w:highlight w:val="none"/>
                <w:lang w:val="en-US" w:eastAsia="zh-CN"/>
              </w:rPr>
            </w:pPr>
          </w:p>
        </w:tc>
        <w:tc>
          <w:tcPr>
            <w:tcW w:w="2181" w:type="dxa"/>
            <w:noWrap w:val="0"/>
            <w:vAlign w:val="top"/>
          </w:tcPr>
          <w:p>
            <w:pPr>
              <w:pStyle w:val="12"/>
              <w:spacing w:line="600" w:lineRule="exact"/>
              <w:rPr>
                <w:rFonts w:hint="eastAsia" w:hAnsi="宋体" w:cs="Courier New"/>
                <w:color w:val="auto"/>
                <w:kern w:val="2"/>
                <w:sz w:val="24"/>
                <w:szCs w:val="24"/>
                <w:highlight w:val="none"/>
                <w:lang w:val="en-US" w:eastAsia="zh-CN"/>
              </w:rPr>
            </w:pPr>
          </w:p>
        </w:tc>
        <w:tc>
          <w:tcPr>
            <w:tcW w:w="1934" w:type="dxa"/>
            <w:noWrap w:val="0"/>
            <w:vAlign w:val="top"/>
          </w:tcPr>
          <w:p>
            <w:pPr>
              <w:pStyle w:val="12"/>
              <w:spacing w:line="600" w:lineRule="exact"/>
              <w:rPr>
                <w:rFonts w:hint="eastAsia" w:hAnsi="宋体" w:cs="Courier New"/>
                <w:color w:val="auto"/>
                <w:kern w:val="2"/>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pPr>
              <w:pStyle w:val="12"/>
              <w:spacing w:line="600" w:lineRule="exact"/>
              <w:rPr>
                <w:rFonts w:hint="eastAsia" w:hAnsi="宋体" w:cs="Courier New"/>
                <w:color w:val="auto"/>
                <w:kern w:val="2"/>
                <w:sz w:val="24"/>
                <w:szCs w:val="24"/>
                <w:highlight w:val="none"/>
                <w:lang w:val="en-US" w:eastAsia="zh-CN"/>
              </w:rPr>
            </w:pPr>
          </w:p>
        </w:tc>
        <w:tc>
          <w:tcPr>
            <w:tcW w:w="2143" w:type="dxa"/>
            <w:noWrap w:val="0"/>
            <w:vAlign w:val="top"/>
          </w:tcPr>
          <w:p>
            <w:pPr>
              <w:pStyle w:val="12"/>
              <w:spacing w:line="600" w:lineRule="exact"/>
              <w:rPr>
                <w:rFonts w:hint="eastAsia" w:hAnsi="宋体" w:cs="Courier New"/>
                <w:color w:val="auto"/>
                <w:kern w:val="2"/>
                <w:sz w:val="24"/>
                <w:szCs w:val="24"/>
                <w:highlight w:val="none"/>
                <w:lang w:val="en-US" w:eastAsia="zh-CN"/>
              </w:rPr>
            </w:pPr>
          </w:p>
        </w:tc>
        <w:tc>
          <w:tcPr>
            <w:tcW w:w="1834" w:type="dxa"/>
            <w:noWrap w:val="0"/>
            <w:vAlign w:val="top"/>
          </w:tcPr>
          <w:p>
            <w:pPr>
              <w:pStyle w:val="12"/>
              <w:spacing w:line="600" w:lineRule="exact"/>
              <w:rPr>
                <w:rFonts w:hint="eastAsia" w:hAnsi="宋体" w:cs="Courier New"/>
                <w:color w:val="auto"/>
                <w:kern w:val="2"/>
                <w:sz w:val="24"/>
                <w:szCs w:val="24"/>
                <w:highlight w:val="none"/>
                <w:lang w:val="en-US" w:eastAsia="zh-CN"/>
              </w:rPr>
            </w:pPr>
          </w:p>
        </w:tc>
        <w:tc>
          <w:tcPr>
            <w:tcW w:w="2181" w:type="dxa"/>
            <w:noWrap w:val="0"/>
            <w:vAlign w:val="top"/>
          </w:tcPr>
          <w:p>
            <w:pPr>
              <w:pStyle w:val="12"/>
              <w:spacing w:line="600" w:lineRule="exact"/>
              <w:rPr>
                <w:rFonts w:hint="eastAsia" w:hAnsi="宋体" w:cs="Courier New"/>
                <w:color w:val="auto"/>
                <w:kern w:val="2"/>
                <w:sz w:val="24"/>
                <w:szCs w:val="24"/>
                <w:highlight w:val="none"/>
                <w:lang w:val="en-US" w:eastAsia="zh-CN"/>
              </w:rPr>
            </w:pPr>
          </w:p>
        </w:tc>
        <w:tc>
          <w:tcPr>
            <w:tcW w:w="1934" w:type="dxa"/>
            <w:noWrap w:val="0"/>
            <w:vAlign w:val="top"/>
          </w:tcPr>
          <w:p>
            <w:pPr>
              <w:pStyle w:val="12"/>
              <w:spacing w:line="600" w:lineRule="exact"/>
              <w:rPr>
                <w:rFonts w:hint="eastAsia" w:hAnsi="宋体" w:cs="Courier New"/>
                <w:color w:val="auto"/>
                <w:kern w:val="2"/>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pPr>
              <w:pStyle w:val="12"/>
              <w:spacing w:line="600" w:lineRule="exact"/>
              <w:rPr>
                <w:rFonts w:hint="eastAsia" w:hAnsi="宋体" w:cs="Courier New"/>
                <w:color w:val="auto"/>
                <w:kern w:val="2"/>
                <w:sz w:val="24"/>
                <w:szCs w:val="24"/>
                <w:highlight w:val="none"/>
                <w:lang w:val="en-US" w:eastAsia="zh-CN"/>
              </w:rPr>
            </w:pPr>
          </w:p>
        </w:tc>
        <w:tc>
          <w:tcPr>
            <w:tcW w:w="2143" w:type="dxa"/>
            <w:noWrap w:val="0"/>
            <w:vAlign w:val="top"/>
          </w:tcPr>
          <w:p>
            <w:pPr>
              <w:pStyle w:val="12"/>
              <w:spacing w:line="600" w:lineRule="exact"/>
              <w:rPr>
                <w:rFonts w:hint="eastAsia" w:hAnsi="宋体" w:cs="Courier New"/>
                <w:color w:val="auto"/>
                <w:kern w:val="2"/>
                <w:sz w:val="24"/>
                <w:szCs w:val="24"/>
                <w:highlight w:val="none"/>
                <w:lang w:val="en-US" w:eastAsia="zh-CN"/>
              </w:rPr>
            </w:pPr>
          </w:p>
        </w:tc>
        <w:tc>
          <w:tcPr>
            <w:tcW w:w="1834" w:type="dxa"/>
            <w:noWrap w:val="0"/>
            <w:vAlign w:val="top"/>
          </w:tcPr>
          <w:p>
            <w:pPr>
              <w:pStyle w:val="12"/>
              <w:spacing w:line="600" w:lineRule="exact"/>
              <w:rPr>
                <w:rFonts w:hint="eastAsia" w:hAnsi="宋体" w:cs="Courier New"/>
                <w:color w:val="auto"/>
                <w:kern w:val="2"/>
                <w:sz w:val="24"/>
                <w:szCs w:val="24"/>
                <w:highlight w:val="none"/>
                <w:lang w:val="en-US" w:eastAsia="zh-CN"/>
              </w:rPr>
            </w:pPr>
          </w:p>
        </w:tc>
        <w:tc>
          <w:tcPr>
            <w:tcW w:w="2181" w:type="dxa"/>
            <w:noWrap w:val="0"/>
            <w:vAlign w:val="top"/>
          </w:tcPr>
          <w:p>
            <w:pPr>
              <w:pStyle w:val="12"/>
              <w:spacing w:line="600" w:lineRule="exact"/>
              <w:rPr>
                <w:rFonts w:hint="eastAsia" w:hAnsi="宋体" w:cs="Courier New"/>
                <w:color w:val="auto"/>
                <w:kern w:val="2"/>
                <w:sz w:val="24"/>
                <w:szCs w:val="24"/>
                <w:highlight w:val="none"/>
                <w:lang w:val="en-US" w:eastAsia="zh-CN"/>
              </w:rPr>
            </w:pPr>
          </w:p>
        </w:tc>
        <w:tc>
          <w:tcPr>
            <w:tcW w:w="1934" w:type="dxa"/>
            <w:noWrap w:val="0"/>
            <w:vAlign w:val="top"/>
          </w:tcPr>
          <w:p>
            <w:pPr>
              <w:pStyle w:val="12"/>
              <w:spacing w:line="600" w:lineRule="exact"/>
              <w:rPr>
                <w:rFonts w:hint="eastAsia" w:hAnsi="宋体" w:cs="Courier New"/>
                <w:color w:val="auto"/>
                <w:kern w:val="2"/>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pPr>
              <w:pStyle w:val="12"/>
              <w:spacing w:line="600" w:lineRule="exact"/>
              <w:rPr>
                <w:rFonts w:hint="eastAsia" w:hAnsi="宋体" w:cs="Courier New"/>
                <w:color w:val="auto"/>
                <w:kern w:val="2"/>
                <w:sz w:val="24"/>
                <w:szCs w:val="24"/>
                <w:highlight w:val="none"/>
                <w:lang w:val="en-US" w:eastAsia="zh-CN"/>
              </w:rPr>
            </w:pPr>
          </w:p>
        </w:tc>
        <w:tc>
          <w:tcPr>
            <w:tcW w:w="2143" w:type="dxa"/>
            <w:noWrap w:val="0"/>
            <w:vAlign w:val="top"/>
          </w:tcPr>
          <w:p>
            <w:pPr>
              <w:pStyle w:val="12"/>
              <w:spacing w:line="600" w:lineRule="exact"/>
              <w:rPr>
                <w:rFonts w:hint="eastAsia" w:hAnsi="宋体" w:cs="Courier New"/>
                <w:color w:val="auto"/>
                <w:kern w:val="2"/>
                <w:sz w:val="24"/>
                <w:szCs w:val="24"/>
                <w:highlight w:val="none"/>
                <w:lang w:val="en-US" w:eastAsia="zh-CN"/>
              </w:rPr>
            </w:pPr>
          </w:p>
        </w:tc>
        <w:tc>
          <w:tcPr>
            <w:tcW w:w="1834" w:type="dxa"/>
            <w:noWrap w:val="0"/>
            <w:vAlign w:val="top"/>
          </w:tcPr>
          <w:p>
            <w:pPr>
              <w:pStyle w:val="12"/>
              <w:spacing w:line="600" w:lineRule="exact"/>
              <w:rPr>
                <w:rFonts w:hint="eastAsia" w:hAnsi="宋体" w:cs="Courier New"/>
                <w:color w:val="auto"/>
                <w:kern w:val="2"/>
                <w:sz w:val="24"/>
                <w:szCs w:val="24"/>
                <w:highlight w:val="none"/>
                <w:lang w:val="en-US" w:eastAsia="zh-CN"/>
              </w:rPr>
            </w:pPr>
          </w:p>
        </w:tc>
        <w:tc>
          <w:tcPr>
            <w:tcW w:w="2181" w:type="dxa"/>
            <w:noWrap w:val="0"/>
            <w:vAlign w:val="top"/>
          </w:tcPr>
          <w:p>
            <w:pPr>
              <w:pStyle w:val="12"/>
              <w:spacing w:line="600" w:lineRule="exact"/>
              <w:rPr>
                <w:rFonts w:hint="eastAsia" w:hAnsi="宋体" w:cs="Courier New"/>
                <w:color w:val="auto"/>
                <w:kern w:val="2"/>
                <w:sz w:val="24"/>
                <w:szCs w:val="24"/>
                <w:highlight w:val="none"/>
                <w:lang w:val="en-US" w:eastAsia="zh-CN"/>
              </w:rPr>
            </w:pPr>
          </w:p>
        </w:tc>
        <w:tc>
          <w:tcPr>
            <w:tcW w:w="1934" w:type="dxa"/>
            <w:noWrap w:val="0"/>
            <w:vAlign w:val="top"/>
          </w:tcPr>
          <w:p>
            <w:pPr>
              <w:pStyle w:val="12"/>
              <w:spacing w:line="600" w:lineRule="exact"/>
              <w:rPr>
                <w:rFonts w:hint="eastAsia" w:hAnsi="宋体" w:cs="Courier New"/>
                <w:color w:val="auto"/>
                <w:kern w:val="2"/>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pPr>
              <w:pStyle w:val="12"/>
              <w:spacing w:line="600" w:lineRule="exact"/>
              <w:rPr>
                <w:rFonts w:hint="eastAsia" w:hAnsi="宋体" w:cs="Courier New"/>
                <w:color w:val="auto"/>
                <w:kern w:val="2"/>
                <w:sz w:val="24"/>
                <w:szCs w:val="24"/>
                <w:highlight w:val="none"/>
                <w:lang w:val="en-US" w:eastAsia="zh-CN"/>
              </w:rPr>
            </w:pPr>
          </w:p>
        </w:tc>
        <w:tc>
          <w:tcPr>
            <w:tcW w:w="2143" w:type="dxa"/>
            <w:noWrap w:val="0"/>
            <w:vAlign w:val="top"/>
          </w:tcPr>
          <w:p>
            <w:pPr>
              <w:pStyle w:val="12"/>
              <w:spacing w:line="600" w:lineRule="exact"/>
              <w:rPr>
                <w:rFonts w:hint="eastAsia" w:hAnsi="宋体" w:cs="Courier New"/>
                <w:color w:val="auto"/>
                <w:kern w:val="2"/>
                <w:sz w:val="24"/>
                <w:szCs w:val="24"/>
                <w:highlight w:val="none"/>
                <w:lang w:val="en-US" w:eastAsia="zh-CN"/>
              </w:rPr>
            </w:pPr>
          </w:p>
        </w:tc>
        <w:tc>
          <w:tcPr>
            <w:tcW w:w="1834" w:type="dxa"/>
            <w:noWrap w:val="0"/>
            <w:vAlign w:val="top"/>
          </w:tcPr>
          <w:p>
            <w:pPr>
              <w:pStyle w:val="12"/>
              <w:spacing w:line="600" w:lineRule="exact"/>
              <w:rPr>
                <w:rFonts w:hint="eastAsia" w:hAnsi="宋体" w:cs="Courier New"/>
                <w:color w:val="auto"/>
                <w:kern w:val="2"/>
                <w:sz w:val="24"/>
                <w:szCs w:val="24"/>
                <w:highlight w:val="none"/>
                <w:lang w:val="en-US" w:eastAsia="zh-CN"/>
              </w:rPr>
            </w:pPr>
          </w:p>
        </w:tc>
        <w:tc>
          <w:tcPr>
            <w:tcW w:w="2181" w:type="dxa"/>
            <w:noWrap w:val="0"/>
            <w:vAlign w:val="top"/>
          </w:tcPr>
          <w:p>
            <w:pPr>
              <w:pStyle w:val="12"/>
              <w:spacing w:line="600" w:lineRule="exact"/>
              <w:rPr>
                <w:rFonts w:hint="eastAsia" w:hAnsi="宋体" w:cs="Courier New"/>
                <w:color w:val="auto"/>
                <w:kern w:val="2"/>
                <w:sz w:val="24"/>
                <w:szCs w:val="24"/>
                <w:highlight w:val="none"/>
                <w:lang w:val="en-US" w:eastAsia="zh-CN"/>
              </w:rPr>
            </w:pPr>
          </w:p>
        </w:tc>
        <w:tc>
          <w:tcPr>
            <w:tcW w:w="1934" w:type="dxa"/>
            <w:noWrap w:val="0"/>
            <w:vAlign w:val="top"/>
          </w:tcPr>
          <w:p>
            <w:pPr>
              <w:pStyle w:val="12"/>
              <w:spacing w:line="600" w:lineRule="exact"/>
              <w:rPr>
                <w:rFonts w:hint="eastAsia" w:hAnsi="宋体" w:cs="Courier New"/>
                <w:color w:val="auto"/>
                <w:kern w:val="2"/>
                <w:sz w:val="24"/>
                <w:szCs w:val="24"/>
                <w:highlight w:val="none"/>
                <w:lang w:val="en-US" w:eastAsia="zh-CN"/>
              </w:rPr>
            </w:pPr>
          </w:p>
        </w:tc>
      </w:tr>
    </w:tbl>
    <w:p>
      <w:pPr>
        <w:pStyle w:val="9"/>
        <w:rPr>
          <w:rFonts w:hint="eastAsia" w:ascii="宋体" w:hAnsi="宋体"/>
          <w:color w:val="auto"/>
          <w:highlight w:val="none"/>
        </w:rPr>
      </w:pPr>
      <w:r>
        <w:rPr>
          <w:rFonts w:hint="eastAsia" w:ascii="宋体" w:hAnsi="宋体"/>
          <w:color w:val="auto"/>
          <w:highlight w:val="none"/>
        </w:rPr>
        <w:t>注：</w:t>
      </w:r>
    </w:p>
    <w:p>
      <w:pPr>
        <w:pStyle w:val="11"/>
        <w:spacing w:line="360" w:lineRule="auto"/>
        <w:ind w:firstLine="0" w:firstLineChars="0"/>
        <w:rPr>
          <w:rFonts w:hint="eastAsia" w:hAnsi="仿宋_GB2312" w:cs="仿宋_GB2312"/>
          <w:color w:val="auto"/>
          <w:szCs w:val="32"/>
          <w:highlight w:val="none"/>
        </w:rPr>
      </w:pPr>
      <w:r>
        <w:rPr>
          <w:rFonts w:hint="eastAsia" w:ascii="宋体" w:hAnsi="宋体" w:eastAsia="宋体"/>
          <w:color w:val="auto"/>
          <w:sz w:val="24"/>
          <w:szCs w:val="24"/>
          <w:highlight w:val="none"/>
        </w:rPr>
        <w:t>1. 说明：应对照招标文件“第二章 采购需求”中的“技术要求”逐条作明确的投标响应，并作出偏离说明。</w:t>
      </w:r>
    </w:p>
    <w:p>
      <w:pPr>
        <w:pStyle w:val="9"/>
        <w:spacing w:line="360" w:lineRule="auto"/>
        <w:rPr>
          <w:rFonts w:hint="eastAsia" w:ascii="宋体" w:hAnsi="宋体"/>
          <w:b w:val="0"/>
          <w:bCs w:val="0"/>
          <w:color w:val="auto"/>
          <w:highlight w:val="none"/>
        </w:rPr>
      </w:pPr>
      <w:r>
        <w:rPr>
          <w:rFonts w:ascii="宋体" w:hAnsi="宋体"/>
          <w:b w:val="0"/>
          <w:bCs w:val="0"/>
          <w:color w:val="auto"/>
          <w:highlight w:val="none"/>
        </w:rPr>
        <w:t>2.</w:t>
      </w:r>
      <w:r>
        <w:rPr>
          <w:rFonts w:hint="eastAsia" w:ascii="宋体" w:hAnsi="宋体"/>
          <w:b w:val="0"/>
          <w:bCs w:val="0"/>
          <w:color w:val="auto"/>
          <w:highlight w:val="none"/>
        </w:rPr>
        <w:t>投标人根据投标货物的性能指标，对照招标文件技术要求，在“偏离说明”中注明“</w:t>
      </w:r>
      <w:r>
        <w:rPr>
          <w:rFonts w:hint="eastAsia" w:ascii="宋体" w:hAnsi="宋体"/>
          <w:color w:val="auto"/>
          <w:highlight w:val="none"/>
        </w:rPr>
        <w:t>正偏离</w:t>
      </w:r>
      <w:r>
        <w:rPr>
          <w:rFonts w:hint="eastAsia" w:ascii="宋体" w:hAnsi="宋体"/>
          <w:b w:val="0"/>
          <w:bCs w:val="0"/>
          <w:color w:val="auto"/>
          <w:highlight w:val="none"/>
        </w:rPr>
        <w:t>”、“</w:t>
      </w:r>
      <w:r>
        <w:rPr>
          <w:rFonts w:hint="eastAsia" w:ascii="宋体" w:hAnsi="宋体"/>
          <w:color w:val="auto"/>
          <w:highlight w:val="none"/>
        </w:rPr>
        <w:t>负偏离</w:t>
      </w:r>
      <w:r>
        <w:rPr>
          <w:rFonts w:hint="eastAsia" w:ascii="宋体" w:hAnsi="宋体"/>
          <w:b w:val="0"/>
          <w:bCs w:val="0"/>
          <w:color w:val="auto"/>
          <w:highlight w:val="none"/>
        </w:rPr>
        <w:t>”或者“</w:t>
      </w:r>
      <w:r>
        <w:rPr>
          <w:rFonts w:hint="eastAsia" w:ascii="宋体" w:hAnsi="宋体"/>
          <w:color w:val="auto"/>
          <w:highlight w:val="none"/>
        </w:rPr>
        <w:t>无偏离</w:t>
      </w:r>
      <w:r>
        <w:rPr>
          <w:rFonts w:hint="eastAsia" w:ascii="宋体" w:hAnsi="宋体"/>
          <w:b w:val="0"/>
          <w:bCs w:val="0"/>
          <w:color w:val="auto"/>
          <w:highlight w:val="none"/>
        </w:rPr>
        <w:t>”。既不属于“</w:t>
      </w:r>
      <w:r>
        <w:rPr>
          <w:rFonts w:hint="eastAsia" w:ascii="宋体" w:hAnsi="宋体"/>
          <w:color w:val="auto"/>
          <w:highlight w:val="none"/>
        </w:rPr>
        <w:t>正偏离</w:t>
      </w:r>
      <w:r>
        <w:rPr>
          <w:rFonts w:hint="eastAsia" w:ascii="宋体" w:hAnsi="宋体"/>
          <w:b w:val="0"/>
          <w:bCs w:val="0"/>
          <w:color w:val="auto"/>
          <w:highlight w:val="none"/>
        </w:rPr>
        <w:t>”也不属于“</w:t>
      </w:r>
      <w:r>
        <w:rPr>
          <w:rFonts w:hint="eastAsia" w:ascii="宋体" w:hAnsi="宋体"/>
          <w:color w:val="auto"/>
          <w:highlight w:val="none"/>
        </w:rPr>
        <w:t>负偏离</w:t>
      </w:r>
      <w:r>
        <w:rPr>
          <w:rFonts w:hint="eastAsia" w:ascii="宋体" w:hAnsi="宋体"/>
          <w:b w:val="0"/>
          <w:bCs w:val="0"/>
          <w:color w:val="auto"/>
          <w:highlight w:val="none"/>
        </w:rPr>
        <w:t>”即为“</w:t>
      </w:r>
      <w:r>
        <w:rPr>
          <w:rFonts w:hint="eastAsia" w:ascii="宋体" w:hAnsi="宋体"/>
          <w:color w:val="auto"/>
          <w:highlight w:val="none"/>
        </w:rPr>
        <w:t>无偏离</w:t>
      </w:r>
      <w:r>
        <w:rPr>
          <w:rFonts w:hint="eastAsia" w:ascii="宋体" w:hAnsi="宋体"/>
          <w:b w:val="0"/>
          <w:bCs w:val="0"/>
          <w:color w:val="auto"/>
          <w:highlight w:val="none"/>
        </w:rPr>
        <w:t>”。</w:t>
      </w:r>
    </w:p>
    <w:p>
      <w:pPr>
        <w:pStyle w:val="11"/>
        <w:spacing w:line="360" w:lineRule="auto"/>
        <w:ind w:firstLine="0" w:firstLineChars="0"/>
        <w:rPr>
          <w:rFonts w:ascii="宋体" w:hAnsi="宋体" w:eastAsia="宋体"/>
          <w:color w:val="auto"/>
          <w:sz w:val="24"/>
          <w:szCs w:val="24"/>
          <w:highlight w:val="none"/>
        </w:rPr>
      </w:pPr>
      <w:r>
        <w:rPr>
          <w:rFonts w:hint="eastAsia" w:ascii="宋体" w:hAnsi="宋体" w:eastAsia="宋体"/>
          <w:color w:val="auto"/>
          <w:sz w:val="24"/>
          <w:szCs w:val="24"/>
          <w:highlight w:val="none"/>
        </w:rPr>
        <w:t>3.投标人认为其投标响应有正偏离的，请在技术偏离表中列明，且在投标文件中提供投标产品的彩页或</w:t>
      </w:r>
      <w:r>
        <w:rPr>
          <w:rFonts w:ascii="宋体" w:hAnsi="宋体" w:eastAsia="宋体"/>
          <w:color w:val="auto"/>
          <w:sz w:val="24"/>
          <w:szCs w:val="24"/>
          <w:highlight w:val="none"/>
        </w:rPr>
        <w:t>国家认可的有资质的第三方检测机构出具的检测报告复印件</w:t>
      </w:r>
      <w:r>
        <w:rPr>
          <w:rFonts w:hint="eastAsia" w:ascii="宋体" w:hAnsi="宋体" w:eastAsia="宋体"/>
          <w:color w:val="auto"/>
          <w:sz w:val="24"/>
          <w:szCs w:val="24"/>
          <w:highlight w:val="none"/>
        </w:rPr>
        <w:t>或产品生产厂家出具的技术参数说明证明作为佐证，以上佐证材料均需加盖生产厂家或代理商（附生产厂家授权资料）公章。</w:t>
      </w:r>
    </w:p>
    <w:p>
      <w:pPr>
        <w:pStyle w:val="11"/>
        <w:spacing w:line="360" w:lineRule="auto"/>
        <w:ind w:firstLine="0" w:firstLineChars="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4</w:t>
      </w:r>
      <w:r>
        <w:rPr>
          <w:rFonts w:ascii="宋体" w:hAnsi="宋体" w:eastAsia="宋体"/>
          <w:color w:val="auto"/>
          <w:sz w:val="24"/>
          <w:szCs w:val="24"/>
          <w:highlight w:val="none"/>
        </w:rPr>
        <w:t>.</w:t>
      </w:r>
      <w:r>
        <w:rPr>
          <w:rFonts w:hint="eastAsia" w:ascii="宋体" w:hAnsi="宋体" w:eastAsia="宋体"/>
          <w:color w:val="auto"/>
          <w:sz w:val="24"/>
          <w:szCs w:val="24"/>
          <w:highlight w:val="none"/>
        </w:rPr>
        <w:t xml:space="preserve"> 如技术偏离表中的投标响应与佐证材料不一致的，以佐证材料为准。</w:t>
      </w:r>
    </w:p>
    <w:p>
      <w:pPr>
        <w:snapToGrid w:val="0"/>
        <w:spacing w:before="50" w:after="50" w:line="360" w:lineRule="auto"/>
        <w:rPr>
          <w:rFonts w:ascii="宋体" w:hAnsi="宋体"/>
          <w:color w:val="auto"/>
          <w:sz w:val="24"/>
          <w:highlight w:val="none"/>
        </w:rPr>
      </w:pPr>
    </w:p>
    <w:p>
      <w:pPr>
        <w:snapToGrid w:val="0"/>
        <w:spacing w:before="50" w:after="50" w:line="360" w:lineRule="auto"/>
        <w:rPr>
          <w:rFonts w:hint="eastAsia" w:ascii="宋体" w:hAnsi="宋体"/>
          <w:color w:val="auto"/>
          <w:spacing w:val="20"/>
          <w:sz w:val="24"/>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w:t>
      </w:r>
      <w:r>
        <w:rPr>
          <w:rFonts w:hint="eastAsia" w:ascii="宋体" w:hAnsi="宋体"/>
          <w:color w:val="auto"/>
          <w:spacing w:val="20"/>
          <w:sz w:val="24"/>
          <w:highlight w:val="none"/>
          <w:lang w:val="en-US" w:eastAsia="zh-CN"/>
        </w:rPr>
        <w:t>/</w:t>
      </w:r>
      <w:r>
        <w:rPr>
          <w:rFonts w:hint="eastAsia" w:hAnsi="宋体"/>
          <w:color w:val="auto"/>
          <w:sz w:val="24"/>
          <w:szCs w:val="24"/>
          <w:highlight w:val="none"/>
        </w:rPr>
        <w:t>签章</w:t>
      </w:r>
      <w:r>
        <w:rPr>
          <w:rFonts w:hint="eastAsia" w:ascii="宋体" w:hAnsi="宋体"/>
          <w:color w:val="auto"/>
          <w:spacing w:val="20"/>
          <w:sz w:val="24"/>
          <w:highlight w:val="none"/>
        </w:rPr>
        <w:t>）：</w:t>
      </w:r>
      <w:r>
        <w:rPr>
          <w:rFonts w:hint="eastAsia" w:ascii="宋体" w:hAnsi="宋体"/>
          <w:color w:val="auto"/>
          <w:spacing w:val="20"/>
          <w:sz w:val="24"/>
          <w:highlight w:val="none"/>
          <w:u w:val="single"/>
        </w:rPr>
        <w:t xml:space="preserve">        </w:t>
      </w:r>
    </w:p>
    <w:p>
      <w:pPr>
        <w:snapToGrid w:val="0"/>
        <w:spacing w:before="50" w:after="50" w:line="360" w:lineRule="auto"/>
        <w:rPr>
          <w:rFonts w:hint="eastAsia" w:ascii="宋体" w:hAnsi="宋体"/>
          <w:color w:val="auto"/>
          <w:spacing w:val="20"/>
          <w:sz w:val="24"/>
          <w:highlight w:val="none"/>
          <w:u w:val="single"/>
        </w:rPr>
      </w:pPr>
      <w:r>
        <w:rPr>
          <w:rFonts w:hint="eastAsia" w:ascii="宋体" w:hAnsi="宋体"/>
          <w:color w:val="auto"/>
          <w:spacing w:val="20"/>
          <w:sz w:val="24"/>
          <w:highlight w:val="none"/>
        </w:rPr>
        <w:t>投标人（盖</w:t>
      </w:r>
      <w:r>
        <w:rPr>
          <w:rFonts w:hint="eastAsia" w:ascii="宋体" w:hAnsi="宋体"/>
          <w:color w:val="auto"/>
          <w:spacing w:val="20"/>
          <w:sz w:val="24"/>
          <w:highlight w:val="none"/>
          <w:lang w:eastAsia="zh-CN"/>
        </w:rPr>
        <w:t>电子</w:t>
      </w:r>
      <w:r>
        <w:rPr>
          <w:rFonts w:hint="eastAsia" w:ascii="宋体" w:hAnsi="宋体"/>
          <w:color w:val="auto"/>
          <w:spacing w:val="20"/>
          <w:sz w:val="24"/>
          <w:highlight w:val="none"/>
        </w:rPr>
        <w:t>公章）：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日 期：</w:t>
      </w:r>
      <w:r>
        <w:rPr>
          <w:rFonts w:hint="eastAsia" w:ascii="宋体" w:hAnsi="宋体"/>
          <w:color w:val="auto"/>
          <w:spacing w:val="20"/>
          <w:sz w:val="24"/>
          <w:highlight w:val="none"/>
          <w:u w:val="single"/>
        </w:rPr>
        <w:t xml:space="preserve">        </w:t>
      </w:r>
    </w:p>
    <w:p>
      <w:pPr>
        <w:snapToGrid w:val="0"/>
        <w:spacing w:before="50" w:after="50" w:line="360" w:lineRule="auto"/>
        <w:rPr>
          <w:rFonts w:hint="eastAsia" w:ascii="宋体" w:hAnsi="宋体"/>
          <w:color w:val="auto"/>
          <w:sz w:val="24"/>
          <w:szCs w:val="20"/>
          <w:highlight w:val="none"/>
        </w:rPr>
      </w:pPr>
    </w:p>
    <w:p>
      <w:pPr>
        <w:snapToGrid w:val="0"/>
        <w:spacing w:before="120" w:beforeLines="50" w:after="50"/>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lang w:val="en-US" w:eastAsia="zh-CN"/>
        </w:rPr>
        <w:t>5</w:t>
      </w:r>
      <w:r>
        <w:rPr>
          <w:rFonts w:hint="eastAsia" w:ascii="宋体" w:hAnsi="宋体"/>
          <w:b/>
          <w:color w:val="auto"/>
          <w:sz w:val="24"/>
          <w:highlight w:val="none"/>
        </w:rPr>
        <w:t>. 选配件、专用耗材、售后服务优惠表格式（注：按项目需求表具体项目修改）</w:t>
      </w:r>
    </w:p>
    <w:p>
      <w:pPr>
        <w:snapToGrid w:val="0"/>
        <w:spacing w:before="120" w:beforeLines="50" w:after="50"/>
        <w:ind w:left="142"/>
        <w:jc w:val="left"/>
        <w:rPr>
          <w:rFonts w:hint="eastAsia" w:ascii="宋体" w:hAnsi="宋体"/>
          <w:b/>
          <w:color w:val="auto"/>
          <w:sz w:val="24"/>
          <w:highlight w:val="none"/>
        </w:rPr>
      </w:pPr>
    </w:p>
    <w:p>
      <w:pPr>
        <w:snapToGrid w:val="0"/>
        <w:spacing w:before="120" w:beforeLines="50" w:after="50"/>
        <w:ind w:left="142"/>
        <w:jc w:val="center"/>
        <w:rPr>
          <w:rFonts w:hint="eastAsia" w:ascii="宋体" w:hAnsi="宋体"/>
          <w:b/>
          <w:color w:val="auto"/>
          <w:sz w:val="32"/>
          <w:szCs w:val="32"/>
          <w:highlight w:val="none"/>
        </w:rPr>
      </w:pPr>
      <w:r>
        <w:rPr>
          <w:rFonts w:hint="eastAsia" w:ascii="宋体" w:hAnsi="宋体"/>
          <w:b/>
          <w:color w:val="auto"/>
          <w:sz w:val="32"/>
          <w:szCs w:val="32"/>
          <w:highlight w:val="none"/>
        </w:rPr>
        <w:t>选配件、专用耗材、售后服务优惠表</w:t>
      </w:r>
    </w:p>
    <w:tbl>
      <w:tblPr>
        <w:tblStyle w:val="17"/>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35"/>
        <w:gridCol w:w="2700"/>
        <w:gridCol w:w="1440"/>
        <w:gridCol w:w="1440"/>
        <w:gridCol w:w="23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1" w:hRule="atLeast"/>
        </w:trPr>
        <w:tc>
          <w:tcPr>
            <w:tcW w:w="73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pStyle w:val="12"/>
              <w:snapToGrid w:val="0"/>
              <w:spacing w:before="295" w:after="295"/>
              <w:jc w:val="center"/>
              <w:rPr>
                <w:rFonts w:hint="eastAsia" w:hAnsi="宋体" w:cs="Courier New"/>
                <w:color w:val="auto"/>
                <w:kern w:val="2"/>
                <w:sz w:val="24"/>
                <w:szCs w:val="24"/>
                <w:highlight w:val="none"/>
                <w:lang w:val="en-US" w:eastAsia="zh-CN"/>
              </w:rPr>
            </w:pPr>
          </w:p>
          <w:p>
            <w:pPr>
              <w:pStyle w:val="12"/>
              <w:snapToGrid w:val="0"/>
              <w:spacing w:before="295" w:after="295"/>
              <w:jc w:val="center"/>
              <w:rPr>
                <w:rFonts w:hint="eastAsia" w:hAnsi="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序号</w:t>
            </w:r>
          </w:p>
        </w:tc>
        <w:tc>
          <w:tcPr>
            <w:tcW w:w="2700" w:type="dxa"/>
            <w:tcBorders>
              <w:top w:val="single" w:color="auto" w:sz="4" w:space="0"/>
              <w:left w:val="single" w:color="auto" w:sz="4" w:space="0"/>
              <w:bottom w:val="single" w:color="auto" w:sz="2" w:space="0"/>
              <w:right w:val="single" w:color="auto" w:sz="4" w:space="0"/>
            </w:tcBorders>
            <w:noWrap w:val="0"/>
            <w:vAlign w:val="center"/>
          </w:tcPr>
          <w:p>
            <w:pPr>
              <w:pStyle w:val="12"/>
              <w:snapToGrid w:val="0"/>
              <w:spacing w:before="295" w:after="295"/>
              <w:jc w:val="center"/>
              <w:rPr>
                <w:rFonts w:hint="eastAsia" w:hAnsi="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优惠内容</w:t>
            </w:r>
          </w:p>
        </w:tc>
        <w:tc>
          <w:tcPr>
            <w:tcW w:w="1440" w:type="dxa"/>
            <w:tcBorders>
              <w:top w:val="single" w:color="auto" w:sz="4" w:space="0"/>
              <w:left w:val="single" w:color="auto" w:sz="4" w:space="0"/>
              <w:bottom w:val="single" w:color="auto" w:sz="2" w:space="0"/>
              <w:right w:val="single" w:color="auto" w:sz="4" w:space="0"/>
            </w:tcBorders>
            <w:noWrap w:val="0"/>
            <w:vAlign w:val="center"/>
          </w:tcPr>
          <w:p>
            <w:pPr>
              <w:pStyle w:val="12"/>
              <w:snapToGrid w:val="0"/>
              <w:spacing w:before="295" w:after="295"/>
              <w:jc w:val="center"/>
              <w:rPr>
                <w:rFonts w:hint="eastAsia" w:hAnsi="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适用机型</w:t>
            </w:r>
          </w:p>
        </w:tc>
        <w:tc>
          <w:tcPr>
            <w:tcW w:w="1440" w:type="dxa"/>
            <w:tcBorders>
              <w:top w:val="single" w:color="auto" w:sz="4" w:space="0"/>
              <w:left w:val="single" w:color="auto" w:sz="4" w:space="0"/>
              <w:bottom w:val="single" w:color="auto" w:sz="2" w:space="0"/>
              <w:right w:val="single" w:color="auto" w:sz="4" w:space="0"/>
            </w:tcBorders>
            <w:noWrap w:val="0"/>
            <w:tcMar>
              <w:top w:w="15" w:type="dxa"/>
              <w:left w:w="15" w:type="dxa"/>
              <w:bottom w:w="0" w:type="dxa"/>
              <w:right w:w="15" w:type="dxa"/>
            </w:tcMar>
            <w:vAlign w:val="center"/>
          </w:tcPr>
          <w:p>
            <w:pPr>
              <w:pStyle w:val="12"/>
              <w:snapToGrid w:val="0"/>
              <w:spacing w:before="295" w:after="295"/>
              <w:jc w:val="center"/>
              <w:rPr>
                <w:rFonts w:hint="eastAsia" w:hAnsi="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单价</w:t>
            </w:r>
          </w:p>
        </w:tc>
        <w:tc>
          <w:tcPr>
            <w:tcW w:w="2340" w:type="dxa"/>
            <w:tcBorders>
              <w:top w:val="single" w:color="auto" w:sz="4" w:space="0"/>
              <w:left w:val="single" w:color="auto" w:sz="4" w:space="0"/>
              <w:bottom w:val="single" w:color="auto" w:sz="2" w:space="0"/>
              <w:right w:val="single" w:color="auto" w:sz="4" w:space="0"/>
            </w:tcBorders>
            <w:noWrap w:val="0"/>
            <w:vAlign w:val="center"/>
          </w:tcPr>
          <w:p>
            <w:pPr>
              <w:pStyle w:val="12"/>
              <w:snapToGrid w:val="0"/>
              <w:spacing w:before="295" w:after="295"/>
              <w:jc w:val="center"/>
              <w:rPr>
                <w:rFonts w:hint="eastAsia" w:hAnsi="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比市场价优惠率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pPr>
              <w:pStyle w:val="12"/>
              <w:snapToGrid w:val="0"/>
              <w:spacing w:before="295" w:after="295"/>
              <w:jc w:val="center"/>
              <w:rPr>
                <w:rFonts w:hint="eastAsia" w:hAnsi="宋体"/>
                <w:color w:val="auto"/>
                <w:kern w:val="2"/>
                <w:sz w:val="24"/>
                <w:szCs w:val="24"/>
                <w:highlight w:val="none"/>
                <w:lang w:val="en-US" w:eastAsia="zh-CN"/>
              </w:rPr>
            </w:pPr>
            <w:r>
              <w:rPr>
                <w:rFonts w:hint="eastAsia" w:hAnsi="宋体"/>
                <w:color w:val="auto"/>
                <w:kern w:val="2"/>
                <w:sz w:val="24"/>
                <w:szCs w:val="24"/>
                <w:highlight w:val="none"/>
                <w:lang w:val="en-US" w:eastAsia="zh-CN"/>
              </w:rPr>
              <w:t>1</w:t>
            </w:r>
          </w:p>
        </w:tc>
        <w:tc>
          <w:tcPr>
            <w:tcW w:w="2700" w:type="dxa"/>
            <w:tcBorders>
              <w:top w:val="single" w:color="auto" w:sz="2" w:space="0"/>
              <w:left w:val="single" w:color="auto" w:sz="2" w:space="0"/>
              <w:bottom w:val="single" w:color="auto" w:sz="6" w:space="0"/>
              <w:right w:val="single" w:color="auto" w:sz="4" w:space="0"/>
            </w:tcBorders>
            <w:noWrap w:val="0"/>
            <w:vAlign w:val="center"/>
          </w:tcPr>
          <w:p>
            <w:pPr>
              <w:pStyle w:val="12"/>
              <w:snapToGrid w:val="0"/>
              <w:spacing w:before="295" w:after="295"/>
              <w:jc w:val="center"/>
              <w:rPr>
                <w:rFonts w:hint="eastAsia" w:hAnsi="宋体"/>
                <w:color w:val="auto"/>
                <w:kern w:val="2"/>
                <w:sz w:val="24"/>
                <w:szCs w:val="24"/>
                <w:highlight w:val="none"/>
                <w:lang w:val="en-US" w:eastAsia="zh-CN"/>
              </w:rPr>
            </w:pPr>
          </w:p>
        </w:tc>
        <w:tc>
          <w:tcPr>
            <w:tcW w:w="1440" w:type="dxa"/>
            <w:tcBorders>
              <w:top w:val="single" w:color="auto" w:sz="2" w:space="0"/>
              <w:left w:val="single" w:color="auto" w:sz="4" w:space="0"/>
              <w:bottom w:val="single" w:color="auto" w:sz="6" w:space="0"/>
              <w:right w:val="single" w:color="auto" w:sz="6" w:space="0"/>
            </w:tcBorders>
            <w:noWrap w:val="0"/>
            <w:vAlign w:val="center"/>
          </w:tcPr>
          <w:p>
            <w:pPr>
              <w:pStyle w:val="12"/>
              <w:snapToGrid w:val="0"/>
              <w:spacing w:before="295" w:after="295"/>
              <w:jc w:val="center"/>
              <w:rPr>
                <w:rFonts w:hint="eastAsia" w:hAnsi="宋体"/>
                <w:color w:val="auto"/>
                <w:kern w:val="2"/>
                <w:sz w:val="24"/>
                <w:szCs w:val="24"/>
                <w:highlight w:val="none"/>
                <w:lang w:val="en-US" w:eastAsia="zh-CN"/>
              </w:rPr>
            </w:pPr>
          </w:p>
        </w:tc>
        <w:tc>
          <w:tcPr>
            <w:tcW w:w="1440" w:type="dxa"/>
            <w:tcBorders>
              <w:top w:val="single" w:color="auto" w:sz="2"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pPr>
              <w:pStyle w:val="12"/>
              <w:snapToGrid w:val="0"/>
              <w:spacing w:before="295" w:after="295"/>
              <w:jc w:val="center"/>
              <w:rPr>
                <w:rFonts w:hint="eastAsia" w:hAnsi="宋体"/>
                <w:color w:val="auto"/>
                <w:kern w:val="2"/>
                <w:sz w:val="24"/>
                <w:szCs w:val="24"/>
                <w:highlight w:val="none"/>
                <w:lang w:val="en-US" w:eastAsia="zh-CN"/>
              </w:rPr>
            </w:pPr>
          </w:p>
        </w:tc>
        <w:tc>
          <w:tcPr>
            <w:tcW w:w="2340" w:type="dxa"/>
            <w:tcBorders>
              <w:top w:val="single" w:color="auto" w:sz="2" w:space="0"/>
              <w:left w:val="single" w:color="auto" w:sz="6" w:space="0"/>
              <w:bottom w:val="single" w:color="auto" w:sz="6" w:space="0"/>
              <w:right w:val="single" w:color="auto" w:sz="2" w:space="0"/>
            </w:tcBorders>
            <w:noWrap w:val="0"/>
            <w:vAlign w:val="center"/>
          </w:tcPr>
          <w:p>
            <w:pPr>
              <w:pStyle w:val="12"/>
              <w:snapToGrid w:val="0"/>
              <w:spacing w:before="295" w:after="295"/>
              <w:jc w:val="center"/>
              <w:rPr>
                <w:rFonts w:hint="eastAsia" w:hAnsi="宋体"/>
                <w:color w:val="auto"/>
                <w:kern w:val="2"/>
                <w:sz w:val="24"/>
                <w:szCs w:val="24"/>
                <w:highlight w:val="none"/>
                <w:lang w:val="en-US" w:eastAsia="zh-CN"/>
              </w:rPr>
            </w:pPr>
            <w:r>
              <w:rPr>
                <w:rFonts w:hint="eastAsia" w:hAnsi="宋体"/>
                <w:color w:val="auto"/>
                <w:kern w:val="2"/>
                <w:sz w:val="24"/>
                <w:szCs w:val="24"/>
                <w:highlight w:val="none"/>
                <w:lang w:val="en-US" w:eastAsia="zh-CN"/>
              </w:rPr>
              <w:t xml:space="preserve"> </w:t>
            </w:r>
            <w:r>
              <w:rPr>
                <w:rFonts w:hint="eastAsia" w:hAnsi="宋体"/>
                <w:color w:val="auto"/>
                <w:kern w:val="2"/>
                <w:sz w:val="24"/>
                <w:szCs w:val="24"/>
                <w:highlight w:val="none"/>
                <w:u w:val="single"/>
                <w:lang w:val="en-US" w:eastAsia="zh-CN"/>
              </w:rPr>
              <w:t xml:space="preserve">           </w:t>
            </w:r>
            <w:r>
              <w:rPr>
                <w:rFonts w:hint="eastAsia" w:hAnsi="宋体"/>
                <w:color w:val="auto"/>
                <w:kern w:val="2"/>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pPr>
              <w:pStyle w:val="12"/>
              <w:snapToGrid w:val="0"/>
              <w:spacing w:before="295" w:after="295"/>
              <w:jc w:val="center"/>
              <w:rPr>
                <w:rFonts w:hint="eastAsia" w:hAnsi="宋体"/>
                <w:color w:val="auto"/>
                <w:kern w:val="2"/>
                <w:sz w:val="24"/>
                <w:szCs w:val="24"/>
                <w:highlight w:val="none"/>
                <w:lang w:val="en-US" w:eastAsia="zh-CN"/>
              </w:rPr>
            </w:pPr>
            <w:r>
              <w:rPr>
                <w:rFonts w:hint="eastAsia" w:hAnsi="宋体"/>
                <w:color w:val="auto"/>
                <w:kern w:val="2"/>
                <w:sz w:val="24"/>
                <w:szCs w:val="24"/>
                <w:highlight w:val="none"/>
                <w:lang w:val="en-US" w:eastAsia="zh-CN"/>
              </w:rPr>
              <w:t>2</w:t>
            </w:r>
          </w:p>
        </w:tc>
        <w:tc>
          <w:tcPr>
            <w:tcW w:w="2700" w:type="dxa"/>
            <w:tcBorders>
              <w:top w:val="single" w:color="auto" w:sz="6" w:space="0"/>
              <w:left w:val="single" w:color="auto" w:sz="2" w:space="0"/>
              <w:bottom w:val="single" w:color="auto" w:sz="6" w:space="0"/>
              <w:right w:val="single" w:color="auto" w:sz="4" w:space="0"/>
            </w:tcBorders>
            <w:noWrap w:val="0"/>
            <w:vAlign w:val="center"/>
          </w:tcPr>
          <w:p>
            <w:pPr>
              <w:pStyle w:val="12"/>
              <w:snapToGrid w:val="0"/>
              <w:spacing w:before="295" w:after="295"/>
              <w:jc w:val="center"/>
              <w:rPr>
                <w:rFonts w:hint="eastAsia" w:hAnsi="宋体"/>
                <w:color w:val="auto"/>
                <w:kern w:val="2"/>
                <w:sz w:val="24"/>
                <w:szCs w:val="24"/>
                <w:highlight w:val="none"/>
                <w:lang w:val="en-US" w:eastAsia="zh-CN"/>
              </w:rPr>
            </w:pPr>
          </w:p>
        </w:tc>
        <w:tc>
          <w:tcPr>
            <w:tcW w:w="1440" w:type="dxa"/>
            <w:tcBorders>
              <w:top w:val="single" w:color="auto" w:sz="6" w:space="0"/>
              <w:left w:val="single" w:color="auto" w:sz="4" w:space="0"/>
              <w:bottom w:val="single" w:color="auto" w:sz="6" w:space="0"/>
              <w:right w:val="single" w:color="auto" w:sz="6" w:space="0"/>
            </w:tcBorders>
            <w:noWrap w:val="0"/>
            <w:vAlign w:val="center"/>
          </w:tcPr>
          <w:p>
            <w:pPr>
              <w:pStyle w:val="12"/>
              <w:snapToGrid w:val="0"/>
              <w:spacing w:before="295" w:after="295"/>
              <w:jc w:val="center"/>
              <w:rPr>
                <w:rFonts w:hint="eastAsia" w:hAnsi="宋体"/>
                <w:color w:val="auto"/>
                <w:kern w:val="2"/>
                <w:sz w:val="24"/>
                <w:szCs w:val="24"/>
                <w:highlight w:val="none"/>
                <w:lang w:val="en-US" w:eastAsia="zh-CN"/>
              </w:rPr>
            </w:pPr>
          </w:p>
        </w:tc>
        <w:tc>
          <w:tcPr>
            <w:tcW w:w="1440" w:type="dxa"/>
            <w:tcBorders>
              <w:top w:val="single" w:color="auto" w:sz="6"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pPr>
              <w:pStyle w:val="12"/>
              <w:snapToGrid w:val="0"/>
              <w:spacing w:before="295" w:after="295"/>
              <w:jc w:val="center"/>
              <w:rPr>
                <w:rFonts w:hint="eastAsia" w:hAnsi="宋体"/>
                <w:color w:val="auto"/>
                <w:kern w:val="2"/>
                <w:sz w:val="24"/>
                <w:szCs w:val="24"/>
                <w:highlight w:val="none"/>
                <w:lang w:val="en-US" w:eastAsia="zh-CN"/>
              </w:rPr>
            </w:pPr>
          </w:p>
        </w:tc>
        <w:tc>
          <w:tcPr>
            <w:tcW w:w="2340" w:type="dxa"/>
            <w:tcBorders>
              <w:top w:val="single" w:color="auto" w:sz="6" w:space="0"/>
              <w:left w:val="single" w:color="auto" w:sz="6" w:space="0"/>
              <w:bottom w:val="single" w:color="auto" w:sz="6" w:space="0"/>
              <w:right w:val="single" w:color="auto" w:sz="2" w:space="0"/>
            </w:tcBorders>
            <w:noWrap w:val="0"/>
            <w:vAlign w:val="center"/>
          </w:tcPr>
          <w:p>
            <w:pPr>
              <w:pStyle w:val="12"/>
              <w:snapToGrid w:val="0"/>
              <w:spacing w:before="295" w:after="295"/>
              <w:jc w:val="center"/>
              <w:rPr>
                <w:rFonts w:hint="eastAsia" w:hAnsi="宋体"/>
                <w:color w:val="auto"/>
                <w:kern w:val="2"/>
                <w:sz w:val="24"/>
                <w:szCs w:val="24"/>
                <w:highlight w:val="none"/>
                <w:lang w:val="en-US" w:eastAsia="zh-CN"/>
              </w:rPr>
            </w:pPr>
            <w:r>
              <w:rPr>
                <w:rFonts w:hint="eastAsia" w:hAnsi="宋体"/>
                <w:color w:val="auto"/>
                <w:kern w:val="2"/>
                <w:sz w:val="24"/>
                <w:szCs w:val="24"/>
                <w:highlight w:val="none"/>
                <w:lang w:val="en-US" w:eastAsia="zh-CN"/>
              </w:rPr>
              <w:t xml:space="preserve"> </w:t>
            </w:r>
            <w:r>
              <w:rPr>
                <w:rFonts w:hint="eastAsia" w:hAnsi="宋体"/>
                <w:color w:val="auto"/>
                <w:kern w:val="2"/>
                <w:sz w:val="24"/>
                <w:szCs w:val="24"/>
                <w:highlight w:val="none"/>
                <w:u w:val="single"/>
                <w:lang w:val="en-US" w:eastAsia="zh-CN"/>
              </w:rPr>
              <w:t xml:space="preserve">           </w:t>
            </w:r>
            <w:r>
              <w:rPr>
                <w:rFonts w:hint="eastAsia" w:hAnsi="宋体"/>
                <w:color w:val="auto"/>
                <w:kern w:val="2"/>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pPr>
              <w:pStyle w:val="12"/>
              <w:snapToGrid w:val="0"/>
              <w:spacing w:before="295" w:after="295"/>
              <w:jc w:val="center"/>
              <w:rPr>
                <w:rFonts w:hint="eastAsia" w:hAnsi="宋体"/>
                <w:color w:val="auto"/>
                <w:kern w:val="2"/>
                <w:sz w:val="24"/>
                <w:szCs w:val="24"/>
                <w:highlight w:val="none"/>
                <w:lang w:val="en-US" w:eastAsia="zh-CN"/>
              </w:rPr>
            </w:pPr>
            <w:r>
              <w:rPr>
                <w:rFonts w:hint="eastAsia" w:hAnsi="宋体"/>
                <w:color w:val="auto"/>
                <w:kern w:val="2"/>
                <w:sz w:val="24"/>
                <w:szCs w:val="24"/>
                <w:highlight w:val="none"/>
                <w:lang w:val="en-US" w:eastAsia="zh-CN"/>
              </w:rPr>
              <w:t>3</w:t>
            </w:r>
          </w:p>
        </w:tc>
        <w:tc>
          <w:tcPr>
            <w:tcW w:w="2700" w:type="dxa"/>
            <w:tcBorders>
              <w:top w:val="single" w:color="auto" w:sz="6" w:space="0"/>
              <w:left w:val="single" w:color="auto" w:sz="2" w:space="0"/>
              <w:bottom w:val="single" w:color="auto" w:sz="6" w:space="0"/>
              <w:right w:val="single" w:color="auto" w:sz="4" w:space="0"/>
            </w:tcBorders>
            <w:noWrap w:val="0"/>
            <w:vAlign w:val="center"/>
          </w:tcPr>
          <w:p>
            <w:pPr>
              <w:pStyle w:val="12"/>
              <w:snapToGrid w:val="0"/>
              <w:spacing w:before="295" w:after="295"/>
              <w:jc w:val="center"/>
              <w:rPr>
                <w:rFonts w:hint="eastAsia" w:hAnsi="宋体"/>
                <w:color w:val="auto"/>
                <w:kern w:val="2"/>
                <w:sz w:val="24"/>
                <w:szCs w:val="24"/>
                <w:highlight w:val="none"/>
                <w:lang w:val="en-US" w:eastAsia="zh-CN"/>
              </w:rPr>
            </w:pPr>
          </w:p>
        </w:tc>
        <w:tc>
          <w:tcPr>
            <w:tcW w:w="1440" w:type="dxa"/>
            <w:tcBorders>
              <w:top w:val="single" w:color="auto" w:sz="6" w:space="0"/>
              <w:left w:val="single" w:color="auto" w:sz="4" w:space="0"/>
              <w:bottom w:val="single" w:color="auto" w:sz="6" w:space="0"/>
              <w:right w:val="single" w:color="auto" w:sz="6" w:space="0"/>
            </w:tcBorders>
            <w:noWrap w:val="0"/>
            <w:vAlign w:val="center"/>
          </w:tcPr>
          <w:p>
            <w:pPr>
              <w:pStyle w:val="12"/>
              <w:snapToGrid w:val="0"/>
              <w:spacing w:before="295" w:after="295"/>
              <w:jc w:val="center"/>
              <w:rPr>
                <w:rFonts w:hint="eastAsia" w:hAnsi="宋体"/>
                <w:color w:val="auto"/>
                <w:kern w:val="2"/>
                <w:sz w:val="24"/>
                <w:szCs w:val="24"/>
                <w:highlight w:val="none"/>
                <w:lang w:val="en-US" w:eastAsia="zh-CN"/>
              </w:rPr>
            </w:pPr>
          </w:p>
        </w:tc>
        <w:tc>
          <w:tcPr>
            <w:tcW w:w="1440" w:type="dxa"/>
            <w:tcBorders>
              <w:top w:val="single" w:color="auto" w:sz="6"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pPr>
              <w:pStyle w:val="12"/>
              <w:snapToGrid w:val="0"/>
              <w:spacing w:before="295" w:after="295"/>
              <w:jc w:val="center"/>
              <w:rPr>
                <w:rFonts w:hint="eastAsia" w:hAnsi="宋体"/>
                <w:color w:val="auto"/>
                <w:kern w:val="2"/>
                <w:sz w:val="24"/>
                <w:szCs w:val="24"/>
                <w:highlight w:val="none"/>
                <w:lang w:val="en-US" w:eastAsia="zh-CN"/>
              </w:rPr>
            </w:pPr>
          </w:p>
        </w:tc>
        <w:tc>
          <w:tcPr>
            <w:tcW w:w="2340" w:type="dxa"/>
            <w:tcBorders>
              <w:top w:val="single" w:color="auto" w:sz="6" w:space="0"/>
              <w:left w:val="single" w:color="auto" w:sz="6" w:space="0"/>
              <w:bottom w:val="single" w:color="auto" w:sz="6" w:space="0"/>
              <w:right w:val="single" w:color="auto" w:sz="2" w:space="0"/>
            </w:tcBorders>
            <w:noWrap w:val="0"/>
            <w:vAlign w:val="center"/>
          </w:tcPr>
          <w:p>
            <w:pPr>
              <w:pStyle w:val="12"/>
              <w:snapToGrid w:val="0"/>
              <w:spacing w:before="295" w:after="295"/>
              <w:jc w:val="center"/>
              <w:rPr>
                <w:rFonts w:hint="eastAsia" w:hAnsi="宋体"/>
                <w:color w:val="auto"/>
                <w:kern w:val="2"/>
                <w:sz w:val="24"/>
                <w:szCs w:val="24"/>
                <w:highlight w:val="none"/>
                <w:lang w:val="en-US" w:eastAsia="zh-CN"/>
              </w:rPr>
            </w:pPr>
            <w:r>
              <w:rPr>
                <w:rFonts w:hint="eastAsia" w:hAnsi="宋体"/>
                <w:color w:val="auto"/>
                <w:kern w:val="2"/>
                <w:sz w:val="24"/>
                <w:szCs w:val="24"/>
                <w:highlight w:val="none"/>
                <w:lang w:val="en-US" w:eastAsia="zh-CN"/>
              </w:rPr>
              <w:t xml:space="preserve"> </w:t>
            </w:r>
            <w:r>
              <w:rPr>
                <w:rFonts w:hint="eastAsia" w:hAnsi="宋体"/>
                <w:color w:val="auto"/>
                <w:kern w:val="2"/>
                <w:sz w:val="24"/>
                <w:szCs w:val="24"/>
                <w:highlight w:val="none"/>
                <w:u w:val="single"/>
                <w:lang w:val="en-US" w:eastAsia="zh-CN"/>
              </w:rPr>
              <w:t xml:space="preserve">           </w:t>
            </w:r>
            <w:r>
              <w:rPr>
                <w:rFonts w:hint="eastAsia" w:hAnsi="宋体"/>
                <w:color w:val="auto"/>
                <w:kern w:val="2"/>
                <w:sz w:val="24"/>
                <w:szCs w:val="24"/>
                <w:highlight w:val="none"/>
                <w:lang w:val="en-US" w:eastAsia="zh-CN"/>
              </w:rPr>
              <w:t>%</w:t>
            </w:r>
          </w:p>
        </w:tc>
      </w:tr>
    </w:tbl>
    <w:p>
      <w:pPr>
        <w:spacing w:line="360" w:lineRule="auto"/>
        <w:contextualSpacing/>
        <w:rPr>
          <w:rFonts w:hint="eastAsia" w:ascii="宋体" w:hAnsi="宋体"/>
          <w:color w:val="auto"/>
          <w:sz w:val="24"/>
          <w:highlight w:val="none"/>
        </w:rPr>
      </w:pPr>
    </w:p>
    <w:p>
      <w:pPr>
        <w:spacing w:line="360" w:lineRule="auto"/>
        <w:contextualSpacing/>
        <w:rPr>
          <w:rFonts w:hint="eastAsia" w:ascii="宋体" w:hAnsi="宋体"/>
          <w:color w:val="auto"/>
          <w:spacing w:val="20"/>
          <w:sz w:val="24"/>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w:t>
      </w:r>
      <w:r>
        <w:rPr>
          <w:rFonts w:hint="eastAsia" w:ascii="宋体" w:hAnsi="宋体"/>
          <w:color w:val="auto"/>
          <w:spacing w:val="20"/>
          <w:sz w:val="24"/>
          <w:highlight w:val="none"/>
          <w:lang w:val="en-US" w:eastAsia="zh-CN"/>
        </w:rPr>
        <w:t>/</w:t>
      </w:r>
      <w:r>
        <w:rPr>
          <w:rFonts w:hint="eastAsia" w:hAnsi="宋体"/>
          <w:color w:val="auto"/>
          <w:sz w:val="24"/>
          <w:szCs w:val="24"/>
          <w:highlight w:val="none"/>
        </w:rPr>
        <w:t>签章</w:t>
      </w:r>
      <w:r>
        <w:rPr>
          <w:rFonts w:hint="eastAsia" w:ascii="宋体" w:hAnsi="宋体"/>
          <w:color w:val="auto"/>
          <w:spacing w:val="20"/>
          <w:sz w:val="24"/>
          <w:highlight w:val="none"/>
        </w:rPr>
        <w:t>）：</w:t>
      </w:r>
      <w:r>
        <w:rPr>
          <w:rFonts w:hint="eastAsia" w:ascii="宋体" w:hAnsi="宋体"/>
          <w:color w:val="auto"/>
          <w:spacing w:val="20"/>
          <w:sz w:val="24"/>
          <w:highlight w:val="none"/>
          <w:u w:val="single"/>
        </w:rPr>
        <w:t xml:space="preserve">        </w:t>
      </w:r>
    </w:p>
    <w:p>
      <w:pPr>
        <w:spacing w:line="360" w:lineRule="auto"/>
        <w:contextualSpacing/>
        <w:rPr>
          <w:rFonts w:hint="eastAsia" w:ascii="宋体" w:hAnsi="宋体"/>
          <w:color w:val="auto"/>
          <w:sz w:val="24"/>
          <w:szCs w:val="20"/>
          <w:highlight w:val="none"/>
        </w:rPr>
      </w:pPr>
      <w:r>
        <w:rPr>
          <w:rFonts w:hint="eastAsia" w:ascii="宋体" w:hAnsi="宋体"/>
          <w:color w:val="auto"/>
          <w:spacing w:val="20"/>
          <w:sz w:val="24"/>
          <w:highlight w:val="none"/>
        </w:rPr>
        <w:t>投标人（盖</w:t>
      </w:r>
      <w:r>
        <w:rPr>
          <w:rFonts w:hint="eastAsia" w:ascii="宋体" w:hAnsi="宋体"/>
          <w:color w:val="auto"/>
          <w:spacing w:val="20"/>
          <w:sz w:val="24"/>
          <w:highlight w:val="none"/>
          <w:lang w:eastAsia="zh-CN"/>
        </w:rPr>
        <w:t>电子</w:t>
      </w:r>
      <w:r>
        <w:rPr>
          <w:rFonts w:hint="eastAsia" w:ascii="宋体" w:hAnsi="宋体"/>
          <w:color w:val="auto"/>
          <w:spacing w:val="20"/>
          <w:sz w:val="24"/>
          <w:highlight w:val="none"/>
        </w:rPr>
        <w:t>公章）：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日 期：</w:t>
      </w:r>
      <w:r>
        <w:rPr>
          <w:rFonts w:hint="eastAsia" w:ascii="宋体" w:hAnsi="宋体"/>
          <w:color w:val="auto"/>
          <w:spacing w:val="20"/>
          <w:sz w:val="24"/>
          <w:highlight w:val="none"/>
          <w:u w:val="single"/>
        </w:rPr>
        <w:t xml:space="preserve">            </w:t>
      </w:r>
    </w:p>
    <w:p>
      <w:pPr>
        <w:snapToGrid w:val="0"/>
        <w:spacing w:before="50" w:after="120" w:afterLines="50"/>
        <w:jc w:val="left"/>
        <w:rPr>
          <w:rFonts w:hint="eastAsia" w:ascii="宋体" w:hAnsi="宋体"/>
          <w:color w:val="auto"/>
          <w:sz w:val="24"/>
          <w:szCs w:val="20"/>
          <w:highlight w:val="none"/>
        </w:rPr>
      </w:pPr>
    </w:p>
    <w:p>
      <w:pPr>
        <w:rPr>
          <w:rFonts w:hint="eastAsia"/>
          <w:b/>
          <w:color w:val="auto"/>
          <w:sz w:val="28"/>
          <w:szCs w:val="28"/>
          <w:highlight w:val="none"/>
        </w:rPr>
      </w:pPr>
      <w:r>
        <w:rPr>
          <w:rFonts w:ascii="宋体" w:hAnsi="宋体"/>
          <w:b/>
          <w:bCs/>
          <w:color w:val="auto"/>
          <w:sz w:val="24"/>
          <w:highlight w:val="none"/>
        </w:rPr>
        <w:br w:type="page"/>
      </w:r>
      <w:r>
        <w:rPr>
          <w:rFonts w:hint="eastAsia"/>
          <w:b/>
          <w:color w:val="auto"/>
          <w:sz w:val="28"/>
          <w:szCs w:val="28"/>
          <w:highlight w:val="none"/>
        </w:rPr>
        <w:t>六、其他文书、文件格式</w:t>
      </w:r>
    </w:p>
    <w:p>
      <w:pPr>
        <w:spacing w:before="120" w:beforeLines="50" w:after="120" w:afterLines="50" w:line="400" w:lineRule="exact"/>
        <w:rPr>
          <w:rFonts w:hint="eastAsia" w:ascii="宋体" w:hAnsi="宋体"/>
          <w:color w:val="auto"/>
          <w:sz w:val="24"/>
          <w:highlight w:val="none"/>
        </w:rPr>
      </w:pPr>
    </w:p>
    <w:p>
      <w:pPr>
        <w:snapToGrid w:val="0"/>
        <w:spacing w:before="120" w:beforeLines="50" w:after="50"/>
        <w:jc w:val="left"/>
        <w:rPr>
          <w:rFonts w:hint="eastAsia"/>
          <w:color w:val="auto"/>
          <w:highlight w:val="none"/>
        </w:rPr>
      </w:pPr>
      <w:r>
        <w:rPr>
          <w:rFonts w:hint="eastAsia" w:ascii="宋体" w:hAnsi="宋体"/>
          <w:b/>
          <w:color w:val="auto"/>
          <w:spacing w:val="20"/>
          <w:sz w:val="24"/>
          <w:highlight w:val="none"/>
        </w:rPr>
        <w:t>1.</w:t>
      </w:r>
      <w:r>
        <w:rPr>
          <w:rFonts w:hint="eastAsia" w:ascii="宋体" w:hAnsi="宋体"/>
          <w:b/>
          <w:color w:val="auto"/>
          <w:sz w:val="24"/>
          <w:highlight w:val="none"/>
        </w:rPr>
        <w:t>中小企业声明函格式</w:t>
      </w:r>
    </w:p>
    <w:p>
      <w:pPr>
        <w:rPr>
          <w:rFonts w:hint="eastAsia"/>
          <w:color w:val="auto"/>
          <w:highlight w:val="none"/>
        </w:rPr>
      </w:pPr>
    </w:p>
    <w:p>
      <w:pPr>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中小企业声明函（货物）</w:t>
      </w:r>
    </w:p>
    <w:p>
      <w:pPr>
        <w:spacing w:before="2" w:line="500" w:lineRule="exact"/>
        <w:rPr>
          <w:rFonts w:ascii="宋体" w:hAnsi="宋体" w:cs="宋体"/>
          <w:b/>
          <w:bCs/>
          <w:color w:val="auto"/>
          <w:sz w:val="27"/>
          <w:szCs w:val="27"/>
          <w:highlight w:val="none"/>
        </w:rPr>
      </w:pPr>
    </w:p>
    <w:p>
      <w:pPr>
        <w:pStyle w:val="10"/>
        <w:spacing w:line="360" w:lineRule="auto"/>
        <w:ind w:left="-426" w:leftChars="-203" w:right="142" w:firstLine="480" w:firstLineChars="200"/>
        <w:contextualSpacing/>
        <w:rPr>
          <w:rFonts w:ascii="宋体" w:hAnsi="宋体"/>
          <w:color w:val="auto"/>
          <w:kern w:val="24"/>
          <w:highlight w:val="none"/>
        </w:rPr>
      </w:pPr>
      <w:r>
        <w:rPr>
          <w:rFonts w:ascii="宋体" w:hAnsi="宋体"/>
          <w:color w:val="auto"/>
          <w:kern w:val="24"/>
          <w:highlight w:val="none"/>
        </w:rPr>
        <w:t>本公司（联合体）郑重声明，根据《政府采购促进中小企业发展管理办法》（财库﹝2020﹞46号）的规定，本公司（联合体）参加</w:t>
      </w:r>
      <w:r>
        <w:rPr>
          <w:rFonts w:ascii="宋体" w:hAnsi="宋体"/>
          <w:color w:val="auto"/>
          <w:kern w:val="24"/>
          <w:highlight w:val="none"/>
          <w:u w:val="single"/>
        </w:rPr>
        <w:t>（单位名称）</w:t>
      </w:r>
      <w:r>
        <w:rPr>
          <w:rFonts w:ascii="宋体" w:hAnsi="宋体"/>
          <w:color w:val="auto"/>
          <w:kern w:val="24"/>
          <w:highlight w:val="none"/>
        </w:rPr>
        <w:t>的</w:t>
      </w:r>
      <w:r>
        <w:rPr>
          <w:rFonts w:ascii="宋体" w:hAnsi="宋体"/>
          <w:color w:val="auto"/>
          <w:kern w:val="24"/>
          <w:highlight w:val="none"/>
          <w:u w:val="single"/>
        </w:rPr>
        <w:t>（项目名称）</w:t>
      </w:r>
      <w:r>
        <w:rPr>
          <w:rFonts w:ascii="宋体" w:hAnsi="宋体"/>
          <w:color w:val="auto"/>
          <w:kern w:val="24"/>
          <w:highlight w:val="none"/>
        </w:rPr>
        <w:t>采购活动，提供的货物全部由符合政策要求的中小企业制造。相关企业（含联合体中的中小企业、签订分包意向协议的中小企业）的具体情况如下：</w:t>
      </w:r>
    </w:p>
    <w:p>
      <w:pPr>
        <w:tabs>
          <w:tab w:val="left" w:pos="1384"/>
          <w:tab w:val="left" w:pos="4562"/>
          <w:tab w:val="left" w:pos="6803"/>
        </w:tabs>
        <w:spacing w:line="360" w:lineRule="auto"/>
        <w:ind w:left="-426" w:right="-58" w:firstLine="655"/>
        <w:contextualSpacing/>
        <w:rPr>
          <w:rFonts w:ascii="宋体" w:hAnsi="宋体"/>
          <w:color w:val="auto"/>
          <w:kern w:val="24"/>
          <w:sz w:val="24"/>
          <w:highlight w:val="none"/>
        </w:rPr>
      </w:pPr>
      <w:r>
        <w:rPr>
          <w:rFonts w:ascii="宋体" w:hAnsi="宋体"/>
          <w:color w:val="auto"/>
          <w:kern w:val="24"/>
          <w:sz w:val="24"/>
          <w:highlight w:val="none"/>
        </w:rPr>
        <w:t>1.</w:t>
      </w:r>
      <w:r>
        <w:rPr>
          <w:rFonts w:ascii="宋体" w:hAnsi="宋体"/>
          <w:color w:val="auto"/>
          <w:kern w:val="24"/>
          <w:sz w:val="24"/>
          <w:highlight w:val="none"/>
          <w:u w:val="single"/>
        </w:rPr>
        <w:t>（标的名称）</w:t>
      </w:r>
      <w:r>
        <w:rPr>
          <w:rFonts w:ascii="宋体" w:hAnsi="宋体"/>
          <w:color w:val="auto"/>
          <w:kern w:val="24"/>
          <w:sz w:val="24"/>
          <w:highlight w:val="none"/>
        </w:rPr>
        <w:t>，属于</w:t>
      </w:r>
      <w:r>
        <w:rPr>
          <w:rFonts w:ascii="宋体" w:hAnsi="宋体"/>
          <w:color w:val="auto"/>
          <w:kern w:val="24"/>
          <w:sz w:val="24"/>
          <w:highlight w:val="none"/>
          <w:u w:val="single"/>
        </w:rPr>
        <w:t>（</w:t>
      </w:r>
      <w:r>
        <w:rPr>
          <w:rFonts w:hint="eastAsia" w:ascii="宋体" w:hAnsi="宋体"/>
          <w:color w:val="auto"/>
          <w:kern w:val="24"/>
          <w:sz w:val="24"/>
          <w:highlight w:val="none"/>
          <w:u w:val="single"/>
          <w:lang w:eastAsia="zh-CN"/>
        </w:rPr>
        <w:t>招标文件</w:t>
      </w:r>
      <w:r>
        <w:rPr>
          <w:rFonts w:ascii="宋体" w:hAnsi="宋体"/>
          <w:color w:val="auto"/>
          <w:kern w:val="24"/>
          <w:sz w:val="24"/>
          <w:highlight w:val="none"/>
          <w:u w:val="single"/>
        </w:rPr>
        <w:t>中明确的所属行业）</w:t>
      </w:r>
      <w:r>
        <w:rPr>
          <w:rFonts w:ascii="宋体" w:hAnsi="宋体"/>
          <w:color w:val="auto"/>
          <w:kern w:val="24"/>
          <w:sz w:val="24"/>
          <w:highlight w:val="none"/>
        </w:rPr>
        <w:t>行业；制造商为</w:t>
      </w:r>
      <w:r>
        <w:rPr>
          <w:rFonts w:ascii="宋体" w:hAnsi="宋体"/>
          <w:color w:val="auto"/>
          <w:kern w:val="24"/>
          <w:sz w:val="24"/>
          <w:highlight w:val="none"/>
          <w:u w:val="single"/>
        </w:rPr>
        <w:t>（企业名称）</w:t>
      </w:r>
      <w:r>
        <w:rPr>
          <w:rFonts w:ascii="宋体" w:hAnsi="宋体"/>
          <w:color w:val="auto"/>
          <w:kern w:val="24"/>
          <w:sz w:val="24"/>
          <w:highlight w:val="none"/>
        </w:rPr>
        <w:t>，从业人员</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人，营业收入为</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万元，资产总额为</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万元，属于</w:t>
      </w:r>
      <w:r>
        <w:rPr>
          <w:rFonts w:ascii="宋体" w:hAnsi="宋体"/>
          <w:color w:val="auto"/>
          <w:kern w:val="24"/>
          <w:sz w:val="24"/>
          <w:highlight w:val="none"/>
          <w:u w:val="single"/>
        </w:rPr>
        <w:t>（中型企业、小型企业、微型企业）</w:t>
      </w:r>
      <w:r>
        <w:rPr>
          <w:rFonts w:ascii="宋体" w:hAnsi="宋体"/>
          <w:color w:val="auto"/>
          <w:kern w:val="24"/>
          <w:sz w:val="24"/>
          <w:highlight w:val="none"/>
        </w:rPr>
        <w:t>；</w:t>
      </w:r>
    </w:p>
    <w:p>
      <w:pPr>
        <w:tabs>
          <w:tab w:val="left" w:pos="1065"/>
          <w:tab w:val="left" w:pos="6477"/>
        </w:tabs>
        <w:spacing w:line="360" w:lineRule="auto"/>
        <w:ind w:left="-426" w:right="-58" w:firstLine="655"/>
        <w:contextualSpacing/>
        <w:rPr>
          <w:rFonts w:ascii="宋体" w:hAnsi="宋体"/>
          <w:color w:val="auto"/>
          <w:kern w:val="24"/>
          <w:sz w:val="24"/>
          <w:highlight w:val="none"/>
        </w:rPr>
      </w:pPr>
      <w:r>
        <w:rPr>
          <w:rFonts w:ascii="宋体" w:hAnsi="宋体"/>
          <w:color w:val="auto"/>
          <w:kern w:val="24"/>
          <w:sz w:val="24"/>
          <w:highlight w:val="none"/>
        </w:rPr>
        <w:t>2.</w:t>
      </w:r>
      <w:r>
        <w:rPr>
          <w:rFonts w:ascii="宋体" w:hAnsi="宋体"/>
          <w:color w:val="auto"/>
          <w:kern w:val="24"/>
          <w:sz w:val="24"/>
          <w:highlight w:val="none"/>
          <w:u w:val="single"/>
        </w:rPr>
        <w:t>（标的名称）</w:t>
      </w:r>
      <w:r>
        <w:rPr>
          <w:rFonts w:ascii="宋体" w:hAnsi="宋体"/>
          <w:color w:val="auto"/>
          <w:kern w:val="24"/>
          <w:sz w:val="24"/>
          <w:highlight w:val="none"/>
        </w:rPr>
        <w:t>，属于</w:t>
      </w:r>
      <w:r>
        <w:rPr>
          <w:rFonts w:ascii="宋体" w:hAnsi="宋体"/>
          <w:color w:val="auto"/>
          <w:kern w:val="24"/>
          <w:sz w:val="24"/>
          <w:highlight w:val="none"/>
          <w:u w:val="single"/>
        </w:rPr>
        <w:t>（</w:t>
      </w:r>
      <w:r>
        <w:rPr>
          <w:rFonts w:hint="eastAsia" w:ascii="宋体" w:hAnsi="宋体"/>
          <w:color w:val="auto"/>
          <w:kern w:val="24"/>
          <w:sz w:val="24"/>
          <w:highlight w:val="none"/>
          <w:u w:val="single"/>
          <w:lang w:eastAsia="zh-CN"/>
        </w:rPr>
        <w:t>招标文件</w:t>
      </w:r>
      <w:r>
        <w:rPr>
          <w:rFonts w:ascii="宋体" w:hAnsi="宋体"/>
          <w:color w:val="auto"/>
          <w:kern w:val="24"/>
          <w:sz w:val="24"/>
          <w:highlight w:val="none"/>
          <w:u w:val="single"/>
        </w:rPr>
        <w:t>中明确的所属行业）</w:t>
      </w:r>
      <w:r>
        <w:rPr>
          <w:rFonts w:ascii="宋体" w:hAnsi="宋体"/>
          <w:color w:val="auto"/>
          <w:kern w:val="24"/>
          <w:sz w:val="24"/>
          <w:highlight w:val="none"/>
        </w:rPr>
        <w:t>行业；制造商为</w:t>
      </w:r>
      <w:r>
        <w:rPr>
          <w:rFonts w:ascii="宋体" w:hAnsi="宋体"/>
          <w:color w:val="auto"/>
          <w:kern w:val="24"/>
          <w:sz w:val="24"/>
          <w:highlight w:val="none"/>
          <w:u w:val="single"/>
        </w:rPr>
        <w:t>（企业名称）</w:t>
      </w:r>
      <w:r>
        <w:rPr>
          <w:rFonts w:ascii="宋体" w:hAnsi="宋体"/>
          <w:color w:val="auto"/>
          <w:kern w:val="24"/>
          <w:sz w:val="24"/>
          <w:highlight w:val="none"/>
        </w:rPr>
        <w:t>，从业人员</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人，营业收入为</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万元，资产总额为</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万元，属于</w:t>
      </w:r>
      <w:r>
        <w:rPr>
          <w:rFonts w:ascii="宋体" w:hAnsi="宋体"/>
          <w:color w:val="auto"/>
          <w:kern w:val="24"/>
          <w:sz w:val="24"/>
          <w:highlight w:val="none"/>
          <w:u w:val="single"/>
        </w:rPr>
        <w:t>（中型企业、小型企业、微型企业）</w:t>
      </w:r>
      <w:r>
        <w:rPr>
          <w:rFonts w:ascii="宋体" w:hAnsi="宋体"/>
          <w:color w:val="auto"/>
          <w:kern w:val="24"/>
          <w:sz w:val="24"/>
          <w:highlight w:val="none"/>
        </w:rPr>
        <w:t>；</w:t>
      </w:r>
    </w:p>
    <w:p>
      <w:pPr>
        <w:pStyle w:val="10"/>
        <w:spacing w:line="360" w:lineRule="auto"/>
        <w:ind w:left="142" w:right="142"/>
        <w:contextualSpacing/>
        <w:rPr>
          <w:rFonts w:ascii="宋体" w:hAnsi="宋体"/>
          <w:color w:val="auto"/>
          <w:kern w:val="24"/>
          <w:highlight w:val="none"/>
        </w:rPr>
      </w:pPr>
      <w:r>
        <w:rPr>
          <w:rFonts w:ascii="宋体" w:hAnsi="宋体"/>
          <w:color w:val="auto"/>
          <w:kern w:val="24"/>
          <w:highlight w:val="none"/>
        </w:rPr>
        <w:t xml:space="preserve">…… </w:t>
      </w:r>
    </w:p>
    <w:p>
      <w:pPr>
        <w:pStyle w:val="10"/>
        <w:spacing w:line="360" w:lineRule="auto"/>
        <w:ind w:left="-405" w:leftChars="-193" w:right="142" w:firstLine="453" w:firstLineChars="189"/>
        <w:contextualSpacing/>
        <w:rPr>
          <w:rFonts w:ascii="宋体" w:hAnsi="宋体"/>
          <w:color w:val="auto"/>
          <w:kern w:val="24"/>
          <w:highlight w:val="none"/>
        </w:rPr>
      </w:pPr>
      <w:r>
        <w:rPr>
          <w:rFonts w:ascii="宋体" w:hAnsi="宋体"/>
          <w:color w:val="auto"/>
          <w:kern w:val="24"/>
          <w:highlight w:val="none"/>
        </w:rPr>
        <w:t>以上企业，不属于大企业的分支机构，不存在控股股东为大企业的情形，也不存在与大企业的负责人为同一人的情形。</w:t>
      </w:r>
    </w:p>
    <w:p>
      <w:pPr>
        <w:pStyle w:val="10"/>
        <w:spacing w:line="360" w:lineRule="auto"/>
        <w:ind w:left="-426" w:right="142" w:firstLine="567"/>
        <w:contextualSpacing/>
        <w:rPr>
          <w:rFonts w:ascii="宋体" w:hAnsi="宋体"/>
          <w:color w:val="auto"/>
          <w:kern w:val="24"/>
          <w:highlight w:val="none"/>
        </w:rPr>
      </w:pPr>
      <w:r>
        <w:rPr>
          <w:rFonts w:ascii="宋体" w:hAnsi="宋体"/>
          <w:color w:val="auto"/>
          <w:kern w:val="24"/>
          <w:highlight w:val="none"/>
        </w:rPr>
        <w:t>本企业对上述声明内容的真实性负责。如有虚假，将依法承担相应责任。</w:t>
      </w:r>
    </w:p>
    <w:p>
      <w:pPr>
        <w:pStyle w:val="10"/>
        <w:spacing w:line="360" w:lineRule="auto"/>
        <w:ind w:left="3960" w:right="1808"/>
        <w:contextualSpacing/>
        <w:rPr>
          <w:rFonts w:hint="eastAsia" w:ascii="宋体" w:hAnsi="宋体"/>
          <w:color w:val="auto"/>
          <w:kern w:val="24"/>
          <w:highlight w:val="none"/>
        </w:rPr>
      </w:pPr>
    </w:p>
    <w:p>
      <w:pPr>
        <w:pStyle w:val="10"/>
        <w:spacing w:line="360" w:lineRule="auto"/>
        <w:ind w:left="3960" w:right="1808"/>
        <w:contextualSpacing/>
        <w:rPr>
          <w:rFonts w:ascii="宋体" w:hAnsi="宋体"/>
          <w:color w:val="auto"/>
          <w:kern w:val="24"/>
          <w:highlight w:val="none"/>
        </w:rPr>
      </w:pPr>
      <w:r>
        <w:rPr>
          <w:rFonts w:ascii="宋体" w:hAnsi="宋体"/>
          <w:color w:val="auto"/>
          <w:kern w:val="24"/>
          <w:highlight w:val="none"/>
        </w:rPr>
        <w:t xml:space="preserve">企业名称（章）： </w:t>
      </w:r>
    </w:p>
    <w:p>
      <w:pPr>
        <w:pStyle w:val="10"/>
        <w:spacing w:line="360" w:lineRule="auto"/>
        <w:ind w:left="3960" w:right="1808"/>
        <w:contextualSpacing/>
        <w:rPr>
          <w:rFonts w:ascii="宋体" w:hAnsi="宋体"/>
          <w:color w:val="auto"/>
          <w:kern w:val="24"/>
          <w:highlight w:val="none"/>
        </w:rPr>
      </w:pPr>
      <w:r>
        <w:rPr>
          <w:rFonts w:ascii="宋体" w:hAnsi="宋体"/>
          <w:color w:val="auto"/>
          <w:kern w:val="24"/>
          <w:highlight w:val="none"/>
        </w:rPr>
        <w:t>日</w:t>
      </w:r>
      <w:r>
        <w:rPr>
          <w:rFonts w:hint="eastAsia" w:ascii="宋体" w:hAnsi="宋体"/>
          <w:color w:val="auto"/>
          <w:kern w:val="24"/>
          <w:highlight w:val="none"/>
        </w:rPr>
        <w:t xml:space="preserve"> </w:t>
      </w:r>
      <w:r>
        <w:rPr>
          <w:rFonts w:ascii="宋体" w:hAnsi="宋体"/>
          <w:color w:val="auto"/>
          <w:kern w:val="24"/>
          <w:highlight w:val="none"/>
        </w:rPr>
        <w:t>期：</w:t>
      </w:r>
    </w:p>
    <w:p>
      <w:pPr>
        <w:pStyle w:val="10"/>
        <w:spacing w:line="360" w:lineRule="auto"/>
        <w:ind w:left="3960" w:right="1808"/>
        <w:contextualSpacing/>
        <w:rPr>
          <w:rFonts w:ascii="宋体" w:hAnsi="宋体"/>
          <w:color w:val="auto"/>
          <w:kern w:val="24"/>
          <w:highlight w:val="none"/>
        </w:rPr>
      </w:pPr>
    </w:p>
    <w:p>
      <w:pPr>
        <w:pStyle w:val="10"/>
        <w:spacing w:line="360" w:lineRule="auto"/>
        <w:ind w:left="3960" w:right="1808"/>
        <w:contextualSpacing/>
        <w:rPr>
          <w:rFonts w:ascii="宋体" w:hAnsi="宋体"/>
          <w:color w:val="auto"/>
          <w:kern w:val="24"/>
          <w:highlight w:val="none"/>
        </w:rPr>
      </w:pPr>
    </w:p>
    <w:p>
      <w:pPr>
        <w:pStyle w:val="10"/>
        <w:spacing w:line="360" w:lineRule="auto"/>
        <w:ind w:left="-426" w:right="142" w:firstLine="567"/>
        <w:contextualSpacing/>
        <w:rPr>
          <w:rFonts w:hint="eastAsia" w:ascii="宋体" w:hAnsi="宋体"/>
          <w:color w:val="auto"/>
          <w:kern w:val="24"/>
          <w:highlight w:val="none"/>
        </w:rPr>
      </w:pPr>
      <w:r>
        <w:rPr>
          <w:rFonts w:hint="eastAsia" w:ascii="宋体" w:hAnsi="宋体"/>
          <w:color w:val="auto"/>
          <w:kern w:val="24"/>
          <w:highlight w:val="none"/>
        </w:rPr>
        <w:t>注：享受《政府采购促进中小企业发展管理办法》（财库〔2020〕46号）规定的中小企业扶持政策的，采购人、采购代理机构应当随中标结果公开中标供应商的《中小企业声明函》。从业人员、营业收入、资产总额填报上一年度数据，无上一年度数据的新成立企业可不填报。</w:t>
      </w:r>
    </w:p>
    <w:p>
      <w:pPr>
        <w:snapToGrid w:val="0"/>
        <w:spacing w:before="120" w:beforeLines="50" w:after="50"/>
        <w:ind w:left="142"/>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lang w:val="en-US" w:eastAsia="zh-CN"/>
        </w:rPr>
        <w:t>2</w:t>
      </w:r>
      <w:r>
        <w:rPr>
          <w:rFonts w:hint="eastAsia" w:ascii="宋体" w:hAnsi="宋体"/>
          <w:b/>
          <w:color w:val="auto"/>
          <w:sz w:val="24"/>
          <w:highlight w:val="none"/>
        </w:rPr>
        <w:t>.残疾人福利性单位声明函格式</w:t>
      </w:r>
    </w:p>
    <w:p>
      <w:pPr>
        <w:spacing w:line="588" w:lineRule="exact"/>
        <w:jc w:val="center"/>
        <w:rPr>
          <w:rFonts w:hint="eastAsia" w:ascii="仿宋_GB2312" w:eastAsia="仿宋_GB2312"/>
          <w:b/>
          <w:color w:val="auto"/>
          <w:spacing w:val="6"/>
          <w:sz w:val="32"/>
          <w:szCs w:val="32"/>
          <w:highlight w:val="none"/>
        </w:rPr>
      </w:pPr>
    </w:p>
    <w:p>
      <w:pPr>
        <w:spacing w:line="588" w:lineRule="exact"/>
        <w:jc w:val="center"/>
        <w:rPr>
          <w:rFonts w:hint="eastAsia" w:ascii="方正小标宋简体" w:hAnsi="方正小标宋简体" w:eastAsia="方正小标宋简体" w:cs="方正小标宋简体"/>
          <w:bCs/>
          <w:color w:val="auto"/>
          <w:spacing w:val="6"/>
          <w:sz w:val="44"/>
          <w:szCs w:val="44"/>
          <w:highlight w:val="none"/>
        </w:rPr>
      </w:pPr>
      <w:r>
        <w:rPr>
          <w:rFonts w:hint="eastAsia" w:ascii="方正小标宋简体" w:hAnsi="方正小标宋简体" w:eastAsia="方正小标宋简体" w:cs="方正小标宋简体"/>
          <w:bCs/>
          <w:color w:val="auto"/>
          <w:spacing w:val="6"/>
          <w:sz w:val="44"/>
          <w:szCs w:val="44"/>
          <w:highlight w:val="none"/>
        </w:rPr>
        <w:t>残疾人福利性单位声明函</w:t>
      </w:r>
    </w:p>
    <w:p>
      <w:pPr>
        <w:spacing w:line="360" w:lineRule="auto"/>
        <w:contextualSpacing/>
        <w:rPr>
          <w:rFonts w:ascii="仿宋_GB2312" w:eastAsia="仿宋_GB2312"/>
          <w:bCs/>
          <w:color w:val="auto"/>
          <w:spacing w:val="6"/>
          <w:sz w:val="30"/>
          <w:szCs w:val="30"/>
          <w:highlight w:val="none"/>
        </w:rPr>
      </w:pPr>
    </w:p>
    <w:p>
      <w:pPr>
        <w:spacing w:line="360" w:lineRule="auto"/>
        <w:ind w:firstLine="504" w:firstLineChars="200"/>
        <w:contextualSpacing/>
        <w:rPr>
          <w:rFonts w:ascii="宋体" w:hAnsi="宋体"/>
          <w:color w:val="auto"/>
          <w:spacing w:val="6"/>
          <w:sz w:val="24"/>
          <w:highlight w:val="none"/>
        </w:rPr>
      </w:pPr>
      <w:r>
        <w:rPr>
          <w:rFonts w:hint="eastAsia" w:ascii="宋体" w:hAnsi="宋体"/>
          <w:color w:val="auto"/>
          <w:spacing w:val="6"/>
          <w:sz w:val="24"/>
          <w:highlight w:val="none"/>
        </w:rPr>
        <w:t>本单位郑重声明，根据《财政部 民政部 中国残疾人联合会关于促进残疾人就业政府采购政策的通知》（财库</w:t>
      </w:r>
      <w:r>
        <w:rPr>
          <w:rFonts w:hint="eastAsia" w:ascii="宋体" w:hAnsi="宋体"/>
          <w:color w:val="auto"/>
          <w:sz w:val="24"/>
          <w:highlight w:val="none"/>
        </w:rPr>
        <w:t>〔2017〕 141</w:t>
      </w:r>
      <w:r>
        <w:rPr>
          <w:rFonts w:hint="eastAsia" w:ascii="宋体" w:hAnsi="宋体"/>
          <w:color w:val="auto"/>
          <w:spacing w:val="6"/>
          <w:sz w:val="24"/>
          <w:highlight w:val="none"/>
        </w:rPr>
        <w:t>号）的规定，本单位为符合条件的残疾人福利性单位，且本单位参加______单位的______项目采购活动提供本单位制造的货物（由本单位承担工程/提供服务），或者提供其他残</w:t>
      </w:r>
      <w:r>
        <w:rPr>
          <w:rFonts w:hint="eastAsia" w:ascii="宋体" w:hAnsi="宋体"/>
          <w:color w:val="auto"/>
          <w:spacing w:val="-6"/>
          <w:sz w:val="24"/>
          <w:highlight w:val="none"/>
        </w:rPr>
        <w:t>疾人福利性单位制造的货物（不包括使用非残疾人福利性单位注册商标的货物）。</w:t>
      </w:r>
    </w:p>
    <w:p>
      <w:pPr>
        <w:spacing w:line="360" w:lineRule="auto"/>
        <w:ind w:firstLine="504" w:firstLineChars="200"/>
        <w:contextualSpacing/>
        <w:rPr>
          <w:rFonts w:ascii="宋体" w:hAnsi="宋体"/>
          <w:color w:val="auto"/>
          <w:spacing w:val="6"/>
          <w:sz w:val="24"/>
          <w:highlight w:val="none"/>
        </w:rPr>
      </w:pPr>
      <w:r>
        <w:rPr>
          <w:rFonts w:hint="eastAsia" w:ascii="宋体" w:hAnsi="宋体"/>
          <w:color w:val="auto"/>
          <w:spacing w:val="6"/>
          <w:sz w:val="24"/>
          <w:highlight w:val="none"/>
        </w:rPr>
        <w:t>本单位对上述声明的真实性负责。如有虚假，将依法承担相应责任。</w:t>
      </w:r>
    </w:p>
    <w:p>
      <w:pPr>
        <w:spacing w:line="360" w:lineRule="auto"/>
        <w:ind w:firstLine="504" w:firstLineChars="200"/>
        <w:contextualSpacing/>
        <w:rPr>
          <w:rFonts w:ascii="宋体" w:hAnsi="宋体"/>
          <w:color w:val="auto"/>
          <w:spacing w:val="6"/>
          <w:sz w:val="24"/>
          <w:highlight w:val="none"/>
        </w:rPr>
      </w:pPr>
    </w:p>
    <w:p>
      <w:pPr>
        <w:spacing w:line="360" w:lineRule="auto"/>
        <w:ind w:firstLine="504" w:firstLineChars="200"/>
        <w:contextualSpacing/>
        <w:rPr>
          <w:rFonts w:ascii="宋体" w:hAnsi="宋体"/>
          <w:color w:val="auto"/>
          <w:spacing w:val="6"/>
          <w:sz w:val="24"/>
          <w:highlight w:val="none"/>
        </w:rPr>
      </w:pPr>
    </w:p>
    <w:p>
      <w:pPr>
        <w:tabs>
          <w:tab w:val="left" w:pos="4860"/>
        </w:tabs>
        <w:spacing w:line="360" w:lineRule="auto"/>
        <w:ind w:right="1560" w:firstLine="504" w:firstLineChars="200"/>
        <w:contextualSpacing/>
        <w:jc w:val="center"/>
        <w:rPr>
          <w:rFonts w:ascii="宋体" w:hAnsi="宋体"/>
          <w:color w:val="auto"/>
          <w:spacing w:val="6"/>
          <w:sz w:val="24"/>
          <w:highlight w:val="none"/>
        </w:rPr>
      </w:pPr>
      <w:r>
        <w:rPr>
          <w:rFonts w:hint="eastAsia" w:ascii="宋体" w:hAnsi="宋体"/>
          <w:color w:val="auto"/>
          <w:spacing w:val="6"/>
          <w:sz w:val="24"/>
          <w:highlight w:val="none"/>
        </w:rPr>
        <w:t>单位名称（盖公章）：</w:t>
      </w:r>
    </w:p>
    <w:p>
      <w:pPr>
        <w:tabs>
          <w:tab w:val="left" w:pos="4860"/>
        </w:tabs>
        <w:spacing w:line="360" w:lineRule="auto"/>
        <w:ind w:right="1560" w:firstLine="504" w:firstLineChars="200"/>
        <w:contextualSpacing/>
        <w:jc w:val="center"/>
        <w:rPr>
          <w:rFonts w:ascii="宋体" w:hAnsi="宋体"/>
          <w:color w:val="auto"/>
          <w:spacing w:val="6"/>
          <w:sz w:val="24"/>
          <w:highlight w:val="none"/>
        </w:rPr>
      </w:pPr>
      <w:r>
        <w:rPr>
          <w:rFonts w:hint="eastAsia" w:ascii="宋体" w:hAnsi="宋体"/>
          <w:color w:val="auto"/>
          <w:spacing w:val="6"/>
          <w:sz w:val="24"/>
          <w:highlight w:val="none"/>
        </w:rPr>
        <w:t>日  期：</w:t>
      </w:r>
    </w:p>
    <w:p>
      <w:pPr>
        <w:spacing w:line="360" w:lineRule="auto"/>
        <w:contextualSpacing/>
        <w:rPr>
          <w:rFonts w:ascii="宋体" w:hAnsi="宋体"/>
          <w:color w:val="auto"/>
          <w:sz w:val="24"/>
          <w:highlight w:val="none"/>
        </w:rPr>
      </w:pPr>
    </w:p>
    <w:p>
      <w:pPr>
        <w:spacing w:line="360" w:lineRule="auto"/>
        <w:contextualSpacing/>
        <w:rPr>
          <w:rFonts w:hint="eastAsia" w:ascii="宋体" w:hAnsi="宋体"/>
          <w:color w:val="auto"/>
          <w:sz w:val="24"/>
          <w:highlight w:val="none"/>
        </w:rPr>
      </w:pPr>
    </w:p>
    <w:p>
      <w:pPr>
        <w:spacing w:line="360" w:lineRule="auto"/>
        <w:contextualSpacing/>
        <w:rPr>
          <w:rFonts w:ascii="宋体" w:hAnsi="宋体"/>
          <w:color w:val="auto"/>
          <w:sz w:val="24"/>
          <w:highlight w:val="none"/>
        </w:rPr>
      </w:pPr>
    </w:p>
    <w:p>
      <w:pPr>
        <w:spacing w:line="360" w:lineRule="auto"/>
        <w:contextualSpacing/>
        <w:rPr>
          <w:rFonts w:ascii="宋体" w:hAnsi="宋体"/>
          <w:color w:val="auto"/>
          <w:sz w:val="24"/>
          <w:highlight w:val="none"/>
        </w:rPr>
      </w:pPr>
      <w:r>
        <w:rPr>
          <w:rFonts w:hint="eastAsia" w:ascii="宋体" w:hAnsi="宋体"/>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pPr>
        <w:spacing w:line="360" w:lineRule="auto"/>
        <w:jc w:val="left"/>
        <w:rPr>
          <w:rFonts w:ascii="宋体" w:hAnsi="宋体"/>
          <w:color w:val="auto"/>
          <w:sz w:val="24"/>
          <w:highlight w:val="none"/>
        </w:rPr>
      </w:pPr>
      <w:r>
        <w:rPr>
          <w:rFonts w:ascii="宋体" w:hAnsi="宋体"/>
          <w:color w:val="auto"/>
          <w:sz w:val="24"/>
          <w:highlight w:val="none"/>
        </w:rPr>
        <w:br w:type="page"/>
      </w:r>
      <w:r>
        <w:rPr>
          <w:rFonts w:hint="eastAsia" w:ascii="宋体" w:hAnsi="宋体"/>
          <w:b/>
          <w:color w:val="auto"/>
          <w:sz w:val="24"/>
          <w:highlight w:val="none"/>
          <w:lang w:val="en-US" w:eastAsia="zh-CN"/>
        </w:rPr>
        <w:t>3</w:t>
      </w:r>
      <w:r>
        <w:rPr>
          <w:rFonts w:hint="eastAsia" w:ascii="宋体" w:hAnsi="宋体"/>
          <w:b/>
          <w:color w:val="auto"/>
          <w:sz w:val="24"/>
          <w:highlight w:val="none"/>
        </w:rPr>
        <w:t>.质疑函（格式）</w:t>
      </w:r>
    </w:p>
    <w:p>
      <w:pPr>
        <w:spacing w:line="360" w:lineRule="auto"/>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质疑函（格式）</w:t>
      </w:r>
    </w:p>
    <w:p>
      <w:pPr>
        <w:pStyle w:val="12"/>
        <w:snapToGrid w:val="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一、质疑供应商基本信息：</w:t>
      </w:r>
    </w:p>
    <w:p>
      <w:pPr>
        <w:pStyle w:val="12"/>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质疑供应商：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pPr>
        <w:pStyle w:val="12"/>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pPr>
        <w:pStyle w:val="12"/>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联系人</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pPr>
        <w:pStyle w:val="12"/>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p>
    <w:p>
      <w:pPr>
        <w:pStyle w:val="12"/>
        <w:snapToGrid w:val="0"/>
        <w:spacing w:line="360" w:lineRule="auto"/>
        <w:ind w:firstLine="480" w:firstLineChars="200"/>
        <w:rPr>
          <w:rFonts w:hint="eastAsia" w:hAnsi="宋体"/>
          <w:bCs/>
          <w:color w:val="auto"/>
          <w:sz w:val="24"/>
          <w:szCs w:val="24"/>
          <w:highlight w:val="none"/>
          <w:u w:val="single"/>
        </w:rPr>
      </w:pP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pPr>
        <w:pStyle w:val="12"/>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pPr>
        <w:pStyle w:val="12"/>
        <w:snapToGrid w:val="0"/>
        <w:spacing w:line="360" w:lineRule="auto"/>
        <w:ind w:firstLine="482" w:firstLineChars="200"/>
        <w:rPr>
          <w:rFonts w:hint="eastAsia" w:hAnsi="宋体"/>
          <w:b/>
          <w:bCs/>
          <w:color w:val="auto"/>
          <w:sz w:val="24"/>
          <w:szCs w:val="24"/>
          <w:highlight w:val="none"/>
        </w:rPr>
      </w:pPr>
      <w:r>
        <w:rPr>
          <w:rFonts w:hint="eastAsia" w:hAnsi="宋体"/>
          <w:b/>
          <w:bCs/>
          <w:color w:val="auto"/>
          <w:sz w:val="24"/>
          <w:szCs w:val="24"/>
          <w:highlight w:val="none"/>
        </w:rPr>
        <w:t>二、质疑项目基本情况：</w:t>
      </w:r>
    </w:p>
    <w:p>
      <w:pPr>
        <w:pStyle w:val="12"/>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pPr>
        <w:pStyle w:val="12"/>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pPr>
        <w:pStyle w:val="12"/>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pPr>
        <w:pStyle w:val="12"/>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质疑事项：</w:t>
      </w:r>
    </w:p>
    <w:p>
      <w:pPr>
        <w:pStyle w:val="12"/>
        <w:spacing w:line="360" w:lineRule="auto"/>
        <w:ind w:left="25" w:leftChars="12" w:firstLine="352" w:firstLineChars="147"/>
        <w:rPr>
          <w:rFonts w:hint="eastAsia" w:hAnsi="宋体"/>
          <w:color w:val="auto"/>
          <w:sz w:val="24"/>
          <w:szCs w:val="24"/>
          <w:highlight w:val="none"/>
        </w:rPr>
      </w:pPr>
      <w:r>
        <w:rPr>
          <w:rFonts w:hint="eastAsia" w:hAnsi="宋体"/>
          <w:color w:val="auto"/>
          <w:sz w:val="24"/>
          <w:szCs w:val="24"/>
          <w:highlight w:val="none"/>
        </w:rPr>
        <w:t>□招标文件   招标文件获取日期：</w:t>
      </w:r>
      <w:r>
        <w:rPr>
          <w:rFonts w:hint="eastAsia" w:hAnsi="宋体"/>
          <w:bCs/>
          <w:color w:val="auto"/>
          <w:sz w:val="24"/>
          <w:szCs w:val="24"/>
          <w:highlight w:val="none"/>
          <w:u w:val="single"/>
        </w:rPr>
        <w:t xml:space="preserve">                                   </w:t>
      </w:r>
    </w:p>
    <w:p>
      <w:pPr>
        <w:pStyle w:val="12"/>
        <w:spacing w:line="360" w:lineRule="auto"/>
        <w:ind w:left="25" w:leftChars="12" w:firstLine="352" w:firstLineChars="147"/>
        <w:rPr>
          <w:rFonts w:hint="eastAsia" w:hAnsi="宋体"/>
          <w:color w:val="auto"/>
          <w:sz w:val="24"/>
          <w:szCs w:val="24"/>
          <w:highlight w:val="none"/>
        </w:rPr>
      </w:pPr>
      <w:r>
        <w:rPr>
          <w:rFonts w:hint="eastAsia" w:hAnsi="宋体"/>
          <w:color w:val="auto"/>
          <w:sz w:val="24"/>
          <w:szCs w:val="24"/>
          <w:highlight w:val="none"/>
        </w:rPr>
        <w:t xml:space="preserve">□采购过程   </w:t>
      </w:r>
    </w:p>
    <w:p>
      <w:pPr>
        <w:pStyle w:val="12"/>
        <w:spacing w:line="360" w:lineRule="auto"/>
        <w:ind w:left="25" w:leftChars="12" w:firstLine="352" w:firstLineChars="147"/>
        <w:rPr>
          <w:rFonts w:hint="eastAsia" w:hAnsi="宋体"/>
          <w:bCs/>
          <w:color w:val="auto"/>
          <w:sz w:val="24"/>
          <w:szCs w:val="24"/>
          <w:highlight w:val="none"/>
          <w:u w:val="single"/>
        </w:rPr>
      </w:pPr>
      <w:r>
        <w:rPr>
          <w:rFonts w:hint="eastAsia" w:hAnsi="宋体"/>
          <w:color w:val="auto"/>
          <w:sz w:val="24"/>
          <w:szCs w:val="24"/>
          <w:highlight w:val="none"/>
        </w:rPr>
        <w:t xml:space="preserve">□中标结果   </w:t>
      </w:r>
    </w:p>
    <w:p>
      <w:pPr>
        <w:pStyle w:val="12"/>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三、质疑事项具体内容</w:t>
      </w:r>
    </w:p>
    <w:p>
      <w:pPr>
        <w:pStyle w:val="12"/>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质疑事项1：</w:t>
      </w:r>
      <w:r>
        <w:rPr>
          <w:rFonts w:hint="eastAsia" w:hAnsi="宋体"/>
          <w:bCs/>
          <w:color w:val="auto"/>
          <w:sz w:val="24"/>
          <w:szCs w:val="24"/>
          <w:highlight w:val="none"/>
          <w:u w:val="single"/>
        </w:rPr>
        <w:t xml:space="preserve">                                                                    </w:t>
      </w:r>
    </w:p>
    <w:p>
      <w:pPr>
        <w:pStyle w:val="12"/>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事实依据：</w:t>
      </w:r>
      <w:r>
        <w:rPr>
          <w:rFonts w:hint="eastAsia" w:hAnsi="宋体"/>
          <w:bCs/>
          <w:color w:val="auto"/>
          <w:sz w:val="24"/>
          <w:szCs w:val="24"/>
          <w:highlight w:val="none"/>
          <w:u w:val="single"/>
        </w:rPr>
        <w:t xml:space="preserve">                                                                      </w:t>
      </w:r>
    </w:p>
    <w:p>
      <w:pPr>
        <w:pStyle w:val="12"/>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法律依据：</w:t>
      </w:r>
      <w:r>
        <w:rPr>
          <w:rFonts w:hint="eastAsia" w:hAnsi="宋体"/>
          <w:color w:val="auto"/>
          <w:sz w:val="24"/>
          <w:szCs w:val="24"/>
          <w:highlight w:val="none"/>
          <w:u w:val="single"/>
        </w:rPr>
        <w:t xml:space="preserve">                                                        </w:t>
      </w:r>
      <w:r>
        <w:rPr>
          <w:rFonts w:hint="eastAsia" w:hAnsi="宋体"/>
          <w:bCs/>
          <w:color w:val="auto"/>
          <w:sz w:val="24"/>
          <w:szCs w:val="24"/>
          <w:highlight w:val="none"/>
          <w:u w:val="single"/>
        </w:rPr>
        <w:t xml:space="preserve">               </w:t>
      </w:r>
    </w:p>
    <w:p>
      <w:pPr>
        <w:pStyle w:val="12"/>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质疑事项2</w:t>
      </w:r>
    </w:p>
    <w:p>
      <w:pPr>
        <w:pStyle w:val="12"/>
        <w:spacing w:line="360" w:lineRule="auto"/>
        <w:ind w:left="25" w:leftChars="12" w:firstLine="472" w:firstLineChars="197"/>
        <w:rPr>
          <w:rFonts w:hint="eastAsia" w:hAnsi="宋体"/>
          <w:color w:val="auto"/>
          <w:sz w:val="24"/>
          <w:szCs w:val="24"/>
          <w:highlight w:val="none"/>
        </w:rPr>
      </w:pPr>
      <w:r>
        <w:rPr>
          <w:rFonts w:hAnsi="宋体"/>
          <w:color w:val="auto"/>
          <w:sz w:val="24"/>
          <w:szCs w:val="24"/>
          <w:highlight w:val="none"/>
        </w:rPr>
        <w:t>……</w:t>
      </w:r>
    </w:p>
    <w:p>
      <w:pPr>
        <w:pStyle w:val="12"/>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四、与质疑事项相关的质疑请求：</w:t>
      </w:r>
    </w:p>
    <w:p>
      <w:pPr>
        <w:pStyle w:val="12"/>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pPr>
        <w:pStyle w:val="12"/>
        <w:spacing w:line="360" w:lineRule="auto"/>
        <w:ind w:left="25" w:leftChars="12" w:firstLine="352" w:firstLineChars="147"/>
        <w:rPr>
          <w:rFonts w:hint="eastAsia" w:hAnsi="宋体"/>
          <w:color w:val="auto"/>
          <w:sz w:val="24"/>
          <w:szCs w:val="24"/>
          <w:highlight w:val="none"/>
        </w:rPr>
      </w:pPr>
    </w:p>
    <w:p>
      <w:pPr>
        <w:pStyle w:val="12"/>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签字（签章）：                                       公章：</w:t>
      </w:r>
    </w:p>
    <w:p>
      <w:pPr>
        <w:pStyle w:val="12"/>
        <w:spacing w:line="360" w:lineRule="auto"/>
        <w:ind w:left="25" w:leftChars="12" w:firstLine="352" w:firstLineChars="147"/>
        <w:rPr>
          <w:rFonts w:hint="eastAsia" w:hAnsi="宋体"/>
          <w:color w:val="auto"/>
          <w:sz w:val="24"/>
          <w:szCs w:val="24"/>
          <w:highlight w:val="none"/>
        </w:rPr>
      </w:pPr>
    </w:p>
    <w:p>
      <w:pPr>
        <w:pStyle w:val="12"/>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日期：</w:t>
      </w:r>
    </w:p>
    <w:p>
      <w:pPr>
        <w:pStyle w:val="12"/>
        <w:snapToGrid w:val="0"/>
        <w:spacing w:line="360" w:lineRule="auto"/>
        <w:rPr>
          <w:rFonts w:hint="eastAsia" w:hAnsi="宋体"/>
          <w:b/>
          <w:color w:val="auto"/>
          <w:sz w:val="24"/>
          <w:szCs w:val="24"/>
          <w:highlight w:val="none"/>
        </w:rPr>
      </w:pPr>
    </w:p>
    <w:p>
      <w:pPr>
        <w:pStyle w:val="12"/>
        <w:snapToGrid w:val="0"/>
        <w:spacing w:line="360" w:lineRule="auto"/>
        <w:rPr>
          <w:rFonts w:hint="eastAsia" w:hAnsi="宋体"/>
          <w:b/>
          <w:color w:val="auto"/>
          <w:sz w:val="24"/>
          <w:szCs w:val="24"/>
          <w:highlight w:val="none"/>
        </w:rPr>
      </w:pPr>
      <w:r>
        <w:rPr>
          <w:rFonts w:hint="eastAsia" w:hAnsi="宋体"/>
          <w:b/>
          <w:color w:val="auto"/>
          <w:sz w:val="24"/>
          <w:szCs w:val="24"/>
          <w:highlight w:val="none"/>
        </w:rPr>
        <w:t>说明：</w:t>
      </w:r>
    </w:p>
    <w:p>
      <w:pPr>
        <w:pStyle w:val="12"/>
        <w:spacing w:line="360" w:lineRule="auto"/>
        <w:ind w:left="25" w:leftChars="12" w:firstLine="354" w:firstLineChars="147"/>
        <w:rPr>
          <w:rFonts w:hint="eastAsia" w:hAnsi="宋体"/>
          <w:b/>
          <w:bCs/>
          <w:color w:val="auto"/>
          <w:sz w:val="24"/>
          <w:szCs w:val="24"/>
          <w:highlight w:val="none"/>
        </w:rPr>
      </w:pPr>
      <w:r>
        <w:rPr>
          <w:rFonts w:hint="eastAsia" w:hAnsi="宋体"/>
          <w:b/>
          <w:color w:val="auto"/>
          <w:sz w:val="24"/>
          <w:szCs w:val="24"/>
          <w:highlight w:val="none"/>
        </w:rPr>
        <w:t>1.供应商提出质疑时，应提交质疑函和必要的证明材料</w:t>
      </w:r>
      <w:r>
        <w:rPr>
          <w:rFonts w:hint="eastAsia" w:hAnsi="宋体"/>
          <w:b/>
          <w:bCs/>
          <w:color w:val="auto"/>
          <w:sz w:val="24"/>
          <w:szCs w:val="24"/>
          <w:highlight w:val="none"/>
        </w:rPr>
        <w:t>。</w:t>
      </w:r>
    </w:p>
    <w:p>
      <w:pPr>
        <w:pStyle w:val="12"/>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pStyle w:val="12"/>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3.质疑函的质疑事项应具体、明确，并有必要的事实依据和法律依据。</w:t>
      </w:r>
    </w:p>
    <w:p>
      <w:pPr>
        <w:pStyle w:val="12"/>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4.质疑函的质疑请求应与质疑事项相关。</w:t>
      </w:r>
    </w:p>
    <w:p>
      <w:pPr>
        <w:pStyle w:val="12"/>
        <w:spacing w:line="360" w:lineRule="auto"/>
        <w:ind w:left="25" w:leftChars="12" w:firstLine="354" w:firstLineChars="147"/>
        <w:rPr>
          <w:rFonts w:hint="eastAsia" w:hAnsi="宋体"/>
          <w:b/>
          <w:color w:val="auto"/>
          <w:highlight w:val="none"/>
        </w:rPr>
      </w:pPr>
      <w:r>
        <w:rPr>
          <w:rFonts w:hint="eastAsia" w:hAnsi="宋体"/>
          <w:b/>
          <w:color w:val="auto"/>
          <w:sz w:val="24"/>
          <w:szCs w:val="24"/>
          <w:highlight w:val="none"/>
        </w:rPr>
        <w:t>5.质疑供应商为法人或者其他组织的，质疑函应由法定代表人、主要负责人，或者其授权代表签字或者盖章，并加盖公章。</w:t>
      </w:r>
    </w:p>
    <w:p>
      <w:pPr>
        <w:pStyle w:val="12"/>
        <w:snapToGrid w:val="0"/>
        <w:rPr>
          <w:rFonts w:hint="eastAsia"/>
          <w:b/>
          <w:color w:val="auto"/>
          <w:sz w:val="24"/>
          <w:szCs w:val="24"/>
          <w:highlight w:val="none"/>
        </w:rPr>
      </w:pPr>
    </w:p>
    <w:p>
      <w:pPr>
        <w:spacing w:line="360" w:lineRule="auto"/>
        <w:jc w:val="left"/>
        <w:rPr>
          <w:rFonts w:hint="eastAsia" w:ascii="宋体" w:hAnsi="宋体"/>
          <w:b/>
          <w:bCs/>
          <w:color w:val="auto"/>
          <w:sz w:val="32"/>
          <w:szCs w:val="32"/>
          <w:highlight w:val="none"/>
        </w:rPr>
      </w:pPr>
      <w:r>
        <w:rPr>
          <w:rFonts w:eastAsia="隶书"/>
          <w:color w:val="auto"/>
          <w:sz w:val="44"/>
          <w:highlight w:val="none"/>
        </w:rPr>
        <w:br w:type="page"/>
      </w:r>
      <w:r>
        <w:rPr>
          <w:rFonts w:hint="eastAsia" w:ascii="宋体" w:hAnsi="宋体" w:eastAsia="隶书"/>
          <w:b/>
          <w:color w:val="auto"/>
          <w:sz w:val="24"/>
          <w:highlight w:val="none"/>
          <w:lang w:val="en-US" w:eastAsia="zh-CN"/>
        </w:rPr>
        <w:t>4</w:t>
      </w:r>
      <w:r>
        <w:rPr>
          <w:rFonts w:hint="eastAsia" w:ascii="宋体" w:hAnsi="宋体"/>
          <w:b/>
          <w:color w:val="auto"/>
          <w:sz w:val="24"/>
          <w:highlight w:val="none"/>
        </w:rPr>
        <w:t>.投诉书（格式）</w:t>
      </w:r>
    </w:p>
    <w:p>
      <w:pPr>
        <w:spacing w:line="360" w:lineRule="auto"/>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投诉书（格式）</w:t>
      </w:r>
    </w:p>
    <w:p>
      <w:pPr>
        <w:pStyle w:val="12"/>
        <w:snapToGrid w:val="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一、投诉相关主体基本情况：</w:t>
      </w:r>
    </w:p>
    <w:p>
      <w:pPr>
        <w:pStyle w:val="12"/>
        <w:snapToGrid w:val="0"/>
        <w:spacing w:line="360" w:lineRule="auto"/>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投标人：</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pPr>
        <w:pStyle w:val="12"/>
        <w:snapToGrid w:val="0"/>
        <w:spacing w:line="360" w:lineRule="auto"/>
        <w:ind w:firstLine="480" w:firstLineChars="200"/>
        <w:jc w:val="left"/>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pPr>
        <w:pStyle w:val="12"/>
        <w:snapToGrid w:val="0"/>
        <w:spacing w:line="360" w:lineRule="auto"/>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法定代表人/主要负责人：</w:t>
      </w:r>
      <w:r>
        <w:rPr>
          <w:rFonts w:hint="eastAsia" w:hAnsi="宋体"/>
          <w:bCs/>
          <w:color w:val="auto"/>
          <w:sz w:val="24"/>
          <w:szCs w:val="24"/>
          <w:highlight w:val="none"/>
          <w:u w:val="single"/>
        </w:rPr>
        <w:t xml:space="preserve">                                                         </w:t>
      </w:r>
    </w:p>
    <w:p>
      <w:pPr>
        <w:pStyle w:val="12"/>
        <w:snapToGrid w:val="0"/>
        <w:spacing w:line="360" w:lineRule="auto"/>
        <w:ind w:firstLine="480" w:firstLineChars="200"/>
        <w:jc w:val="left"/>
        <w:rPr>
          <w:rFonts w:hint="eastAsia" w:hAnsi="宋体"/>
          <w:bCs/>
          <w:color w:val="auto"/>
          <w:sz w:val="24"/>
          <w:szCs w:val="24"/>
          <w:highlight w:val="none"/>
        </w:rPr>
      </w:pP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pPr>
        <w:pStyle w:val="12"/>
        <w:snapToGrid w:val="0"/>
        <w:spacing w:line="360" w:lineRule="auto"/>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pPr>
        <w:pStyle w:val="12"/>
        <w:snapToGrid w:val="0"/>
        <w:spacing w:line="360" w:lineRule="auto"/>
        <w:ind w:firstLine="480" w:firstLineChars="200"/>
        <w:jc w:val="left"/>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pPr>
        <w:pStyle w:val="12"/>
        <w:snapToGrid w:val="0"/>
        <w:spacing w:line="360" w:lineRule="auto"/>
        <w:ind w:firstLine="480" w:firstLineChars="200"/>
        <w:jc w:val="left"/>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pPr>
        <w:pStyle w:val="12"/>
        <w:snapToGrid w:val="0"/>
        <w:spacing w:line="360" w:lineRule="auto"/>
        <w:ind w:firstLine="480" w:firstLineChars="200"/>
        <w:jc w:val="left"/>
        <w:rPr>
          <w:rFonts w:hint="eastAsia" w:hAnsi="宋体"/>
          <w:bCs/>
          <w:color w:val="auto"/>
          <w:sz w:val="24"/>
          <w:szCs w:val="24"/>
          <w:highlight w:val="none"/>
        </w:rPr>
      </w:pPr>
      <w:r>
        <w:rPr>
          <w:rFonts w:hint="eastAsia" w:hAnsi="宋体"/>
          <w:bCs/>
          <w:color w:val="auto"/>
          <w:sz w:val="24"/>
          <w:szCs w:val="24"/>
          <w:highlight w:val="none"/>
        </w:rPr>
        <w:t>被投诉人1：</w:t>
      </w:r>
    </w:p>
    <w:p>
      <w:pPr>
        <w:pStyle w:val="12"/>
        <w:snapToGrid w:val="0"/>
        <w:spacing w:line="360" w:lineRule="auto"/>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pPr>
        <w:pStyle w:val="12"/>
        <w:snapToGrid w:val="0"/>
        <w:spacing w:line="360" w:lineRule="auto"/>
        <w:ind w:firstLine="480" w:firstLineChars="200"/>
        <w:jc w:val="left"/>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pPr>
        <w:pStyle w:val="12"/>
        <w:snapToGrid w:val="0"/>
        <w:spacing w:line="360" w:lineRule="auto"/>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pPr>
        <w:pStyle w:val="12"/>
        <w:snapToGrid w:val="0"/>
        <w:spacing w:line="360" w:lineRule="auto"/>
        <w:ind w:firstLine="480" w:firstLineChars="200"/>
        <w:jc w:val="left"/>
        <w:rPr>
          <w:rFonts w:hint="eastAsia" w:hAnsi="宋体"/>
          <w:bCs/>
          <w:color w:val="auto"/>
          <w:sz w:val="24"/>
          <w:szCs w:val="24"/>
          <w:highlight w:val="none"/>
        </w:rPr>
      </w:pPr>
      <w:r>
        <w:rPr>
          <w:rFonts w:hint="eastAsia" w:hAnsi="宋体"/>
          <w:bCs/>
          <w:color w:val="auto"/>
          <w:sz w:val="24"/>
          <w:szCs w:val="24"/>
          <w:highlight w:val="none"/>
        </w:rPr>
        <w:t>被投诉人2：</w:t>
      </w:r>
    </w:p>
    <w:p>
      <w:pPr>
        <w:pStyle w:val="12"/>
        <w:snapToGrid w:val="0"/>
        <w:spacing w:line="360" w:lineRule="auto"/>
        <w:ind w:firstLine="480" w:firstLineChars="200"/>
        <w:jc w:val="left"/>
        <w:rPr>
          <w:rFonts w:hint="eastAsia" w:hAnsi="宋体"/>
          <w:bCs/>
          <w:color w:val="auto"/>
          <w:sz w:val="24"/>
          <w:szCs w:val="24"/>
          <w:highlight w:val="none"/>
        </w:rPr>
      </w:pPr>
      <w:r>
        <w:rPr>
          <w:rFonts w:hAnsi="宋体"/>
          <w:bCs/>
          <w:color w:val="auto"/>
          <w:sz w:val="24"/>
          <w:szCs w:val="24"/>
          <w:highlight w:val="none"/>
        </w:rPr>
        <w:t>……</w:t>
      </w:r>
    </w:p>
    <w:p>
      <w:pPr>
        <w:pStyle w:val="12"/>
        <w:snapToGrid w:val="0"/>
        <w:spacing w:line="360" w:lineRule="auto"/>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相关供应商：</w:t>
      </w:r>
      <w:r>
        <w:rPr>
          <w:rFonts w:hint="eastAsia" w:hAnsi="宋体"/>
          <w:bCs/>
          <w:color w:val="auto"/>
          <w:sz w:val="24"/>
          <w:szCs w:val="24"/>
          <w:highlight w:val="none"/>
          <w:u w:val="single"/>
        </w:rPr>
        <w:t xml:space="preserve">                                                                       </w:t>
      </w:r>
    </w:p>
    <w:p>
      <w:pPr>
        <w:pStyle w:val="12"/>
        <w:snapToGrid w:val="0"/>
        <w:spacing w:line="360" w:lineRule="auto"/>
        <w:ind w:firstLine="480" w:firstLineChars="200"/>
        <w:jc w:val="left"/>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pPr>
        <w:pStyle w:val="12"/>
        <w:snapToGrid w:val="0"/>
        <w:spacing w:line="360" w:lineRule="auto"/>
        <w:ind w:firstLine="480" w:firstLineChars="200"/>
        <w:jc w:val="left"/>
        <w:rPr>
          <w:rFonts w:hint="eastAsia"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pPr>
        <w:pStyle w:val="12"/>
        <w:snapToGrid w:val="0"/>
        <w:spacing w:line="360" w:lineRule="auto"/>
        <w:ind w:firstLine="482" w:firstLineChars="200"/>
        <w:rPr>
          <w:rFonts w:hint="eastAsia" w:hAnsi="宋体"/>
          <w:b/>
          <w:bCs/>
          <w:color w:val="auto"/>
          <w:sz w:val="24"/>
          <w:szCs w:val="24"/>
          <w:highlight w:val="none"/>
        </w:rPr>
      </w:pPr>
      <w:r>
        <w:rPr>
          <w:rFonts w:hint="eastAsia" w:hAnsi="宋体"/>
          <w:b/>
          <w:bCs/>
          <w:color w:val="auto"/>
          <w:sz w:val="24"/>
          <w:szCs w:val="24"/>
          <w:highlight w:val="none"/>
        </w:rPr>
        <w:t>二、投诉项目基本情况：</w:t>
      </w:r>
    </w:p>
    <w:p>
      <w:pPr>
        <w:pStyle w:val="12"/>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pPr>
        <w:pStyle w:val="12"/>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pPr>
        <w:pStyle w:val="12"/>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pPr>
        <w:pStyle w:val="12"/>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代理机构名称：</w:t>
      </w:r>
      <w:r>
        <w:rPr>
          <w:rFonts w:hint="eastAsia" w:hAnsi="宋体"/>
          <w:bCs/>
          <w:color w:val="auto"/>
          <w:sz w:val="24"/>
          <w:szCs w:val="24"/>
          <w:highlight w:val="none"/>
          <w:u w:val="single"/>
        </w:rPr>
        <w:t xml:space="preserve">                                                                      </w:t>
      </w:r>
    </w:p>
    <w:p>
      <w:pPr>
        <w:pStyle w:val="12"/>
        <w:spacing w:line="360" w:lineRule="auto"/>
        <w:ind w:left="25" w:leftChars="12" w:firstLine="472" w:firstLineChars="197"/>
        <w:rPr>
          <w:rFonts w:hint="eastAsia" w:hAnsi="宋体"/>
          <w:bCs/>
          <w:color w:val="auto"/>
          <w:sz w:val="24"/>
          <w:szCs w:val="24"/>
          <w:highlight w:val="none"/>
          <w:u w:val="single"/>
        </w:rPr>
      </w:pPr>
      <w:r>
        <w:rPr>
          <w:rFonts w:hint="eastAsia" w:hAnsi="宋体"/>
          <w:bCs/>
          <w:color w:val="auto"/>
          <w:sz w:val="24"/>
          <w:szCs w:val="24"/>
          <w:highlight w:val="none"/>
        </w:rPr>
        <w:t>招标文件公告：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pPr>
        <w:pStyle w:val="12"/>
        <w:spacing w:line="360" w:lineRule="auto"/>
        <w:ind w:left="25" w:leftChars="12" w:firstLine="472" w:firstLineChars="197"/>
        <w:rPr>
          <w:rFonts w:hint="eastAsia" w:hAnsi="宋体"/>
          <w:b/>
          <w:color w:val="auto"/>
          <w:sz w:val="24"/>
          <w:szCs w:val="24"/>
          <w:highlight w:val="none"/>
        </w:rPr>
      </w:pPr>
      <w:r>
        <w:rPr>
          <w:rFonts w:hint="eastAsia" w:hAnsi="宋体"/>
          <w:bCs/>
          <w:color w:val="auto"/>
          <w:sz w:val="24"/>
          <w:szCs w:val="24"/>
          <w:highlight w:val="none"/>
        </w:rPr>
        <w:t>采购结果公告：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pPr>
        <w:pStyle w:val="12"/>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三、质疑基本情况</w:t>
      </w:r>
    </w:p>
    <w:p>
      <w:pPr>
        <w:pStyle w:val="12"/>
        <w:spacing w:line="360" w:lineRule="auto"/>
        <w:ind w:left="25" w:leftChars="12" w:firstLine="480" w:firstLineChars="200"/>
        <w:rPr>
          <w:rFonts w:hint="eastAsia" w:hAnsi="宋体"/>
          <w:color w:val="auto"/>
          <w:sz w:val="24"/>
          <w:szCs w:val="24"/>
          <w:highlight w:val="none"/>
        </w:rPr>
      </w:pPr>
      <w:r>
        <w:rPr>
          <w:rFonts w:hint="eastAsia" w:hAnsi="宋体"/>
          <w:color w:val="auto"/>
          <w:sz w:val="24"/>
          <w:szCs w:val="24"/>
          <w:highlight w:val="none"/>
        </w:rPr>
        <w:t>投诉人于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日，向</w:t>
      </w:r>
      <w:r>
        <w:rPr>
          <w:rFonts w:hint="eastAsia" w:hAnsi="宋体"/>
          <w:color w:val="auto"/>
          <w:sz w:val="24"/>
          <w:szCs w:val="24"/>
          <w:highlight w:val="none"/>
          <w:u w:val="single"/>
        </w:rPr>
        <w:t xml:space="preserve">                                </w:t>
      </w:r>
      <w:r>
        <w:rPr>
          <w:rFonts w:hint="eastAsia" w:hAnsi="宋体"/>
          <w:color w:val="auto"/>
          <w:sz w:val="24"/>
          <w:szCs w:val="24"/>
          <w:highlight w:val="none"/>
        </w:rPr>
        <w:t>提出质疑，质疑事项为：</w:t>
      </w:r>
    </w:p>
    <w:p>
      <w:pPr>
        <w:pStyle w:val="12"/>
        <w:spacing w:line="360" w:lineRule="auto"/>
        <w:ind w:firstLine="241"/>
        <w:rPr>
          <w:rFonts w:hint="eastAsia" w:hAnsi="宋体"/>
          <w:bCs/>
          <w:color w:val="auto"/>
          <w:sz w:val="24"/>
          <w:szCs w:val="24"/>
          <w:highlight w:val="none"/>
          <w:u w:val="single"/>
        </w:rPr>
      </w:pP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pPr>
        <w:pStyle w:val="12"/>
        <w:spacing w:line="360" w:lineRule="auto"/>
        <w:ind w:firstLine="241"/>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pPr>
        <w:pStyle w:val="12"/>
        <w:spacing w:line="360" w:lineRule="auto"/>
        <w:ind w:firstLine="480" w:firstLineChars="200"/>
        <w:rPr>
          <w:rFonts w:hint="eastAsia"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r>
        <w:rPr>
          <w:rFonts w:hint="eastAsia" w:hAnsi="宋体"/>
          <w:bCs/>
          <w:color w:val="auto"/>
          <w:sz w:val="24"/>
          <w:szCs w:val="24"/>
          <w:highlight w:val="none"/>
        </w:rPr>
        <w:t xml:space="preserve">就质疑事项作出了答复/没有在法定期限内作出答复。                                                                                             </w:t>
      </w:r>
    </w:p>
    <w:p>
      <w:pPr>
        <w:pStyle w:val="12"/>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四、投诉事项具体内容</w:t>
      </w:r>
    </w:p>
    <w:p>
      <w:pPr>
        <w:pStyle w:val="12"/>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投诉事项1：</w:t>
      </w:r>
      <w:r>
        <w:rPr>
          <w:rFonts w:hint="eastAsia" w:hAnsi="宋体"/>
          <w:bCs/>
          <w:color w:val="auto"/>
          <w:sz w:val="24"/>
          <w:szCs w:val="24"/>
          <w:highlight w:val="none"/>
          <w:u w:val="single"/>
        </w:rPr>
        <w:t xml:space="preserve">                                                                           </w:t>
      </w:r>
    </w:p>
    <w:p>
      <w:pPr>
        <w:pStyle w:val="12"/>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事实依据：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pPr>
        <w:pStyle w:val="12"/>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u w:val="single"/>
        </w:rPr>
        <w:t xml:space="preserve">                                                                                        </w:t>
      </w:r>
    </w:p>
    <w:p>
      <w:pPr>
        <w:pStyle w:val="12"/>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法律依据：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pPr>
        <w:pStyle w:val="12"/>
        <w:spacing w:line="360" w:lineRule="auto"/>
        <w:ind w:left="25" w:leftChars="12" w:firstLine="352" w:firstLineChars="147"/>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pPr>
        <w:pStyle w:val="12"/>
        <w:spacing w:line="360" w:lineRule="auto"/>
        <w:ind w:left="25" w:leftChars="12" w:firstLine="472" w:firstLineChars="197"/>
        <w:rPr>
          <w:rFonts w:hint="eastAsia" w:hAnsi="宋体"/>
          <w:bCs/>
          <w:color w:val="auto"/>
          <w:sz w:val="24"/>
          <w:szCs w:val="24"/>
          <w:highlight w:val="none"/>
        </w:rPr>
      </w:pPr>
      <w:r>
        <w:rPr>
          <w:rFonts w:hint="eastAsia" w:hAnsi="宋体"/>
          <w:color w:val="auto"/>
          <w:sz w:val="24"/>
          <w:szCs w:val="24"/>
          <w:highlight w:val="none"/>
        </w:rPr>
        <w:t xml:space="preserve">投诉事项2  </w:t>
      </w:r>
      <w:r>
        <w:rPr>
          <w:rFonts w:hint="eastAsia" w:hAnsi="宋体"/>
          <w:bCs/>
          <w:color w:val="auto"/>
          <w:sz w:val="24"/>
          <w:szCs w:val="24"/>
          <w:highlight w:val="none"/>
        </w:rPr>
        <w:t xml:space="preserve">   </w:t>
      </w:r>
    </w:p>
    <w:p>
      <w:pPr>
        <w:pStyle w:val="12"/>
        <w:spacing w:line="360" w:lineRule="auto"/>
        <w:ind w:left="25" w:leftChars="12" w:firstLine="472" w:firstLineChars="197"/>
        <w:rPr>
          <w:rFonts w:hint="eastAsia" w:hAnsi="宋体"/>
          <w:bCs/>
          <w:color w:val="auto"/>
          <w:sz w:val="24"/>
          <w:szCs w:val="24"/>
          <w:highlight w:val="none"/>
        </w:rPr>
      </w:pPr>
      <w:r>
        <w:rPr>
          <w:rFonts w:hAnsi="宋体"/>
          <w:bCs/>
          <w:color w:val="auto"/>
          <w:sz w:val="24"/>
          <w:szCs w:val="24"/>
          <w:highlight w:val="none"/>
        </w:rPr>
        <w:t>……</w:t>
      </w:r>
    </w:p>
    <w:p>
      <w:pPr>
        <w:pStyle w:val="12"/>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五、与投诉事项相关的投诉请求：</w:t>
      </w:r>
    </w:p>
    <w:p>
      <w:pPr>
        <w:pStyle w:val="12"/>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pPr>
        <w:pStyle w:val="12"/>
        <w:spacing w:line="360" w:lineRule="auto"/>
        <w:ind w:left="25" w:leftChars="12" w:firstLine="352" w:firstLineChars="147"/>
        <w:rPr>
          <w:rFonts w:hint="eastAsia" w:hAnsi="宋体"/>
          <w:color w:val="auto"/>
          <w:sz w:val="24"/>
          <w:szCs w:val="24"/>
          <w:highlight w:val="none"/>
        </w:rPr>
      </w:pPr>
    </w:p>
    <w:p>
      <w:pPr>
        <w:pStyle w:val="12"/>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签字（签章）：                                       公章：</w:t>
      </w:r>
    </w:p>
    <w:p>
      <w:pPr>
        <w:pStyle w:val="12"/>
        <w:spacing w:line="360" w:lineRule="auto"/>
        <w:ind w:left="25" w:leftChars="12" w:firstLine="352" w:firstLineChars="147"/>
        <w:rPr>
          <w:rFonts w:hint="eastAsia" w:hAnsi="宋体"/>
          <w:color w:val="auto"/>
          <w:sz w:val="24"/>
          <w:szCs w:val="24"/>
          <w:highlight w:val="none"/>
        </w:rPr>
      </w:pPr>
    </w:p>
    <w:p>
      <w:pPr>
        <w:pStyle w:val="12"/>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日期：</w:t>
      </w:r>
    </w:p>
    <w:p>
      <w:pPr>
        <w:pStyle w:val="12"/>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 xml:space="preserve">                                                                              </w:t>
      </w:r>
    </w:p>
    <w:p>
      <w:pPr>
        <w:pStyle w:val="12"/>
        <w:snapToGrid w:val="0"/>
        <w:spacing w:line="360" w:lineRule="auto"/>
        <w:rPr>
          <w:rFonts w:hint="eastAsia" w:hAnsi="宋体"/>
          <w:b/>
          <w:color w:val="auto"/>
          <w:sz w:val="24"/>
          <w:szCs w:val="24"/>
          <w:highlight w:val="none"/>
        </w:rPr>
      </w:pPr>
      <w:r>
        <w:rPr>
          <w:rFonts w:hint="eastAsia" w:hAnsi="宋体"/>
          <w:b/>
          <w:color w:val="auto"/>
          <w:sz w:val="24"/>
          <w:szCs w:val="24"/>
          <w:highlight w:val="none"/>
        </w:rPr>
        <w:t>说明：</w:t>
      </w:r>
    </w:p>
    <w:p>
      <w:pPr>
        <w:pStyle w:val="12"/>
        <w:spacing w:line="360" w:lineRule="auto"/>
        <w:ind w:left="25" w:leftChars="12" w:firstLine="354" w:firstLineChars="147"/>
        <w:rPr>
          <w:rFonts w:hint="eastAsia" w:hAnsi="宋体"/>
          <w:b/>
          <w:bCs/>
          <w:color w:val="auto"/>
          <w:sz w:val="24"/>
          <w:szCs w:val="24"/>
          <w:highlight w:val="none"/>
        </w:rPr>
      </w:pPr>
      <w:r>
        <w:rPr>
          <w:rFonts w:hint="eastAsia" w:hAnsi="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b/>
          <w:bCs/>
          <w:color w:val="auto"/>
          <w:sz w:val="24"/>
          <w:szCs w:val="24"/>
          <w:highlight w:val="none"/>
        </w:rPr>
        <w:t>。</w:t>
      </w:r>
    </w:p>
    <w:p>
      <w:pPr>
        <w:pStyle w:val="12"/>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pPr>
        <w:pStyle w:val="12"/>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3.投诉书应简要列明质疑事项，质疑函、质疑答复等作为附件材料提供。</w:t>
      </w:r>
    </w:p>
    <w:p>
      <w:pPr>
        <w:pStyle w:val="12"/>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4.投诉书的投诉事项应具体、明确，并有必要的事实依据和法律依据。</w:t>
      </w:r>
    </w:p>
    <w:p>
      <w:pPr>
        <w:pStyle w:val="12"/>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5.投诉书的投诉请求应与投诉事项相关。</w:t>
      </w:r>
    </w:p>
    <w:p>
      <w:pPr>
        <w:pStyle w:val="12"/>
        <w:spacing w:line="360" w:lineRule="auto"/>
        <w:ind w:left="25" w:leftChars="12" w:firstLine="354" w:firstLineChars="147"/>
        <w:rPr>
          <w:color w:val="auto"/>
          <w:highlight w:val="none"/>
        </w:rPr>
      </w:pPr>
      <w:r>
        <w:rPr>
          <w:rFonts w:hint="eastAsia" w:hAnsi="宋体"/>
          <w:b/>
          <w:color w:val="auto"/>
          <w:sz w:val="24"/>
          <w:szCs w:val="24"/>
          <w:highlight w:val="none"/>
        </w:rPr>
        <w:t>6.投诉人为法人或者其他组织的，投诉书应由法定代表人、主要负责人，或者其授权代表签字或者盖章，并加盖公章。</w:t>
      </w:r>
    </w:p>
    <w:sectPr>
      <w:footerReference r:id="rId9" w:type="first"/>
      <w:headerReference r:id="rId6" w:type="default"/>
      <w:footerReference r:id="rId7" w:type="default"/>
      <w:footerReference r:id="rId8" w:type="even"/>
      <w:pgSz w:w="11906" w:h="16838"/>
      <w:pgMar w:top="1440" w:right="1797" w:bottom="1440" w:left="1797"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9D9394E-76D9-4440-9F11-4D26BF6EA4A2}"/>
  </w:font>
  <w:font w:name="黑体">
    <w:panose1 w:val="02010609060101010101"/>
    <w:charset w:val="86"/>
    <w:family w:val="auto"/>
    <w:pitch w:val="default"/>
    <w:sig w:usb0="800002BF" w:usb1="38CF7CFA" w:usb2="00000016" w:usb3="00000000" w:csb0="00040001" w:csb1="00000000"/>
    <w:embedRegular r:id="rId2" w:fontKey="{0645B8A9-F0E1-44EE-8404-B3EB1250C253}"/>
  </w:font>
  <w:font w:name="Courier New">
    <w:panose1 w:val="02070309020205020404"/>
    <w:charset w:val="01"/>
    <w:family w:val="modern"/>
    <w:pitch w:val="default"/>
    <w:sig w:usb0="E0002EFF" w:usb1="C0007843" w:usb2="00000009" w:usb3="00000000" w:csb0="400001FF" w:csb1="FFFF0000"/>
    <w:embedRegular r:id="rId3" w:fontKey="{94A4D69F-82D1-4C46-99A6-32EC549775D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6F90A521-5E52-4366-99E9-9F3B8A4A2AD6}"/>
  </w:font>
  <w:font w:name="仿宋_GB2312">
    <w:panose1 w:val="02010609030101010101"/>
    <w:charset w:val="86"/>
    <w:family w:val="modern"/>
    <w:pitch w:val="default"/>
    <w:sig w:usb0="00000001" w:usb1="080E0000" w:usb2="00000000" w:usb3="00000000" w:csb0="00040000" w:csb1="00000000"/>
    <w:embedRegular r:id="rId5" w:fontKey="{4B2BFBA5-53D2-45E5-ACF3-F8D2B4825905}"/>
  </w:font>
  <w:font w:name="Tahoma">
    <w:panose1 w:val="020B0604030504040204"/>
    <w:charset w:val="00"/>
    <w:family w:val="auto"/>
    <w:pitch w:val="default"/>
    <w:sig w:usb0="E1002EFF" w:usb1="C000605B" w:usb2="00000029" w:usb3="00000000" w:csb0="200101FF" w:csb1="20280000"/>
  </w:font>
  <w:font w:name="方正小标宋简体">
    <w:panose1 w:val="03000509000000000000"/>
    <w:charset w:val="86"/>
    <w:family w:val="script"/>
    <w:pitch w:val="default"/>
    <w:sig w:usb0="00000001" w:usb1="080E0000" w:usb2="00000000" w:usb3="00000000" w:csb0="00040000" w:csb1="00000000"/>
    <w:embedRegular r:id="rId6" w:fontKey="{66A62033-79BF-4881-9F7E-407C6D0F573C}"/>
  </w:font>
  <w:font w:name="仿宋">
    <w:panose1 w:val="02010609060101010101"/>
    <w:charset w:val="86"/>
    <w:family w:val="auto"/>
    <w:pitch w:val="default"/>
    <w:sig w:usb0="800002BF" w:usb1="38CF7CFA" w:usb2="00000016" w:usb3="00000000" w:csb0="00040001" w:csb1="00000000"/>
    <w:embedRegular r:id="rId7" w:fontKey="{05BB0577-845C-46DE-AA45-C73980C90FCD}"/>
  </w:font>
  <w:font w:name="思源黑体 CN Medium">
    <w:altName w:val="黑体"/>
    <w:panose1 w:val="020B0600000000000000"/>
    <w:charset w:val="86"/>
    <w:family w:val="auto"/>
    <w:pitch w:val="default"/>
    <w:sig w:usb0="00000000" w:usb1="00000000" w:usb2="00000016" w:usb3="00000000" w:csb0="60060107" w:csb1="00000000"/>
  </w:font>
  <w:font w:name="微软雅黑">
    <w:panose1 w:val="020B0503020204020204"/>
    <w:charset w:val="86"/>
    <w:family w:val="swiss"/>
    <w:pitch w:val="default"/>
    <w:sig w:usb0="80000287" w:usb1="2ACF3C50" w:usb2="00000016" w:usb3="00000000" w:csb0="0004001F" w:csb1="00000000"/>
    <w:embedRegular r:id="rId8" w:fontKey="{69DE47B4-817E-4CFF-B5F4-CE7DB1D28D66}"/>
  </w:font>
  <w:font w:name="Arial Unicode MS">
    <w:altName w:val="宋体"/>
    <w:panose1 w:val="020B0604020202020204"/>
    <w:charset w:val="86"/>
    <w:family w:val="swiss"/>
    <w:pitch w:val="default"/>
    <w:sig w:usb0="00000000" w:usb1="00000000" w:usb2="0000003F" w:usb3="00000000" w:csb0="603F01FF" w:csb1="FFFF0000"/>
    <w:embedRegular r:id="rId9" w:fontKey="{AED0DBC1-F897-4B74-ABD5-52C876B29BDF}"/>
  </w:font>
  <w:font w:name="Helvetica">
    <w:panose1 w:val="020B0504020202030204"/>
    <w:charset w:val="00"/>
    <w:family w:val="swiss"/>
    <w:pitch w:val="default"/>
    <w:sig w:usb0="00000007" w:usb1="00000000" w:usb2="00000000" w:usb3="00000000" w:csb0="00000093" w:csb1="00000000"/>
    <w:embedRegular r:id="rId10" w:fontKey="{678D09E8-A4E6-4C24-BE27-37C53B61A365}"/>
  </w:font>
  <w:font w:name="Verdana">
    <w:panose1 w:val="020B0604030504040204"/>
    <w:charset w:val="00"/>
    <w:family w:val="swiss"/>
    <w:pitch w:val="default"/>
    <w:sig w:usb0="A00006FF" w:usb1="4000205B" w:usb2="00000010" w:usb3="00000000" w:csb0="2000019F" w:csb1="00000000"/>
    <w:embedRegular r:id="rId11" w:fontKey="{B320CE9E-EE73-4DC2-82B0-FD8B896D7556}"/>
  </w:font>
  <w:font w:name="Wingdings 2">
    <w:panose1 w:val="05020102010507070707"/>
    <w:charset w:val="02"/>
    <w:family w:val="roman"/>
    <w:pitch w:val="default"/>
    <w:sig w:usb0="00000000" w:usb1="00000000" w:usb2="00000000" w:usb3="00000000" w:csb0="80000000" w:csb1="00000000"/>
    <w:embedRegular r:id="rId12" w:fontKey="{1CB51ED9-D429-4105-A267-DDD1394AA6A4}"/>
  </w:font>
  <w:font w:name="PMingLiU">
    <w:altName w:val="PMingLiU-ExtB"/>
    <w:panose1 w:val="02020500000000000000"/>
    <w:charset w:val="88"/>
    <w:family w:val="roman"/>
    <w:pitch w:val="default"/>
    <w:sig w:usb0="00000000" w:usb1="00000000" w:usb2="00000016" w:usb3="00000000" w:csb0="00100001" w:csb1="00000000"/>
    <w:embedRegular r:id="rId13" w:fontKey="{83532A70-3017-475B-AB83-A7C64303F478}"/>
  </w:font>
  <w:font w:name="隶书">
    <w:panose1 w:val="02010509060101010101"/>
    <w:charset w:val="86"/>
    <w:family w:val="modern"/>
    <w:pitch w:val="default"/>
    <w:sig w:usb0="00000001" w:usb1="080E0000" w:usb2="00000000" w:usb3="00000000" w:csb0="00040000" w:csb1="00000000"/>
    <w:embedRegular r:id="rId14" w:fontKey="{C28BC3D0-E5F0-4445-8B04-541425C67AAC}"/>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60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0"/>
      </w:rPr>
    </w:pPr>
    <w:r>
      <w:fldChar w:fldCharType="begin"/>
    </w:r>
    <w:r>
      <w:rPr>
        <w:rStyle w:val="20"/>
      </w:rPr>
      <w:instrText xml:space="preserve">PAGE  </w:instrText>
    </w:r>
    <w:r>
      <w:fldChar w:fldCharType="end"/>
    </w:r>
  </w:p>
  <w:p>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jc w:val="both"/>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CBF2B5"/>
    <w:multiLevelType w:val="singleLevel"/>
    <w:tmpl w:val="83CBF2B5"/>
    <w:lvl w:ilvl="0" w:tentative="0">
      <w:start w:val="1"/>
      <w:numFmt w:val="decimal"/>
      <w:suff w:val="nothing"/>
      <w:lvlText w:val="%1"/>
      <w:lvlJc w:val="left"/>
      <w:pPr>
        <w:tabs>
          <w:tab w:val="left" w:pos="0"/>
        </w:tabs>
      </w:pPr>
      <w:rPr>
        <w:rFonts w:hint="default" w:ascii="思源黑体 CN Medium" w:hAnsi="思源黑体 CN Medium" w:eastAsia="思源黑体 CN Medium" w:cs="思源黑体 CN Medium"/>
      </w:rPr>
    </w:lvl>
  </w:abstractNum>
  <w:abstractNum w:abstractNumId="1">
    <w:nsid w:val="8CDB0D03"/>
    <w:multiLevelType w:val="singleLevel"/>
    <w:tmpl w:val="8CDB0D03"/>
    <w:lvl w:ilvl="0" w:tentative="0">
      <w:start w:val="2"/>
      <w:numFmt w:val="decimal"/>
      <w:suff w:val="space"/>
      <w:lvlText w:val="%1."/>
      <w:lvlJc w:val="left"/>
    </w:lvl>
  </w:abstractNum>
  <w:abstractNum w:abstractNumId="2">
    <w:nsid w:val="9C3E8A5C"/>
    <w:multiLevelType w:val="singleLevel"/>
    <w:tmpl w:val="9C3E8A5C"/>
    <w:lvl w:ilvl="0" w:tentative="0">
      <w:start w:val="1"/>
      <w:numFmt w:val="decimal"/>
      <w:suff w:val="nothing"/>
      <w:lvlText w:val="（%1）"/>
      <w:lvlJc w:val="left"/>
    </w:lvl>
  </w:abstractNum>
  <w:abstractNum w:abstractNumId="3">
    <w:nsid w:val="9E26851A"/>
    <w:multiLevelType w:val="singleLevel"/>
    <w:tmpl w:val="9E26851A"/>
    <w:lvl w:ilvl="0" w:tentative="0">
      <w:start w:val="10"/>
      <w:numFmt w:val="decimal"/>
      <w:suff w:val="nothing"/>
      <w:lvlText w:val="%1、"/>
      <w:lvlJc w:val="left"/>
    </w:lvl>
  </w:abstractNum>
  <w:abstractNum w:abstractNumId="4">
    <w:nsid w:val="B4F6C4D5"/>
    <w:multiLevelType w:val="singleLevel"/>
    <w:tmpl w:val="B4F6C4D5"/>
    <w:lvl w:ilvl="0" w:tentative="0">
      <w:start w:val="1"/>
      <w:numFmt w:val="chineseCounting"/>
      <w:suff w:val="nothing"/>
      <w:lvlText w:val="%1、"/>
      <w:lvlJc w:val="left"/>
      <w:rPr>
        <w:rFonts w:hint="eastAsia"/>
      </w:rPr>
    </w:lvl>
  </w:abstractNum>
  <w:abstractNum w:abstractNumId="5">
    <w:nsid w:val="E77B86B6"/>
    <w:multiLevelType w:val="singleLevel"/>
    <w:tmpl w:val="E77B86B6"/>
    <w:lvl w:ilvl="0" w:tentative="0">
      <w:start w:val="12"/>
      <w:numFmt w:val="chineseCounting"/>
      <w:suff w:val="space"/>
      <w:lvlText w:val="第%1条"/>
      <w:lvlJc w:val="left"/>
      <w:rPr>
        <w:rFonts w:hint="eastAsia"/>
      </w:rPr>
    </w:lvl>
  </w:abstractNum>
  <w:abstractNum w:abstractNumId="6">
    <w:nsid w:val="23538B3B"/>
    <w:multiLevelType w:val="singleLevel"/>
    <w:tmpl w:val="23538B3B"/>
    <w:lvl w:ilvl="0" w:tentative="0">
      <w:start w:val="2"/>
      <w:numFmt w:val="decimal"/>
      <w:lvlText w:val="%1."/>
      <w:lvlJc w:val="left"/>
      <w:pPr>
        <w:tabs>
          <w:tab w:val="left" w:pos="312"/>
        </w:tabs>
      </w:pPr>
    </w:lvl>
  </w:abstractNum>
  <w:abstractNum w:abstractNumId="7">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5"/>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8">
    <w:nsid w:val="3CED0163"/>
    <w:multiLevelType w:val="multilevel"/>
    <w:tmpl w:val="3CED0163"/>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42405056"/>
    <w:multiLevelType w:val="multilevel"/>
    <w:tmpl w:val="42405056"/>
    <w:lvl w:ilvl="0" w:tentative="0">
      <w:start w:val="1"/>
      <w:numFmt w:val="decimal"/>
      <w:lvlText w:val="%1."/>
      <w:lvlJc w:val="left"/>
      <w:pPr>
        <w:ind w:left="773" w:hanging="360"/>
      </w:pPr>
      <w:rPr>
        <w:rFonts w:hint="default"/>
        <w:b/>
        <w:sz w:val="24"/>
        <w:szCs w:val="24"/>
      </w:rPr>
    </w:lvl>
    <w:lvl w:ilvl="1" w:tentative="0">
      <w:start w:val="1"/>
      <w:numFmt w:val="lowerLetter"/>
      <w:lvlText w:val="%2)"/>
      <w:lvlJc w:val="left"/>
      <w:pPr>
        <w:ind w:left="1253" w:hanging="420"/>
      </w:pPr>
    </w:lvl>
    <w:lvl w:ilvl="2" w:tentative="0">
      <w:start w:val="1"/>
      <w:numFmt w:val="lowerRoman"/>
      <w:lvlText w:val="%3."/>
      <w:lvlJc w:val="right"/>
      <w:pPr>
        <w:ind w:left="1673" w:hanging="420"/>
      </w:pPr>
    </w:lvl>
    <w:lvl w:ilvl="3" w:tentative="0">
      <w:start w:val="1"/>
      <w:numFmt w:val="decimal"/>
      <w:lvlText w:val="%4."/>
      <w:lvlJc w:val="left"/>
      <w:pPr>
        <w:ind w:left="2093" w:hanging="420"/>
      </w:pPr>
    </w:lvl>
    <w:lvl w:ilvl="4" w:tentative="0">
      <w:start w:val="1"/>
      <w:numFmt w:val="lowerLetter"/>
      <w:lvlText w:val="%5)"/>
      <w:lvlJc w:val="left"/>
      <w:pPr>
        <w:ind w:left="2513" w:hanging="420"/>
      </w:pPr>
    </w:lvl>
    <w:lvl w:ilvl="5" w:tentative="0">
      <w:start w:val="1"/>
      <w:numFmt w:val="lowerRoman"/>
      <w:lvlText w:val="%6."/>
      <w:lvlJc w:val="right"/>
      <w:pPr>
        <w:ind w:left="2933" w:hanging="420"/>
      </w:pPr>
    </w:lvl>
    <w:lvl w:ilvl="6" w:tentative="0">
      <w:start w:val="1"/>
      <w:numFmt w:val="decimal"/>
      <w:lvlText w:val="%7."/>
      <w:lvlJc w:val="left"/>
      <w:pPr>
        <w:ind w:left="3353" w:hanging="420"/>
      </w:pPr>
    </w:lvl>
    <w:lvl w:ilvl="7" w:tentative="0">
      <w:start w:val="1"/>
      <w:numFmt w:val="lowerLetter"/>
      <w:lvlText w:val="%8)"/>
      <w:lvlJc w:val="left"/>
      <w:pPr>
        <w:ind w:left="3773" w:hanging="420"/>
      </w:pPr>
    </w:lvl>
    <w:lvl w:ilvl="8" w:tentative="0">
      <w:start w:val="1"/>
      <w:numFmt w:val="lowerRoman"/>
      <w:lvlText w:val="%9."/>
      <w:lvlJc w:val="right"/>
      <w:pPr>
        <w:ind w:left="4193" w:hanging="420"/>
      </w:pPr>
    </w:lvl>
  </w:abstractNum>
  <w:abstractNum w:abstractNumId="10">
    <w:nsid w:val="4C601917"/>
    <w:multiLevelType w:val="singleLevel"/>
    <w:tmpl w:val="4C601917"/>
    <w:lvl w:ilvl="0" w:tentative="0">
      <w:start w:val="1"/>
      <w:numFmt w:val="decimal"/>
      <w:suff w:val="nothing"/>
      <w:lvlText w:val="（%1）"/>
      <w:lvlJc w:val="left"/>
      <w:pPr>
        <w:ind w:left="-2"/>
      </w:pPr>
    </w:lvl>
  </w:abstractNum>
  <w:abstractNum w:abstractNumId="11">
    <w:nsid w:val="5FABD14B"/>
    <w:multiLevelType w:val="singleLevel"/>
    <w:tmpl w:val="5FABD14B"/>
    <w:lvl w:ilvl="0" w:tentative="0">
      <w:start w:val="1"/>
      <w:numFmt w:val="decimal"/>
      <w:suff w:val="nothing"/>
      <w:lvlText w:val="（%1）"/>
      <w:lvlJc w:val="left"/>
    </w:lvl>
  </w:abstractNum>
  <w:abstractNum w:abstractNumId="12">
    <w:nsid w:val="70BD51E6"/>
    <w:multiLevelType w:val="multilevel"/>
    <w:tmpl w:val="70BD51E6"/>
    <w:lvl w:ilvl="0" w:tentative="0">
      <w:start w:val="1"/>
      <w:numFmt w:val="decimal"/>
      <w:lvlText w:val="%1."/>
      <w:lvlJc w:val="left"/>
      <w:pPr>
        <w:ind w:left="840" w:hanging="420"/>
      </w:pPr>
      <w:rPr>
        <w:rFonts w:hint="default"/>
        <w:sz w:val="24"/>
        <w:szCs w:val="24"/>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
    <w:nsid w:val="763060DB"/>
    <w:multiLevelType w:val="multilevel"/>
    <w:tmpl w:val="763060DB"/>
    <w:lvl w:ilvl="0" w:tentative="0">
      <w:start w:val="1"/>
      <w:numFmt w:val="japaneseCounting"/>
      <w:lvlText w:val="第%1章"/>
      <w:lvlJc w:val="left"/>
      <w:pPr>
        <w:tabs>
          <w:tab w:val="left" w:pos="1815"/>
        </w:tabs>
        <w:ind w:left="1815" w:hanging="1275"/>
      </w:pPr>
      <w:rPr>
        <w:rFonts w:hint="eastAsia"/>
        <w:lang w:val="en-US"/>
      </w:rPr>
    </w:lvl>
    <w:lvl w:ilvl="1" w:tentative="0">
      <w:start w:val="1"/>
      <w:numFmt w:val="japaneseCounting"/>
      <w:lvlText w:val="%2、"/>
      <w:lvlJc w:val="left"/>
      <w:pPr>
        <w:tabs>
          <w:tab w:val="left" w:pos="1680"/>
        </w:tabs>
        <w:ind w:left="1680" w:hanging="720"/>
      </w:pPr>
      <w:rPr>
        <w:rFonts w:hint="eastAsia"/>
      </w:rPr>
    </w:lvl>
    <w:lvl w:ilvl="2" w:tentative="0">
      <w:start w:val="1"/>
      <w:numFmt w:val="decimal"/>
      <w:lvlText w:val="%3."/>
      <w:lvlJc w:val="left"/>
      <w:pPr>
        <w:ind w:left="502" w:hanging="360"/>
      </w:pPr>
      <w:rPr>
        <w:rFonts w:hint="default"/>
        <w:sz w:val="24"/>
        <w:szCs w:val="24"/>
      </w:r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num w:numId="1">
    <w:abstractNumId w:val="7"/>
  </w:num>
  <w:num w:numId="2">
    <w:abstractNumId w:val="6"/>
  </w:num>
  <w:num w:numId="3">
    <w:abstractNumId w:val="2"/>
  </w:num>
  <w:num w:numId="4">
    <w:abstractNumId w:val="1"/>
  </w:num>
  <w:num w:numId="5">
    <w:abstractNumId w:val="3"/>
  </w:num>
  <w:num w:numId="6">
    <w:abstractNumId w:val="0"/>
  </w:num>
  <w:num w:numId="7">
    <w:abstractNumId w:val="8"/>
  </w:num>
  <w:num w:numId="8">
    <w:abstractNumId w:val="12"/>
  </w:num>
  <w:num w:numId="9">
    <w:abstractNumId w:val="9"/>
  </w:num>
  <w:num w:numId="10">
    <w:abstractNumId w:val="10"/>
  </w:num>
  <w:num w:numId="11">
    <w:abstractNumId w:val="11"/>
  </w:num>
  <w:num w:numId="12">
    <w:abstractNumId w:val="4"/>
  </w:num>
  <w:num w:numId="13">
    <w:abstractNumId w:val="5"/>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ZkNmRkYjM3MTJkNTkyYzk4ZTdmZmY4YjBkMmZkZGEifQ=="/>
    <w:docVar w:name="KSO_WPS_MARK_KEY" w:val="77464452-f502-4cc3-954d-89b5e432ae65"/>
  </w:docVars>
  <w:rsids>
    <w:rsidRoot w:val="49D033B2"/>
    <w:rsid w:val="03373831"/>
    <w:rsid w:val="04A54B87"/>
    <w:rsid w:val="059F1A17"/>
    <w:rsid w:val="05F16D48"/>
    <w:rsid w:val="06C37D6E"/>
    <w:rsid w:val="0A4269C9"/>
    <w:rsid w:val="0A5D3BE6"/>
    <w:rsid w:val="0D9F2886"/>
    <w:rsid w:val="11534237"/>
    <w:rsid w:val="13C22CA3"/>
    <w:rsid w:val="19406B43"/>
    <w:rsid w:val="1A215C88"/>
    <w:rsid w:val="1AE730B9"/>
    <w:rsid w:val="1B0D6EF9"/>
    <w:rsid w:val="1DA67E18"/>
    <w:rsid w:val="1EA0575C"/>
    <w:rsid w:val="20163ADD"/>
    <w:rsid w:val="223E3E3C"/>
    <w:rsid w:val="2309119A"/>
    <w:rsid w:val="235651B5"/>
    <w:rsid w:val="25241986"/>
    <w:rsid w:val="2A824349"/>
    <w:rsid w:val="2B472EEA"/>
    <w:rsid w:val="2CE74688"/>
    <w:rsid w:val="2F8F69C4"/>
    <w:rsid w:val="307F40E3"/>
    <w:rsid w:val="3102072B"/>
    <w:rsid w:val="33D42384"/>
    <w:rsid w:val="34680D50"/>
    <w:rsid w:val="34DA0701"/>
    <w:rsid w:val="36565332"/>
    <w:rsid w:val="37517D16"/>
    <w:rsid w:val="3A995C5C"/>
    <w:rsid w:val="3BA921CF"/>
    <w:rsid w:val="3DB81E36"/>
    <w:rsid w:val="3F60143E"/>
    <w:rsid w:val="401672EC"/>
    <w:rsid w:val="40B437EF"/>
    <w:rsid w:val="40EF0976"/>
    <w:rsid w:val="410C74FB"/>
    <w:rsid w:val="41155BFB"/>
    <w:rsid w:val="45F72B33"/>
    <w:rsid w:val="479141DB"/>
    <w:rsid w:val="482127EE"/>
    <w:rsid w:val="48FA6DC7"/>
    <w:rsid w:val="49D033B2"/>
    <w:rsid w:val="4AF95191"/>
    <w:rsid w:val="4B15266C"/>
    <w:rsid w:val="4B7778F3"/>
    <w:rsid w:val="4C9A3717"/>
    <w:rsid w:val="4D8D78A2"/>
    <w:rsid w:val="4F2958A7"/>
    <w:rsid w:val="4F453009"/>
    <w:rsid w:val="50C80F59"/>
    <w:rsid w:val="516479A7"/>
    <w:rsid w:val="517273CD"/>
    <w:rsid w:val="523A09B3"/>
    <w:rsid w:val="52E837CD"/>
    <w:rsid w:val="52F32FD3"/>
    <w:rsid w:val="53CF6E8B"/>
    <w:rsid w:val="541A291A"/>
    <w:rsid w:val="56DD7FCB"/>
    <w:rsid w:val="571860B2"/>
    <w:rsid w:val="584F4C0C"/>
    <w:rsid w:val="58F24A5D"/>
    <w:rsid w:val="59075280"/>
    <w:rsid w:val="59DB2711"/>
    <w:rsid w:val="5A8418D2"/>
    <w:rsid w:val="5E196F30"/>
    <w:rsid w:val="5E1E3560"/>
    <w:rsid w:val="5E705DCB"/>
    <w:rsid w:val="5ECC7AFE"/>
    <w:rsid w:val="5F4A6064"/>
    <w:rsid w:val="63537A09"/>
    <w:rsid w:val="63AD5074"/>
    <w:rsid w:val="641F149F"/>
    <w:rsid w:val="6438310F"/>
    <w:rsid w:val="65D473EC"/>
    <w:rsid w:val="65E676F8"/>
    <w:rsid w:val="67662E9A"/>
    <w:rsid w:val="69272501"/>
    <w:rsid w:val="699219DD"/>
    <w:rsid w:val="69CC6D87"/>
    <w:rsid w:val="6AD20B92"/>
    <w:rsid w:val="6E982C24"/>
    <w:rsid w:val="6FB62831"/>
    <w:rsid w:val="6FE45DF5"/>
    <w:rsid w:val="71A16F72"/>
    <w:rsid w:val="72116A18"/>
    <w:rsid w:val="73CD6400"/>
    <w:rsid w:val="73FE6429"/>
    <w:rsid w:val="765E32DA"/>
    <w:rsid w:val="767567D8"/>
    <w:rsid w:val="76B35133"/>
    <w:rsid w:val="7AB35B7B"/>
    <w:rsid w:val="7B42141C"/>
    <w:rsid w:val="7DF540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0" w:semiHidden="0" w:name="annotation text"/>
    <w:lsdException w:qFormat="1" w:uiPriority="99"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kern w:val="0"/>
      <w:sz w:val="32"/>
      <w:szCs w:val="32"/>
    </w:rPr>
  </w:style>
  <w:style w:type="paragraph" w:styleId="4">
    <w:name w:val="heading 3"/>
    <w:basedOn w:val="1"/>
    <w:next w:val="1"/>
    <w:qFormat/>
    <w:uiPriority w:val="0"/>
    <w:pPr>
      <w:keepNext/>
      <w:keepLines/>
      <w:spacing w:before="260" w:after="260" w:line="416" w:lineRule="auto"/>
      <w:outlineLvl w:val="2"/>
    </w:pPr>
    <w:rPr>
      <w:b/>
      <w:bCs/>
      <w:kern w:val="0"/>
      <w:sz w:val="32"/>
      <w:szCs w:val="32"/>
    </w:rPr>
  </w:style>
  <w:style w:type="paragraph" w:styleId="5">
    <w:name w:val="heading 5"/>
    <w:basedOn w:val="1"/>
    <w:next w:val="6"/>
    <w:qFormat/>
    <w:uiPriority w:val="0"/>
    <w:pPr>
      <w:keepNext/>
      <w:keepLines/>
      <w:numPr>
        <w:ilvl w:val="4"/>
        <w:numId w:val="1"/>
      </w:numPr>
      <w:spacing w:before="280" w:after="290" w:line="376" w:lineRule="auto"/>
      <w:outlineLvl w:val="4"/>
    </w:pPr>
    <w:rPr>
      <w:b/>
      <w:sz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420"/>
    </w:pPr>
    <w:rPr>
      <w:szCs w:val="20"/>
    </w:rPr>
  </w:style>
  <w:style w:type="paragraph" w:styleId="7">
    <w:name w:val="caption"/>
    <w:basedOn w:val="1"/>
    <w:next w:val="1"/>
    <w:qFormat/>
    <w:uiPriority w:val="0"/>
    <w:pPr>
      <w:spacing w:before="152" w:after="160"/>
    </w:pPr>
    <w:rPr>
      <w:rFonts w:ascii="Arial" w:hAnsi="Arial" w:eastAsia="黑体" w:cs="Arial"/>
      <w:sz w:val="20"/>
      <w:szCs w:val="20"/>
    </w:rPr>
  </w:style>
  <w:style w:type="paragraph" w:styleId="8">
    <w:name w:val="annotation text"/>
    <w:basedOn w:val="1"/>
    <w:unhideWhenUsed/>
    <w:qFormat/>
    <w:uiPriority w:val="0"/>
    <w:pPr>
      <w:jc w:val="left"/>
    </w:pPr>
  </w:style>
  <w:style w:type="paragraph" w:styleId="9">
    <w:name w:val="Body Text 3"/>
    <w:basedOn w:val="1"/>
    <w:qFormat/>
    <w:uiPriority w:val="0"/>
    <w:pPr>
      <w:spacing w:line="500" w:lineRule="exact"/>
    </w:pPr>
    <w:rPr>
      <w:b/>
      <w:bCs/>
      <w:kern w:val="0"/>
      <w:sz w:val="24"/>
    </w:rPr>
  </w:style>
  <w:style w:type="paragraph" w:styleId="10">
    <w:name w:val="Body Text"/>
    <w:basedOn w:val="1"/>
    <w:qFormat/>
    <w:uiPriority w:val="99"/>
    <w:pPr>
      <w:spacing w:line="380" w:lineRule="exact"/>
    </w:pPr>
    <w:rPr>
      <w:kern w:val="0"/>
      <w:sz w:val="24"/>
    </w:rPr>
  </w:style>
  <w:style w:type="paragraph" w:styleId="11">
    <w:name w:val="Body Text Indent"/>
    <w:basedOn w:val="1"/>
    <w:qFormat/>
    <w:uiPriority w:val="0"/>
    <w:pPr>
      <w:ind w:firstLine="830" w:firstLineChars="352"/>
    </w:pPr>
    <w:rPr>
      <w:rFonts w:ascii="仿宋_GB2312" w:eastAsia="仿宋_GB2312"/>
      <w:kern w:val="0"/>
      <w:sz w:val="32"/>
      <w:szCs w:val="20"/>
    </w:rPr>
  </w:style>
  <w:style w:type="paragraph" w:styleId="12">
    <w:name w:val="Plain Text"/>
    <w:basedOn w:val="1"/>
    <w:qFormat/>
    <w:uiPriority w:val="0"/>
    <w:rPr>
      <w:rFonts w:ascii="宋体" w:hAnsi="Courier New"/>
      <w:kern w:val="0"/>
      <w:sz w:val="20"/>
      <w:szCs w:val="21"/>
    </w:rPr>
  </w:style>
  <w:style w:type="paragraph" w:styleId="13">
    <w:name w:val="footer"/>
    <w:basedOn w:val="1"/>
    <w:unhideWhenUsed/>
    <w:qFormat/>
    <w:uiPriority w:val="99"/>
    <w:pPr>
      <w:tabs>
        <w:tab w:val="center" w:pos="4153"/>
        <w:tab w:val="right" w:pos="8306"/>
      </w:tabs>
      <w:snapToGrid w:val="0"/>
      <w:jc w:val="left"/>
    </w:pPr>
    <w:rPr>
      <w:kern w:val="0"/>
      <w:sz w:val="18"/>
      <w:szCs w:val="18"/>
    </w:rPr>
  </w:style>
  <w:style w:type="paragraph" w:styleId="14">
    <w:name w:val="header"/>
    <w:basedOn w:val="1"/>
    <w:unhideWhenUsed/>
    <w:qFormat/>
    <w:uiPriority w:val="99"/>
    <w:pPr>
      <w:pBdr>
        <w:bottom w:val="single" w:color="auto" w:sz="6" w:space="1"/>
      </w:pBdr>
      <w:tabs>
        <w:tab w:val="center" w:pos="0"/>
        <w:tab w:val="left" w:pos="8306"/>
      </w:tabs>
      <w:snapToGrid w:val="0"/>
      <w:jc w:val="center"/>
    </w:pPr>
    <w:rPr>
      <w:sz w:val="18"/>
      <w:szCs w:val="18"/>
    </w:rPr>
  </w:style>
  <w:style w:type="paragraph" w:styleId="15">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16">
    <w:name w:val="List"/>
    <w:basedOn w:val="1"/>
    <w:qFormat/>
    <w:uiPriority w:val="0"/>
    <w:pPr>
      <w:ind w:left="200" w:hanging="200" w:hangingChars="200"/>
    </w:pPr>
    <w:rPr>
      <w:sz w:val="28"/>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qFormat/>
    <w:uiPriority w:val="0"/>
  </w:style>
  <w:style w:type="character" w:styleId="21">
    <w:name w:val="Hyperlink"/>
    <w:qFormat/>
    <w:uiPriority w:val="99"/>
    <w:rPr>
      <w:color w:val="000000"/>
      <w:u w:val="none"/>
    </w:rPr>
  </w:style>
  <w:style w:type="paragraph" w:customStyle="1" w:styleId="22">
    <w:name w:val="Default"/>
    <w:qFormat/>
    <w:uiPriority w:val="99"/>
    <w:pPr>
      <w:widowControl w:val="0"/>
      <w:autoSpaceDE w:val="0"/>
      <w:autoSpaceDN w:val="0"/>
      <w:adjustRightInd w:val="0"/>
    </w:pPr>
    <w:rPr>
      <w:rFonts w:ascii="Times New Roman" w:hAnsi="Times New Roman" w:eastAsia="宋体" w:cs="Times New Roman"/>
      <w:color w:val="000000"/>
      <w:kern w:val="2"/>
      <w:sz w:val="24"/>
      <w:szCs w:val="24"/>
      <w:lang w:val="en-US" w:eastAsia="zh-CN" w:bidi="ar-SA"/>
    </w:rPr>
  </w:style>
  <w:style w:type="character" w:customStyle="1" w:styleId="23">
    <w:name w:val="font31"/>
    <w:basedOn w:val="19"/>
    <w:qFormat/>
    <w:uiPriority w:val="0"/>
    <w:rPr>
      <w:rFonts w:hint="default" w:ascii="Tahoma" w:hAnsi="Tahoma" w:eastAsia="Tahoma" w:cs="Tahoma"/>
      <w:color w:val="333333"/>
      <w:sz w:val="18"/>
      <w:szCs w:val="18"/>
      <w:u w:val="none"/>
    </w:rPr>
  </w:style>
  <w:style w:type="character" w:customStyle="1" w:styleId="24">
    <w:name w:val="font01"/>
    <w:basedOn w:val="19"/>
    <w:qFormat/>
    <w:uiPriority w:val="0"/>
    <w:rPr>
      <w:rFonts w:hint="eastAsia" w:ascii="宋体" w:hAnsi="宋体" w:eastAsia="宋体" w:cs="宋体"/>
      <w:b/>
      <w:color w:val="000000"/>
      <w:sz w:val="36"/>
      <w:szCs w:val="36"/>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134</Pages>
  <Words>73486</Words>
  <Characters>80615</Characters>
  <Lines>0</Lines>
  <Paragraphs>0</Paragraphs>
  <TotalTime>0</TotalTime>
  <ScaleCrop>false</ScaleCrop>
  <LinksUpToDate>false</LinksUpToDate>
  <CharactersWithSpaces>86883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2024-12-06T02:45:00Z</dcterms:created>
  <dc:creator>黄海洋</dc:creator>
  <cp:lastModifiedBy>黄海洋</cp:lastModifiedBy>
  <dcterms:modified xsi:type="dcterms:W3CDTF">2025-01-07T07:42:06Z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F991FD37558A408689C44DC80EA509E3_13</vt:lpwstr>
  </property>
  <property fmtid="{D5CDD505-2E9C-101B-9397-08002B2CF9AE}" pid="4" name="KSOTemplateDocerSaveRecord">
    <vt:lpwstr>eyJoZGlkIjoiZGIwYjIxOWUyZDdjZTRhNTM1ZmFiY2M1ZWI3Zjg2ODMiLCJ1c2VySWQiOiI2NDYzOTA0NjgifQ==</vt:lpwstr>
  </property>
</Properties>
</file>